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CD315E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445796" w14:textId="77777777" w:rsidR="002D5AAC" w:rsidRDefault="002D5AAC" w:rsidP="004872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E0EC6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CDA4698" w14:textId="77777777" w:rsidR="002D5AAC" w:rsidRDefault="00487292" w:rsidP="00487292">
            <w:pPr>
              <w:jc w:val="right"/>
            </w:pPr>
            <w:r w:rsidRPr="00487292">
              <w:rPr>
                <w:sz w:val="40"/>
              </w:rPr>
              <w:t>ECE</w:t>
            </w:r>
            <w:r>
              <w:t>/CP.TEIA/2020/3</w:t>
            </w:r>
          </w:p>
        </w:tc>
      </w:tr>
      <w:tr w:rsidR="002D5AAC" w:rsidRPr="00487292" w14:paraId="55027CC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FB185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D8E8095" wp14:editId="7EE791A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E216C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90A14B" w14:textId="77777777" w:rsidR="002D5AAC" w:rsidRDefault="0048729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E887B48" w14:textId="77777777" w:rsidR="00487292" w:rsidRDefault="00487292" w:rsidP="004872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September 2020</w:t>
            </w:r>
          </w:p>
          <w:p w14:paraId="54EE6C78" w14:textId="77777777" w:rsidR="00487292" w:rsidRDefault="00487292" w:rsidP="004872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9C42669" w14:textId="77777777" w:rsidR="00487292" w:rsidRPr="008D53B6" w:rsidRDefault="00487292" w:rsidP="004872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B7A0169" w14:textId="77777777" w:rsidR="0048729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295038A" w14:textId="77777777" w:rsidR="00487292" w:rsidRPr="00C75EE9" w:rsidRDefault="00487292" w:rsidP="00487292">
      <w:pPr>
        <w:spacing w:before="100"/>
        <w:rPr>
          <w:sz w:val="28"/>
          <w:szCs w:val="28"/>
        </w:rPr>
      </w:pPr>
      <w:r w:rsidRPr="00C75EE9">
        <w:rPr>
          <w:sz w:val="28"/>
          <w:szCs w:val="28"/>
        </w:rPr>
        <w:t>Конференция Сторон Конвенции</w:t>
      </w:r>
      <w:r w:rsidR="00C75EE9">
        <w:rPr>
          <w:sz w:val="28"/>
          <w:szCs w:val="28"/>
        </w:rPr>
        <w:br/>
      </w:r>
      <w:r w:rsidRPr="00C75EE9">
        <w:rPr>
          <w:sz w:val="28"/>
          <w:szCs w:val="28"/>
        </w:rPr>
        <w:t>о трансграничном воздействии</w:t>
      </w:r>
      <w:r w:rsidR="00C75EE9">
        <w:rPr>
          <w:sz w:val="28"/>
          <w:szCs w:val="28"/>
        </w:rPr>
        <w:br/>
      </w:r>
      <w:r w:rsidRPr="00C75EE9">
        <w:rPr>
          <w:sz w:val="28"/>
          <w:szCs w:val="28"/>
        </w:rPr>
        <w:t>промышленных аварий</w:t>
      </w:r>
    </w:p>
    <w:p w14:paraId="59B5C2A3" w14:textId="77777777" w:rsidR="00487292" w:rsidRPr="00832A90" w:rsidRDefault="00487292" w:rsidP="00487292">
      <w:pPr>
        <w:spacing w:before="120"/>
        <w:rPr>
          <w:b/>
        </w:rPr>
      </w:pPr>
      <w:r>
        <w:rPr>
          <w:b/>
          <w:bCs/>
        </w:rPr>
        <w:t>Одиннадцатое совещание</w:t>
      </w:r>
    </w:p>
    <w:p w14:paraId="2CF8CAA5" w14:textId="77777777" w:rsidR="00487292" w:rsidRPr="00832A90" w:rsidRDefault="00487292" w:rsidP="00C75EE9">
      <w:r>
        <w:t>Женева, 7</w:t>
      </w:r>
      <w:r w:rsidR="00C75EE9" w:rsidRPr="00C75EE9">
        <w:t>‒</w:t>
      </w:r>
      <w:r>
        <w:t>9 декабря 2020 года</w:t>
      </w:r>
    </w:p>
    <w:p w14:paraId="5F82F734" w14:textId="77777777" w:rsidR="00487292" w:rsidRPr="00832A90" w:rsidRDefault="00487292" w:rsidP="00487292">
      <w:r>
        <w:t>Пункт 3 предварительной повестки дня</w:t>
      </w:r>
    </w:p>
    <w:p w14:paraId="3E5268DF" w14:textId="77777777" w:rsidR="00487292" w:rsidRPr="00832A90" w:rsidRDefault="00487292" w:rsidP="00487292">
      <w:pPr>
        <w:rPr>
          <w:b/>
          <w:bCs/>
        </w:rPr>
      </w:pPr>
      <w:r>
        <w:rPr>
          <w:b/>
          <w:bCs/>
        </w:rPr>
        <w:t>Решение о повышении безопасности хвостохранилищ</w:t>
      </w:r>
      <w:r w:rsidR="00C75EE9">
        <w:rPr>
          <w:b/>
          <w:bCs/>
        </w:rPr>
        <w:br/>
      </w:r>
      <w:r>
        <w:rPr>
          <w:b/>
          <w:bCs/>
        </w:rPr>
        <w:t>в регионе Европейской экономической комиссии</w:t>
      </w:r>
      <w:r w:rsidR="00C75EE9">
        <w:rPr>
          <w:b/>
          <w:bCs/>
        </w:rPr>
        <w:br/>
      </w:r>
      <w:r>
        <w:rPr>
          <w:b/>
          <w:bCs/>
        </w:rPr>
        <w:t>Организации Объединенных Наций и за его пределами</w:t>
      </w:r>
    </w:p>
    <w:p w14:paraId="7A8E0AD3" w14:textId="77777777" w:rsidR="00487292" w:rsidRPr="00832A90" w:rsidRDefault="00487292" w:rsidP="00487292">
      <w:pPr>
        <w:pStyle w:val="HChG"/>
      </w:pPr>
      <w:r>
        <w:tab/>
      </w:r>
      <w:r>
        <w:tab/>
      </w:r>
      <w:r>
        <w:rPr>
          <w:bCs/>
        </w:rPr>
        <w:t>Проект решения о повышении безопасности хвостохранилищ в регионе Европейской экономической комиссии Организации Объединенных Наций и за его пределами</w:t>
      </w:r>
    </w:p>
    <w:p w14:paraId="36423C5C" w14:textId="77777777" w:rsidR="00487292" w:rsidRDefault="00487292" w:rsidP="00487292">
      <w:pPr>
        <w:pStyle w:val="H1G"/>
        <w:rPr>
          <w:bCs/>
        </w:rPr>
      </w:pPr>
      <w:r>
        <w:tab/>
      </w:r>
      <w:r>
        <w:tab/>
      </w:r>
      <w:r>
        <w:rPr>
          <w:bCs/>
        </w:rPr>
        <w:t>Проект представлен Президиумом Конференции Сторон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C75EE9" w:rsidRPr="00C75EE9" w14:paraId="2BA23641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6126B11" w14:textId="77777777" w:rsidR="00C75EE9" w:rsidRPr="00C75EE9" w:rsidRDefault="00C75EE9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75EE9">
              <w:rPr>
                <w:rFonts w:cs="Times New Roman"/>
              </w:rPr>
              <w:tab/>
            </w:r>
            <w:r w:rsidRPr="00C75EE9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75EE9" w:rsidRPr="00C75EE9" w14:paraId="1AFD348E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908359B" w14:textId="77777777" w:rsidR="00C75EE9" w:rsidRPr="00C75EE9" w:rsidRDefault="00C75EE9" w:rsidP="00C75EE9">
            <w:pPr>
              <w:pStyle w:val="SingleTxtG"/>
              <w:ind w:firstLine="567"/>
            </w:pPr>
            <w:r w:rsidRPr="00C75EE9">
              <w:t>На своем сорок втором совещании (Осло, 26 и 27 сентября 2019 года) Президиум Конференции Сторон Конвенции о трансграничном воздействии промышленных аварий (Конвенция о промышленных авариях) постановил провести семинар по безопасности хвостохранилищ, который будет организован на полях одиннадцатого совещания Конференции Сторон, и учредил небольшую группу для проведения необходимых подготовительных мероприятий</w:t>
            </w:r>
            <w:r w:rsidRPr="00C75EE9">
              <w:rPr>
                <w:sz w:val="18"/>
                <w:szCs w:val="18"/>
                <w:vertAlign w:val="superscript"/>
              </w:rPr>
              <w:t>а</w:t>
            </w:r>
            <w:r w:rsidRPr="00C75EE9">
              <w:t>. Эта группа при содействии секретариата Европейской экономической комиссии Организации Объединенных Наций подготовила настоящий проект решения, который затем был утвержден Президиумом на его сорок третьем совещании (Женева</w:t>
            </w:r>
            <w:r w:rsidR="00971F0F">
              <w:t xml:space="preserve"> (</w:t>
            </w:r>
            <w:r w:rsidRPr="00C75EE9">
              <w:t>в онлайновом режиме), 16‒17 июня 2020 года).</w:t>
            </w:r>
          </w:p>
        </w:tc>
      </w:tr>
      <w:tr w:rsidR="00C75EE9" w:rsidRPr="00C75EE9" w14:paraId="724D874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ED5FCBB" w14:textId="77777777" w:rsidR="00C75EE9" w:rsidRPr="00C75EE9" w:rsidRDefault="00C75EE9" w:rsidP="00C75EE9">
            <w:pPr>
              <w:pStyle w:val="SingleTxtG"/>
              <w:ind w:firstLine="567"/>
            </w:pPr>
            <w:r w:rsidRPr="00C75EE9">
              <w:t>Дополнительная информация о контексте и мерах, представленных в настоящем проекте решения, содержится в справочном документе для онлайнового семинара по безопасности хвостохранилищ в регионе ЕЭК и за его пределами (ECE/CP.TEIA/2020/2).</w:t>
            </w:r>
          </w:p>
        </w:tc>
      </w:tr>
      <w:tr w:rsidR="00C75EE9" w:rsidRPr="00C75EE9" w14:paraId="1AE0E70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34B4D4A" w14:textId="77777777" w:rsidR="00C75EE9" w:rsidRPr="00C75EE9" w:rsidRDefault="00C75EE9" w:rsidP="00C75EE9">
            <w:pPr>
              <w:pStyle w:val="SingleTxtG"/>
              <w:ind w:firstLine="567"/>
            </w:pPr>
            <w:r w:rsidRPr="00C75EE9">
              <w:t>Конференции Сторон предлагается принять данный проект решения. Сторонам, имеющим замечания по проекту решения, предлагается направить их за четыре недели до начала совещания, т. е. до 9 ноября 2020 года, Председателю и в секретариат (по</w:t>
            </w:r>
            <w:r w:rsidR="00971F0F">
              <w:t> </w:t>
            </w:r>
            <w:r w:rsidRPr="00C75EE9">
              <w:t xml:space="preserve">электронной почте </w:t>
            </w:r>
            <w:hyperlink r:id="rId8" w:history="1">
              <w:r w:rsidRPr="00E34A65">
                <w:rPr>
                  <w:rStyle w:val="Hyperlink"/>
                </w:rPr>
                <w:t>ece-teia.conv@un.org</w:t>
              </w:r>
            </w:hyperlink>
            <w:r w:rsidRPr="00C75EE9">
              <w:t xml:space="preserve">). Такой подход будет способствовать представлению на совещании обновленного проекта решения с четким указанием </w:t>
            </w:r>
            <w:r w:rsidRPr="00C75EE9">
              <w:lastRenderedPageBreak/>
              <w:t>направленных Сторонами замечаний и достижению консенсуса в отношении решения, которое будет принято Конференцией.</w:t>
            </w:r>
          </w:p>
        </w:tc>
      </w:tr>
      <w:tr w:rsidR="00C75EE9" w:rsidRPr="00C75EE9" w14:paraId="7919C01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10BB489" w14:textId="77777777" w:rsidR="00C75EE9" w:rsidRPr="00C75EE9" w:rsidRDefault="00C75EE9" w:rsidP="00C75EE9">
            <w:pPr>
              <w:pStyle w:val="SingleTxtG"/>
              <w:ind w:firstLine="170"/>
              <w:jc w:val="left"/>
              <w:rPr>
                <w:sz w:val="18"/>
                <w:szCs w:val="18"/>
              </w:rPr>
            </w:pPr>
            <w:r w:rsidRPr="00C75EE9">
              <w:rPr>
                <w:sz w:val="18"/>
                <w:szCs w:val="18"/>
                <w:vertAlign w:val="superscript"/>
              </w:rPr>
              <w:lastRenderedPageBreak/>
              <w:t>a</w:t>
            </w:r>
            <w:r w:rsidRPr="00C75E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75EE9">
              <w:rPr>
                <w:sz w:val="18"/>
                <w:szCs w:val="18"/>
              </w:rPr>
              <w:t xml:space="preserve">См. CP.TEIA/2019/B.3/Minutes, пункт 55, </w:t>
            </w:r>
            <w:r w:rsidR="00AF012C">
              <w:rPr>
                <w:sz w:val="18"/>
                <w:szCs w:val="18"/>
                <w:lang w:val="en-US"/>
              </w:rPr>
              <w:t>URL</w:t>
            </w:r>
            <w:r w:rsidR="00AF012C">
              <w:rPr>
                <w:sz w:val="18"/>
                <w:szCs w:val="18"/>
              </w:rPr>
              <w:t>: </w:t>
            </w:r>
            <w:hyperlink r:id="rId9" w:history="1">
              <w:r w:rsidR="00FD38A9" w:rsidRPr="00E34A65">
                <w:rPr>
                  <w:rStyle w:val="Hyperlink"/>
                  <w:sz w:val="18"/>
                  <w:szCs w:val="18"/>
                </w:rPr>
                <w:t>http://www.unece.org/fileadmin/DAM/env/documents/2019/TEIA/Bureau_Oslo/Bureau-42_Minutes_as_agreed_with_the_Chair_and_Bureau_final_clean.pdf</w:t>
              </w:r>
            </w:hyperlink>
            <w:r w:rsidRPr="00C75EE9">
              <w:rPr>
                <w:sz w:val="18"/>
                <w:szCs w:val="18"/>
              </w:rPr>
              <w:t>.</w:t>
            </w:r>
          </w:p>
        </w:tc>
      </w:tr>
      <w:tr w:rsidR="00C75EE9" w:rsidRPr="00C75EE9" w14:paraId="0CFE4474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BEA0CE9" w14:textId="77777777" w:rsidR="00C75EE9" w:rsidRPr="00C75EE9" w:rsidRDefault="00C75EE9" w:rsidP="00850215">
            <w:pPr>
              <w:rPr>
                <w:rFonts w:cs="Times New Roman"/>
              </w:rPr>
            </w:pPr>
          </w:p>
        </w:tc>
      </w:tr>
    </w:tbl>
    <w:p w14:paraId="1194C8B8" w14:textId="77777777" w:rsidR="00487292" w:rsidRPr="0082112B" w:rsidRDefault="00487292" w:rsidP="00487292"/>
    <w:p w14:paraId="13E505A0" w14:textId="77777777" w:rsidR="00487292" w:rsidRPr="0082112B" w:rsidRDefault="00487292" w:rsidP="00487292">
      <w:pPr>
        <w:suppressAutoHyphens w:val="0"/>
        <w:spacing w:line="240" w:lineRule="auto"/>
      </w:pPr>
      <w:r w:rsidRPr="0082112B">
        <w:br w:type="page"/>
      </w:r>
    </w:p>
    <w:p w14:paraId="5415893D" w14:textId="77777777" w:rsidR="00487292" w:rsidRPr="00832A90" w:rsidRDefault="00487292" w:rsidP="00487292">
      <w:pPr>
        <w:pStyle w:val="SingleTxtG"/>
        <w:ind w:firstLine="567"/>
        <w:rPr>
          <w:i/>
          <w:iCs/>
        </w:rPr>
      </w:pPr>
      <w:r>
        <w:rPr>
          <w:i/>
          <w:iCs/>
        </w:rPr>
        <w:lastRenderedPageBreak/>
        <w:t>Конференция Сторон</w:t>
      </w:r>
      <w:r w:rsidRPr="008F5BCB">
        <w:t>,</w:t>
      </w:r>
    </w:p>
    <w:p w14:paraId="593ED940" w14:textId="77777777" w:rsidR="00487292" w:rsidRPr="00832A90" w:rsidRDefault="00487292" w:rsidP="00487292">
      <w:pPr>
        <w:pStyle w:val="SingleTxtG"/>
        <w:ind w:firstLine="567"/>
      </w:pPr>
      <w:r>
        <w:rPr>
          <w:i/>
          <w:iCs/>
        </w:rPr>
        <w:t>будучи встревожена</w:t>
      </w:r>
      <w:r>
        <w:t xml:space="preserve"> тем, что в последние десятилетия все чаще происходят серьезные аварии, связанные с прорывом дамб хвостохранилищ, которые приводят к гибели людей и разрушению семей, домов, инфраструктуры, экосистем и окружающей среды,</w:t>
      </w:r>
    </w:p>
    <w:p w14:paraId="5B216243" w14:textId="77777777" w:rsidR="00487292" w:rsidRPr="00832A90" w:rsidRDefault="00487292" w:rsidP="00487292">
      <w:pPr>
        <w:pStyle w:val="SingleTxtG"/>
        <w:ind w:firstLine="567"/>
      </w:pPr>
      <w:r>
        <w:rPr>
          <w:i/>
          <w:iCs/>
        </w:rPr>
        <w:t>вс</w:t>
      </w:r>
      <w:r w:rsidR="00C75EE9">
        <w:rPr>
          <w:i/>
          <w:iCs/>
        </w:rPr>
        <w:t>е</w:t>
      </w:r>
      <w:r>
        <w:rPr>
          <w:i/>
          <w:iCs/>
        </w:rPr>
        <w:t xml:space="preserve"> глубже осознавая</w:t>
      </w:r>
      <w:r>
        <w:t xml:space="preserve"> далеко идущий и потенциально трансграничный характер аварийного загрязнения вод в результате прорыва хвостохранилищ как в регионе Европейской экономической комиссии Организации Объединенных Наций (ЕЭК), так и за его пределами, в связи с чем проблема прорывов дамб хвостохранилищ выходит за рамки сугубо национальной и требует совместных подходов к предотвращению аварий и эксплуатации,</w:t>
      </w:r>
    </w:p>
    <w:p w14:paraId="2AC38167" w14:textId="77777777" w:rsidR="00487292" w:rsidRPr="00832A90" w:rsidRDefault="00487292" w:rsidP="00487292">
      <w:pPr>
        <w:pStyle w:val="SingleTxtG"/>
        <w:ind w:firstLine="567"/>
      </w:pPr>
      <w:r>
        <w:rPr>
          <w:i/>
          <w:iCs/>
        </w:rPr>
        <w:t>выражая обеспокоенность</w:t>
      </w:r>
      <w:r>
        <w:t xml:space="preserve"> в отношении того, что большинство прорывов дамб хвостохранилищ происходит из-за нескольких человеческих факторов, в частности</w:t>
      </w:r>
      <w:r w:rsidR="00C75EE9">
        <w:br/>
      </w:r>
      <w:r>
        <w:t>из-за отсутствия непрерывности управления и нехватки ресурсов для обслуживания и управления хвостохранилищами,</w:t>
      </w:r>
    </w:p>
    <w:p w14:paraId="294816D3" w14:textId="77777777" w:rsidR="00487292" w:rsidRPr="00832A90" w:rsidRDefault="00487292" w:rsidP="00487292">
      <w:pPr>
        <w:pStyle w:val="SingleTxtG"/>
        <w:ind w:firstLine="567"/>
      </w:pPr>
      <w:r>
        <w:rPr>
          <w:i/>
          <w:iCs/>
        </w:rPr>
        <w:t>понимая</w:t>
      </w:r>
      <w:r>
        <w:t xml:space="preserve"> экономическую важность горнодобывающего сектора и его роль в переходе к низкоуглеродным технологиям производства и хранения энергии, а также взаимосвязь между устойчивым развитием инфраструктуры, безопасностью горных работ, благосостоянием людей и окружающей средой,</w:t>
      </w:r>
    </w:p>
    <w:p w14:paraId="4DA05E4A" w14:textId="77777777" w:rsidR="00487292" w:rsidRPr="00832A90" w:rsidRDefault="00487292" w:rsidP="00487292">
      <w:pPr>
        <w:pStyle w:val="SingleTxtG"/>
        <w:ind w:firstLine="567"/>
      </w:pPr>
      <w:r>
        <w:rPr>
          <w:i/>
          <w:iCs/>
        </w:rPr>
        <w:t xml:space="preserve">будучи также осведомленной </w:t>
      </w:r>
      <w:r>
        <w:t>о прогнозируемом росте глобального спроса на добычу полезных ископаемых и горнодобывающую деятельность в регионе ЕЭК и за его пределами, который, среди прочего, приведет к увеличению объема опасных отходов, хранящихся в хвостохранилищах, что потребует более надежного и устойчивого проектирования хвостохранилищ, их эксплуатации и планирования землепользования,</w:t>
      </w:r>
    </w:p>
    <w:p w14:paraId="1C4E1B38" w14:textId="77777777" w:rsidR="00487292" w:rsidRPr="00832A90" w:rsidRDefault="00487292" w:rsidP="00487292">
      <w:pPr>
        <w:pStyle w:val="SingleTxtG"/>
        <w:ind w:firstLine="567"/>
      </w:pPr>
      <w:r>
        <w:rPr>
          <w:i/>
          <w:iCs/>
        </w:rPr>
        <w:t xml:space="preserve">с обеспокоенностью отмечая </w:t>
      </w:r>
      <w:r>
        <w:t>повышенный риск аварий на хвостохранилищах в результате увеличения частоты и интенсивности связанных с климатом экстремальных погодных явлений (таких, как мощные бури, порывы ветра, обильные осадки и экстремальные температуры) и медленно протекающих климатических явлений</w:t>
      </w:r>
      <w:r>
        <w:rPr>
          <w:rStyle w:val="FootnoteReference"/>
        </w:rPr>
        <w:footnoteReference w:id="1"/>
      </w:r>
      <w:r>
        <w:t xml:space="preserve"> (таких, как повышение уровня моря, таяние вечной мерзлоты, деградация земель и отступление ледников), отмечая при этом недостаточный уровень осведомленности в горнодобывающем секторе об этих явлениях,</w:t>
      </w:r>
    </w:p>
    <w:p w14:paraId="7B77011E" w14:textId="77777777" w:rsidR="00487292" w:rsidRPr="00832A90" w:rsidRDefault="00487292" w:rsidP="00487292">
      <w:pPr>
        <w:pStyle w:val="SingleTxtG"/>
        <w:ind w:firstLine="567"/>
      </w:pPr>
      <w:r>
        <w:rPr>
          <w:i/>
          <w:iCs/>
        </w:rPr>
        <w:t xml:space="preserve">подчеркивая </w:t>
      </w:r>
      <w:r w:rsidRPr="00971F0F">
        <w:t>необходимость</w:t>
      </w:r>
      <w:r>
        <w:t xml:space="preserve"> полной осведомленности о риске бедствий, связанных с эксплуатацией хвостохранилищ, и о последствиях прорыва хвостохранилищ, а также необходимость того, чтобы общины, операторы хвостохранилищ и компетентные органы принимали меры по укреплению устойчивости к бедствиям и уменьшению опасности бедствий в целях смягчения таких рисков, а также необходимость вовлечения всех заинтересованных сторон в процесс принятия соответствующих решений по вопросам безопасности хвостохранилищ,</w:t>
      </w:r>
    </w:p>
    <w:p w14:paraId="1F72CA92" w14:textId="77777777" w:rsidR="00487292" w:rsidRPr="00832A90" w:rsidRDefault="00487292" w:rsidP="00487292">
      <w:pPr>
        <w:pStyle w:val="SingleTxtG"/>
        <w:ind w:firstLine="567"/>
      </w:pPr>
      <w:r>
        <w:rPr>
          <w:i/>
          <w:iCs/>
        </w:rPr>
        <w:t>давая высокую оценку</w:t>
      </w:r>
      <w:r>
        <w:t xml:space="preserve"> синергизму между более активным осуществлением Конвенции о трансграничном воздействии промышленных аварий, Сендайской рамочной программы по уменьшению опасности бедствий на 2015</w:t>
      </w:r>
      <w:r w:rsidR="00AF012C" w:rsidRPr="00C75EE9">
        <w:t>‒</w:t>
      </w:r>
      <w:r>
        <w:t>2030 годы и Целями устойчивого развития, сформулированными в Повестке дня в области устойчивого развития на период до 2030 года; и признавая связь с целями адаптации к изменению климата в рамках Парижского соглашения,</w:t>
      </w:r>
    </w:p>
    <w:p w14:paraId="11D20175" w14:textId="77777777" w:rsidR="00487292" w:rsidRPr="00832A90" w:rsidRDefault="00487292" w:rsidP="00487292">
      <w:pPr>
        <w:pStyle w:val="SingleTxtG"/>
        <w:ind w:firstLine="567"/>
      </w:pPr>
      <w:r>
        <w:rPr>
          <w:i/>
          <w:iCs/>
        </w:rPr>
        <w:t>подчеркивая</w:t>
      </w:r>
      <w:r>
        <w:t xml:space="preserve"> важность обеспечения высокого уровня безопасности хвостохранилищ в регионе ЕЭК путем решения региональных «</w:t>
      </w:r>
      <w:r w:rsidRPr="0087777B">
        <w:t>проблемны</w:t>
      </w:r>
      <w:r>
        <w:t>х</w:t>
      </w:r>
      <w:r w:rsidRPr="0087777B">
        <w:t xml:space="preserve"> </w:t>
      </w:r>
      <w:r w:rsidRPr="0087777B">
        <w:lastRenderedPageBreak/>
        <w:t>вопрос</w:t>
      </w:r>
      <w:r>
        <w:t>ов» в соответствии с осуществлением Долгосрочной стратегии для Конвенции на период до 2030 года</w:t>
      </w:r>
      <w:r w:rsidR="00AF012C">
        <w:rPr>
          <w:rStyle w:val="FootnoteReference"/>
        </w:rPr>
        <w:footnoteReference w:id="2"/>
      </w:r>
      <w:r>
        <w:t>,</w:t>
      </w:r>
    </w:p>
    <w:p w14:paraId="408EA4BE" w14:textId="77777777" w:rsidR="00487292" w:rsidRPr="004126ED" w:rsidRDefault="00487292" w:rsidP="00487292">
      <w:pPr>
        <w:pStyle w:val="SingleTxtG"/>
        <w:ind w:firstLine="567"/>
      </w:pPr>
      <w:r>
        <w:rPr>
          <w:i/>
          <w:iCs/>
        </w:rPr>
        <w:t>напоминая</w:t>
      </w:r>
      <w:r>
        <w:t xml:space="preserve"> об одобрении </w:t>
      </w:r>
      <w:r w:rsidRPr="00AF012C">
        <w:t>Руководящих принципов и надлежащей практики обеспечения эксплуатационной безопасности хвостохранилищ</w:t>
      </w:r>
      <w:r w:rsidRPr="00AF012C">
        <w:rPr>
          <w:rStyle w:val="FootnoteReference"/>
        </w:rPr>
        <w:footnoteReference w:id="3"/>
      </w:r>
      <w:r w:rsidRPr="00AF012C">
        <w:t>, которые были разработаны Совместной группой экспертов по проблемам воды и промышленных аварий на основе экспертного заключения, вынесенного Рабочей группой по развитию</w:t>
      </w:r>
      <w:r>
        <w:t xml:space="preserve"> на ее четвертом совещании (Женева, 28</w:t>
      </w:r>
      <w:r w:rsidR="00AF012C" w:rsidRPr="00C75EE9">
        <w:t>‒</w:t>
      </w:r>
      <w:r>
        <w:t>29 апреля 2014 года)</w:t>
      </w:r>
      <w:r>
        <w:rPr>
          <w:rStyle w:val="FootnoteReference"/>
        </w:rPr>
        <w:footnoteReference w:id="4"/>
      </w:r>
      <w:r>
        <w:t>, в отношении того, что положения Конвенции применяются также и к хвостохранилищам,</w:t>
      </w:r>
    </w:p>
    <w:p w14:paraId="3B52F28D" w14:textId="77777777" w:rsidR="00487292" w:rsidRPr="004126ED" w:rsidRDefault="00487292" w:rsidP="00487292">
      <w:pPr>
        <w:pStyle w:val="SingleTxtG"/>
        <w:ind w:firstLine="567"/>
      </w:pPr>
      <w:r>
        <w:rPr>
          <w:i/>
          <w:iCs/>
        </w:rPr>
        <w:t>приветствуя</w:t>
      </w:r>
      <w:r>
        <w:t xml:space="preserve"> такие недавние события и инициативы на международном уровне, направленные на повышение безопасности хвостохранилищ, которые также оказывают влияние на страны ЕЭК, как принятие в 2019 году резолюций L.6 Ассамблеи Организации Объединенных Наций по окружающей среде об устойчивой инфраструктуре</w:t>
      </w:r>
      <w:r>
        <w:rPr>
          <w:rStyle w:val="FootnoteReference"/>
        </w:rPr>
        <w:footnoteReference w:id="5"/>
      </w:r>
      <w:r>
        <w:t xml:space="preserve"> и L.23 о регулировании минеральных ресурсов</w:t>
      </w:r>
      <w:r w:rsidR="00AF012C">
        <w:rPr>
          <w:rStyle w:val="FootnoteReference"/>
        </w:rPr>
        <w:footnoteReference w:id="6"/>
      </w:r>
      <w:r>
        <w:t>,</w:t>
      </w:r>
    </w:p>
    <w:p w14:paraId="782FE9C7" w14:textId="77777777" w:rsidR="00487292" w:rsidRPr="004126ED" w:rsidRDefault="00487292" w:rsidP="00487292">
      <w:pPr>
        <w:pStyle w:val="SingleTxtG"/>
        <w:ind w:firstLine="567"/>
      </w:pPr>
      <w:r>
        <w:rPr>
          <w:i/>
          <w:iCs/>
        </w:rPr>
        <w:t>с озабоченностью отмечая</w:t>
      </w:r>
      <w:r>
        <w:t xml:space="preserve"> трудности, с которыми сталкиваются страны, особенно страны Восточной и Юго-Восточной Европы, Кавказа и Центральной Азии, в отношении межведомственной координации, согласованной политики и надлежащего управления рисками бедствий между компетентными органами внутри стран и между странами в целях разработки целостного подхода к управлению хвостохранилищами и предупреждению связанных с ними аварий,</w:t>
      </w:r>
    </w:p>
    <w:p w14:paraId="61288056" w14:textId="77777777" w:rsidR="00487292" w:rsidRPr="004126ED" w:rsidRDefault="00487292" w:rsidP="00487292">
      <w:pPr>
        <w:pStyle w:val="SingleTxtG"/>
        <w:ind w:firstLine="567"/>
      </w:pPr>
      <w:r>
        <w:rPr>
          <w:i/>
          <w:iCs/>
        </w:rPr>
        <w:t>будучи привержена</w:t>
      </w:r>
      <w:r>
        <w:t xml:space="preserve"> делу предотвращения аварий на хвостохранилищах и их катастрофических последствий для жизни людей, окружающей среды, инфраструктуры, региональной безопасности и экономического развития, а также расширения трансграничного сотрудничества в этих целях,</w:t>
      </w:r>
    </w:p>
    <w:p w14:paraId="69D0459F" w14:textId="77777777" w:rsidR="00487292" w:rsidRPr="004126ED" w:rsidRDefault="00487292" w:rsidP="00487292">
      <w:pPr>
        <w:pStyle w:val="SingleTxtG"/>
        <w:ind w:firstLine="567"/>
        <w:rPr>
          <w:rFonts w:eastAsiaTheme="minorEastAsia"/>
        </w:rPr>
      </w:pPr>
      <w:bookmarkStart w:id="1" w:name="_Hlk51861593"/>
      <w:r w:rsidRPr="00AF012C">
        <w:t>1.</w:t>
      </w:r>
      <w:r w:rsidRPr="00AF012C">
        <w:tab/>
      </w:r>
      <w:r w:rsidRPr="00AF012C">
        <w:rPr>
          <w:i/>
          <w:iCs/>
        </w:rPr>
        <w:t>принимает к сведению</w:t>
      </w:r>
      <w:r w:rsidRPr="00AF012C">
        <w:t xml:space="preserve"> выводы и рекомендации онлайнового семинара по безопасности хвостохранилищ в регионе ЕЭК и за его пределами, который состоялся 1 декабря 2020 года;</w:t>
      </w:r>
    </w:p>
    <w:bookmarkEnd w:id="1"/>
    <w:p w14:paraId="760BD18E" w14:textId="77777777" w:rsidR="00487292" w:rsidRPr="004126ED" w:rsidRDefault="00487292" w:rsidP="00487292">
      <w:pPr>
        <w:pStyle w:val="SingleTxtG"/>
        <w:ind w:firstLine="567"/>
      </w:pPr>
      <w:r w:rsidRPr="00AF012C">
        <w:t>2.</w:t>
      </w:r>
      <w:r w:rsidRPr="00AF012C">
        <w:tab/>
      </w:r>
      <w:r w:rsidRPr="00AF012C">
        <w:rPr>
          <w:i/>
          <w:iCs/>
        </w:rPr>
        <w:t>рекомендует</w:t>
      </w:r>
      <w:r w:rsidRPr="00AF012C">
        <w:t xml:space="preserve"> странам ЕЭК, занимающимся добычей минеральных ресурсов, использовать </w:t>
      </w:r>
      <w:bookmarkStart w:id="2" w:name="_Hlk52272314"/>
      <w:r w:rsidRPr="00AF012C">
        <w:t xml:space="preserve">Руководящие принципы и надлежащую практику обеспечения эксплуатационной безопасности хвостохранилищ </w:t>
      </w:r>
      <w:bookmarkEnd w:id="2"/>
      <w:r w:rsidRPr="00AF012C">
        <w:t>а также методологию повышения безопасности хвостохранилищ</w:t>
      </w:r>
      <w:r w:rsidRPr="00AF012C">
        <w:rPr>
          <w:rStyle w:val="FootnoteReference"/>
        </w:rPr>
        <w:footnoteReference w:id="7"/>
      </w:r>
      <w:r w:rsidRPr="00AF012C">
        <w:t>, разработанную под эгидой Конвенции, в целях разработки, внедрения и совершенствования систем безопасного управления хвостохранилищами, в том числе хвостохранилищами, несущими трансграничные риски, для их согласованного применения в регионе ЕЭК; и предлагает странам за пределами региона сделать то же самое;</w:t>
      </w:r>
    </w:p>
    <w:p w14:paraId="3E732AE6" w14:textId="77777777" w:rsidR="00487292" w:rsidRPr="004126ED" w:rsidRDefault="00487292" w:rsidP="00487292">
      <w:pPr>
        <w:pStyle w:val="SingleTxtG"/>
        <w:ind w:firstLine="567"/>
        <w:rPr>
          <w:rFonts w:eastAsiaTheme="minorEastAsia"/>
        </w:rPr>
      </w:pPr>
      <w:r>
        <w:t>3.</w:t>
      </w:r>
      <w:r>
        <w:tab/>
      </w:r>
      <w:r>
        <w:rPr>
          <w:i/>
          <w:iCs/>
        </w:rPr>
        <w:t>настоятельно рекомендует</w:t>
      </w:r>
      <w:r>
        <w:t xml:space="preserve"> Сторонам Конвенции содействовать применению вышеупомянутых Руководящих принципов и методологии обеспечения безопасности и другой надлежащей практики в регионе ЕЭК путем укрепления потенциала, передачи технологии и знаний и обмена опытом, извлеченными уроками и надлежащей практикой и предлагает другим странам присоединиться к этим усилиям;</w:t>
      </w:r>
    </w:p>
    <w:p w14:paraId="63418C33" w14:textId="77777777" w:rsidR="00487292" w:rsidRPr="004126ED" w:rsidRDefault="00487292" w:rsidP="00AF012C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 xml:space="preserve">призывает </w:t>
      </w:r>
      <w:r>
        <w:t xml:space="preserve">Стороны Конвенции улучшить межведомственную координацию и координацию между заинтересованными сторонами на национальном и местном уровнях, а также на трансграничном уровне, повышая при этом </w:t>
      </w:r>
      <w:r>
        <w:lastRenderedPageBreak/>
        <w:t>транспарентность для общин и других заинтересованных сторон в отношении того, каким образом учитываются эти риски; и предлагает другим государствам</w:t>
      </w:r>
      <w:r w:rsidR="00AF012C" w:rsidRPr="00AF012C">
        <w:t xml:space="preserve"> — </w:t>
      </w:r>
      <w:r>
        <w:t>членам ЕЭК действовать аналогичным образом;</w:t>
      </w:r>
    </w:p>
    <w:p w14:paraId="64AC67C7" w14:textId="77777777" w:rsidR="00487292" w:rsidRPr="004126ED" w:rsidRDefault="00487292" w:rsidP="00487292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настоятельно рекомендует</w:t>
      </w:r>
      <w:r>
        <w:t xml:space="preserve"> Сторонам Конвенции провести обзор своего законодательства и политики в области хранения отходов в хвостохранилищах и эксплуатации таких объектов с учетом международной передовой практики, такой как Руководящие принципы безопасности, и вести работу в целях принятия стандартов передовой практики в отношении хвостохранилищ, обеспечивая их осуществление на национальном уровне и содействуя расширению сотрудничества; и предлагает другим государствам </w:t>
      </w:r>
      <w:r w:rsidR="00AF012C" w:rsidRPr="00AF012C">
        <w:t>—</w:t>
      </w:r>
      <w:r>
        <w:t xml:space="preserve"> членам ЕЭК действовать аналогичным образом;</w:t>
      </w:r>
    </w:p>
    <w:p w14:paraId="451622AC" w14:textId="77777777" w:rsidR="00487292" w:rsidRPr="004126ED" w:rsidRDefault="00487292" w:rsidP="00487292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призывает</w:t>
      </w:r>
      <w:r>
        <w:t xml:space="preserve"> страны-бенефициары Программы помощи и сотрудничества в рамках Конвенции использовать инструменты, предусмотренные Стратегическим подходом, в частности самооценки и планы действий, сообщать о потребностях и запрашивать поддержку для преодоления трудностей, связанных с ограниченным потенциалом;</w:t>
      </w:r>
    </w:p>
    <w:p w14:paraId="7D3CF11B" w14:textId="77777777" w:rsidR="00487292" w:rsidRPr="004126ED" w:rsidRDefault="00487292" w:rsidP="00487292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>призывает</w:t>
      </w:r>
      <w:r>
        <w:t xml:space="preserve"> Стороны Конвенции выделять средства для поддержки осуществления деятельности по укреплению потенциала в странах Восточной</w:t>
      </w:r>
      <w:r w:rsidR="00AF012C">
        <w:br/>
      </w:r>
      <w:r>
        <w:t>и Юго-Восточной Европы, Кавказа и Центральной Азии;</w:t>
      </w:r>
    </w:p>
    <w:p w14:paraId="25FA83BC" w14:textId="77777777" w:rsidR="00487292" w:rsidRPr="004126ED" w:rsidRDefault="00487292" w:rsidP="00487292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>напоминает</w:t>
      </w:r>
      <w:r>
        <w:t xml:space="preserve"> Сторонам Конвенции, что выявление опасных видов деятельности и уведомление о них относятся также к хвостохранилищам</w:t>
      </w:r>
      <w:r w:rsidRPr="00301054">
        <w:rPr>
          <w:rStyle w:val="FootnoteReference"/>
          <w:szCs w:val="18"/>
        </w:rPr>
        <w:footnoteReference w:id="8"/>
      </w:r>
      <w:r>
        <w:t>, и просит их сообщать о них в своих национальных докладах об осуществлении;</w:t>
      </w:r>
    </w:p>
    <w:p w14:paraId="169C7E91" w14:textId="77777777" w:rsidR="00487292" w:rsidRPr="004126ED" w:rsidRDefault="00487292" w:rsidP="00487292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>рекомендует</w:t>
      </w:r>
      <w:r>
        <w:t xml:space="preserve"> странам предоставлять, насколько это возможно, информацию об опасностях и рисках, связанных с эксплуатацией хвостохранилищ с привязкой к конкретным территориям, компетентным органам, операторам хвостохранилищ и общинам;</w:t>
      </w:r>
    </w:p>
    <w:p w14:paraId="0CB04E28" w14:textId="77777777" w:rsidR="00487292" w:rsidRPr="004126ED" w:rsidRDefault="00487292" w:rsidP="00487292">
      <w:pPr>
        <w:pStyle w:val="SingleTxtG"/>
        <w:ind w:firstLine="567"/>
        <w:rPr>
          <w:rFonts w:eastAsiaTheme="minorHAnsi"/>
        </w:rPr>
      </w:pPr>
      <w:r>
        <w:t>10.</w:t>
      </w:r>
      <w:r>
        <w:tab/>
      </w:r>
      <w:r>
        <w:rPr>
          <w:i/>
          <w:iCs/>
        </w:rPr>
        <w:t>просит</w:t>
      </w:r>
      <w:r>
        <w:t xml:space="preserve"> Стороны Конвенции активизировать свои усилия по повышению безопасности хвостохранилищ и предотвращению сбоев с учетом повышенного риска таких аварий, связанного с нарастанием частоты и силы экстремальных погодных явлений в результате изменения климата; и предлагает другим государствам </w:t>
      </w:r>
      <w:r w:rsidR="00971F0F" w:rsidRPr="00AF012C">
        <w:t>—</w:t>
      </w:r>
      <w:r>
        <w:t xml:space="preserve"> членам ЕЭК действовать аналогичным образом</w:t>
      </w:r>
      <w:r w:rsidR="00971F0F">
        <w:t>.</w:t>
      </w:r>
    </w:p>
    <w:p w14:paraId="62B300F6" w14:textId="77777777" w:rsidR="00487292" w:rsidRDefault="00487292" w:rsidP="00487292">
      <w:pPr>
        <w:spacing w:before="240"/>
        <w:jc w:val="center"/>
        <w:rPr>
          <w:u w:val="single"/>
          <w:lang w:eastAsia="zh-CN"/>
        </w:rPr>
      </w:pPr>
      <w:r w:rsidRPr="004126ED">
        <w:rPr>
          <w:u w:val="single"/>
          <w:lang w:eastAsia="zh-CN"/>
        </w:rPr>
        <w:tab/>
      </w:r>
      <w:r w:rsidRPr="004126ED">
        <w:rPr>
          <w:u w:val="single"/>
          <w:lang w:eastAsia="zh-CN"/>
        </w:rPr>
        <w:tab/>
      </w:r>
      <w:r w:rsidRPr="004126ED">
        <w:rPr>
          <w:u w:val="single"/>
          <w:lang w:eastAsia="zh-CN"/>
        </w:rPr>
        <w:tab/>
      </w:r>
    </w:p>
    <w:p w14:paraId="0838D28F" w14:textId="77777777" w:rsidR="00487292" w:rsidRPr="004126ED" w:rsidRDefault="00487292" w:rsidP="00487292"/>
    <w:p w14:paraId="06F26EBA" w14:textId="77777777" w:rsidR="00E12C5F" w:rsidRPr="008D53B6" w:rsidRDefault="00E12C5F" w:rsidP="00D9145B"/>
    <w:sectPr w:rsidR="00E12C5F" w:rsidRPr="008D53B6" w:rsidSect="0048729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6981B" w14:textId="77777777" w:rsidR="000E1A79" w:rsidRPr="00A312BC" w:rsidRDefault="000E1A79" w:rsidP="00A312BC"/>
  </w:endnote>
  <w:endnote w:type="continuationSeparator" w:id="0">
    <w:p w14:paraId="35F20B46" w14:textId="77777777" w:rsidR="000E1A79" w:rsidRPr="00A312BC" w:rsidRDefault="000E1A7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8856" w14:textId="77777777" w:rsidR="00487292" w:rsidRPr="00487292" w:rsidRDefault="00487292">
    <w:pPr>
      <w:pStyle w:val="Footer"/>
    </w:pPr>
    <w:r w:rsidRPr="00487292">
      <w:rPr>
        <w:b/>
        <w:sz w:val="18"/>
      </w:rPr>
      <w:fldChar w:fldCharType="begin"/>
    </w:r>
    <w:r w:rsidRPr="00487292">
      <w:rPr>
        <w:b/>
        <w:sz w:val="18"/>
      </w:rPr>
      <w:instrText xml:space="preserve"> PAGE  \* MERGEFORMAT </w:instrText>
    </w:r>
    <w:r w:rsidRPr="00487292">
      <w:rPr>
        <w:b/>
        <w:sz w:val="18"/>
      </w:rPr>
      <w:fldChar w:fldCharType="separate"/>
    </w:r>
    <w:r w:rsidRPr="00487292">
      <w:rPr>
        <w:b/>
        <w:noProof/>
        <w:sz w:val="18"/>
      </w:rPr>
      <w:t>2</w:t>
    </w:r>
    <w:r w:rsidRPr="00487292">
      <w:rPr>
        <w:b/>
        <w:sz w:val="18"/>
      </w:rPr>
      <w:fldChar w:fldCharType="end"/>
    </w:r>
    <w:r>
      <w:rPr>
        <w:b/>
        <w:sz w:val="18"/>
      </w:rPr>
      <w:tab/>
    </w:r>
    <w:r>
      <w:t>GE.20-12561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4A4C" w14:textId="77777777" w:rsidR="00487292" w:rsidRPr="00487292" w:rsidRDefault="00487292" w:rsidP="00487292">
    <w:pPr>
      <w:pStyle w:val="Footer"/>
      <w:tabs>
        <w:tab w:val="clear" w:pos="9639"/>
        <w:tab w:val="right" w:pos="9638"/>
      </w:tabs>
      <w:rPr>
        <w:b/>
        <w:sz w:val="18"/>
      </w:rPr>
    </w:pPr>
    <w:r>
      <w:t>GE.20-12561</w:t>
    </w:r>
    <w:r>
      <w:tab/>
    </w:r>
    <w:r w:rsidRPr="00487292">
      <w:rPr>
        <w:b/>
        <w:sz w:val="18"/>
      </w:rPr>
      <w:fldChar w:fldCharType="begin"/>
    </w:r>
    <w:r w:rsidRPr="00487292">
      <w:rPr>
        <w:b/>
        <w:sz w:val="18"/>
      </w:rPr>
      <w:instrText xml:space="preserve"> PAGE  \* MERGEFORMAT </w:instrText>
    </w:r>
    <w:r w:rsidRPr="00487292">
      <w:rPr>
        <w:b/>
        <w:sz w:val="18"/>
      </w:rPr>
      <w:fldChar w:fldCharType="separate"/>
    </w:r>
    <w:r w:rsidRPr="00487292">
      <w:rPr>
        <w:b/>
        <w:noProof/>
        <w:sz w:val="18"/>
      </w:rPr>
      <w:t>3</w:t>
    </w:r>
    <w:r w:rsidRPr="004872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0C0D" w14:textId="77777777" w:rsidR="00042B72" w:rsidRPr="00487292" w:rsidRDefault="00487292" w:rsidP="0048729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5B9D08" wp14:editId="41A41BE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20-12561  (R)</w:t>
    </w:r>
    <w:r w:rsidR="00C75EE9">
      <w:t xml:space="preserve">  121020  121020</w:t>
    </w:r>
    <w:r>
      <w:br/>
    </w:r>
    <w:r w:rsidRPr="00487292">
      <w:rPr>
        <w:rFonts w:ascii="C39T30Lfz" w:hAnsi="C39T30Lfz"/>
        <w:kern w:val="14"/>
        <w:sz w:val="56"/>
      </w:rPr>
      <w:t>*2012561*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8FE0FBA" wp14:editId="75AE363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D6C3" w14:textId="77777777" w:rsidR="000E1A79" w:rsidRPr="001075E9" w:rsidRDefault="000E1A7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F6B947" w14:textId="77777777" w:rsidR="000E1A79" w:rsidRDefault="000E1A7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76318E0" w14:textId="77777777" w:rsidR="00487292" w:rsidRPr="004126ED" w:rsidRDefault="00487292" w:rsidP="00487292">
      <w:pPr>
        <w:pStyle w:val="FootnoteText"/>
        <w:rPr>
          <w:rFonts w:eastAsiaTheme="minorHAnsi"/>
        </w:rPr>
      </w:pPr>
      <w:r>
        <w:tab/>
      </w:r>
      <w:r w:rsidRPr="00301054">
        <w:rPr>
          <w:rStyle w:val="FootnoteReference"/>
        </w:rPr>
        <w:footnoteRef/>
      </w:r>
      <w:r>
        <w:tab/>
        <w:t xml:space="preserve">Определение медленно протекающих климатических явлений дается в Техническом докладе о медленно протекающих явлениях Рамочной конвенции Организации Объединенных Наций об изменении климата (FCCC/TP/2012/7). В докладе указывается на необходимость интеграции усилий по уменьшению опасности бедствий, адаптации к изменению климата и устойчивому развитию в целях устранения последствий медленно протекающих климатических явлений. </w:t>
      </w:r>
    </w:p>
  </w:footnote>
  <w:footnote w:id="2">
    <w:p w14:paraId="6FBE2010" w14:textId="77777777" w:rsidR="00AF012C" w:rsidRPr="0082112B" w:rsidRDefault="00AF012C" w:rsidP="00AF012C">
      <w:pPr>
        <w:pStyle w:val="FootnoteText"/>
      </w:pPr>
      <w:r>
        <w:tab/>
      </w:r>
      <w:r w:rsidRPr="00301054">
        <w:rPr>
          <w:rStyle w:val="FootnoteReference"/>
        </w:rPr>
        <w:footnoteRef/>
      </w:r>
      <w:r w:rsidRPr="0082112B">
        <w:tab/>
      </w:r>
      <w:r>
        <w:t>См</w:t>
      </w:r>
      <w:r w:rsidRPr="0082112B">
        <w:t xml:space="preserve">. </w:t>
      </w:r>
      <w:r w:rsidRPr="004126ED">
        <w:rPr>
          <w:lang w:val="en-US"/>
        </w:rPr>
        <w:t>ECE</w:t>
      </w:r>
      <w:r w:rsidRPr="0082112B">
        <w:t>/</w:t>
      </w:r>
      <w:r w:rsidRPr="004126ED">
        <w:rPr>
          <w:lang w:val="en-US"/>
        </w:rPr>
        <w:t>CP</w:t>
      </w:r>
      <w:r w:rsidRPr="0082112B">
        <w:t>.</w:t>
      </w:r>
      <w:r w:rsidRPr="004126ED">
        <w:rPr>
          <w:lang w:val="en-US"/>
        </w:rPr>
        <w:t>TEIA</w:t>
      </w:r>
      <w:r w:rsidRPr="0082112B">
        <w:t>/38/</w:t>
      </w:r>
      <w:r w:rsidRPr="004126ED">
        <w:rPr>
          <w:lang w:val="en-US"/>
        </w:rPr>
        <w:t>Add</w:t>
      </w:r>
      <w:r w:rsidRPr="0082112B">
        <w:t>.1.</w:t>
      </w:r>
    </w:p>
  </w:footnote>
  <w:footnote w:id="3">
    <w:p w14:paraId="6BE10C15" w14:textId="77777777" w:rsidR="00487292" w:rsidRPr="004126ED" w:rsidRDefault="00487292" w:rsidP="00487292">
      <w:pPr>
        <w:pStyle w:val="FootnoteText"/>
      </w:pPr>
      <w:r w:rsidRPr="0082112B">
        <w:tab/>
      </w:r>
      <w:r w:rsidRPr="00301054">
        <w:rPr>
          <w:rStyle w:val="FootnoteReference"/>
        </w:rPr>
        <w:footnoteRef/>
      </w:r>
      <w:r>
        <w:tab/>
        <w:t>Публикация Организации Объединенных</w:t>
      </w:r>
      <w:r w:rsidR="00971F0F">
        <w:t xml:space="preserve"> Наций</w:t>
      </w:r>
      <w:r>
        <w:t xml:space="preserve">, </w:t>
      </w:r>
      <w:hyperlink r:id="rId1" w:history="1">
        <w:r w:rsidR="00971F0F" w:rsidRPr="00475F3F">
          <w:rPr>
            <w:rStyle w:val="Hyperlink"/>
          </w:rPr>
          <w:t>ECE/CP.TEIA/26</w:t>
        </w:r>
      </w:hyperlink>
      <w:r>
        <w:t>.</w:t>
      </w:r>
    </w:p>
  </w:footnote>
  <w:footnote w:id="4">
    <w:p w14:paraId="33996EA7" w14:textId="77777777" w:rsidR="00487292" w:rsidRPr="00971F0F" w:rsidRDefault="00487292" w:rsidP="00487292">
      <w:pPr>
        <w:pStyle w:val="FootnoteText"/>
      </w:pPr>
      <w:r>
        <w:tab/>
      </w:r>
      <w:r w:rsidRPr="00301054">
        <w:rPr>
          <w:rStyle w:val="FootnoteReference"/>
        </w:rPr>
        <w:footnoteRef/>
      </w:r>
      <w:r>
        <w:tab/>
        <w:t>См. ECE/CP.TEIA/WG.1/2014/3, п</w:t>
      </w:r>
      <w:r w:rsidR="00971F0F">
        <w:t>.</w:t>
      </w:r>
      <w:r>
        <w:t xml:space="preserve"> 23; и определение промышленных аварий в соответствии с Протоколом о гражданской ответственности и компенсации за ущерб, причиненный в результате трансграничного воздействия промышленных аварий на трансграничные воды к Конвенции 1992 года по охране и использованию трансграничных водотоков и международных озер и к Конвенции 1992 года о трансграничном воздействии промышленных аварий, в которой также прямо упоминаются дамбы хвостохранилищ (ECE/MP.WAT/11).</w:t>
      </w:r>
      <w:r w:rsidR="00AF012C">
        <w:t xml:space="preserve"> </w:t>
      </w:r>
      <w:r w:rsidR="00AF012C" w:rsidRPr="00AF012C">
        <w:rPr>
          <w:lang w:val="en-US"/>
        </w:rPr>
        <w:t>URL</w:t>
      </w:r>
      <w:r w:rsidR="00AF012C" w:rsidRPr="00971F0F">
        <w:t>:</w:t>
      </w:r>
      <w:r w:rsidR="00971F0F">
        <w:t> </w:t>
      </w:r>
      <w:hyperlink r:id="rId2" w:history="1">
        <w:r w:rsidR="00971F0F" w:rsidRPr="00E34A65">
          <w:rPr>
            <w:rStyle w:val="Hyperlink"/>
            <w:lang w:val="en-US"/>
          </w:rPr>
          <w:t>http</w:t>
        </w:r>
        <w:r w:rsidR="00971F0F" w:rsidRPr="00E34A65">
          <w:rPr>
            <w:rStyle w:val="Hyperlink"/>
          </w:rPr>
          <w:t>://</w:t>
        </w:r>
        <w:r w:rsidR="00971F0F" w:rsidRPr="00E34A65">
          <w:rPr>
            <w:rStyle w:val="Hyperlink"/>
            <w:lang w:val="en-US"/>
          </w:rPr>
          <w:t>www</w:t>
        </w:r>
        <w:r w:rsidR="00971F0F" w:rsidRPr="00E34A65">
          <w:rPr>
            <w:rStyle w:val="Hyperlink"/>
          </w:rPr>
          <w:t>.</w:t>
        </w:r>
        <w:r w:rsidR="00971F0F" w:rsidRPr="00E34A65">
          <w:rPr>
            <w:rStyle w:val="Hyperlink"/>
            <w:lang w:val="en-US"/>
          </w:rPr>
          <w:t>unece</w:t>
        </w:r>
        <w:r w:rsidR="00971F0F" w:rsidRPr="00E34A65">
          <w:rPr>
            <w:rStyle w:val="Hyperlink"/>
          </w:rPr>
          <w:t>.</w:t>
        </w:r>
        <w:r w:rsidR="00971F0F" w:rsidRPr="00E34A65">
          <w:rPr>
            <w:rStyle w:val="Hyperlink"/>
            <w:lang w:val="en-US"/>
          </w:rPr>
          <w:t>org</w:t>
        </w:r>
        <w:r w:rsidR="00971F0F" w:rsidRPr="00E34A65">
          <w:rPr>
            <w:rStyle w:val="Hyperlink"/>
          </w:rPr>
          <w:t>/</w:t>
        </w:r>
        <w:r w:rsidR="00971F0F" w:rsidRPr="00E34A65">
          <w:rPr>
            <w:rStyle w:val="Hyperlink"/>
            <w:lang w:val="en-US"/>
          </w:rPr>
          <w:t>fileadmin</w:t>
        </w:r>
        <w:r w:rsidR="00971F0F" w:rsidRPr="00E34A65">
          <w:rPr>
            <w:rStyle w:val="Hyperlink"/>
          </w:rPr>
          <w:t>/</w:t>
        </w:r>
        <w:r w:rsidR="00971F0F" w:rsidRPr="00E34A65">
          <w:rPr>
            <w:rStyle w:val="Hyperlink"/>
            <w:lang w:val="en-US"/>
          </w:rPr>
          <w:t>DAM</w:t>
        </w:r>
        <w:r w:rsidR="00971F0F" w:rsidRPr="00E34A65">
          <w:rPr>
            <w:rStyle w:val="Hyperlink"/>
          </w:rPr>
          <w:t>/</w:t>
        </w:r>
        <w:r w:rsidR="00971F0F" w:rsidRPr="00E34A65">
          <w:rPr>
            <w:rStyle w:val="Hyperlink"/>
            <w:lang w:val="en-US"/>
          </w:rPr>
          <w:t>env</w:t>
        </w:r>
        <w:r w:rsidR="00971F0F" w:rsidRPr="00E34A65">
          <w:rPr>
            <w:rStyle w:val="Hyperlink"/>
          </w:rPr>
          <w:t>/</w:t>
        </w:r>
        <w:r w:rsidR="00971F0F" w:rsidRPr="00E34A65">
          <w:rPr>
            <w:rStyle w:val="Hyperlink"/>
            <w:lang w:val="en-US"/>
          </w:rPr>
          <w:t>civil</w:t>
        </w:r>
        <w:r w:rsidR="00971F0F" w:rsidRPr="00E34A65">
          <w:rPr>
            <w:rStyle w:val="Hyperlink"/>
          </w:rPr>
          <w:t>-</w:t>
        </w:r>
        <w:r w:rsidR="00971F0F" w:rsidRPr="00E34A65">
          <w:rPr>
            <w:rStyle w:val="Hyperlink"/>
            <w:lang w:val="en-US"/>
          </w:rPr>
          <w:t>liability</w:t>
        </w:r>
        <w:r w:rsidR="00971F0F" w:rsidRPr="00E34A65">
          <w:rPr>
            <w:rStyle w:val="Hyperlink"/>
          </w:rPr>
          <w:t>/</w:t>
        </w:r>
        <w:r w:rsidR="00971F0F" w:rsidRPr="00E34A65">
          <w:rPr>
            <w:rStyle w:val="Hyperlink"/>
            <w:lang w:val="en-US"/>
          </w:rPr>
          <w:t>documents</w:t>
        </w:r>
        <w:r w:rsidR="00971F0F" w:rsidRPr="00E34A65">
          <w:rPr>
            <w:rStyle w:val="Hyperlink"/>
          </w:rPr>
          <w:t>/</w:t>
        </w:r>
        <w:r w:rsidR="00971F0F" w:rsidRPr="00E34A65">
          <w:rPr>
            <w:rStyle w:val="Hyperlink"/>
            <w:lang w:val="en-US"/>
          </w:rPr>
          <w:t>protocol</w:t>
        </w:r>
        <w:r w:rsidR="00971F0F" w:rsidRPr="00E34A65">
          <w:rPr>
            <w:rStyle w:val="Hyperlink"/>
          </w:rPr>
          <w:t>_</w:t>
        </w:r>
        <w:r w:rsidR="00971F0F" w:rsidRPr="00E34A65">
          <w:rPr>
            <w:rStyle w:val="Hyperlink"/>
            <w:lang w:val="en-US"/>
          </w:rPr>
          <w:t>e</w:t>
        </w:r>
        <w:r w:rsidR="00971F0F" w:rsidRPr="00E34A65">
          <w:rPr>
            <w:rStyle w:val="Hyperlink"/>
          </w:rPr>
          <w:t>.</w:t>
        </w:r>
        <w:r w:rsidR="00971F0F" w:rsidRPr="00E34A65">
          <w:rPr>
            <w:rStyle w:val="Hyperlink"/>
            <w:lang w:val="en-US"/>
          </w:rPr>
          <w:t>pdf</w:t>
        </w:r>
      </w:hyperlink>
      <w:r w:rsidRPr="00971F0F">
        <w:t xml:space="preserve">. </w:t>
      </w:r>
    </w:p>
  </w:footnote>
  <w:footnote w:id="5">
    <w:p w14:paraId="2036BB3C" w14:textId="77777777" w:rsidR="00487292" w:rsidRPr="004126ED" w:rsidRDefault="00487292" w:rsidP="00487292">
      <w:pPr>
        <w:pStyle w:val="FootnoteText"/>
      </w:pPr>
      <w:r w:rsidRPr="00971F0F">
        <w:tab/>
      </w:r>
      <w:r w:rsidRPr="00301054">
        <w:rPr>
          <w:rStyle w:val="FootnoteReference"/>
        </w:rPr>
        <w:footnoteRef/>
      </w:r>
      <w:r>
        <w:tab/>
        <w:t>См. UNEP/EA.4/L.6.</w:t>
      </w:r>
    </w:p>
  </w:footnote>
  <w:footnote w:id="6">
    <w:p w14:paraId="6EB9B9F8" w14:textId="77777777" w:rsidR="00AF012C" w:rsidRPr="004126ED" w:rsidRDefault="00AF012C" w:rsidP="00AF012C">
      <w:pPr>
        <w:pStyle w:val="FootnoteText"/>
      </w:pPr>
      <w:r>
        <w:tab/>
      </w:r>
      <w:r w:rsidRPr="00301054">
        <w:rPr>
          <w:rStyle w:val="FootnoteReference"/>
        </w:rPr>
        <w:footnoteRef/>
      </w:r>
      <w:r>
        <w:tab/>
        <w:t>См. UNEP/EA.4/L.23.</w:t>
      </w:r>
    </w:p>
  </w:footnote>
  <w:footnote w:id="7">
    <w:p w14:paraId="662062BE" w14:textId="77777777" w:rsidR="00487292" w:rsidRPr="00AF012C" w:rsidRDefault="00487292" w:rsidP="00487292">
      <w:pPr>
        <w:pStyle w:val="FootnoteText"/>
        <w:rPr>
          <w:lang w:val="en-US"/>
        </w:rPr>
      </w:pPr>
      <w:r>
        <w:tab/>
      </w:r>
      <w:r w:rsidRPr="00301054">
        <w:rPr>
          <w:rStyle w:val="FootnoteReference"/>
        </w:rPr>
        <w:footnoteRef/>
      </w:r>
      <w:r w:rsidRPr="00AF012C">
        <w:rPr>
          <w:lang w:val="en-US"/>
        </w:rPr>
        <w:tab/>
      </w:r>
      <w:r w:rsidR="00AF012C">
        <w:rPr>
          <w:lang w:val="en-US"/>
        </w:rPr>
        <w:t>URL</w:t>
      </w:r>
      <w:r w:rsidR="00AF012C" w:rsidRPr="00AF012C">
        <w:rPr>
          <w:lang w:val="en-US"/>
        </w:rPr>
        <w:t>:</w:t>
      </w:r>
      <w:r w:rsidR="00AF012C">
        <w:rPr>
          <w:lang w:val="en-US"/>
        </w:rPr>
        <w:t xml:space="preserve"> </w:t>
      </w:r>
      <w:hyperlink r:id="rId3" w:history="1">
        <w:r w:rsidR="00AF012C" w:rsidRPr="00E34A65">
          <w:rPr>
            <w:rStyle w:val="Hyperlink"/>
            <w:lang w:val="en-US"/>
          </w:rPr>
          <w:t>https://www.unece.org/environmental-policy/conventions/industrial-accidents/videos.html</w:t>
        </w:r>
      </w:hyperlink>
      <w:r w:rsidRPr="00AF012C">
        <w:rPr>
          <w:lang w:val="en-US"/>
        </w:rPr>
        <w:t>.</w:t>
      </w:r>
    </w:p>
  </w:footnote>
  <w:footnote w:id="8">
    <w:p w14:paraId="0378F269" w14:textId="77777777" w:rsidR="00487292" w:rsidRPr="004126ED" w:rsidRDefault="00487292" w:rsidP="00487292">
      <w:pPr>
        <w:pStyle w:val="FootnoteText"/>
      </w:pPr>
      <w:r w:rsidRPr="00AF012C">
        <w:rPr>
          <w:lang w:val="en-US"/>
        </w:rPr>
        <w:tab/>
      </w:r>
      <w:r w:rsidRPr="00301054">
        <w:rPr>
          <w:rStyle w:val="FootnoteReference"/>
        </w:rPr>
        <w:footnoteRef/>
      </w:r>
      <w:r>
        <w:tab/>
        <w:t xml:space="preserve">Это относится к тем хвостохранилищам, которые подпадают под определение </w:t>
      </w:r>
      <w:r w:rsidR="00AF012C">
        <w:t>«</w:t>
      </w:r>
      <w:r>
        <w:t>опасной деятельности</w:t>
      </w:r>
      <w:r w:rsidR="00AF012C">
        <w:t>»</w:t>
      </w:r>
      <w:r>
        <w:t>, содержащееся в статье 1 b) Конвенции.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E03D" w14:textId="5CFAE2BF" w:rsidR="00487292" w:rsidRPr="00487292" w:rsidRDefault="000E1A79">
    <w:pPr>
      <w:pStyle w:val="Header"/>
    </w:pPr>
    <w:r>
      <w:fldChar w:fldCharType="begin"/>
    </w:r>
    <w:r>
      <w:instrText xml:space="preserve"> TITLE  </w:instrText>
    </w:r>
    <w:r>
      <w:instrText xml:space="preserve">\* MERGEFORMAT </w:instrText>
    </w:r>
    <w:r>
      <w:fldChar w:fldCharType="separate"/>
    </w:r>
    <w:r w:rsidR="007121DE">
      <w:t>ECE/CP.TEIA/2020/3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7C83" w14:textId="7AE62A3D" w:rsidR="00487292" w:rsidRPr="00487292" w:rsidRDefault="000E1A79" w:rsidP="0048729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121DE">
      <w:t>ECE/CP.TEIA/2020/3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7F"/>
    <w:rsid w:val="00033EE1"/>
    <w:rsid w:val="00042B72"/>
    <w:rsid w:val="000558BD"/>
    <w:rsid w:val="000B57E7"/>
    <w:rsid w:val="000B6373"/>
    <w:rsid w:val="000E1A79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35DD"/>
    <w:rsid w:val="00454AF2"/>
    <w:rsid w:val="00454E07"/>
    <w:rsid w:val="00472C5C"/>
    <w:rsid w:val="00487292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1DE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5BCB"/>
    <w:rsid w:val="008F7609"/>
    <w:rsid w:val="00906890"/>
    <w:rsid w:val="0091104C"/>
    <w:rsid w:val="00911BE4"/>
    <w:rsid w:val="00951972"/>
    <w:rsid w:val="009608F3"/>
    <w:rsid w:val="00971F0F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012C"/>
    <w:rsid w:val="00B10CC7"/>
    <w:rsid w:val="00B35582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5EE9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5D7F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38A9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1F51C4"/>
  <w15:docId w15:val="{A582C2D3-7C4B-453A-A6A3-57A71735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487292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uiPriority w:val="99"/>
    <w:locked/>
    <w:rsid w:val="0048729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487292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e-teia.conv@u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ece.org/fileadmin/DAM/env/documents/2019/TEIA/Bureau_Oslo/Bureau-42_Minutes_as_agreed_with_the_Chair_and_Bureau_final_clean.pdf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ece.org/environmental-policy/conventions/industrial-accidents/videos.html" TargetMode="External"/><Relationship Id="rId2" Type="http://schemas.openxmlformats.org/officeDocument/2006/relationships/hyperlink" Target="http://www.unece.org/fileadmin/DAM/env/civil-liability/documents/protocol_e.pdf" TargetMode="External"/><Relationship Id="rId1" Type="http://schemas.openxmlformats.org/officeDocument/2006/relationships/hyperlink" Target="http://www.unece.org/index.php?id=3613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ECE/CP.TEIA/2020/3</vt:lpstr>
      <vt:lpstr>A/</vt:lpstr>
      <vt:lpstr>A/</vt:lpstr>
    </vt:vector>
  </TitlesOfParts>
  <Company>DCM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ECE/CP.TEIA/2020/3</dc:title>
  <dc:subject/>
  <dc:creator>Uliana ANTIPOVA</dc:creator>
  <cp:keywords/>
  <cp:lastModifiedBy>Olga Carlos</cp:lastModifiedBy>
  <cp:revision>2</cp:revision>
  <cp:lastPrinted>2020-10-12T14:04:00Z</cp:lastPrinted>
  <dcterms:created xsi:type="dcterms:W3CDTF">2020-10-22T09:46:00Z</dcterms:created>
  <dcterms:modified xsi:type="dcterms:W3CDTF">2020-10-22T09:46:00Z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