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04B49EA" w14:textId="77777777" w:rsidTr="00B20551">
        <w:trPr>
          <w:cantSplit/>
          <w:trHeight w:hRule="exact" w:val="851"/>
        </w:trPr>
        <w:tc>
          <w:tcPr>
            <w:tcW w:w="1276" w:type="dxa"/>
            <w:tcBorders>
              <w:bottom w:val="single" w:sz="4" w:space="0" w:color="auto"/>
            </w:tcBorders>
            <w:vAlign w:val="bottom"/>
          </w:tcPr>
          <w:p w14:paraId="7F329182"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20511F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8E7C82" w14:textId="0BD17C90" w:rsidR="00A05892" w:rsidRPr="00D47EEA" w:rsidRDefault="00A05892" w:rsidP="00A05892">
            <w:pPr>
              <w:jc w:val="right"/>
            </w:pPr>
            <w:r w:rsidRPr="00A05892">
              <w:rPr>
                <w:sz w:val="40"/>
              </w:rPr>
              <w:t>ECE</w:t>
            </w:r>
            <w:r>
              <w:t>/</w:t>
            </w:r>
            <w:r w:rsidR="00D6711B">
              <w:t>CP.TEIA</w:t>
            </w:r>
            <w:r>
              <w:t>/2020/</w:t>
            </w:r>
            <w:r w:rsidR="00045A57">
              <w:t>10</w:t>
            </w:r>
          </w:p>
        </w:tc>
      </w:tr>
      <w:tr w:rsidR="009E6CB7" w14:paraId="6DF3F9C3" w14:textId="77777777" w:rsidTr="00B20551">
        <w:trPr>
          <w:cantSplit/>
          <w:trHeight w:hRule="exact" w:val="2835"/>
        </w:trPr>
        <w:tc>
          <w:tcPr>
            <w:tcW w:w="1276" w:type="dxa"/>
            <w:tcBorders>
              <w:top w:val="single" w:sz="4" w:space="0" w:color="auto"/>
              <w:bottom w:val="single" w:sz="12" w:space="0" w:color="auto"/>
            </w:tcBorders>
          </w:tcPr>
          <w:p w14:paraId="035F62D0" w14:textId="6FF4F4DD" w:rsidR="009E6CB7" w:rsidRDefault="00C67521" w:rsidP="00B20551">
            <w:pPr>
              <w:spacing w:before="120"/>
            </w:pPr>
            <w:r>
              <w:rPr>
                <w:noProof/>
                <w:lang w:val="en-US" w:eastAsia="zh-CN"/>
              </w:rPr>
              <w:drawing>
                <wp:inline distT="0" distB="0" distL="0" distR="0" wp14:anchorId="2362C02B" wp14:editId="1E72EB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5E800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619A47" w14:textId="77777777" w:rsidR="009E6CB7" w:rsidRDefault="00704D7B" w:rsidP="00704D7B">
            <w:pPr>
              <w:spacing w:before="240" w:line="240" w:lineRule="exact"/>
            </w:pPr>
            <w:r>
              <w:t>Distr.: General</w:t>
            </w:r>
          </w:p>
          <w:p w14:paraId="14686FA3" w14:textId="4B7EA091" w:rsidR="00704D7B" w:rsidRDefault="000B6701" w:rsidP="00704D7B">
            <w:pPr>
              <w:spacing w:line="240" w:lineRule="exact"/>
            </w:pPr>
            <w:r>
              <w:t>2</w:t>
            </w:r>
            <w:r w:rsidR="007431EE">
              <w:t>5</w:t>
            </w:r>
            <w:r w:rsidR="00045A57">
              <w:t xml:space="preserve"> September</w:t>
            </w:r>
            <w:r w:rsidR="00704D7B" w:rsidRPr="003A25B6">
              <w:t xml:space="preserve"> 20</w:t>
            </w:r>
            <w:r w:rsidR="003A25B6" w:rsidRPr="003A25B6">
              <w:t>20</w:t>
            </w:r>
          </w:p>
          <w:p w14:paraId="058F6B87" w14:textId="77777777" w:rsidR="00704D7B" w:rsidRDefault="00704D7B" w:rsidP="00704D7B">
            <w:pPr>
              <w:spacing w:line="240" w:lineRule="exact"/>
            </w:pPr>
          </w:p>
          <w:p w14:paraId="6A1CCD11" w14:textId="087DB9EA" w:rsidR="00704D7B" w:rsidRDefault="00D6711B" w:rsidP="00704D7B">
            <w:pPr>
              <w:spacing w:line="240" w:lineRule="exact"/>
            </w:pPr>
            <w:r>
              <w:t xml:space="preserve">Original: </w:t>
            </w:r>
            <w:r w:rsidR="00076C4F">
              <w:t>English</w:t>
            </w:r>
          </w:p>
        </w:tc>
      </w:tr>
    </w:tbl>
    <w:p w14:paraId="1E358F7A" w14:textId="77777777" w:rsidR="00D6711B" w:rsidRDefault="00D6711B" w:rsidP="00D6711B">
      <w:pPr>
        <w:spacing w:before="100"/>
        <w:rPr>
          <w:b/>
          <w:sz w:val="28"/>
          <w:szCs w:val="28"/>
        </w:rPr>
      </w:pPr>
      <w:r>
        <w:rPr>
          <w:b/>
          <w:sz w:val="28"/>
          <w:szCs w:val="28"/>
        </w:rPr>
        <w:t>Economic Commission for Europe</w:t>
      </w:r>
    </w:p>
    <w:p w14:paraId="07CDED73" w14:textId="77777777" w:rsidR="00D6711B" w:rsidRDefault="00D6711B" w:rsidP="00D6711B">
      <w:pPr>
        <w:spacing w:before="100"/>
        <w:rPr>
          <w:sz w:val="28"/>
          <w:szCs w:val="28"/>
        </w:rPr>
      </w:pPr>
      <w:r w:rsidRPr="00B97B2A">
        <w:rPr>
          <w:sz w:val="28"/>
          <w:szCs w:val="28"/>
        </w:rPr>
        <w:t xml:space="preserve">Conference of the Parties to the Convention on the </w:t>
      </w:r>
      <w:r w:rsidRPr="00B97B2A">
        <w:rPr>
          <w:sz w:val="28"/>
          <w:szCs w:val="28"/>
        </w:rPr>
        <w:br/>
        <w:t>Transboundary Effects of Industrial Accidents</w:t>
      </w:r>
    </w:p>
    <w:p w14:paraId="021B1C1D" w14:textId="77777777" w:rsidR="00D6711B" w:rsidRPr="00B97B2A" w:rsidRDefault="00D6711B" w:rsidP="00D6711B">
      <w:pPr>
        <w:spacing w:before="120"/>
        <w:rPr>
          <w:b/>
        </w:rPr>
      </w:pPr>
      <w:r>
        <w:rPr>
          <w:b/>
        </w:rPr>
        <w:t>Eleventh</w:t>
      </w:r>
      <w:r w:rsidRPr="00B97B2A">
        <w:rPr>
          <w:b/>
        </w:rPr>
        <w:t xml:space="preserve"> meeting</w:t>
      </w:r>
    </w:p>
    <w:p w14:paraId="65123503" w14:textId="13E558C5" w:rsidR="00D6711B" w:rsidRPr="00B97B2A" w:rsidRDefault="007D12F3" w:rsidP="00D6711B">
      <w:r>
        <w:t>Geneva</w:t>
      </w:r>
      <w:r w:rsidR="00907A96">
        <w:t xml:space="preserve">, </w:t>
      </w:r>
      <w:r>
        <w:t>7</w:t>
      </w:r>
      <w:r w:rsidR="00D6711B" w:rsidRPr="00B97B2A">
        <w:t>–</w:t>
      </w:r>
      <w:r>
        <w:t>9</w:t>
      </w:r>
      <w:r w:rsidR="00D6711B" w:rsidRPr="00B97B2A">
        <w:t xml:space="preserve"> </w:t>
      </w:r>
      <w:r w:rsidR="00D6711B">
        <w:t>December</w:t>
      </w:r>
      <w:r w:rsidR="00D6711B" w:rsidRPr="00B97B2A">
        <w:t xml:space="preserve"> 20</w:t>
      </w:r>
      <w:r w:rsidR="00D6711B">
        <w:t>20</w:t>
      </w:r>
    </w:p>
    <w:p w14:paraId="0688A1F1" w14:textId="56BA269B" w:rsidR="00D6711B" w:rsidRPr="00B97B2A" w:rsidRDefault="00D6711B" w:rsidP="00D6711B">
      <w:r w:rsidRPr="00B97B2A">
        <w:t xml:space="preserve">Item </w:t>
      </w:r>
      <w:r w:rsidR="007D12F3">
        <w:t>6</w:t>
      </w:r>
      <w:r w:rsidRPr="00B97B2A">
        <w:t xml:space="preserve"> of the provisional agenda</w:t>
      </w:r>
    </w:p>
    <w:p w14:paraId="4887BDBE" w14:textId="64C8F083" w:rsidR="00045A57" w:rsidRPr="002D02FC" w:rsidRDefault="00045A57" w:rsidP="00045A57">
      <w:pPr>
        <w:rPr>
          <w:b/>
          <w:bCs/>
        </w:rPr>
      </w:pPr>
      <w:r w:rsidRPr="00607232">
        <w:rPr>
          <w:b/>
          <w:bCs/>
        </w:rPr>
        <w:t xml:space="preserve">Plan of action for the Convention for </w:t>
      </w:r>
      <w:r>
        <w:rPr>
          <w:b/>
          <w:bCs/>
        </w:rPr>
        <w:br/>
      </w:r>
      <w:r w:rsidRPr="00607232">
        <w:rPr>
          <w:b/>
          <w:bCs/>
        </w:rPr>
        <w:t>the biennium 2021–2022 and its financing</w:t>
      </w:r>
    </w:p>
    <w:p w14:paraId="5B6732B8" w14:textId="04B05A8F" w:rsidR="00D6711B" w:rsidRPr="000322FB" w:rsidRDefault="00FE688E" w:rsidP="00D6711B">
      <w:pPr>
        <w:pStyle w:val="HChG"/>
      </w:pPr>
      <w:r w:rsidRPr="00FE688E">
        <w:tab/>
      </w:r>
      <w:r w:rsidRPr="00FE688E">
        <w:tab/>
      </w:r>
      <w:r w:rsidR="00F76A02">
        <w:t xml:space="preserve">Draft decision on </w:t>
      </w:r>
      <w:r w:rsidR="00045A57">
        <w:t>guiding principles for financial assistance</w:t>
      </w:r>
    </w:p>
    <w:p w14:paraId="7F1DC383" w14:textId="0B2EA03B" w:rsidR="00891A4B" w:rsidRDefault="00D6711B" w:rsidP="00D6711B">
      <w:pPr>
        <w:pStyle w:val="H1G"/>
      </w:pPr>
      <w:r w:rsidRPr="000322FB">
        <w:tab/>
      </w:r>
      <w:r w:rsidRPr="000322FB">
        <w:tab/>
      </w:r>
      <w:r w:rsidR="00045A57">
        <w:t>Prepared by the Bureau</w:t>
      </w:r>
      <w:r w:rsidR="00045A57" w:rsidRPr="00EC1094">
        <w:t xml:space="preserve"> of the Conference of the Parties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E688E" w14:paraId="1089095C" w14:textId="77777777" w:rsidTr="00FE688E">
        <w:trPr>
          <w:jc w:val="center"/>
        </w:trPr>
        <w:tc>
          <w:tcPr>
            <w:tcW w:w="9629" w:type="dxa"/>
            <w:shd w:val="clear" w:color="auto" w:fill="auto"/>
          </w:tcPr>
          <w:p w14:paraId="33E26D54" w14:textId="77777777" w:rsidR="00FE688E" w:rsidRPr="00C6263E" w:rsidRDefault="00FE688E" w:rsidP="00B61D35">
            <w:pPr>
              <w:spacing w:before="240" w:after="120"/>
              <w:ind w:left="255"/>
              <w:rPr>
                <w:i/>
                <w:sz w:val="24"/>
              </w:rPr>
            </w:pPr>
            <w:r w:rsidRPr="00C6263E">
              <w:rPr>
                <w:i/>
                <w:sz w:val="24"/>
              </w:rPr>
              <w:t>Summary</w:t>
            </w:r>
          </w:p>
        </w:tc>
      </w:tr>
      <w:tr w:rsidR="00FE688E" w14:paraId="23DB6EDD" w14:textId="77777777" w:rsidTr="00FE688E">
        <w:trPr>
          <w:jc w:val="center"/>
        </w:trPr>
        <w:tc>
          <w:tcPr>
            <w:tcW w:w="9629" w:type="dxa"/>
            <w:shd w:val="clear" w:color="auto" w:fill="auto"/>
          </w:tcPr>
          <w:p w14:paraId="1BDFBC61" w14:textId="3D087B75" w:rsidR="00D6711B" w:rsidRPr="000322FB" w:rsidRDefault="00FE688E" w:rsidP="0033590C">
            <w:pPr>
              <w:pStyle w:val="SingleTxtG"/>
              <w:ind w:firstLine="567"/>
            </w:pPr>
            <w:r w:rsidRPr="005060BC">
              <w:tab/>
            </w:r>
            <w:r w:rsidR="00045A57">
              <w:t>At its tenth meeting (Geneva, 4–6 December 2018), the Conference of the Parties to the Convention on the Transboundary Effects of Industrial Accidents adopted decision 2018/3 on guiding principles for financial assistance (</w:t>
            </w:r>
            <w:r w:rsidR="00045A57" w:rsidRPr="006F1F7D">
              <w:t>ECE/CP.TEIA/38/Add.1</w:t>
            </w:r>
            <w:r w:rsidR="00045A57">
              <w:t>)</w:t>
            </w:r>
            <w:r w:rsidR="00045A57" w:rsidRPr="006F1F7D">
              <w:t xml:space="preserve"> </w:t>
            </w:r>
            <w:r w:rsidR="00045A57">
              <w:t>to allow for the participation of experts in meetings under the Convention, in particular from countries of Eastern and South-Eastern Europe, the Caucasus and Central Asia, depending on the availability of funds</w:t>
            </w:r>
            <w:r w:rsidR="00D6711B" w:rsidRPr="000322FB">
              <w:t>.</w:t>
            </w:r>
          </w:p>
          <w:p w14:paraId="0E7CAE17" w14:textId="6D5CBB2C" w:rsidR="00045A57" w:rsidRPr="000322FB" w:rsidRDefault="00D6711B" w:rsidP="0033590C">
            <w:pPr>
              <w:pStyle w:val="SingleTxtG"/>
              <w:ind w:firstLine="567"/>
            </w:pPr>
            <w:r>
              <w:tab/>
            </w:r>
            <w:r w:rsidR="00045A57" w:rsidRPr="00A96D00">
              <w:t xml:space="preserve">The </w:t>
            </w:r>
            <w:r w:rsidR="00045A57">
              <w:t xml:space="preserve">draft </w:t>
            </w:r>
            <w:r w:rsidR="00045A57" w:rsidRPr="00A96D00">
              <w:t>decision contained in the present document was prepared by the Bureau, with the support of the secretariat.</w:t>
            </w:r>
            <w:r w:rsidR="00045A57" w:rsidRPr="00B30B21">
              <w:t xml:space="preserve"> </w:t>
            </w:r>
            <w:r w:rsidR="00045A57" w:rsidRPr="0038294F">
              <w:t>Parties with eventual comments on the draft decision are invited to communicate these four weeks in advance of the meeting to the Chair and the secretariat (via email to ece</w:t>
            </w:r>
            <w:r w:rsidR="00154775">
              <w:t>-</w:t>
            </w:r>
            <w:r w:rsidR="00045A57" w:rsidRPr="0038294F">
              <w:t>teia</w:t>
            </w:r>
            <w:r w:rsidR="00154775">
              <w:t>.</w:t>
            </w:r>
            <w:r w:rsidR="00045A57" w:rsidRPr="0038294F">
              <w:t xml:space="preserve">conv@un.org), i.e. by </w:t>
            </w:r>
            <w:r w:rsidR="00CC04B6">
              <w:t>9</w:t>
            </w:r>
            <w:r w:rsidR="00045A57" w:rsidRPr="0038294F">
              <w:t xml:space="preserve"> November 2020</w:t>
            </w:r>
            <w:r w:rsidRPr="000322FB">
              <w:t>.</w:t>
            </w:r>
          </w:p>
          <w:p w14:paraId="322A8274" w14:textId="133EEDE9" w:rsidR="00FE688E" w:rsidRPr="005060BC" w:rsidRDefault="00045A57" w:rsidP="00BB3C5D">
            <w:pPr>
              <w:pStyle w:val="SingleTxtG"/>
              <w:spacing w:after="0"/>
              <w:ind w:firstLine="567"/>
            </w:pPr>
            <w:r>
              <w:tab/>
            </w:r>
            <w:r w:rsidRPr="00A96D00">
              <w:t xml:space="preserve">The Conference of the Parties is invited </w:t>
            </w:r>
            <w:r>
              <w:t xml:space="preserve">to decide on guiding principles for financial assistance by </w:t>
            </w:r>
            <w:r w:rsidRPr="00A96D00">
              <w:t>adopting th</w:t>
            </w:r>
            <w:r>
              <w:t xml:space="preserve">is </w:t>
            </w:r>
            <w:r w:rsidRPr="00A96D00">
              <w:t>decision</w:t>
            </w:r>
            <w:r w:rsidRPr="000322FB">
              <w:t>.</w:t>
            </w:r>
          </w:p>
        </w:tc>
      </w:tr>
      <w:tr w:rsidR="00FE688E" w14:paraId="04623257" w14:textId="77777777" w:rsidTr="00FE688E">
        <w:trPr>
          <w:jc w:val="center"/>
        </w:trPr>
        <w:tc>
          <w:tcPr>
            <w:tcW w:w="9629" w:type="dxa"/>
            <w:shd w:val="clear" w:color="auto" w:fill="auto"/>
          </w:tcPr>
          <w:p w14:paraId="3438DC24" w14:textId="77777777" w:rsidR="00FE688E" w:rsidRDefault="00FE688E" w:rsidP="00FE688E"/>
        </w:tc>
      </w:tr>
    </w:tbl>
    <w:p w14:paraId="4631DE3D" w14:textId="0CB8338E" w:rsidR="00FE688E" w:rsidRDefault="00FE688E">
      <w:pPr>
        <w:suppressAutoHyphens w:val="0"/>
        <w:spacing w:line="240" w:lineRule="auto"/>
      </w:pPr>
      <w:r>
        <w:br w:type="page"/>
      </w:r>
    </w:p>
    <w:p w14:paraId="65ECCF91" w14:textId="291B87C6" w:rsidR="00DA252A" w:rsidRPr="00DA252A" w:rsidRDefault="00FE688E" w:rsidP="00DA252A">
      <w:pPr>
        <w:pStyle w:val="SingleTxtG"/>
        <w:rPr>
          <w:i/>
          <w:iCs/>
        </w:rPr>
      </w:pPr>
      <w:r w:rsidRPr="00FE688E">
        <w:lastRenderedPageBreak/>
        <w:tab/>
      </w:r>
      <w:r w:rsidR="00DA252A">
        <w:tab/>
      </w:r>
      <w:r w:rsidR="00DA252A" w:rsidRPr="00DA252A">
        <w:rPr>
          <w:i/>
          <w:iCs/>
        </w:rPr>
        <w:t>The Conference of the Parties,</w:t>
      </w:r>
    </w:p>
    <w:p w14:paraId="48E3D54D" w14:textId="30B97647" w:rsidR="00DA252A" w:rsidRDefault="00DA252A" w:rsidP="00DA252A">
      <w:pPr>
        <w:pStyle w:val="SingleTxtG"/>
      </w:pPr>
      <w:r>
        <w:tab/>
      </w:r>
      <w:r>
        <w:tab/>
      </w:r>
      <w:r w:rsidR="00045A57">
        <w:rPr>
          <w:i/>
          <w:iCs/>
        </w:rPr>
        <w:t>Decides</w:t>
      </w:r>
      <w:r>
        <w:t xml:space="preserve"> </w:t>
      </w:r>
      <w:r w:rsidR="00045A57" w:rsidRPr="00AA4ED3">
        <w:rPr>
          <w:rFonts w:eastAsia="Calibri"/>
        </w:rPr>
        <w:t xml:space="preserve">that the countries of Eastern Europe (Belarus, </w:t>
      </w:r>
      <w:r w:rsidR="00045A57">
        <w:rPr>
          <w:rFonts w:eastAsia="Calibri"/>
        </w:rPr>
        <w:t xml:space="preserve">the </w:t>
      </w:r>
      <w:r w:rsidR="00045A57" w:rsidRPr="00AA4ED3">
        <w:rPr>
          <w:rFonts w:eastAsia="Calibri"/>
        </w:rPr>
        <w:t>Republic of Moldova and Ukraine), South-Eastern Europe (Albania, Bosnia and Herzegovina, Montenegro,</w:t>
      </w:r>
      <w:r w:rsidR="00045A57" w:rsidRPr="00E11ECC">
        <w:rPr>
          <w:rFonts w:eastAsia="Calibri"/>
        </w:rPr>
        <w:t xml:space="preserve"> </w:t>
      </w:r>
      <w:r w:rsidR="00045A57">
        <w:rPr>
          <w:rFonts w:eastAsia="Calibri"/>
        </w:rPr>
        <w:t>North</w:t>
      </w:r>
      <w:r w:rsidR="00045A57" w:rsidRPr="00AA4ED3">
        <w:rPr>
          <w:rFonts w:eastAsia="Calibri"/>
        </w:rPr>
        <w:t xml:space="preserve"> Macedonia </w:t>
      </w:r>
      <w:r w:rsidR="00045A57">
        <w:rPr>
          <w:rFonts w:eastAsia="Calibri"/>
        </w:rPr>
        <w:t xml:space="preserve">and </w:t>
      </w:r>
      <w:r w:rsidR="00045A57" w:rsidRPr="00AA4ED3">
        <w:rPr>
          <w:rFonts w:eastAsia="Calibri"/>
        </w:rPr>
        <w:t>Serbia), the Caucasus (Armenia, Azerbaijan and Georgia) and Central Asia (Kazakhstan, Kyrgyzstan, Tajikistan, Turkmenistan and Uzbekistan) are eligible</w:t>
      </w:r>
      <w:r w:rsidR="00045A57">
        <w:rPr>
          <w:rFonts w:eastAsia="Calibri"/>
        </w:rPr>
        <w:t>, depending on the availability of funds,</w:t>
      </w:r>
      <w:r w:rsidR="00045A57" w:rsidRPr="00AA4ED3">
        <w:rPr>
          <w:rFonts w:eastAsia="Calibri"/>
        </w:rPr>
        <w:t xml:space="preserve"> to receive financial assistance to support the participation of their experts and representatives in activities organized within the framework of the </w:t>
      </w:r>
      <w:r w:rsidR="00045A57">
        <w:rPr>
          <w:rFonts w:eastAsia="Calibri"/>
        </w:rPr>
        <w:t xml:space="preserve">Convention </w:t>
      </w:r>
      <w:r w:rsidR="00045A57" w:rsidRPr="00921392">
        <w:rPr>
          <w:rFonts w:eastAsia="Calibri"/>
        </w:rPr>
        <w:t xml:space="preserve">on the Transboundary Effects of Industrial Accidents </w:t>
      </w:r>
      <w:r w:rsidR="00045A57" w:rsidRPr="00AA4ED3">
        <w:rPr>
          <w:rFonts w:eastAsia="Calibri"/>
        </w:rPr>
        <w:t xml:space="preserve">and under the Assistance </w:t>
      </w:r>
      <w:r w:rsidR="00045A57">
        <w:rPr>
          <w:rFonts w:eastAsia="Calibri"/>
        </w:rPr>
        <w:t xml:space="preserve">and Cooperation </w:t>
      </w:r>
      <w:r w:rsidR="00045A57" w:rsidRPr="00AA4ED3">
        <w:rPr>
          <w:rFonts w:eastAsia="Calibri"/>
        </w:rPr>
        <w:t>Programme, as follows:</w:t>
      </w:r>
      <w:r w:rsidR="00045A57">
        <w:rPr>
          <w:rFonts w:eastAsia="Calibri"/>
        </w:rPr>
        <w:t xml:space="preserve"> </w:t>
      </w:r>
      <w:r w:rsidR="00045A57" w:rsidRPr="00AA4ED3">
        <w:rPr>
          <w:rFonts w:eastAsia="Calibri"/>
        </w:rPr>
        <w:t>the secretariat will provide participants with financial support and a</w:t>
      </w:r>
      <w:r w:rsidR="00045A57">
        <w:rPr>
          <w:rFonts w:eastAsia="Calibri"/>
        </w:rPr>
        <w:t>e</w:t>
      </w:r>
      <w:r w:rsidR="00045A57" w:rsidRPr="00AA4ED3">
        <w:rPr>
          <w:rFonts w:eastAsia="Calibri"/>
        </w:rPr>
        <w:t>r</w:t>
      </w:r>
      <w:r w:rsidR="00045A57">
        <w:rPr>
          <w:rFonts w:eastAsia="Calibri"/>
        </w:rPr>
        <w:t>oplane</w:t>
      </w:r>
      <w:r w:rsidR="00045A57" w:rsidRPr="00AA4ED3">
        <w:rPr>
          <w:rFonts w:eastAsia="Calibri"/>
        </w:rPr>
        <w:t xml:space="preserve"> tickets to help them cover the expenses related to their participation, including accommodation</w:t>
      </w:r>
      <w:r>
        <w:t>,</w:t>
      </w:r>
    </w:p>
    <w:p w14:paraId="677ACCD4" w14:textId="6A0A41DD" w:rsidR="00DA252A" w:rsidRDefault="00DA252A" w:rsidP="00DA252A">
      <w:pPr>
        <w:pStyle w:val="SingleTxtG"/>
      </w:pPr>
      <w:r>
        <w:tab/>
      </w:r>
      <w:r>
        <w:tab/>
      </w:r>
      <w:r w:rsidR="00045A57" w:rsidRPr="00921392">
        <w:rPr>
          <w:rFonts w:eastAsia="Calibri"/>
          <w:i/>
        </w:rPr>
        <w:t>Also decides</w:t>
      </w:r>
      <w:r w:rsidR="00045A57">
        <w:rPr>
          <w:rFonts w:eastAsia="Calibri"/>
        </w:rPr>
        <w:t xml:space="preserve"> that developing and least developed countries outside the region of the United Nations Economic Commission for Europe having expressed an interest in the Convention are eligible, depending on the availability of funds, </w:t>
      </w:r>
      <w:r w:rsidR="00045A57" w:rsidRPr="00921392">
        <w:rPr>
          <w:rFonts w:eastAsia="Calibri"/>
        </w:rPr>
        <w:t xml:space="preserve">to receive financial assistance to support the participation of their experts and representatives in activities organized within the </w:t>
      </w:r>
      <w:r w:rsidR="00045A57">
        <w:rPr>
          <w:rFonts w:eastAsia="Calibri"/>
        </w:rPr>
        <w:t>framework of the Convention</w:t>
      </w:r>
      <w:r>
        <w:t>,</w:t>
      </w:r>
    </w:p>
    <w:p w14:paraId="4220EE1F" w14:textId="77777777" w:rsidR="00045A57" w:rsidRDefault="00DA252A" w:rsidP="00045A57">
      <w:pPr>
        <w:pStyle w:val="SingleTxtG"/>
        <w:rPr>
          <w:rFonts w:eastAsia="Calibri"/>
        </w:rPr>
      </w:pPr>
      <w:r w:rsidRPr="00DA252A">
        <w:rPr>
          <w:i/>
          <w:iCs/>
        </w:rPr>
        <w:tab/>
      </w:r>
      <w:r>
        <w:rPr>
          <w:i/>
          <w:iCs/>
        </w:rPr>
        <w:tab/>
      </w:r>
      <w:r w:rsidR="00045A57" w:rsidRPr="00A96D00">
        <w:rPr>
          <w:rFonts w:eastAsia="Calibri"/>
          <w:i/>
        </w:rPr>
        <w:t>Agrees</w:t>
      </w:r>
      <w:r w:rsidR="00045A57" w:rsidRPr="003B49A3">
        <w:rPr>
          <w:rFonts w:eastAsia="Calibri"/>
        </w:rPr>
        <w:t xml:space="preserve"> to </w:t>
      </w:r>
      <w:r w:rsidR="00045A57">
        <w:rPr>
          <w:rFonts w:eastAsia="Calibri"/>
        </w:rPr>
        <w:t xml:space="preserve">apply </w:t>
      </w:r>
      <w:r w:rsidR="00045A57" w:rsidRPr="003B49A3">
        <w:rPr>
          <w:rFonts w:eastAsia="Calibri"/>
        </w:rPr>
        <w:t>these guiding principles for financial</w:t>
      </w:r>
      <w:r w:rsidR="00045A57">
        <w:rPr>
          <w:rFonts w:eastAsia="Calibri"/>
        </w:rPr>
        <w:t xml:space="preserve"> assistance in the biennium 2021–2022</w:t>
      </w:r>
      <w:r w:rsidR="00045A57" w:rsidRPr="003B49A3">
        <w:rPr>
          <w:rFonts w:eastAsia="Calibri"/>
        </w:rPr>
        <w:t>.</w:t>
      </w:r>
    </w:p>
    <w:p w14:paraId="4A5E4BE2" w14:textId="1E9200D5" w:rsidR="00DA252A" w:rsidRPr="00DA252A" w:rsidRDefault="00DA252A" w:rsidP="00DA252A">
      <w:pPr>
        <w:spacing w:before="240"/>
        <w:jc w:val="center"/>
        <w:rPr>
          <w:u w:val="single"/>
        </w:rPr>
      </w:pPr>
      <w:r>
        <w:rPr>
          <w:u w:val="single"/>
        </w:rPr>
        <w:tab/>
      </w:r>
      <w:r>
        <w:rPr>
          <w:u w:val="single"/>
        </w:rPr>
        <w:tab/>
      </w:r>
      <w:r>
        <w:rPr>
          <w:u w:val="single"/>
        </w:rPr>
        <w:tab/>
      </w:r>
    </w:p>
    <w:sectPr w:rsidR="00DA252A" w:rsidRPr="00DA252A" w:rsidSect="0033590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C17F" w16cex:dateUtc="2020-07-10T08:29:00Z"/>
  <w16cex:commentExtensible w16cex:durableId="22B2C23F" w16cex:dateUtc="2020-07-10T08:32:00Z"/>
  <w16cex:commentExtensible w16cex:durableId="22B2C26A" w16cex:dateUtc="2020-07-10T08:33:00Z"/>
  <w16cex:commentExtensible w16cex:durableId="22B2C2A0" w16cex:dateUtc="2020-07-10T08:34:00Z"/>
  <w16cex:commentExtensible w16cex:durableId="22B2C2DF" w16cex:dateUtc="2020-07-10T08:35:00Z"/>
  <w16cex:commentExtensible w16cex:durableId="22B2DEC9" w16cex:dateUtc="2020-07-10T10:34:00Z"/>
  <w16cex:commentExtensible w16cex:durableId="22B2E1EB" w16cex:dateUtc="2020-07-10T10:47:00Z"/>
  <w16cex:commentExtensible w16cex:durableId="22B2E028" w16cex:dateUtc="2020-07-10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D5DF" w14:textId="77777777" w:rsidR="00632790" w:rsidRDefault="00632790"/>
  </w:endnote>
  <w:endnote w:type="continuationSeparator" w:id="0">
    <w:p w14:paraId="45429C6D" w14:textId="77777777" w:rsidR="00632790" w:rsidRDefault="00632790"/>
  </w:endnote>
  <w:endnote w:type="continuationNotice" w:id="1">
    <w:p w14:paraId="3BEF3C0C" w14:textId="77777777" w:rsidR="00632790" w:rsidRDefault="0063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1DEC" w14:textId="335FBD7A" w:rsidR="00BB6A8C" w:rsidRPr="00704D7B" w:rsidRDefault="00BB6A8C" w:rsidP="00704D7B">
    <w:pPr>
      <w:pStyle w:val="Footer"/>
      <w:tabs>
        <w:tab w:val="right" w:pos="9638"/>
      </w:tabs>
      <w:rPr>
        <w:sz w:val="18"/>
      </w:rPr>
    </w:pPr>
    <w:r w:rsidRPr="00704D7B">
      <w:rPr>
        <w:b/>
        <w:sz w:val="18"/>
      </w:rPr>
      <w:fldChar w:fldCharType="begin"/>
    </w:r>
    <w:r w:rsidRPr="00704D7B">
      <w:rPr>
        <w:b/>
        <w:sz w:val="18"/>
      </w:rPr>
      <w:instrText xml:space="preserve"> PAGE  \* MERGEFORMAT </w:instrText>
    </w:r>
    <w:r w:rsidRPr="00704D7B">
      <w:rPr>
        <w:b/>
        <w:sz w:val="18"/>
      </w:rPr>
      <w:fldChar w:fldCharType="separate"/>
    </w:r>
    <w:r>
      <w:rPr>
        <w:b/>
        <w:noProof/>
        <w:sz w:val="18"/>
      </w:rPr>
      <w:t>8</w:t>
    </w:r>
    <w:r w:rsidRPr="00704D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B4F3" w14:textId="1B67DDFA" w:rsidR="00BB6A8C" w:rsidRPr="00704D7B" w:rsidRDefault="00BB6A8C" w:rsidP="00704D7B">
    <w:pPr>
      <w:pStyle w:val="Footer"/>
      <w:tabs>
        <w:tab w:val="right" w:pos="9638"/>
      </w:tabs>
      <w:rPr>
        <w:b/>
        <w:sz w:val="18"/>
      </w:rPr>
    </w:pPr>
    <w:r>
      <w:tab/>
    </w:r>
    <w:r w:rsidRPr="00704D7B">
      <w:rPr>
        <w:b/>
        <w:sz w:val="18"/>
      </w:rPr>
      <w:fldChar w:fldCharType="begin"/>
    </w:r>
    <w:r w:rsidRPr="00704D7B">
      <w:rPr>
        <w:b/>
        <w:sz w:val="18"/>
      </w:rPr>
      <w:instrText xml:space="preserve"> PAGE  \* MERGEFORMAT </w:instrText>
    </w:r>
    <w:r w:rsidRPr="00704D7B">
      <w:rPr>
        <w:b/>
        <w:sz w:val="18"/>
      </w:rPr>
      <w:fldChar w:fldCharType="separate"/>
    </w:r>
    <w:r>
      <w:rPr>
        <w:b/>
        <w:noProof/>
        <w:sz w:val="18"/>
      </w:rPr>
      <w:t>9</w:t>
    </w:r>
    <w:r w:rsidRPr="00704D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2AB4" w14:textId="7CE6D123" w:rsidR="00150314" w:rsidRDefault="00B10A67" w:rsidP="00B10A67">
    <w:pPr>
      <w:pStyle w:val="Footer"/>
    </w:pPr>
    <w:r>
      <w:rPr>
        <w:noProof/>
        <w:lang w:eastAsia="zh-CN"/>
      </w:rPr>
      <w:drawing>
        <wp:anchor distT="0" distB="0" distL="114300" distR="114300" simplePos="0" relativeHeight="251661312" behindDoc="1" locked="1" layoutInCell="1" allowOverlap="1" wp14:anchorId="7D5F1174" wp14:editId="432D92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5D067D" w14:textId="356BC979" w:rsidR="00B10A67" w:rsidRDefault="00B10A67" w:rsidP="00B10A67">
    <w:pPr>
      <w:pStyle w:val="Footer"/>
      <w:ind w:right="1134"/>
      <w:rPr>
        <w:sz w:val="20"/>
      </w:rPr>
    </w:pPr>
    <w:r>
      <w:rPr>
        <w:sz w:val="20"/>
      </w:rPr>
      <w:t>GE.20-12524(E)</w:t>
    </w:r>
  </w:p>
  <w:p w14:paraId="031CF87C" w14:textId="681FA0A2" w:rsidR="00B10A67" w:rsidRPr="00B10A67" w:rsidRDefault="00B10A67" w:rsidP="00B10A67">
    <w:pPr>
      <w:pStyle w:val="Footer"/>
      <w:ind w:right="1134"/>
      <w:rPr>
        <w:rFonts w:ascii="C39T30Lfz" w:hAnsi="C39T30Lfz"/>
        <w:sz w:val="56"/>
      </w:rPr>
    </w:pPr>
    <w:r>
      <w:rPr>
        <w:rFonts w:ascii="C39T30Lfz" w:hAnsi="C39T30Lfz"/>
        <w:sz w:val="56"/>
      </w:rPr>
      <w:t>*2012524*</w:t>
    </w:r>
    <w:r>
      <w:rPr>
        <w:rFonts w:ascii="C39T30Lfz" w:hAnsi="C39T30Lfz"/>
        <w:noProof/>
        <w:sz w:val="56"/>
      </w:rPr>
      <w:drawing>
        <wp:anchor distT="0" distB="0" distL="114300" distR="114300" simplePos="0" relativeHeight="251662336" behindDoc="0" locked="0" layoutInCell="1" allowOverlap="1" wp14:anchorId="2EC95A3D" wp14:editId="48F234A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7B3E" w14:textId="77777777" w:rsidR="00632790" w:rsidRPr="000B175B" w:rsidRDefault="00632790" w:rsidP="000B175B">
      <w:pPr>
        <w:tabs>
          <w:tab w:val="right" w:pos="2155"/>
        </w:tabs>
        <w:spacing w:after="80"/>
        <w:ind w:left="680"/>
        <w:rPr>
          <w:u w:val="single"/>
        </w:rPr>
      </w:pPr>
      <w:r>
        <w:rPr>
          <w:u w:val="single"/>
        </w:rPr>
        <w:tab/>
      </w:r>
    </w:p>
  </w:footnote>
  <w:footnote w:type="continuationSeparator" w:id="0">
    <w:p w14:paraId="67EEA782" w14:textId="77777777" w:rsidR="00632790" w:rsidRPr="00FC68B7" w:rsidRDefault="00632790" w:rsidP="00FC68B7">
      <w:pPr>
        <w:tabs>
          <w:tab w:val="left" w:pos="2155"/>
        </w:tabs>
        <w:spacing w:after="80"/>
        <w:ind w:left="680"/>
        <w:rPr>
          <w:u w:val="single"/>
        </w:rPr>
      </w:pPr>
      <w:r>
        <w:rPr>
          <w:u w:val="single"/>
        </w:rPr>
        <w:tab/>
      </w:r>
    </w:p>
  </w:footnote>
  <w:footnote w:type="continuationNotice" w:id="1">
    <w:p w14:paraId="2C84BF62" w14:textId="77777777" w:rsidR="00632790" w:rsidRDefault="00632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E5D3" w14:textId="4857BE97" w:rsidR="00BB6A8C" w:rsidRPr="00045A57" w:rsidRDefault="00B10A67">
    <w:pPr>
      <w:pStyle w:val="Header"/>
    </w:pPr>
    <w:fldSimple w:instr=" KEYWORDS  \* MERGEFORMAT ">
      <w:r w:rsidR="00BB6A8C">
        <w:t>ECE/CP.TEIA/2020</w:t>
      </w:r>
      <w:r w:rsidR="003D6AF0">
        <w:t>/10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6C6C" w14:textId="70620238" w:rsidR="00BB6A8C" w:rsidRPr="00704D7B" w:rsidRDefault="00B10A67" w:rsidP="00704D7B">
    <w:pPr>
      <w:pStyle w:val="Header"/>
      <w:jc w:val="right"/>
    </w:pPr>
    <w:fldSimple w:instr=" TITLE  \* MERGEFORMAT ">
      <w:r w:rsidR="00BB6A8C">
        <w:t>ECE/CP.TEIA/</w:t>
      </w:r>
    </w:fldSimple>
    <w:r w:rsidR="00BB6A8C">
      <w:t>2020/</w:t>
    </w:r>
    <w:r w:rsidR="00045A5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ED532C"/>
    <w:multiLevelType w:val="hybridMultilevel"/>
    <w:tmpl w:val="80B08826"/>
    <w:lvl w:ilvl="0" w:tplc="B486311C">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7B"/>
    <w:rsid w:val="00002A7D"/>
    <w:rsid w:val="000038A8"/>
    <w:rsid w:val="00004368"/>
    <w:rsid w:val="000058F9"/>
    <w:rsid w:val="00006790"/>
    <w:rsid w:val="00010264"/>
    <w:rsid w:val="00010E40"/>
    <w:rsid w:val="00011D9F"/>
    <w:rsid w:val="0002028F"/>
    <w:rsid w:val="000211BF"/>
    <w:rsid w:val="000250C8"/>
    <w:rsid w:val="00027624"/>
    <w:rsid w:val="00032E80"/>
    <w:rsid w:val="000351AC"/>
    <w:rsid w:val="0004219F"/>
    <w:rsid w:val="00045A57"/>
    <w:rsid w:val="000460D9"/>
    <w:rsid w:val="00050F6B"/>
    <w:rsid w:val="00053258"/>
    <w:rsid w:val="00061659"/>
    <w:rsid w:val="00065420"/>
    <w:rsid w:val="0006783E"/>
    <w:rsid w:val="000678CD"/>
    <w:rsid w:val="00072C8C"/>
    <w:rsid w:val="00073238"/>
    <w:rsid w:val="0007515F"/>
    <w:rsid w:val="000767C6"/>
    <w:rsid w:val="00076C4F"/>
    <w:rsid w:val="00081CE0"/>
    <w:rsid w:val="00084D30"/>
    <w:rsid w:val="00085B16"/>
    <w:rsid w:val="00090320"/>
    <w:rsid w:val="00090D4E"/>
    <w:rsid w:val="000931C0"/>
    <w:rsid w:val="000A21A6"/>
    <w:rsid w:val="000A265A"/>
    <w:rsid w:val="000A27E0"/>
    <w:rsid w:val="000A2E09"/>
    <w:rsid w:val="000A7AD7"/>
    <w:rsid w:val="000B0147"/>
    <w:rsid w:val="000B175B"/>
    <w:rsid w:val="000B2AF8"/>
    <w:rsid w:val="000B3A0F"/>
    <w:rsid w:val="000B4B62"/>
    <w:rsid w:val="000B6701"/>
    <w:rsid w:val="000C0583"/>
    <w:rsid w:val="000D0752"/>
    <w:rsid w:val="000E0415"/>
    <w:rsid w:val="000E499D"/>
    <w:rsid w:val="000F0135"/>
    <w:rsid w:val="000F7715"/>
    <w:rsid w:val="000F7C66"/>
    <w:rsid w:val="00100B7C"/>
    <w:rsid w:val="001034F0"/>
    <w:rsid w:val="00104CDE"/>
    <w:rsid w:val="00105C0D"/>
    <w:rsid w:val="00106CF8"/>
    <w:rsid w:val="00107BF1"/>
    <w:rsid w:val="001218AB"/>
    <w:rsid w:val="00123DE0"/>
    <w:rsid w:val="0013114F"/>
    <w:rsid w:val="0014173C"/>
    <w:rsid w:val="00150314"/>
    <w:rsid w:val="00152D41"/>
    <w:rsid w:val="00153DF3"/>
    <w:rsid w:val="00154775"/>
    <w:rsid w:val="00154D25"/>
    <w:rsid w:val="00156B99"/>
    <w:rsid w:val="00160C50"/>
    <w:rsid w:val="00163F82"/>
    <w:rsid w:val="00166124"/>
    <w:rsid w:val="001677D9"/>
    <w:rsid w:val="00175FA2"/>
    <w:rsid w:val="001829DE"/>
    <w:rsid w:val="00184DDA"/>
    <w:rsid w:val="001863FB"/>
    <w:rsid w:val="00187926"/>
    <w:rsid w:val="001900CD"/>
    <w:rsid w:val="001923CF"/>
    <w:rsid w:val="00196DB7"/>
    <w:rsid w:val="001A0452"/>
    <w:rsid w:val="001A34F4"/>
    <w:rsid w:val="001A44FB"/>
    <w:rsid w:val="001B2418"/>
    <w:rsid w:val="001B4B04"/>
    <w:rsid w:val="001B5875"/>
    <w:rsid w:val="001B5965"/>
    <w:rsid w:val="001B7C6F"/>
    <w:rsid w:val="001C0263"/>
    <w:rsid w:val="001C4B9C"/>
    <w:rsid w:val="001C6663"/>
    <w:rsid w:val="001C7814"/>
    <w:rsid w:val="001C7895"/>
    <w:rsid w:val="001C7E8A"/>
    <w:rsid w:val="001D26DF"/>
    <w:rsid w:val="001D589D"/>
    <w:rsid w:val="001E113B"/>
    <w:rsid w:val="001E5E9C"/>
    <w:rsid w:val="001F1599"/>
    <w:rsid w:val="001F19C4"/>
    <w:rsid w:val="001F2066"/>
    <w:rsid w:val="001F2B6D"/>
    <w:rsid w:val="001F2C6E"/>
    <w:rsid w:val="0020255F"/>
    <w:rsid w:val="002043F0"/>
    <w:rsid w:val="002078FD"/>
    <w:rsid w:val="00211E0B"/>
    <w:rsid w:val="00215DBC"/>
    <w:rsid w:val="00216E60"/>
    <w:rsid w:val="00222574"/>
    <w:rsid w:val="002267FF"/>
    <w:rsid w:val="00230309"/>
    <w:rsid w:val="002309EE"/>
    <w:rsid w:val="00232575"/>
    <w:rsid w:val="002337E1"/>
    <w:rsid w:val="00237837"/>
    <w:rsid w:val="0024092A"/>
    <w:rsid w:val="00243333"/>
    <w:rsid w:val="00243959"/>
    <w:rsid w:val="002446C7"/>
    <w:rsid w:val="002468FA"/>
    <w:rsid w:val="00247258"/>
    <w:rsid w:val="00251CA1"/>
    <w:rsid w:val="00253FB0"/>
    <w:rsid w:val="002549B9"/>
    <w:rsid w:val="00257CAC"/>
    <w:rsid w:val="0026044D"/>
    <w:rsid w:val="00265838"/>
    <w:rsid w:val="00266297"/>
    <w:rsid w:val="00271C7B"/>
    <w:rsid w:val="0027237A"/>
    <w:rsid w:val="002751C0"/>
    <w:rsid w:val="00280112"/>
    <w:rsid w:val="00283667"/>
    <w:rsid w:val="0028721E"/>
    <w:rsid w:val="00287BE1"/>
    <w:rsid w:val="0029152D"/>
    <w:rsid w:val="00294DB6"/>
    <w:rsid w:val="002974E9"/>
    <w:rsid w:val="002A26BE"/>
    <w:rsid w:val="002A51EA"/>
    <w:rsid w:val="002A7F94"/>
    <w:rsid w:val="002B109A"/>
    <w:rsid w:val="002B1736"/>
    <w:rsid w:val="002B1C67"/>
    <w:rsid w:val="002B5089"/>
    <w:rsid w:val="002B5452"/>
    <w:rsid w:val="002B64A2"/>
    <w:rsid w:val="002B6F21"/>
    <w:rsid w:val="002C6D45"/>
    <w:rsid w:val="002D4BCA"/>
    <w:rsid w:val="002D5890"/>
    <w:rsid w:val="002D6E53"/>
    <w:rsid w:val="002D7355"/>
    <w:rsid w:val="002E3A4F"/>
    <w:rsid w:val="002E3F34"/>
    <w:rsid w:val="002E4D0F"/>
    <w:rsid w:val="002E628A"/>
    <w:rsid w:val="002F046D"/>
    <w:rsid w:val="002F2D84"/>
    <w:rsid w:val="002F3023"/>
    <w:rsid w:val="002F4513"/>
    <w:rsid w:val="002F72DC"/>
    <w:rsid w:val="003003C1"/>
    <w:rsid w:val="00301764"/>
    <w:rsid w:val="003077FF"/>
    <w:rsid w:val="00313F79"/>
    <w:rsid w:val="003229D8"/>
    <w:rsid w:val="00324765"/>
    <w:rsid w:val="0033590C"/>
    <w:rsid w:val="00336C97"/>
    <w:rsid w:val="00337F88"/>
    <w:rsid w:val="003412B2"/>
    <w:rsid w:val="00342432"/>
    <w:rsid w:val="00345CE5"/>
    <w:rsid w:val="0035223F"/>
    <w:rsid w:val="00352D4B"/>
    <w:rsid w:val="00353E76"/>
    <w:rsid w:val="0035638C"/>
    <w:rsid w:val="003564BA"/>
    <w:rsid w:val="003663A7"/>
    <w:rsid w:val="00372310"/>
    <w:rsid w:val="00375ABA"/>
    <w:rsid w:val="003908AF"/>
    <w:rsid w:val="00396987"/>
    <w:rsid w:val="003A2209"/>
    <w:rsid w:val="003A25B6"/>
    <w:rsid w:val="003A46BB"/>
    <w:rsid w:val="003A48EC"/>
    <w:rsid w:val="003A4EC7"/>
    <w:rsid w:val="003A7295"/>
    <w:rsid w:val="003A767A"/>
    <w:rsid w:val="003B1F60"/>
    <w:rsid w:val="003B5ECF"/>
    <w:rsid w:val="003C2CC4"/>
    <w:rsid w:val="003C355D"/>
    <w:rsid w:val="003C3E42"/>
    <w:rsid w:val="003C60EB"/>
    <w:rsid w:val="003D4B23"/>
    <w:rsid w:val="003D6AF0"/>
    <w:rsid w:val="003D7D67"/>
    <w:rsid w:val="003E2554"/>
    <w:rsid w:val="003E274C"/>
    <w:rsid w:val="003E278A"/>
    <w:rsid w:val="003E6C54"/>
    <w:rsid w:val="003F276D"/>
    <w:rsid w:val="003F68DA"/>
    <w:rsid w:val="00400F94"/>
    <w:rsid w:val="00402E29"/>
    <w:rsid w:val="0040556B"/>
    <w:rsid w:val="00407619"/>
    <w:rsid w:val="00410444"/>
    <w:rsid w:val="0041323C"/>
    <w:rsid w:val="00413520"/>
    <w:rsid w:val="00422F4E"/>
    <w:rsid w:val="00423B34"/>
    <w:rsid w:val="00425AC9"/>
    <w:rsid w:val="00431DE3"/>
    <w:rsid w:val="004325CB"/>
    <w:rsid w:val="0043330D"/>
    <w:rsid w:val="004333EB"/>
    <w:rsid w:val="004335D3"/>
    <w:rsid w:val="0044014E"/>
    <w:rsid w:val="00440A07"/>
    <w:rsid w:val="004417E2"/>
    <w:rsid w:val="00441CF2"/>
    <w:rsid w:val="00444610"/>
    <w:rsid w:val="00452F14"/>
    <w:rsid w:val="004623AB"/>
    <w:rsid w:val="00462880"/>
    <w:rsid w:val="004674F2"/>
    <w:rsid w:val="00476F24"/>
    <w:rsid w:val="004816B4"/>
    <w:rsid w:val="00482DBF"/>
    <w:rsid w:val="0048470E"/>
    <w:rsid w:val="004848B5"/>
    <w:rsid w:val="004967AD"/>
    <w:rsid w:val="004A4B7C"/>
    <w:rsid w:val="004A58D5"/>
    <w:rsid w:val="004B1CA0"/>
    <w:rsid w:val="004B5E53"/>
    <w:rsid w:val="004C55B0"/>
    <w:rsid w:val="004C79C4"/>
    <w:rsid w:val="004D0DEE"/>
    <w:rsid w:val="004D4F02"/>
    <w:rsid w:val="004D5CD4"/>
    <w:rsid w:val="004D6A92"/>
    <w:rsid w:val="004D7D64"/>
    <w:rsid w:val="004E1D94"/>
    <w:rsid w:val="004E4241"/>
    <w:rsid w:val="004E6B51"/>
    <w:rsid w:val="004F36A5"/>
    <w:rsid w:val="004F6063"/>
    <w:rsid w:val="004F6BA0"/>
    <w:rsid w:val="004F7884"/>
    <w:rsid w:val="00502829"/>
    <w:rsid w:val="00503BEA"/>
    <w:rsid w:val="005051CC"/>
    <w:rsid w:val="00506FF1"/>
    <w:rsid w:val="00511F85"/>
    <w:rsid w:val="00525D2C"/>
    <w:rsid w:val="00533616"/>
    <w:rsid w:val="005347BD"/>
    <w:rsid w:val="00535ABA"/>
    <w:rsid w:val="0053714A"/>
    <w:rsid w:val="0053768B"/>
    <w:rsid w:val="005406E6"/>
    <w:rsid w:val="005420F2"/>
    <w:rsid w:val="0054285C"/>
    <w:rsid w:val="00545F3C"/>
    <w:rsid w:val="0056153E"/>
    <w:rsid w:val="005670AA"/>
    <w:rsid w:val="005720F6"/>
    <w:rsid w:val="0057420A"/>
    <w:rsid w:val="00584173"/>
    <w:rsid w:val="00590897"/>
    <w:rsid w:val="00590EE6"/>
    <w:rsid w:val="00594040"/>
    <w:rsid w:val="00595520"/>
    <w:rsid w:val="005A1D23"/>
    <w:rsid w:val="005A3EAC"/>
    <w:rsid w:val="005A44B9"/>
    <w:rsid w:val="005A5462"/>
    <w:rsid w:val="005A5751"/>
    <w:rsid w:val="005A7914"/>
    <w:rsid w:val="005B1BA0"/>
    <w:rsid w:val="005B1BF1"/>
    <w:rsid w:val="005B2525"/>
    <w:rsid w:val="005B3DB3"/>
    <w:rsid w:val="005B446C"/>
    <w:rsid w:val="005B56D0"/>
    <w:rsid w:val="005B6D17"/>
    <w:rsid w:val="005B786C"/>
    <w:rsid w:val="005C3BE3"/>
    <w:rsid w:val="005C4B8D"/>
    <w:rsid w:val="005C679F"/>
    <w:rsid w:val="005D1505"/>
    <w:rsid w:val="005D15CA"/>
    <w:rsid w:val="005E00B4"/>
    <w:rsid w:val="005E556C"/>
    <w:rsid w:val="005F08DF"/>
    <w:rsid w:val="005F3066"/>
    <w:rsid w:val="005F3E61"/>
    <w:rsid w:val="005F571B"/>
    <w:rsid w:val="006017C7"/>
    <w:rsid w:val="00601D11"/>
    <w:rsid w:val="006048F9"/>
    <w:rsid w:val="00604DDD"/>
    <w:rsid w:val="006115CC"/>
    <w:rsid w:val="00611FC4"/>
    <w:rsid w:val="0061490B"/>
    <w:rsid w:val="006156AB"/>
    <w:rsid w:val="00615CB2"/>
    <w:rsid w:val="006176FB"/>
    <w:rsid w:val="00617DB0"/>
    <w:rsid w:val="006249DD"/>
    <w:rsid w:val="00624FA3"/>
    <w:rsid w:val="0062626D"/>
    <w:rsid w:val="00630FCB"/>
    <w:rsid w:val="00632790"/>
    <w:rsid w:val="0063589A"/>
    <w:rsid w:val="00640B26"/>
    <w:rsid w:val="006459DE"/>
    <w:rsid w:val="00645E2C"/>
    <w:rsid w:val="00652438"/>
    <w:rsid w:val="0065301E"/>
    <w:rsid w:val="00656209"/>
    <w:rsid w:val="0065766B"/>
    <w:rsid w:val="00667FA0"/>
    <w:rsid w:val="00670D34"/>
    <w:rsid w:val="00675654"/>
    <w:rsid w:val="006759AF"/>
    <w:rsid w:val="00675B91"/>
    <w:rsid w:val="006770B2"/>
    <w:rsid w:val="0068198F"/>
    <w:rsid w:val="00685D8A"/>
    <w:rsid w:val="00686A48"/>
    <w:rsid w:val="00691045"/>
    <w:rsid w:val="006940E1"/>
    <w:rsid w:val="00695D8C"/>
    <w:rsid w:val="006A02DF"/>
    <w:rsid w:val="006A20C0"/>
    <w:rsid w:val="006A3C72"/>
    <w:rsid w:val="006A3D06"/>
    <w:rsid w:val="006A7392"/>
    <w:rsid w:val="006B03A1"/>
    <w:rsid w:val="006B4120"/>
    <w:rsid w:val="006B4F65"/>
    <w:rsid w:val="006B67D9"/>
    <w:rsid w:val="006C093C"/>
    <w:rsid w:val="006C542E"/>
    <w:rsid w:val="006C5535"/>
    <w:rsid w:val="006D0589"/>
    <w:rsid w:val="006D28B6"/>
    <w:rsid w:val="006D2B8A"/>
    <w:rsid w:val="006E4D1C"/>
    <w:rsid w:val="006E564B"/>
    <w:rsid w:val="006E65B1"/>
    <w:rsid w:val="006E7154"/>
    <w:rsid w:val="006E7AE5"/>
    <w:rsid w:val="006F006A"/>
    <w:rsid w:val="006F17B4"/>
    <w:rsid w:val="007003CD"/>
    <w:rsid w:val="00704D7B"/>
    <w:rsid w:val="007068B0"/>
    <w:rsid w:val="0070701E"/>
    <w:rsid w:val="00723802"/>
    <w:rsid w:val="00723B45"/>
    <w:rsid w:val="007262BD"/>
    <w:rsid w:val="0072632A"/>
    <w:rsid w:val="00727656"/>
    <w:rsid w:val="00730F64"/>
    <w:rsid w:val="007346FD"/>
    <w:rsid w:val="007358E8"/>
    <w:rsid w:val="00736ECE"/>
    <w:rsid w:val="0074136F"/>
    <w:rsid w:val="00742B28"/>
    <w:rsid w:val="007431EE"/>
    <w:rsid w:val="0074533B"/>
    <w:rsid w:val="00751ADF"/>
    <w:rsid w:val="00755DB6"/>
    <w:rsid w:val="00755FE2"/>
    <w:rsid w:val="00762A9E"/>
    <w:rsid w:val="007643BC"/>
    <w:rsid w:val="00774DE3"/>
    <w:rsid w:val="007802AF"/>
    <w:rsid w:val="00780C68"/>
    <w:rsid w:val="00785412"/>
    <w:rsid w:val="007863F3"/>
    <w:rsid w:val="00795005"/>
    <w:rsid w:val="007959FE"/>
    <w:rsid w:val="0079781C"/>
    <w:rsid w:val="007A0CF1"/>
    <w:rsid w:val="007A1043"/>
    <w:rsid w:val="007A1295"/>
    <w:rsid w:val="007A2058"/>
    <w:rsid w:val="007A6290"/>
    <w:rsid w:val="007A65EE"/>
    <w:rsid w:val="007A7E9C"/>
    <w:rsid w:val="007A7FA0"/>
    <w:rsid w:val="007B6BA5"/>
    <w:rsid w:val="007B75F1"/>
    <w:rsid w:val="007B7D9C"/>
    <w:rsid w:val="007C32FD"/>
    <w:rsid w:val="007C3390"/>
    <w:rsid w:val="007C42D8"/>
    <w:rsid w:val="007C4B09"/>
    <w:rsid w:val="007C4F4B"/>
    <w:rsid w:val="007C77A0"/>
    <w:rsid w:val="007D12F3"/>
    <w:rsid w:val="007D53A1"/>
    <w:rsid w:val="007D7362"/>
    <w:rsid w:val="007E4C77"/>
    <w:rsid w:val="007E5F1C"/>
    <w:rsid w:val="007E65C0"/>
    <w:rsid w:val="007E65D0"/>
    <w:rsid w:val="007E74BD"/>
    <w:rsid w:val="007F5CE2"/>
    <w:rsid w:val="007F6611"/>
    <w:rsid w:val="0080437D"/>
    <w:rsid w:val="00804633"/>
    <w:rsid w:val="0080500D"/>
    <w:rsid w:val="00807C1D"/>
    <w:rsid w:val="00810410"/>
    <w:rsid w:val="00810BAC"/>
    <w:rsid w:val="00810F8A"/>
    <w:rsid w:val="00814D4F"/>
    <w:rsid w:val="008175E9"/>
    <w:rsid w:val="00820526"/>
    <w:rsid w:val="00821A0D"/>
    <w:rsid w:val="00821C50"/>
    <w:rsid w:val="00822C7C"/>
    <w:rsid w:val="0082424D"/>
    <w:rsid w:val="008242D7"/>
    <w:rsid w:val="0082577B"/>
    <w:rsid w:val="00826780"/>
    <w:rsid w:val="00832705"/>
    <w:rsid w:val="00833A2A"/>
    <w:rsid w:val="00835F22"/>
    <w:rsid w:val="0083645A"/>
    <w:rsid w:val="008365FE"/>
    <w:rsid w:val="008375F3"/>
    <w:rsid w:val="00844B13"/>
    <w:rsid w:val="00845D81"/>
    <w:rsid w:val="0084673D"/>
    <w:rsid w:val="00865299"/>
    <w:rsid w:val="008658E4"/>
    <w:rsid w:val="00866893"/>
    <w:rsid w:val="00866F02"/>
    <w:rsid w:val="00867D18"/>
    <w:rsid w:val="00871F9A"/>
    <w:rsid w:val="00871FD5"/>
    <w:rsid w:val="00873251"/>
    <w:rsid w:val="00875403"/>
    <w:rsid w:val="00875BEC"/>
    <w:rsid w:val="00876D66"/>
    <w:rsid w:val="00876F18"/>
    <w:rsid w:val="0088172E"/>
    <w:rsid w:val="00881EFA"/>
    <w:rsid w:val="00886DD0"/>
    <w:rsid w:val="008879CB"/>
    <w:rsid w:val="00891A4B"/>
    <w:rsid w:val="00892A74"/>
    <w:rsid w:val="00896353"/>
    <w:rsid w:val="008979B1"/>
    <w:rsid w:val="008A4019"/>
    <w:rsid w:val="008A405E"/>
    <w:rsid w:val="008A4AD0"/>
    <w:rsid w:val="008A6B25"/>
    <w:rsid w:val="008A6C4F"/>
    <w:rsid w:val="008A76C4"/>
    <w:rsid w:val="008B059C"/>
    <w:rsid w:val="008B3647"/>
    <w:rsid w:val="008B389E"/>
    <w:rsid w:val="008B6408"/>
    <w:rsid w:val="008C389F"/>
    <w:rsid w:val="008C4835"/>
    <w:rsid w:val="008C7705"/>
    <w:rsid w:val="008D045E"/>
    <w:rsid w:val="008D3324"/>
    <w:rsid w:val="008D348E"/>
    <w:rsid w:val="008D3F25"/>
    <w:rsid w:val="008D4D82"/>
    <w:rsid w:val="008D5A3D"/>
    <w:rsid w:val="008E0E46"/>
    <w:rsid w:val="008E58A4"/>
    <w:rsid w:val="008E658D"/>
    <w:rsid w:val="008E6FDF"/>
    <w:rsid w:val="008E7116"/>
    <w:rsid w:val="008E7837"/>
    <w:rsid w:val="008E7F27"/>
    <w:rsid w:val="008F0E85"/>
    <w:rsid w:val="008F143B"/>
    <w:rsid w:val="008F3677"/>
    <w:rsid w:val="008F3882"/>
    <w:rsid w:val="008F4B7C"/>
    <w:rsid w:val="008F4CF1"/>
    <w:rsid w:val="008F6AFD"/>
    <w:rsid w:val="008F71DD"/>
    <w:rsid w:val="008F72C3"/>
    <w:rsid w:val="0090130B"/>
    <w:rsid w:val="00902F6F"/>
    <w:rsid w:val="009048A3"/>
    <w:rsid w:val="00907A96"/>
    <w:rsid w:val="00912793"/>
    <w:rsid w:val="00912CF4"/>
    <w:rsid w:val="00921002"/>
    <w:rsid w:val="009225B7"/>
    <w:rsid w:val="00926E47"/>
    <w:rsid w:val="009272FF"/>
    <w:rsid w:val="00931ED5"/>
    <w:rsid w:val="00934523"/>
    <w:rsid w:val="00941C4D"/>
    <w:rsid w:val="00942D0A"/>
    <w:rsid w:val="00942F1D"/>
    <w:rsid w:val="00944459"/>
    <w:rsid w:val="00947162"/>
    <w:rsid w:val="0095521B"/>
    <w:rsid w:val="009610D0"/>
    <w:rsid w:val="0096375C"/>
    <w:rsid w:val="009662E6"/>
    <w:rsid w:val="0096731E"/>
    <w:rsid w:val="0097095E"/>
    <w:rsid w:val="009723B0"/>
    <w:rsid w:val="00973CE6"/>
    <w:rsid w:val="00974C03"/>
    <w:rsid w:val="00981794"/>
    <w:rsid w:val="009831C3"/>
    <w:rsid w:val="0098592B"/>
    <w:rsid w:val="00985FC4"/>
    <w:rsid w:val="00990766"/>
    <w:rsid w:val="00991261"/>
    <w:rsid w:val="00992ABD"/>
    <w:rsid w:val="00993168"/>
    <w:rsid w:val="00994388"/>
    <w:rsid w:val="009964C4"/>
    <w:rsid w:val="009A279D"/>
    <w:rsid w:val="009A6E07"/>
    <w:rsid w:val="009A6FCB"/>
    <w:rsid w:val="009A7B81"/>
    <w:rsid w:val="009B0471"/>
    <w:rsid w:val="009C2E8B"/>
    <w:rsid w:val="009C5D95"/>
    <w:rsid w:val="009D01C0"/>
    <w:rsid w:val="009D07AE"/>
    <w:rsid w:val="009D6A08"/>
    <w:rsid w:val="009E0A16"/>
    <w:rsid w:val="009E25D5"/>
    <w:rsid w:val="009E6CB7"/>
    <w:rsid w:val="009E7970"/>
    <w:rsid w:val="009F2EAC"/>
    <w:rsid w:val="009F3215"/>
    <w:rsid w:val="009F57E3"/>
    <w:rsid w:val="009F74AA"/>
    <w:rsid w:val="00A0552C"/>
    <w:rsid w:val="00A05892"/>
    <w:rsid w:val="00A07F91"/>
    <w:rsid w:val="00A10F4F"/>
    <w:rsid w:val="00A11067"/>
    <w:rsid w:val="00A11242"/>
    <w:rsid w:val="00A1704A"/>
    <w:rsid w:val="00A20606"/>
    <w:rsid w:val="00A3629A"/>
    <w:rsid w:val="00A366AA"/>
    <w:rsid w:val="00A425EB"/>
    <w:rsid w:val="00A45985"/>
    <w:rsid w:val="00A53C00"/>
    <w:rsid w:val="00A701D0"/>
    <w:rsid w:val="00A720BA"/>
    <w:rsid w:val="00A72F22"/>
    <w:rsid w:val="00A733BC"/>
    <w:rsid w:val="00A748A6"/>
    <w:rsid w:val="00A76A69"/>
    <w:rsid w:val="00A81B40"/>
    <w:rsid w:val="00A837E3"/>
    <w:rsid w:val="00A8434F"/>
    <w:rsid w:val="00A86EC6"/>
    <w:rsid w:val="00A879A4"/>
    <w:rsid w:val="00A90537"/>
    <w:rsid w:val="00A9107C"/>
    <w:rsid w:val="00AA0FF8"/>
    <w:rsid w:val="00AA40BE"/>
    <w:rsid w:val="00AB134D"/>
    <w:rsid w:val="00AC0A24"/>
    <w:rsid w:val="00AC0F2C"/>
    <w:rsid w:val="00AC390F"/>
    <w:rsid w:val="00AC4EF4"/>
    <w:rsid w:val="00AC502A"/>
    <w:rsid w:val="00AC6B5D"/>
    <w:rsid w:val="00AD1A06"/>
    <w:rsid w:val="00AD6EC0"/>
    <w:rsid w:val="00AD7A23"/>
    <w:rsid w:val="00AE0A40"/>
    <w:rsid w:val="00AE0E8F"/>
    <w:rsid w:val="00AE10D0"/>
    <w:rsid w:val="00AE15E5"/>
    <w:rsid w:val="00AE581C"/>
    <w:rsid w:val="00AF58C1"/>
    <w:rsid w:val="00AF5CA5"/>
    <w:rsid w:val="00B04A3F"/>
    <w:rsid w:val="00B064FA"/>
    <w:rsid w:val="00B06643"/>
    <w:rsid w:val="00B10A67"/>
    <w:rsid w:val="00B14B5D"/>
    <w:rsid w:val="00B15055"/>
    <w:rsid w:val="00B1563B"/>
    <w:rsid w:val="00B20551"/>
    <w:rsid w:val="00B2581A"/>
    <w:rsid w:val="00B30179"/>
    <w:rsid w:val="00B33FC7"/>
    <w:rsid w:val="00B35C9D"/>
    <w:rsid w:val="00B37B15"/>
    <w:rsid w:val="00B426CB"/>
    <w:rsid w:val="00B443FC"/>
    <w:rsid w:val="00B45C02"/>
    <w:rsid w:val="00B46497"/>
    <w:rsid w:val="00B476A9"/>
    <w:rsid w:val="00B56070"/>
    <w:rsid w:val="00B61D35"/>
    <w:rsid w:val="00B626AB"/>
    <w:rsid w:val="00B65E75"/>
    <w:rsid w:val="00B67A63"/>
    <w:rsid w:val="00B70986"/>
    <w:rsid w:val="00B70B63"/>
    <w:rsid w:val="00B72A1E"/>
    <w:rsid w:val="00B7639E"/>
    <w:rsid w:val="00B81E12"/>
    <w:rsid w:val="00B81E71"/>
    <w:rsid w:val="00B86442"/>
    <w:rsid w:val="00B93348"/>
    <w:rsid w:val="00B94D08"/>
    <w:rsid w:val="00BA339B"/>
    <w:rsid w:val="00BA6808"/>
    <w:rsid w:val="00BA7C59"/>
    <w:rsid w:val="00BA7E7D"/>
    <w:rsid w:val="00BB3C5D"/>
    <w:rsid w:val="00BB66FC"/>
    <w:rsid w:val="00BB6A8C"/>
    <w:rsid w:val="00BC1E7E"/>
    <w:rsid w:val="00BC40A5"/>
    <w:rsid w:val="00BC74E9"/>
    <w:rsid w:val="00BC78ED"/>
    <w:rsid w:val="00BD0A63"/>
    <w:rsid w:val="00BD6B69"/>
    <w:rsid w:val="00BE36A9"/>
    <w:rsid w:val="00BE4DE6"/>
    <w:rsid w:val="00BE618E"/>
    <w:rsid w:val="00BE7BEC"/>
    <w:rsid w:val="00BF0A5A"/>
    <w:rsid w:val="00BF0E63"/>
    <w:rsid w:val="00BF12A3"/>
    <w:rsid w:val="00BF1623"/>
    <w:rsid w:val="00BF16D7"/>
    <w:rsid w:val="00BF2373"/>
    <w:rsid w:val="00C01BCC"/>
    <w:rsid w:val="00C01EE3"/>
    <w:rsid w:val="00C03B5D"/>
    <w:rsid w:val="00C044E2"/>
    <w:rsid w:val="00C048CB"/>
    <w:rsid w:val="00C066F3"/>
    <w:rsid w:val="00C15FDF"/>
    <w:rsid w:val="00C16C1C"/>
    <w:rsid w:val="00C24CB3"/>
    <w:rsid w:val="00C25E0C"/>
    <w:rsid w:val="00C30621"/>
    <w:rsid w:val="00C31337"/>
    <w:rsid w:val="00C31882"/>
    <w:rsid w:val="00C34917"/>
    <w:rsid w:val="00C357AA"/>
    <w:rsid w:val="00C36F42"/>
    <w:rsid w:val="00C37E7F"/>
    <w:rsid w:val="00C43C4C"/>
    <w:rsid w:val="00C463DD"/>
    <w:rsid w:val="00C5451A"/>
    <w:rsid w:val="00C6124E"/>
    <w:rsid w:val="00C64DB9"/>
    <w:rsid w:val="00C64EAE"/>
    <w:rsid w:val="00C664D3"/>
    <w:rsid w:val="00C66E0D"/>
    <w:rsid w:val="00C67521"/>
    <w:rsid w:val="00C71DE8"/>
    <w:rsid w:val="00C7297C"/>
    <w:rsid w:val="00C73469"/>
    <w:rsid w:val="00C73EE9"/>
    <w:rsid w:val="00C74070"/>
    <w:rsid w:val="00C745C3"/>
    <w:rsid w:val="00C8624E"/>
    <w:rsid w:val="00C960C7"/>
    <w:rsid w:val="00C978F5"/>
    <w:rsid w:val="00CA23C5"/>
    <w:rsid w:val="00CA24A4"/>
    <w:rsid w:val="00CB2634"/>
    <w:rsid w:val="00CB348D"/>
    <w:rsid w:val="00CC04B6"/>
    <w:rsid w:val="00CC4C65"/>
    <w:rsid w:val="00CD2A7D"/>
    <w:rsid w:val="00CD46F5"/>
    <w:rsid w:val="00CD5256"/>
    <w:rsid w:val="00CE3FD2"/>
    <w:rsid w:val="00CE4A8F"/>
    <w:rsid w:val="00CE4E57"/>
    <w:rsid w:val="00CE7B23"/>
    <w:rsid w:val="00CF0382"/>
    <w:rsid w:val="00CF071D"/>
    <w:rsid w:val="00CF712B"/>
    <w:rsid w:val="00D0028E"/>
    <w:rsid w:val="00D0123D"/>
    <w:rsid w:val="00D01875"/>
    <w:rsid w:val="00D0360C"/>
    <w:rsid w:val="00D10141"/>
    <w:rsid w:val="00D11CDB"/>
    <w:rsid w:val="00D14A60"/>
    <w:rsid w:val="00D15B04"/>
    <w:rsid w:val="00D2031B"/>
    <w:rsid w:val="00D22023"/>
    <w:rsid w:val="00D25FE2"/>
    <w:rsid w:val="00D306EB"/>
    <w:rsid w:val="00D35049"/>
    <w:rsid w:val="00D37DA9"/>
    <w:rsid w:val="00D406A7"/>
    <w:rsid w:val="00D42A9E"/>
    <w:rsid w:val="00D43252"/>
    <w:rsid w:val="00D44D86"/>
    <w:rsid w:val="00D50B7D"/>
    <w:rsid w:val="00D52012"/>
    <w:rsid w:val="00D55493"/>
    <w:rsid w:val="00D55828"/>
    <w:rsid w:val="00D57D04"/>
    <w:rsid w:val="00D6395D"/>
    <w:rsid w:val="00D6673B"/>
    <w:rsid w:val="00D6711B"/>
    <w:rsid w:val="00D704E5"/>
    <w:rsid w:val="00D72727"/>
    <w:rsid w:val="00D734B0"/>
    <w:rsid w:val="00D84809"/>
    <w:rsid w:val="00D86E07"/>
    <w:rsid w:val="00D96268"/>
    <w:rsid w:val="00D978C6"/>
    <w:rsid w:val="00DA033C"/>
    <w:rsid w:val="00DA0956"/>
    <w:rsid w:val="00DA0CEF"/>
    <w:rsid w:val="00DA252A"/>
    <w:rsid w:val="00DA357F"/>
    <w:rsid w:val="00DA3E12"/>
    <w:rsid w:val="00DB43B6"/>
    <w:rsid w:val="00DB53A6"/>
    <w:rsid w:val="00DB58E7"/>
    <w:rsid w:val="00DC18AD"/>
    <w:rsid w:val="00DC2465"/>
    <w:rsid w:val="00DD201E"/>
    <w:rsid w:val="00DD6985"/>
    <w:rsid w:val="00DD7D70"/>
    <w:rsid w:val="00DE0B8C"/>
    <w:rsid w:val="00DF3156"/>
    <w:rsid w:val="00DF61DE"/>
    <w:rsid w:val="00DF7CAE"/>
    <w:rsid w:val="00E0564D"/>
    <w:rsid w:val="00E13ED1"/>
    <w:rsid w:val="00E15EED"/>
    <w:rsid w:val="00E17D2D"/>
    <w:rsid w:val="00E22C35"/>
    <w:rsid w:val="00E22D5B"/>
    <w:rsid w:val="00E2369B"/>
    <w:rsid w:val="00E27858"/>
    <w:rsid w:val="00E368F2"/>
    <w:rsid w:val="00E40357"/>
    <w:rsid w:val="00E40FC3"/>
    <w:rsid w:val="00E423C0"/>
    <w:rsid w:val="00E43F34"/>
    <w:rsid w:val="00E4624C"/>
    <w:rsid w:val="00E51C19"/>
    <w:rsid w:val="00E53F30"/>
    <w:rsid w:val="00E6414C"/>
    <w:rsid w:val="00E65A94"/>
    <w:rsid w:val="00E669C0"/>
    <w:rsid w:val="00E7072C"/>
    <w:rsid w:val="00E7260F"/>
    <w:rsid w:val="00E73D63"/>
    <w:rsid w:val="00E74C36"/>
    <w:rsid w:val="00E84062"/>
    <w:rsid w:val="00E85F93"/>
    <w:rsid w:val="00E8702D"/>
    <w:rsid w:val="00E905F4"/>
    <w:rsid w:val="00E916A9"/>
    <w:rsid w:val="00E916DE"/>
    <w:rsid w:val="00E925AD"/>
    <w:rsid w:val="00E940B4"/>
    <w:rsid w:val="00E96630"/>
    <w:rsid w:val="00E973FB"/>
    <w:rsid w:val="00E97B5D"/>
    <w:rsid w:val="00E97FC8"/>
    <w:rsid w:val="00EA63A7"/>
    <w:rsid w:val="00EA6798"/>
    <w:rsid w:val="00EA6D6D"/>
    <w:rsid w:val="00EB1174"/>
    <w:rsid w:val="00EB51ED"/>
    <w:rsid w:val="00EB7432"/>
    <w:rsid w:val="00EC18B7"/>
    <w:rsid w:val="00EC38FF"/>
    <w:rsid w:val="00EC404E"/>
    <w:rsid w:val="00EC6C54"/>
    <w:rsid w:val="00ED18DC"/>
    <w:rsid w:val="00ED2793"/>
    <w:rsid w:val="00ED59D9"/>
    <w:rsid w:val="00ED6201"/>
    <w:rsid w:val="00ED7A2A"/>
    <w:rsid w:val="00EF1D7F"/>
    <w:rsid w:val="00EF6ED4"/>
    <w:rsid w:val="00F0137E"/>
    <w:rsid w:val="00F07FF0"/>
    <w:rsid w:val="00F110CC"/>
    <w:rsid w:val="00F21687"/>
    <w:rsid w:val="00F21786"/>
    <w:rsid w:val="00F26697"/>
    <w:rsid w:val="00F27136"/>
    <w:rsid w:val="00F3742B"/>
    <w:rsid w:val="00F40AC6"/>
    <w:rsid w:val="00F41FDB"/>
    <w:rsid w:val="00F54437"/>
    <w:rsid w:val="00F56D63"/>
    <w:rsid w:val="00F609A9"/>
    <w:rsid w:val="00F640A5"/>
    <w:rsid w:val="00F666C5"/>
    <w:rsid w:val="00F707C2"/>
    <w:rsid w:val="00F745F8"/>
    <w:rsid w:val="00F76A02"/>
    <w:rsid w:val="00F80C99"/>
    <w:rsid w:val="00F8672E"/>
    <w:rsid w:val="00F867EC"/>
    <w:rsid w:val="00F9014E"/>
    <w:rsid w:val="00F91353"/>
    <w:rsid w:val="00F91A41"/>
    <w:rsid w:val="00F91B2B"/>
    <w:rsid w:val="00F94E2B"/>
    <w:rsid w:val="00F96726"/>
    <w:rsid w:val="00FA0318"/>
    <w:rsid w:val="00FA6305"/>
    <w:rsid w:val="00FB0598"/>
    <w:rsid w:val="00FB2BD7"/>
    <w:rsid w:val="00FC03CD"/>
    <w:rsid w:val="00FC0646"/>
    <w:rsid w:val="00FC3A0F"/>
    <w:rsid w:val="00FC68B7"/>
    <w:rsid w:val="00FC6D92"/>
    <w:rsid w:val="00FC70B0"/>
    <w:rsid w:val="00FD002D"/>
    <w:rsid w:val="00FD3799"/>
    <w:rsid w:val="00FD625F"/>
    <w:rsid w:val="00FD69FA"/>
    <w:rsid w:val="00FD701F"/>
    <w:rsid w:val="00FE686D"/>
    <w:rsid w:val="00FE688E"/>
    <w:rsid w:val="00FE6985"/>
    <w:rsid w:val="00FF49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5663"/>
  <w15:docId w15:val="{0031D4C4-A9E1-4572-8141-2CC51FD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styleId="CommentReference">
    <w:name w:val="annotation reference"/>
    <w:basedOn w:val="DefaultParagraphFont"/>
    <w:unhideWhenUsed/>
    <w:rsid w:val="00280112"/>
    <w:rPr>
      <w:sz w:val="16"/>
      <w:szCs w:val="16"/>
    </w:rPr>
  </w:style>
  <w:style w:type="paragraph" w:styleId="CommentText">
    <w:name w:val="annotation text"/>
    <w:basedOn w:val="Normal"/>
    <w:link w:val="CommentTextChar"/>
    <w:unhideWhenUsed/>
    <w:rsid w:val="00280112"/>
    <w:pPr>
      <w:spacing w:line="240" w:lineRule="auto"/>
    </w:pPr>
  </w:style>
  <w:style w:type="character" w:customStyle="1" w:styleId="CommentTextChar">
    <w:name w:val="Comment Text Char"/>
    <w:basedOn w:val="DefaultParagraphFont"/>
    <w:link w:val="CommentText"/>
    <w:rsid w:val="00280112"/>
    <w:rPr>
      <w:lang w:val="en-GB"/>
    </w:rPr>
  </w:style>
  <w:style w:type="paragraph" w:styleId="CommentSubject">
    <w:name w:val="annotation subject"/>
    <w:basedOn w:val="CommentText"/>
    <w:next w:val="CommentText"/>
    <w:link w:val="CommentSubjectChar"/>
    <w:semiHidden/>
    <w:unhideWhenUsed/>
    <w:rsid w:val="00280112"/>
    <w:rPr>
      <w:b/>
      <w:bCs/>
    </w:rPr>
  </w:style>
  <w:style w:type="character" w:customStyle="1" w:styleId="CommentSubjectChar">
    <w:name w:val="Comment Subject Char"/>
    <w:basedOn w:val="CommentTextChar"/>
    <w:link w:val="CommentSubject"/>
    <w:semiHidden/>
    <w:rsid w:val="00280112"/>
    <w:rPr>
      <w:b/>
      <w:bCs/>
      <w:lang w:val="en-GB"/>
    </w:rPr>
  </w:style>
  <w:style w:type="character" w:customStyle="1" w:styleId="UnresolvedMention1">
    <w:name w:val="Unresolved Mention1"/>
    <w:basedOn w:val="DefaultParagraphFont"/>
    <w:uiPriority w:val="99"/>
    <w:semiHidden/>
    <w:unhideWhenUsed/>
    <w:rsid w:val="00C36F42"/>
    <w:rPr>
      <w:color w:val="605E5C"/>
      <w:shd w:val="clear" w:color="auto" w:fill="E1DFDD"/>
    </w:rPr>
  </w:style>
  <w:style w:type="paragraph" w:styleId="Revision">
    <w:name w:val="Revision"/>
    <w:hidden/>
    <w:uiPriority w:val="99"/>
    <w:semiHidden/>
    <w:rsid w:val="000767C6"/>
    <w:rPr>
      <w:lang w:val="en-GB"/>
    </w:rPr>
  </w:style>
  <w:style w:type="character" w:styleId="UnresolvedMention">
    <w:name w:val="Unresolved Mention"/>
    <w:basedOn w:val="DefaultParagraphFont"/>
    <w:uiPriority w:val="99"/>
    <w:semiHidden/>
    <w:unhideWhenUsed/>
    <w:rsid w:val="001829DE"/>
    <w:rPr>
      <w:color w:val="605E5C"/>
      <w:shd w:val="clear" w:color="auto" w:fill="E1DFDD"/>
    </w:rPr>
  </w:style>
  <w:style w:type="character" w:customStyle="1" w:styleId="FootnoteTextChar">
    <w:name w:val="Footnote Text Char"/>
    <w:aliases w:val="5_G Char"/>
    <w:basedOn w:val="DefaultParagraphFont"/>
    <w:link w:val="FootnoteText"/>
    <w:uiPriority w:val="99"/>
    <w:rsid w:val="00CE4E57"/>
    <w:rPr>
      <w:sz w:val="18"/>
      <w:lang w:val="en-GB"/>
    </w:rPr>
  </w:style>
  <w:style w:type="character" w:customStyle="1" w:styleId="HChGChar">
    <w:name w:val="_ H _Ch_G Char"/>
    <w:link w:val="HChG"/>
    <w:locked/>
    <w:rsid w:val="00D6711B"/>
    <w:rPr>
      <w:b/>
      <w:sz w:val="28"/>
      <w:lang w:val="en-GB"/>
    </w:rPr>
  </w:style>
  <w:style w:type="character" w:customStyle="1" w:styleId="SingleTxtGChar">
    <w:name w:val="_ Single Txt_G Char"/>
    <w:link w:val="SingleTxtG"/>
    <w:locked/>
    <w:rsid w:val="00D6711B"/>
    <w:rPr>
      <w:lang w:val="en-GB"/>
    </w:rPr>
  </w:style>
  <w:style w:type="paragraph" w:styleId="ListParagraph">
    <w:name w:val="List Paragraph"/>
    <w:basedOn w:val="Normal"/>
    <w:uiPriority w:val="34"/>
    <w:qFormat/>
    <w:rsid w:val="007A1295"/>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881">
      <w:bodyDiv w:val="1"/>
      <w:marLeft w:val="0"/>
      <w:marRight w:val="0"/>
      <w:marTop w:val="0"/>
      <w:marBottom w:val="0"/>
      <w:divBdr>
        <w:top w:val="none" w:sz="0" w:space="0" w:color="auto"/>
        <w:left w:val="none" w:sz="0" w:space="0" w:color="auto"/>
        <w:bottom w:val="none" w:sz="0" w:space="0" w:color="auto"/>
        <w:right w:val="none" w:sz="0" w:space="0" w:color="auto"/>
      </w:divBdr>
    </w:div>
    <w:div w:id="8018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0960-CD5F-4398-8A10-DAD9F9D5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ECE/CP.TEIA/2020/10</vt:lpstr>
      <vt:lpstr>United Nations</vt:lpstr>
    </vt:vector>
  </TitlesOfParts>
  <Company>CSD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ECE/CP.TEIA/2020/10</dc:title>
  <dc:subject>2012524</dc:subject>
  <dc:creator>Generic Pdf eng</dc:creator>
  <cp:keywords/>
  <dc:description/>
  <cp:lastModifiedBy>Olga Carlos</cp:lastModifiedBy>
  <cp:revision>2</cp:revision>
  <cp:lastPrinted>2009-02-18T09:36:00Z</cp:lastPrinted>
  <dcterms:created xsi:type="dcterms:W3CDTF">2020-10-15T10:48:00Z</dcterms:created>
  <dcterms:modified xsi:type="dcterms:W3CDTF">2020-10-15T10:48:00Z</dcterms:modified>
</cp:coreProperties>
</file>