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B67A12" w:rsidTr="00295CCA">
        <w:trPr>
          <w:trHeight w:hRule="exact" w:val="851"/>
        </w:trPr>
        <w:tc>
          <w:tcPr>
            <w:tcW w:w="1276" w:type="dxa"/>
            <w:tcBorders>
              <w:bottom w:val="single" w:sz="4" w:space="0" w:color="auto"/>
            </w:tcBorders>
          </w:tcPr>
          <w:p w:rsidR="001433FD" w:rsidRPr="00B67A12" w:rsidRDefault="001433FD" w:rsidP="00C26AAA">
            <w:bookmarkStart w:id="0" w:name="_GoBack"/>
            <w:bookmarkEnd w:id="0"/>
          </w:p>
        </w:tc>
        <w:tc>
          <w:tcPr>
            <w:tcW w:w="2268" w:type="dxa"/>
            <w:tcBorders>
              <w:bottom w:val="single" w:sz="4" w:space="0" w:color="auto"/>
            </w:tcBorders>
            <w:vAlign w:val="bottom"/>
          </w:tcPr>
          <w:p w:rsidR="001433FD" w:rsidRPr="00B67A12" w:rsidRDefault="001433FD" w:rsidP="00295CCA">
            <w:pPr>
              <w:spacing w:after="80" w:line="300" w:lineRule="exact"/>
              <w:rPr>
                <w:sz w:val="28"/>
              </w:rPr>
            </w:pPr>
            <w:r w:rsidRPr="00B67A12">
              <w:rPr>
                <w:sz w:val="28"/>
              </w:rPr>
              <w:t>Nations Unies</w:t>
            </w:r>
          </w:p>
        </w:tc>
        <w:tc>
          <w:tcPr>
            <w:tcW w:w="6095" w:type="dxa"/>
            <w:gridSpan w:val="2"/>
            <w:tcBorders>
              <w:bottom w:val="single" w:sz="4" w:space="0" w:color="auto"/>
            </w:tcBorders>
            <w:vAlign w:val="bottom"/>
          </w:tcPr>
          <w:p w:rsidR="001433FD" w:rsidRPr="00B67A12" w:rsidRDefault="00C26AAA" w:rsidP="00C26AAA">
            <w:pPr>
              <w:jc w:val="right"/>
            </w:pPr>
            <w:r w:rsidRPr="00B67A12">
              <w:rPr>
                <w:sz w:val="40"/>
              </w:rPr>
              <w:t>ECE</w:t>
            </w:r>
            <w:r w:rsidRPr="00B67A12">
              <w:t>/CEP/2019/8</w:t>
            </w:r>
          </w:p>
        </w:tc>
      </w:tr>
      <w:tr w:rsidR="001433FD" w:rsidRPr="00B67A12" w:rsidTr="00295CCA">
        <w:trPr>
          <w:trHeight w:hRule="exact" w:val="2835"/>
        </w:trPr>
        <w:tc>
          <w:tcPr>
            <w:tcW w:w="1276" w:type="dxa"/>
            <w:tcBorders>
              <w:top w:val="single" w:sz="4" w:space="0" w:color="auto"/>
              <w:bottom w:val="single" w:sz="12" w:space="0" w:color="auto"/>
            </w:tcBorders>
          </w:tcPr>
          <w:p w:rsidR="001433FD" w:rsidRPr="00B67A12" w:rsidRDefault="001433FD" w:rsidP="00295CCA">
            <w:pPr>
              <w:spacing w:before="120"/>
              <w:jc w:val="center"/>
            </w:pPr>
            <w:r w:rsidRPr="00B67A12">
              <w:rPr>
                <w:noProof/>
                <w:lang w:eastAsia="fr-CH"/>
              </w:rPr>
              <w:drawing>
                <wp:inline distT="0" distB="0" distL="0" distR="0" wp14:anchorId="50F5EF4C" wp14:editId="05EA276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B67A12" w:rsidRDefault="001433FD" w:rsidP="00295CCA">
            <w:pPr>
              <w:spacing w:before="120" w:line="420" w:lineRule="exact"/>
              <w:rPr>
                <w:b/>
                <w:sz w:val="40"/>
                <w:szCs w:val="40"/>
              </w:rPr>
            </w:pPr>
            <w:r w:rsidRPr="00B67A12">
              <w:rPr>
                <w:b/>
                <w:sz w:val="40"/>
                <w:szCs w:val="40"/>
              </w:rPr>
              <w:t>Conseil économique et social</w:t>
            </w:r>
          </w:p>
        </w:tc>
        <w:tc>
          <w:tcPr>
            <w:tcW w:w="2835" w:type="dxa"/>
            <w:tcBorders>
              <w:top w:val="single" w:sz="4" w:space="0" w:color="auto"/>
              <w:bottom w:val="single" w:sz="12" w:space="0" w:color="auto"/>
            </w:tcBorders>
          </w:tcPr>
          <w:p w:rsidR="001433FD" w:rsidRPr="00B67A12" w:rsidRDefault="00C26AAA" w:rsidP="00295CCA">
            <w:pPr>
              <w:spacing w:before="240"/>
            </w:pPr>
            <w:r w:rsidRPr="00B67A12">
              <w:t>Distr. générale</w:t>
            </w:r>
          </w:p>
          <w:p w:rsidR="00C26AAA" w:rsidRPr="00B67A12" w:rsidRDefault="00C26AAA" w:rsidP="00C26AAA">
            <w:pPr>
              <w:spacing w:line="240" w:lineRule="exact"/>
            </w:pPr>
            <w:r w:rsidRPr="00B67A12">
              <w:t>8 novembre 2018</w:t>
            </w:r>
          </w:p>
          <w:p w:rsidR="00C26AAA" w:rsidRPr="00B67A12" w:rsidRDefault="00C26AAA" w:rsidP="00C26AAA">
            <w:pPr>
              <w:spacing w:line="240" w:lineRule="exact"/>
            </w:pPr>
            <w:r w:rsidRPr="00B67A12">
              <w:t>Français</w:t>
            </w:r>
          </w:p>
          <w:p w:rsidR="00C26AAA" w:rsidRPr="00B67A12" w:rsidRDefault="00C26AAA" w:rsidP="00C26AAA">
            <w:pPr>
              <w:spacing w:line="240" w:lineRule="exact"/>
            </w:pPr>
            <w:r w:rsidRPr="00B67A12">
              <w:t>Original : anglais</w:t>
            </w:r>
          </w:p>
        </w:tc>
      </w:tr>
    </w:tbl>
    <w:p w:rsidR="005316B0" w:rsidRPr="00B67A12" w:rsidRDefault="005316B0" w:rsidP="005316B0">
      <w:pPr>
        <w:spacing w:before="120"/>
        <w:rPr>
          <w:b/>
          <w:sz w:val="28"/>
          <w:szCs w:val="28"/>
        </w:rPr>
      </w:pPr>
      <w:r w:rsidRPr="00B67A12">
        <w:rPr>
          <w:b/>
          <w:sz w:val="28"/>
          <w:szCs w:val="28"/>
        </w:rPr>
        <w:t>Commission économique pour l</w:t>
      </w:r>
      <w:r w:rsidR="00A03E91" w:rsidRPr="00B67A12">
        <w:rPr>
          <w:b/>
          <w:sz w:val="28"/>
          <w:szCs w:val="28"/>
        </w:rPr>
        <w:t>’</w:t>
      </w:r>
      <w:r w:rsidRPr="00B67A12">
        <w:rPr>
          <w:b/>
          <w:sz w:val="28"/>
          <w:szCs w:val="28"/>
        </w:rPr>
        <w:t>Europe</w:t>
      </w:r>
    </w:p>
    <w:p w:rsidR="00113857" w:rsidRPr="00B67A12" w:rsidRDefault="00113857" w:rsidP="00113857">
      <w:pPr>
        <w:spacing w:before="120"/>
        <w:rPr>
          <w:b/>
          <w:sz w:val="28"/>
          <w:szCs w:val="28"/>
        </w:rPr>
      </w:pPr>
      <w:r w:rsidRPr="00B67A12">
        <w:rPr>
          <w:b/>
          <w:sz w:val="28"/>
          <w:szCs w:val="28"/>
        </w:rPr>
        <w:t>Comité des politiques de l</w:t>
      </w:r>
      <w:r w:rsidR="00A03E91" w:rsidRPr="00B67A12">
        <w:rPr>
          <w:b/>
          <w:sz w:val="28"/>
          <w:szCs w:val="28"/>
        </w:rPr>
        <w:t>’</w:t>
      </w:r>
      <w:r w:rsidRPr="00B67A12">
        <w:rPr>
          <w:b/>
          <w:sz w:val="28"/>
          <w:szCs w:val="28"/>
        </w:rPr>
        <w:t>environnement</w:t>
      </w:r>
    </w:p>
    <w:p w:rsidR="00113857" w:rsidRPr="00B67A12" w:rsidRDefault="00113857" w:rsidP="00113857">
      <w:pPr>
        <w:spacing w:before="120"/>
        <w:rPr>
          <w:b/>
        </w:rPr>
      </w:pPr>
      <w:r w:rsidRPr="00B67A12">
        <w:rPr>
          <w:b/>
        </w:rPr>
        <w:t>Vingt-quatrième session</w:t>
      </w:r>
    </w:p>
    <w:p w:rsidR="00113857" w:rsidRPr="00B67A12" w:rsidRDefault="00113857" w:rsidP="00113857">
      <w:r w:rsidRPr="00B67A12">
        <w:t>Genève, 29-31 janvier 2019</w:t>
      </w:r>
    </w:p>
    <w:p w:rsidR="00113857" w:rsidRPr="00B67A12" w:rsidRDefault="00113857" w:rsidP="00113857">
      <w:r w:rsidRPr="00B67A12">
        <w:t>Point 4</w:t>
      </w:r>
      <w:r w:rsidR="00F93EF0" w:rsidRPr="00B67A12">
        <w:t> </w:t>
      </w:r>
      <w:r w:rsidRPr="00B67A12">
        <w:t>c) de l</w:t>
      </w:r>
      <w:r w:rsidR="00A03E91" w:rsidRPr="00B67A12">
        <w:t>’</w:t>
      </w:r>
      <w:r w:rsidRPr="00B67A12">
        <w:t>ordre du jour provisoire</w:t>
      </w:r>
    </w:p>
    <w:p w:rsidR="00113857" w:rsidRPr="00B67A12" w:rsidRDefault="00113857" w:rsidP="00113857">
      <w:pPr>
        <w:rPr>
          <w:b/>
        </w:rPr>
      </w:pPr>
      <w:r w:rsidRPr="00B67A12">
        <w:rPr>
          <w:b/>
        </w:rPr>
        <w:t xml:space="preserve">Examen à mi-parcours des principaux résultats </w:t>
      </w:r>
      <w:r w:rsidRPr="00B67A12">
        <w:rPr>
          <w:b/>
        </w:rPr>
        <w:br/>
        <w:t>de la huitième Conférence ministérielle</w:t>
      </w:r>
      <w:r w:rsidR="00D66874" w:rsidRPr="00B67A12">
        <w:rPr>
          <w:b/>
        </w:rPr>
        <w:t> :</w:t>
      </w:r>
      <w:r w:rsidRPr="00B67A12">
        <w:rPr>
          <w:b/>
        </w:rPr>
        <w:br/>
        <w:t>« Un environnement pour l</w:t>
      </w:r>
      <w:r w:rsidR="00A03E91" w:rsidRPr="00B67A12">
        <w:rPr>
          <w:b/>
        </w:rPr>
        <w:t>’</w:t>
      </w:r>
      <w:r w:rsidRPr="00B67A12">
        <w:rPr>
          <w:b/>
        </w:rPr>
        <w:t>Europe »</w:t>
      </w:r>
    </w:p>
    <w:p w:rsidR="00113857" w:rsidRPr="00B67A12" w:rsidRDefault="00113857" w:rsidP="00113857">
      <w:pPr>
        <w:pStyle w:val="HChG"/>
      </w:pPr>
      <w:r w:rsidRPr="00B67A12">
        <w:tab/>
      </w:r>
      <w:r w:rsidRPr="00B67A12">
        <w:tab/>
        <w:t>Études de la performance environnementale : progrès accomplis dans la conduite du troisième cycle</w:t>
      </w:r>
    </w:p>
    <w:p w:rsidR="00113857" w:rsidRPr="00B67A12" w:rsidRDefault="00113857" w:rsidP="00113857">
      <w:pPr>
        <w:pStyle w:val="H1G"/>
      </w:pPr>
      <w:r w:rsidRPr="00B67A12">
        <w:tab/>
      </w:r>
      <w:r w:rsidRPr="00B67A12">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113857" w:rsidRPr="00B67A12">
        <w:trPr>
          <w:jc w:val="center"/>
        </w:trPr>
        <w:tc>
          <w:tcPr>
            <w:tcW w:w="9637" w:type="dxa"/>
            <w:shd w:val="clear" w:color="auto" w:fill="auto"/>
          </w:tcPr>
          <w:p w:rsidR="00113857" w:rsidRPr="00B67A12" w:rsidRDefault="00113857">
            <w:pPr>
              <w:spacing w:before="240" w:after="120"/>
              <w:ind w:left="255"/>
              <w:rPr>
                <w:i/>
                <w:sz w:val="24"/>
              </w:rPr>
            </w:pPr>
            <w:r w:rsidRPr="00B67A12">
              <w:rPr>
                <w:i/>
                <w:sz w:val="24"/>
              </w:rPr>
              <w:t>Résumé</w:t>
            </w:r>
          </w:p>
        </w:tc>
      </w:tr>
      <w:tr w:rsidR="00113857" w:rsidRPr="00B67A12">
        <w:trPr>
          <w:jc w:val="center"/>
        </w:trPr>
        <w:tc>
          <w:tcPr>
            <w:tcW w:w="9637" w:type="dxa"/>
            <w:shd w:val="clear" w:color="auto" w:fill="auto"/>
          </w:tcPr>
          <w:p w:rsidR="00113857" w:rsidRPr="00B67A12" w:rsidRDefault="00113857" w:rsidP="00113857">
            <w:pPr>
              <w:pStyle w:val="SingleTxtG"/>
              <w:ind w:firstLine="567"/>
            </w:pPr>
            <w:r w:rsidRPr="00B67A12">
              <w:t>À la huitième Conférence ministérielle « Un environnement pour l</w:t>
            </w:r>
            <w:r w:rsidR="00A03E91" w:rsidRPr="00B67A12">
              <w:t>’</w:t>
            </w:r>
            <w:r w:rsidRPr="00B67A12">
              <w:t xml:space="preserve">Europe » (Batumi, Géorgie, 8-10 juin 2016), les ministres </w:t>
            </w:r>
            <w:r w:rsidRPr="00B67A12">
              <w:rPr>
                <w:rFonts w:eastAsia="Times New Roman"/>
              </w:rPr>
              <w:t>ont reconnu l</w:t>
            </w:r>
            <w:r w:rsidR="00A03E91" w:rsidRPr="00B67A12">
              <w:rPr>
                <w:rFonts w:eastAsia="Times New Roman"/>
              </w:rPr>
              <w:t>’</w:t>
            </w:r>
            <w:r w:rsidRPr="00B67A12">
              <w:rPr>
                <w:rFonts w:eastAsia="Times New Roman"/>
              </w:rPr>
              <w:t>importante contribution apportée par le Programme d</w:t>
            </w:r>
            <w:r w:rsidR="00A03E91" w:rsidRPr="00B67A12">
              <w:rPr>
                <w:rFonts w:eastAsia="Times New Roman"/>
              </w:rPr>
              <w:t>’</w:t>
            </w:r>
            <w:r w:rsidRPr="00B67A12">
              <w:rPr>
                <w:rFonts w:eastAsia="Times New Roman"/>
              </w:rPr>
              <w:t>études de la performance environnementale en tant qu</w:t>
            </w:r>
            <w:r w:rsidR="00A03E91" w:rsidRPr="00B67A12">
              <w:rPr>
                <w:rFonts w:eastAsia="Times New Roman"/>
              </w:rPr>
              <w:t>’</w:t>
            </w:r>
            <w:r w:rsidRPr="00B67A12">
              <w:rPr>
                <w:rFonts w:eastAsia="Times New Roman"/>
              </w:rPr>
              <w:t>outil efficace et pratique et ont souligné le rôle que pouvait jouer ce programme dans l</w:t>
            </w:r>
            <w:r w:rsidR="00A03E91" w:rsidRPr="00B67A12">
              <w:rPr>
                <w:rFonts w:eastAsia="Times New Roman"/>
              </w:rPr>
              <w:t>’</w:t>
            </w:r>
            <w:r w:rsidRPr="00B67A12">
              <w:rPr>
                <w:rFonts w:eastAsia="Times New Roman"/>
              </w:rPr>
              <w:t>appui fourni à la réalisation et au suivi des objectifs de développement durable dans la région paneuropéenne (voir ECE/</w:t>
            </w:r>
            <w:r w:rsidRPr="00B67A12">
              <w:rPr>
                <w:rFonts w:asciiTheme="majorBidi" w:hAnsiTheme="majorBidi" w:cstheme="majorBidi"/>
              </w:rPr>
              <w:t xml:space="preserve"> BATUMI.CONF/2016/Add.1)</w:t>
            </w:r>
            <w:r w:rsidRPr="00B67A12">
              <w:rPr>
                <w:rFonts w:eastAsia="Times New Roman"/>
              </w:rPr>
              <w:t>.</w:t>
            </w:r>
          </w:p>
        </w:tc>
      </w:tr>
      <w:tr w:rsidR="00113857" w:rsidRPr="00B67A12">
        <w:trPr>
          <w:jc w:val="center"/>
        </w:trPr>
        <w:tc>
          <w:tcPr>
            <w:tcW w:w="9637" w:type="dxa"/>
            <w:shd w:val="clear" w:color="auto" w:fill="auto"/>
          </w:tcPr>
          <w:p w:rsidR="00113857" w:rsidRPr="00B67A12" w:rsidRDefault="00113857" w:rsidP="00113857">
            <w:pPr>
              <w:pStyle w:val="SingleTxtG"/>
              <w:ind w:firstLine="567"/>
            </w:pPr>
            <w:r w:rsidRPr="00B67A12">
              <w:rPr>
                <w:rFonts w:eastAsia="Times New Roman"/>
              </w:rPr>
              <w:t>À sa vingt-quatrième session, le Comité des politiques de l</w:t>
            </w:r>
            <w:r w:rsidR="00A03E91" w:rsidRPr="00B67A12">
              <w:rPr>
                <w:rFonts w:eastAsia="Times New Roman"/>
              </w:rPr>
              <w:t>’</w:t>
            </w:r>
            <w:r w:rsidRPr="00B67A12">
              <w:rPr>
                <w:rFonts w:eastAsia="Times New Roman"/>
              </w:rPr>
              <w:t>environnement procédera à un examen à mi-parcours des principaux résultats de la Conférence de Batumi. Dans le cadre de cet examen, le Comité passera en revue les progrès réalisés dans la conduite du troisième cycle d</w:t>
            </w:r>
            <w:r w:rsidR="00A03E91" w:rsidRPr="00B67A12">
              <w:rPr>
                <w:rFonts w:eastAsia="Times New Roman"/>
              </w:rPr>
              <w:t>’</w:t>
            </w:r>
            <w:r w:rsidRPr="00B67A12">
              <w:rPr>
                <w:rFonts w:eastAsia="Times New Roman"/>
              </w:rPr>
              <w:t>études de la performance environnementale, notamment l</w:t>
            </w:r>
            <w:r w:rsidR="00A03E91" w:rsidRPr="00B67A12">
              <w:rPr>
                <w:rFonts w:eastAsia="Times New Roman"/>
              </w:rPr>
              <w:t>’</w:t>
            </w:r>
            <w:r w:rsidRPr="00B67A12">
              <w:rPr>
                <w:rFonts w:eastAsia="Times New Roman"/>
              </w:rPr>
              <w:t>intégration des objectifs de développement durable dans les études. Le présent document, qui contient un rapport d</w:t>
            </w:r>
            <w:r w:rsidR="00A03E91" w:rsidRPr="00B67A12">
              <w:rPr>
                <w:rFonts w:eastAsia="Times New Roman"/>
              </w:rPr>
              <w:t>’</w:t>
            </w:r>
            <w:r w:rsidRPr="00B67A12">
              <w:rPr>
                <w:rFonts w:eastAsia="Times New Roman"/>
              </w:rPr>
              <w:t>étape sur le troisième cycle d</w:t>
            </w:r>
            <w:r w:rsidR="00A03E91" w:rsidRPr="00B67A12">
              <w:rPr>
                <w:rFonts w:eastAsia="Times New Roman"/>
              </w:rPr>
              <w:t>’</w:t>
            </w:r>
            <w:r w:rsidRPr="00B67A12">
              <w:rPr>
                <w:rFonts w:eastAsia="Times New Roman"/>
              </w:rPr>
              <w:t>études, a été établi par le secrétariat pour faciliter les débats du Comité sur la question.</w:t>
            </w:r>
          </w:p>
        </w:tc>
      </w:tr>
      <w:tr w:rsidR="00113857" w:rsidRPr="00B67A12">
        <w:trPr>
          <w:jc w:val="center"/>
        </w:trPr>
        <w:tc>
          <w:tcPr>
            <w:tcW w:w="9637" w:type="dxa"/>
            <w:shd w:val="clear" w:color="auto" w:fill="auto"/>
          </w:tcPr>
          <w:p w:rsidR="00113857" w:rsidRPr="00B67A12" w:rsidRDefault="00113857"/>
        </w:tc>
      </w:tr>
    </w:tbl>
    <w:p w:rsidR="00113857" w:rsidRPr="00B67A12" w:rsidRDefault="00113857" w:rsidP="00113857">
      <w:pPr>
        <w:pStyle w:val="HChG"/>
      </w:pPr>
      <w:r w:rsidRPr="00B67A12">
        <w:rPr>
          <w:rFonts w:eastAsia="Times New Roman"/>
        </w:rPr>
        <w:br w:type="page"/>
      </w:r>
      <w:r w:rsidRPr="00B67A12">
        <w:lastRenderedPageBreak/>
        <w:tab/>
      </w:r>
      <w:r w:rsidRPr="00B67A12">
        <w:tab/>
        <w:t>Introduction</w:t>
      </w:r>
    </w:p>
    <w:p w:rsidR="00113857" w:rsidRPr="00B67A12" w:rsidRDefault="00113857" w:rsidP="00113857">
      <w:pPr>
        <w:pStyle w:val="SingleTxtG"/>
      </w:pPr>
      <w:r w:rsidRPr="00B67A12">
        <w:t>1.</w:t>
      </w:r>
      <w:r w:rsidRPr="00B67A12">
        <w:tab/>
        <w:t>À la huitième Conférence ministérielle « Un environnement pour l</w:t>
      </w:r>
      <w:r w:rsidR="00A03E91" w:rsidRPr="00B67A12">
        <w:t>’Europe » (Batumi, Géorgie, 8-10 </w:t>
      </w:r>
      <w:r w:rsidRPr="00B67A12">
        <w:t>juin 2016), les ministres ont exprimé leur satisfaction devant les progrès accomplis dans le troisième cycle d</w:t>
      </w:r>
      <w:r w:rsidR="00A03E91" w:rsidRPr="00B67A12">
        <w:t>’</w:t>
      </w:r>
      <w:r w:rsidRPr="00B67A12">
        <w:t>études de la performance environnementale menées dans le cadre du Programme d</w:t>
      </w:r>
      <w:r w:rsidR="00A03E91" w:rsidRPr="00B67A12">
        <w:t>’</w:t>
      </w:r>
      <w:r w:rsidRPr="00B67A12">
        <w:t>études de la performance environnementale de la Commission économique pour l</w:t>
      </w:r>
      <w:r w:rsidR="00A03E91" w:rsidRPr="00B67A12">
        <w:t>’</w:t>
      </w:r>
      <w:r w:rsidRPr="00B67A12">
        <w:t>Europe (CEE) et ont souligné le rôle que pouvait jouer ce programme dans l</w:t>
      </w:r>
      <w:r w:rsidR="00A03E91" w:rsidRPr="00B67A12">
        <w:t>’</w:t>
      </w:r>
      <w:r w:rsidRPr="00B67A12">
        <w:t>appui à la réalisation et au suivi des objectifs de développement durable dans la région paneuropéenne (ECE/BATUMI.CONF/2016/2/Add.1, para.</w:t>
      </w:r>
      <w:r w:rsidR="00A03E91" w:rsidRPr="00B67A12">
        <w:t> </w:t>
      </w:r>
      <w:r w:rsidRPr="00B67A12">
        <w:t>9).</w:t>
      </w:r>
    </w:p>
    <w:p w:rsidR="00113857" w:rsidRPr="00B67A12" w:rsidRDefault="00113857" w:rsidP="00113857">
      <w:pPr>
        <w:pStyle w:val="SingleTxtG"/>
      </w:pPr>
      <w:r w:rsidRPr="00B67A12">
        <w:t>2.</w:t>
      </w:r>
      <w:r w:rsidRPr="00B67A12">
        <w:tab/>
        <w:t>À sa</w:t>
      </w:r>
      <w:r w:rsidR="00A03E91" w:rsidRPr="00B67A12">
        <w:t xml:space="preserve"> vingt-troisième session (14-17 </w:t>
      </w:r>
      <w:r w:rsidRPr="00B67A12">
        <w:t>novembre 2017), le Comité des politiques de l</w:t>
      </w:r>
      <w:r w:rsidR="00A03E91" w:rsidRPr="00B67A12">
        <w:t>’</w:t>
      </w:r>
      <w:r w:rsidRPr="00B67A12">
        <w:t>environnement a convenu de procéder à l</w:t>
      </w:r>
      <w:r w:rsidR="00A03E91" w:rsidRPr="00B67A12">
        <w:t>’</w:t>
      </w:r>
      <w:r w:rsidRPr="00B67A12">
        <w:t>examen à mi-parcours des principaux résultats de la Conférence de Batumi dans le cadre de sa vingt-quatrième session. Le présent document offre un aperçu d</w:t>
      </w:r>
      <w:r w:rsidR="00A03E91" w:rsidRPr="00B67A12">
        <w:t>’</w:t>
      </w:r>
      <w:r w:rsidRPr="00B67A12">
        <w:t>ensemble des progrès accomplis dans la réalisation du troisième cycle d</w:t>
      </w:r>
      <w:r w:rsidR="00A03E91" w:rsidRPr="00B67A12">
        <w:t>’</w:t>
      </w:r>
      <w:r w:rsidRPr="00B67A12">
        <w:t>études de la performance environnementale et de la façon dont ces études prennent en compte les objectifs de développement durable, afin de faciliter les débats du Comité sur la question.</w:t>
      </w:r>
    </w:p>
    <w:p w:rsidR="00113857" w:rsidRPr="00B67A12" w:rsidRDefault="00113857" w:rsidP="00113857">
      <w:pPr>
        <w:pStyle w:val="HChG"/>
      </w:pPr>
      <w:r w:rsidRPr="00B67A12">
        <w:tab/>
        <w:t>I.</w:t>
      </w:r>
      <w:r w:rsidRPr="00B67A12">
        <w:tab/>
        <w:t>Aperçu des principales réalisations et des principales constatations</w:t>
      </w:r>
    </w:p>
    <w:p w:rsidR="00113857" w:rsidRPr="00B67A12" w:rsidRDefault="00113857" w:rsidP="00113857">
      <w:pPr>
        <w:pStyle w:val="H1G"/>
      </w:pPr>
      <w:r w:rsidRPr="00B67A12">
        <w:tab/>
        <w:t>A.</w:t>
      </w:r>
      <w:r w:rsidRPr="00B67A12">
        <w:tab/>
        <w:t>Principales réalisations</w:t>
      </w:r>
    </w:p>
    <w:p w:rsidR="00113857" w:rsidRPr="00B67A12" w:rsidRDefault="00113857" w:rsidP="00113857">
      <w:pPr>
        <w:pStyle w:val="SingleTxtG"/>
      </w:pPr>
      <w:r w:rsidRPr="00B67A12">
        <w:t>3.</w:t>
      </w:r>
      <w:r w:rsidRPr="00B67A12">
        <w:tab/>
        <w:t>Les principales réalisations dans le cadre du troisième cycle d</w:t>
      </w:r>
      <w:r w:rsidR="00A03E91" w:rsidRPr="00B67A12">
        <w:t>’</w:t>
      </w:r>
      <w:r w:rsidRPr="00B67A12">
        <w:t>études sont l</w:t>
      </w:r>
      <w:r w:rsidR="00A03E91" w:rsidRPr="00B67A12">
        <w:t>’</w:t>
      </w:r>
      <w:r w:rsidRPr="00B67A12">
        <w:t>achèvement des études pour plus de la moitié des pays remplissant les conditions requises, l</w:t>
      </w:r>
      <w:r w:rsidR="00A03E91" w:rsidRPr="00B67A12">
        <w:t>’</w:t>
      </w:r>
      <w:r w:rsidRPr="00B67A12">
        <w:t>intégration des objectifs de développement pertinents dans les études menées depuis 2017, le lancement d</w:t>
      </w:r>
      <w:r w:rsidR="00A03E91" w:rsidRPr="00B67A12">
        <w:t>’</w:t>
      </w:r>
      <w:r w:rsidRPr="00B67A12">
        <w:t>un nouveau domaine d</w:t>
      </w:r>
      <w:r w:rsidR="00A03E91" w:rsidRPr="00B67A12">
        <w:t>’</w:t>
      </w:r>
      <w:r w:rsidRPr="00B67A12">
        <w:t>activités pour aider les pays étudiés à appliquer les recommandations issues de l</w:t>
      </w:r>
      <w:r w:rsidR="00A03E91" w:rsidRPr="00B67A12">
        <w:t>’</w:t>
      </w:r>
      <w:r w:rsidRPr="00B67A12">
        <w:t>étude les concernant, et l</w:t>
      </w:r>
      <w:r w:rsidR="00A03E91" w:rsidRPr="00B67A12">
        <w:t>’</w:t>
      </w:r>
      <w:r w:rsidRPr="00B67A12">
        <w:t>amélioration des activités de communication et d</w:t>
      </w:r>
      <w:r w:rsidR="00A03E91" w:rsidRPr="00B67A12">
        <w:t>’</w:t>
      </w:r>
      <w:r w:rsidRPr="00B67A12">
        <w:t>information.</w:t>
      </w:r>
    </w:p>
    <w:p w:rsidR="00113857" w:rsidRPr="00B67A12" w:rsidRDefault="00113857" w:rsidP="00113857">
      <w:pPr>
        <w:pStyle w:val="H23G"/>
      </w:pPr>
      <w:r w:rsidRPr="00B67A12">
        <w:tab/>
        <w:t>1.</w:t>
      </w:r>
      <w:r w:rsidRPr="00B67A12">
        <w:tab/>
        <w:t>Achèvement de neuf études dans le cadre du troisième cycle</w:t>
      </w:r>
    </w:p>
    <w:p w:rsidR="00113857" w:rsidRPr="00B67A12" w:rsidRDefault="00113857" w:rsidP="00113857">
      <w:pPr>
        <w:pStyle w:val="SingleTxtG"/>
      </w:pPr>
      <w:r w:rsidRPr="00B67A12">
        <w:t>4.</w:t>
      </w:r>
      <w:r w:rsidRPr="00B67A12">
        <w:tab/>
        <w:t>Conformément à la décision prise par les ministres à la septième Conférence « Un environnement</w:t>
      </w:r>
      <w:r w:rsidR="00A03E91" w:rsidRPr="00B67A12">
        <w:t xml:space="preserve"> pour l’Europe » (Astana, 21-23 </w:t>
      </w:r>
      <w:r w:rsidRPr="00B67A12">
        <w:t>septembre 2011), le troisième cycle d</w:t>
      </w:r>
      <w:r w:rsidR="00A03E91" w:rsidRPr="00B67A12">
        <w:t>’</w:t>
      </w:r>
      <w:r w:rsidRPr="00B67A12">
        <w:t>études de la performance environnementale a démarré en 2012.</w:t>
      </w:r>
    </w:p>
    <w:p w:rsidR="00113857" w:rsidRPr="00B67A12" w:rsidRDefault="00113857" w:rsidP="00113857">
      <w:pPr>
        <w:pStyle w:val="SingleTxtG"/>
      </w:pPr>
      <w:r w:rsidRPr="00B67A12">
        <w:t>5.</w:t>
      </w:r>
      <w:r w:rsidRPr="00B67A12">
        <w:tab/>
        <w:t>Durant la période 2012-2017, des études ont été menées dans le cadre du troisième cycle en République de Moldova (2013), au Monténégro (2014), en Serbie (2014), en Géorgie (2015), au Bélarus (2015), au Tadjikistan (2017), en Bulgarie (2017), en Albanie (2017) et en Bosnie-Herzégovine (2017)</w:t>
      </w:r>
      <w:r w:rsidRPr="00B67A12">
        <w:rPr>
          <w:rStyle w:val="Appelnotedebasdep"/>
        </w:rPr>
        <w:footnoteReference w:id="2"/>
      </w:r>
      <w:r w:rsidRPr="00B67A12">
        <w:t xml:space="preserve">. En outre, des études de la performance environnementale du Maroc (2013) et de la Mongolie (2017), États non-membres de la CEE, ont été réalisées selon la méthodologie relative au troisième cycle. Les études de ce cycle ont été achevées dans un laps de temps de </w:t>
      </w:r>
      <w:r w:rsidR="00A03E91" w:rsidRPr="00B67A12">
        <w:t>treize</w:t>
      </w:r>
      <w:r w:rsidRPr="00B67A12">
        <w:t xml:space="preserve"> mois, en moyenne.</w:t>
      </w:r>
    </w:p>
    <w:p w:rsidR="00113857" w:rsidRPr="00B67A12" w:rsidRDefault="00113857" w:rsidP="00113857">
      <w:pPr>
        <w:pStyle w:val="SingleTxtG"/>
      </w:pPr>
      <w:r w:rsidRPr="00B67A12">
        <w:t>6.</w:t>
      </w:r>
      <w:r w:rsidRPr="00B67A12">
        <w:tab/>
        <w:t>En octobre 2018, trois études sont en cours dans le cadre du troisième cycle. Des études sont en cours de préparation pour le Kazakhstan et l</w:t>
      </w:r>
      <w:r w:rsidR="00A03E91" w:rsidRPr="00B67A12">
        <w:t>’</w:t>
      </w:r>
      <w:r w:rsidRPr="00B67A12">
        <w:t>ex-République yougoslave de Macédoine. La troisième étude pour l</w:t>
      </w:r>
      <w:r w:rsidR="00A03E91" w:rsidRPr="00B67A12">
        <w:t>’</w:t>
      </w:r>
      <w:r w:rsidRPr="00B67A12">
        <w:t>Ouzbékistan vient de démarrer, une mission préparatoire ayant été effectuée dans ce pays en septembre 2018. Comme ces études se poursuivent, dans le présent document les indications concernant l</w:t>
      </w:r>
      <w:r w:rsidR="00A03E91" w:rsidRPr="00B67A12">
        <w:t>’</w:t>
      </w:r>
      <w:r w:rsidRPr="00B67A12">
        <w:t>étude du Kazakhstan ont un caractère préliminaire et, de manière générale, l</w:t>
      </w:r>
      <w:r w:rsidR="00A03E91" w:rsidRPr="00B67A12">
        <w:t>’</w:t>
      </w:r>
      <w:r w:rsidRPr="00B67A12">
        <w:t>étude de l</w:t>
      </w:r>
      <w:r w:rsidR="00A03E91" w:rsidRPr="00B67A12">
        <w:t>’</w:t>
      </w:r>
      <w:r w:rsidRPr="00B67A12">
        <w:t>ex-République yougoslave de Macédoine n</w:t>
      </w:r>
      <w:r w:rsidR="00A03E91" w:rsidRPr="00B67A12">
        <w:t>’</w:t>
      </w:r>
      <w:r w:rsidRPr="00B67A12">
        <w:t>est pas prise en compte étant donné qu</w:t>
      </w:r>
      <w:r w:rsidR="00A03E91" w:rsidRPr="00B67A12">
        <w:t>’</w:t>
      </w:r>
      <w:r w:rsidRPr="00B67A12">
        <w:t>aucun projet de rapport n</w:t>
      </w:r>
      <w:r w:rsidR="00A03E91" w:rsidRPr="00B67A12">
        <w:t>’</w:t>
      </w:r>
      <w:r w:rsidRPr="00B67A12">
        <w:t>était disponible au moment de la rédaction de ces lignes. Aucune information n</w:t>
      </w:r>
      <w:r w:rsidR="00A03E91" w:rsidRPr="00B67A12">
        <w:t>’</w:t>
      </w:r>
      <w:r w:rsidRPr="00B67A12">
        <w:t>est encore disponible en ce qui concerne l</w:t>
      </w:r>
      <w:r w:rsidR="00A03E91" w:rsidRPr="00B67A12">
        <w:t>’</w:t>
      </w:r>
      <w:r w:rsidRPr="00B67A12">
        <w:t>Ouzbékistan.</w:t>
      </w:r>
    </w:p>
    <w:p w:rsidR="00113857" w:rsidRPr="00B67A12" w:rsidRDefault="00113857" w:rsidP="00113857">
      <w:pPr>
        <w:pStyle w:val="SingleTxtG"/>
      </w:pPr>
      <w:r w:rsidRPr="00B67A12">
        <w:lastRenderedPageBreak/>
        <w:t>7.</w:t>
      </w:r>
      <w:r w:rsidRPr="00B67A12">
        <w:tab/>
        <w:t>Au moment de la troisième étude, le taux de mise en œuvre par les pays des recommandations formulées dans le cadr</w:t>
      </w:r>
      <w:r w:rsidR="005C6D23" w:rsidRPr="00B67A12">
        <w:t>e du deuxième cycle était de 67 %</w:t>
      </w:r>
      <w:r w:rsidRPr="00B67A12">
        <w:t xml:space="preserve"> en moyenne. Ce pourcentage varie en fonction de la durée de la période écoulée entre le deuxième et le troisième cycles, le taux étant plus élevé lorsque le pays a eu davantage de temps pour appliquer les recommandations (fig</w:t>
      </w:r>
      <w:r w:rsidR="00D21DA7" w:rsidRPr="00B67A12">
        <w:t>. </w:t>
      </w:r>
      <w:r w:rsidRPr="00B67A12">
        <w:t>1).</w:t>
      </w:r>
    </w:p>
    <w:p w:rsidR="00113857" w:rsidRPr="00B67A12" w:rsidRDefault="00113857" w:rsidP="00113857">
      <w:pPr>
        <w:pStyle w:val="Titre1"/>
        <w:spacing w:after="120"/>
        <w:rPr>
          <w:b/>
        </w:rPr>
      </w:pPr>
      <w:r w:rsidRPr="00B67A12">
        <w:t>Figure 1</w:t>
      </w:r>
      <w:r w:rsidRPr="00B67A12">
        <w:br/>
      </w:r>
      <w:r w:rsidRPr="00B67A12">
        <w:rPr>
          <w:b/>
        </w:rPr>
        <w:t>Taux moyen d</w:t>
      </w:r>
      <w:r w:rsidR="00A03E91" w:rsidRPr="00B67A12">
        <w:rPr>
          <w:b/>
        </w:rPr>
        <w:t>’</w:t>
      </w:r>
      <w:r w:rsidRPr="00B67A12">
        <w:rPr>
          <w:b/>
        </w:rPr>
        <w:t xml:space="preserve">application des recommandations issues de la deuxième étude </w:t>
      </w:r>
      <w:r w:rsidR="008C4EBD" w:rsidRPr="00B67A12">
        <w:rPr>
          <w:b/>
        </w:rPr>
        <w:br/>
      </w:r>
      <w:r w:rsidRPr="00B67A12">
        <w:rPr>
          <w:b/>
        </w:rPr>
        <w:t>(en pourcentage)</w:t>
      </w:r>
    </w:p>
    <w:p w:rsidR="00113857" w:rsidRPr="00B67A12" w:rsidRDefault="008C4EBD" w:rsidP="008C4EBD">
      <w:pPr>
        <w:pStyle w:val="SingleTxtG"/>
        <w:rPr>
          <w:rFonts w:asciiTheme="majorBidi" w:hAnsiTheme="majorBidi" w:cstheme="majorBidi"/>
          <w:sz w:val="18"/>
          <w:szCs w:val="18"/>
        </w:rPr>
      </w:pPr>
      <w:r w:rsidRPr="00B67A12">
        <w:rPr>
          <w:noProof/>
          <w:lang w:eastAsia="fr-CH"/>
        </w:rPr>
        <mc:AlternateContent>
          <mc:Choice Requires="wps">
            <w:drawing>
              <wp:anchor distT="0" distB="0" distL="114300" distR="114300" simplePos="0" relativeHeight="251648512" behindDoc="0" locked="0" layoutInCell="1" allowOverlap="1" wp14:anchorId="02F575E1" wp14:editId="1DB7F0B6">
                <wp:simplePos x="0" y="0"/>
                <wp:positionH relativeFrom="column">
                  <wp:posOffset>1176655</wp:posOffset>
                </wp:positionH>
                <wp:positionV relativeFrom="paragraph">
                  <wp:posOffset>2514600</wp:posOffset>
                </wp:positionV>
                <wp:extent cx="1763395" cy="215900"/>
                <wp:effectExtent l="0" t="0" r="8255" b="0"/>
                <wp:wrapNone/>
                <wp:docPr id="6" name="Zone de texte 6"/>
                <wp:cNvGraphicFramePr/>
                <a:graphic xmlns:a="http://schemas.openxmlformats.org/drawingml/2006/main">
                  <a:graphicData uri="http://schemas.microsoft.com/office/word/2010/wordprocessingShape">
                    <wps:wsp>
                      <wps:cNvSpPr txBox="1"/>
                      <wps:spPr>
                        <a:xfrm>
                          <a:off x="0" y="0"/>
                          <a:ext cx="1763395" cy="215900"/>
                        </a:xfrm>
                        <a:prstGeom prst="rect">
                          <a:avLst/>
                        </a:prstGeom>
                        <a:solidFill>
                          <a:schemeClr val="lt1"/>
                        </a:solidFill>
                        <a:ln w="6350">
                          <a:noFill/>
                        </a:ln>
                      </wps:spPr>
                      <wps:txbx>
                        <w:txbxContent>
                          <w:p w:rsidR="00D66874" w:rsidRPr="008C4EBD" w:rsidRDefault="00D66874" w:rsidP="008C4EBD">
                            <w:pPr>
                              <w:spacing w:line="200" w:lineRule="atLeast"/>
                              <w:jc w:val="center"/>
                              <w:rPr>
                                <w:b/>
                                <w:sz w:val="16"/>
                                <w:szCs w:val="16"/>
                              </w:rPr>
                            </w:pPr>
                            <w:r w:rsidRPr="008C4EBD">
                              <w:rPr>
                                <w:b/>
                                <w:iCs/>
                                <w:sz w:val="16"/>
                                <w:szCs w:val="16"/>
                              </w:rPr>
                              <w:t>Étude ayant duré 6 ans au maximum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575E1" id="_x0000_t202" coordsize="21600,21600" o:spt="202" path="m,l,21600r21600,l21600,xe">
                <v:stroke joinstyle="miter"/>
                <v:path gradientshapeok="t" o:connecttype="rect"/>
              </v:shapetype>
              <v:shape id="Zone de texte 6" o:spid="_x0000_s1026" type="#_x0000_t202" style="position:absolute;left:0;text-align:left;margin-left:92.65pt;margin-top:198pt;width:138.85pt;height: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" fillcolor="white [3201]" stroked="f" strokeweight=".5pt">
                <v:textbox inset="0,0,0,0">
                  <w:txbxContent>
                    <w:p w:rsidR="00D66874" w:rsidRPr="008C4EBD" w:rsidRDefault="00D66874" w:rsidP="008C4EBD">
                      <w:pPr>
                        <w:spacing w:line="200" w:lineRule="atLeast"/>
                        <w:jc w:val="center"/>
                        <w:rPr>
                          <w:b/>
                          <w:sz w:val="16"/>
                          <w:szCs w:val="16"/>
                        </w:rPr>
                      </w:pPr>
                      <w:r w:rsidRPr="008C4EBD">
                        <w:rPr>
                          <w:b/>
                          <w:iCs/>
                          <w:sz w:val="16"/>
                          <w:szCs w:val="16"/>
                        </w:rPr>
                        <w:t>Étude ayant duré 6 ans au maximum</w:t>
                      </w:r>
                    </w:p>
                  </w:txbxContent>
                </v:textbox>
              </v:shape>
            </w:pict>
          </mc:Fallback>
        </mc:AlternateContent>
      </w:r>
      <w:r w:rsidRPr="00B67A12">
        <w:rPr>
          <w:noProof/>
          <w:lang w:eastAsia="fr-CH"/>
        </w:rPr>
        <mc:AlternateContent>
          <mc:Choice Requires="wps">
            <w:drawing>
              <wp:anchor distT="0" distB="0" distL="114300" distR="114300" simplePos="0" relativeHeight="251659776" behindDoc="0" locked="0" layoutInCell="1" allowOverlap="1" wp14:anchorId="349A43E5" wp14:editId="1D2B8781">
                <wp:simplePos x="0" y="0"/>
                <wp:positionH relativeFrom="column">
                  <wp:posOffset>3244215</wp:posOffset>
                </wp:positionH>
                <wp:positionV relativeFrom="paragraph">
                  <wp:posOffset>2514600</wp:posOffset>
                </wp:positionV>
                <wp:extent cx="1764000" cy="216000"/>
                <wp:effectExtent l="0" t="0" r="8255" b="0"/>
                <wp:wrapNone/>
                <wp:docPr id="7" name="Zone de texte 7"/>
                <wp:cNvGraphicFramePr/>
                <a:graphic xmlns:a="http://schemas.openxmlformats.org/drawingml/2006/main">
                  <a:graphicData uri="http://schemas.microsoft.com/office/word/2010/wordprocessingShape">
                    <wps:wsp>
                      <wps:cNvSpPr txBox="1"/>
                      <wps:spPr>
                        <a:xfrm>
                          <a:off x="0" y="0"/>
                          <a:ext cx="1764000" cy="216000"/>
                        </a:xfrm>
                        <a:prstGeom prst="rect">
                          <a:avLst/>
                        </a:prstGeom>
                        <a:solidFill>
                          <a:schemeClr val="lt1"/>
                        </a:solidFill>
                        <a:ln w="6350">
                          <a:noFill/>
                        </a:ln>
                      </wps:spPr>
                      <wps:txbx>
                        <w:txbxContent>
                          <w:p w:rsidR="00D66874" w:rsidRPr="008C4EBD" w:rsidRDefault="00984D02" w:rsidP="008C4EBD">
                            <w:pPr>
                              <w:spacing w:line="200" w:lineRule="atLeast"/>
                              <w:jc w:val="center"/>
                              <w:rPr>
                                <w:b/>
                                <w:sz w:val="16"/>
                                <w:szCs w:val="16"/>
                              </w:rPr>
                            </w:pPr>
                            <w:r w:rsidRPr="00984D02">
                              <w:rPr>
                                <w:b/>
                                <w:iCs/>
                                <w:sz w:val="16"/>
                                <w:szCs w:val="16"/>
                                <w:lang w:val="fr-FR"/>
                              </w:rPr>
                              <w:t>Étude ayant duré plus de 6 ans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A43E5" id="Zone de texte 7" o:spid="_x0000_s1027" type="#_x0000_t202" style="position:absolute;left:0;text-align:left;margin-left:255.45pt;margin-top:198pt;width:138.9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" fillcolor="white [3201]" stroked="f" strokeweight=".5pt">
                <v:textbox inset="0,0,0,0">
                  <w:txbxContent>
                    <w:p w:rsidR="00D66874" w:rsidRPr="008C4EBD" w:rsidRDefault="00984D02" w:rsidP="008C4EBD">
                      <w:pPr>
                        <w:spacing w:line="200" w:lineRule="atLeast"/>
                        <w:jc w:val="center"/>
                        <w:rPr>
                          <w:b/>
                          <w:sz w:val="16"/>
                          <w:szCs w:val="16"/>
                        </w:rPr>
                      </w:pPr>
                      <w:r w:rsidRPr="00984D02">
                        <w:rPr>
                          <w:b/>
                          <w:iCs/>
                          <w:sz w:val="16"/>
                          <w:szCs w:val="16"/>
                          <w:lang w:val="fr-FR"/>
                        </w:rPr>
                        <w:t>Étude ayant duré plus de 6 ans</w:t>
                      </w:r>
                    </w:p>
                  </w:txbxContent>
                </v:textbox>
              </v:shape>
            </w:pict>
          </mc:Fallback>
        </mc:AlternateContent>
      </w:r>
      <w:r w:rsidR="00113857" w:rsidRPr="00B67A12">
        <w:rPr>
          <w:noProof/>
          <w:lang w:eastAsia="fr-CH"/>
        </w:rPr>
        <w:drawing>
          <wp:inline distT="0" distB="0" distL="0" distR="0" wp14:anchorId="29FA1524" wp14:editId="7A09BF2C">
            <wp:extent cx="4562856" cy="27340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856" cy="2734056"/>
                    </a:xfrm>
                    <a:prstGeom prst="rect">
                      <a:avLst/>
                    </a:prstGeom>
                    <a:noFill/>
                    <a:ln>
                      <a:noFill/>
                    </a:ln>
                  </pic:spPr>
                </pic:pic>
              </a:graphicData>
            </a:graphic>
          </wp:inline>
        </w:drawing>
      </w:r>
    </w:p>
    <w:p w:rsidR="00113857" w:rsidRPr="00B67A12" w:rsidRDefault="00113857" w:rsidP="00C3225E">
      <w:pPr>
        <w:spacing w:after="240" w:line="200" w:lineRule="atLeast"/>
        <w:ind w:left="1134" w:right="1134" w:firstLine="170"/>
        <w:rPr>
          <w:rFonts w:asciiTheme="majorBidi" w:hAnsiTheme="majorBidi" w:cstheme="majorBidi"/>
          <w:sz w:val="18"/>
        </w:rPr>
      </w:pPr>
      <w:r w:rsidRPr="00B67A12">
        <w:rPr>
          <w:rFonts w:asciiTheme="majorBidi" w:hAnsiTheme="majorBidi" w:cstheme="majorBidi"/>
          <w:i/>
          <w:iCs/>
          <w:sz w:val="18"/>
        </w:rPr>
        <w:t>Note</w:t>
      </w:r>
      <w:r w:rsidRPr="00B67A12">
        <w:rPr>
          <w:rFonts w:asciiTheme="majorBidi" w:hAnsiTheme="majorBidi" w:cstheme="majorBidi"/>
          <w:sz w:val="18"/>
        </w:rPr>
        <w:t> : Le Maroc et la Mongolie ne sont pas inclus. Pour la Bulgarie, l</w:t>
      </w:r>
      <w:r w:rsidR="00A03E91" w:rsidRPr="00B67A12">
        <w:rPr>
          <w:rFonts w:asciiTheme="majorBidi" w:hAnsiTheme="majorBidi" w:cstheme="majorBidi"/>
          <w:sz w:val="18"/>
        </w:rPr>
        <w:t>’</w:t>
      </w:r>
      <w:r w:rsidRPr="00B67A12">
        <w:rPr>
          <w:rFonts w:asciiTheme="majorBidi" w:hAnsiTheme="majorBidi" w:cstheme="majorBidi"/>
          <w:sz w:val="18"/>
        </w:rPr>
        <w:t>évaluation de la mise en œuvre des recommandations issues de l</w:t>
      </w:r>
      <w:r w:rsidR="00A03E91" w:rsidRPr="00B67A12">
        <w:rPr>
          <w:rFonts w:asciiTheme="majorBidi" w:hAnsiTheme="majorBidi" w:cstheme="majorBidi"/>
          <w:sz w:val="18"/>
        </w:rPr>
        <w:t>’</w:t>
      </w:r>
      <w:r w:rsidRPr="00B67A12">
        <w:rPr>
          <w:rFonts w:asciiTheme="majorBidi" w:hAnsiTheme="majorBidi" w:cstheme="majorBidi"/>
          <w:sz w:val="18"/>
        </w:rPr>
        <w:t>étude précédente n</w:t>
      </w:r>
      <w:r w:rsidR="00A03E91" w:rsidRPr="00B67A12">
        <w:rPr>
          <w:rFonts w:asciiTheme="majorBidi" w:hAnsiTheme="majorBidi" w:cstheme="majorBidi"/>
          <w:sz w:val="18"/>
        </w:rPr>
        <w:t>’</w:t>
      </w:r>
      <w:r w:rsidRPr="00B67A12">
        <w:rPr>
          <w:rFonts w:asciiTheme="majorBidi" w:hAnsiTheme="majorBidi" w:cstheme="majorBidi"/>
          <w:sz w:val="18"/>
        </w:rPr>
        <w:t>a pas été effectuée car il s</w:t>
      </w:r>
      <w:r w:rsidR="00A03E91" w:rsidRPr="00B67A12">
        <w:rPr>
          <w:rFonts w:asciiTheme="majorBidi" w:hAnsiTheme="majorBidi" w:cstheme="majorBidi"/>
          <w:sz w:val="18"/>
        </w:rPr>
        <w:t>’</w:t>
      </w:r>
      <w:r w:rsidRPr="00B67A12">
        <w:rPr>
          <w:rFonts w:asciiTheme="majorBidi" w:hAnsiTheme="majorBidi" w:cstheme="majorBidi"/>
          <w:sz w:val="18"/>
        </w:rPr>
        <w:t>est écoulé une très longue période (</w:t>
      </w:r>
      <w:r w:rsidR="00A03E91" w:rsidRPr="00B67A12">
        <w:rPr>
          <w:rFonts w:asciiTheme="majorBidi" w:hAnsiTheme="majorBidi" w:cstheme="majorBidi"/>
          <w:sz w:val="18"/>
        </w:rPr>
        <w:t>seize</w:t>
      </w:r>
      <w:r w:rsidRPr="00B67A12">
        <w:rPr>
          <w:rFonts w:asciiTheme="majorBidi" w:hAnsiTheme="majorBidi" w:cstheme="majorBidi"/>
          <w:sz w:val="18"/>
        </w:rPr>
        <w:t xml:space="preserve"> ans) entre la deuxième et la troisième études.</w:t>
      </w:r>
    </w:p>
    <w:p w:rsidR="00113857" w:rsidRPr="00B67A12" w:rsidRDefault="00113857" w:rsidP="00113857">
      <w:pPr>
        <w:pStyle w:val="SingleTxtG"/>
      </w:pPr>
      <w:r w:rsidRPr="00B67A12">
        <w:t>8.</w:t>
      </w:r>
      <w:r w:rsidRPr="00B67A12">
        <w:tab/>
        <w:t>Le tableau 1 fournit des précisions sur les différentes études menées dans le cadre du troisième cycle et sur les études du Maroc et de la Mongolie. Comme dans les cycles précédents, toutes les études ont porté sur les cadres juridiques et institutionnels et l</w:t>
      </w:r>
      <w:r w:rsidR="00A03E91" w:rsidRPr="00B67A12">
        <w:t>’</w:t>
      </w:r>
      <w:r w:rsidRPr="00B67A12">
        <w:t>élaboration des politiques concernant la protection de l</w:t>
      </w:r>
      <w:r w:rsidR="00A03E91" w:rsidRPr="00B67A12">
        <w:t>’</w:t>
      </w:r>
      <w:r w:rsidRPr="00B67A12">
        <w:t>environnement et le développement durable ; les mécanismes de réglementation et d</w:t>
      </w:r>
      <w:r w:rsidR="00A03E91" w:rsidRPr="00B67A12">
        <w:t>’</w:t>
      </w:r>
      <w:r w:rsidRPr="00B67A12">
        <w:t>assurance du respect des obligations ; les instruments économiques pour la protection de l</w:t>
      </w:r>
      <w:r w:rsidR="00A03E91" w:rsidRPr="00B67A12">
        <w:t>’</w:t>
      </w:r>
      <w:r w:rsidRPr="00B67A12">
        <w:t>environnement ; les dépenses en matière d</w:t>
      </w:r>
      <w:r w:rsidR="00A03E91" w:rsidRPr="00B67A12">
        <w:t>’</w:t>
      </w:r>
      <w:r w:rsidRPr="00B67A12">
        <w:t>environnement ; la surveillance de l</w:t>
      </w:r>
      <w:r w:rsidR="00A03E91" w:rsidRPr="00B67A12">
        <w:t>’</w:t>
      </w:r>
      <w:r w:rsidRPr="00B67A12">
        <w:t>environnement ; l</w:t>
      </w:r>
      <w:r w:rsidR="00A03E91" w:rsidRPr="00B67A12">
        <w:t>’</w:t>
      </w:r>
      <w:r w:rsidRPr="00B67A12">
        <w:t>accès à l</w:t>
      </w:r>
      <w:r w:rsidR="00A03E91" w:rsidRPr="00B67A12">
        <w:t>’</w:t>
      </w:r>
      <w:r w:rsidRPr="00B67A12">
        <w:t>information ; la participation du public ; l</w:t>
      </w:r>
      <w:r w:rsidR="00A03E91" w:rsidRPr="00B67A12">
        <w:t>’</w:t>
      </w:r>
      <w:r w:rsidRPr="00B67A12">
        <w:t>éducation environnementale et l</w:t>
      </w:r>
      <w:r w:rsidR="00A03E91" w:rsidRPr="00B67A12">
        <w:t>’</w:t>
      </w:r>
      <w:r w:rsidRPr="00B67A12">
        <w:t>éducation au service du développement durable. La plupart des études ont également porté sur la protection de l</w:t>
      </w:r>
      <w:r w:rsidR="00A03E91" w:rsidRPr="00B67A12">
        <w:t>’</w:t>
      </w:r>
      <w:r w:rsidRPr="00B67A12">
        <w:t>air, la gestion de l</w:t>
      </w:r>
      <w:r w:rsidR="00A03E91" w:rsidRPr="00B67A12">
        <w:t>’</w:t>
      </w:r>
      <w:r w:rsidRPr="00B67A12">
        <w:t>eau, la gestion des déchets, la biodiversité et les zones protégées. Six études comportaient des chapitres spécialement consacrés aux changements climatiques, tandis que dans les autres études cette thématique était intégrée dans les différents chapitres.</w:t>
      </w:r>
    </w:p>
    <w:p w:rsidR="00113857" w:rsidRPr="00B67A12" w:rsidRDefault="00113857" w:rsidP="00113857">
      <w:pPr>
        <w:pStyle w:val="SingleTxtG"/>
      </w:pPr>
      <w:r w:rsidRPr="00B67A12">
        <w:t>9.</w:t>
      </w:r>
      <w:r w:rsidRPr="00B67A12">
        <w:tab/>
        <w:t>Par rapport aux cycles précédents, globalement, les études du troisième cycle comportent un plus grand nombre de chapitres traitant de l</w:t>
      </w:r>
      <w:r w:rsidR="00A03E91" w:rsidRPr="00B67A12">
        <w:t>’</w:t>
      </w:r>
      <w:r w:rsidRPr="00B67A12">
        <w:t>intégration des considérations environnementales dans les politiques sectorielles. Elles débouchent aussi sur un plus grand nombre de recommandations. Comme il ressort du tableau 2, les secteurs les plus systématiquement traités sont l</w:t>
      </w:r>
      <w:r w:rsidR="00A03E91" w:rsidRPr="00B67A12">
        <w:t>’</w:t>
      </w:r>
      <w:r w:rsidRPr="00B67A12">
        <w:t>énergie et les forêts, suivis de près par les secteurs de la santé et de l</w:t>
      </w:r>
      <w:r w:rsidR="00A03E91" w:rsidRPr="00B67A12">
        <w:t>’</w:t>
      </w:r>
      <w:r w:rsidRPr="00B67A12">
        <w:t>industrie.</w:t>
      </w:r>
    </w:p>
    <w:p w:rsidR="00113857" w:rsidRPr="00B67A12" w:rsidRDefault="00113857" w:rsidP="00113857">
      <w:pPr>
        <w:pStyle w:val="SingleTxtG"/>
      </w:pPr>
      <w:r w:rsidRPr="00B67A12">
        <w:t>10.</w:t>
      </w:r>
      <w:r w:rsidRPr="00B67A12">
        <w:tab/>
        <w:t>Comme le montre la figure 2, indiquant quels sont les destinataires des recommandations issues de l</w:t>
      </w:r>
      <w:r w:rsidR="00A03E91" w:rsidRPr="00B67A12">
        <w:t>’</w:t>
      </w:r>
      <w:r w:rsidRPr="00B67A12">
        <w:t>étude de la performance environnementale, ces recommandations s</w:t>
      </w:r>
      <w:r w:rsidR="00A03E91" w:rsidRPr="00B67A12">
        <w:t>’</w:t>
      </w:r>
      <w:r w:rsidRPr="00B67A12">
        <w:t>adressent non seulement aux autorités nationales chargées de l</w:t>
      </w:r>
      <w:r w:rsidR="00A03E91" w:rsidRPr="00B67A12">
        <w:t>’</w:t>
      </w:r>
      <w:r w:rsidRPr="00B67A12">
        <w:t xml:space="preserve">environnement mais aussi aux ministères sectoriels et au </w:t>
      </w:r>
      <w:r w:rsidR="00A53777">
        <w:t>g</w:t>
      </w:r>
      <w:r w:rsidRPr="00B67A12">
        <w:t>ouvernement en général.</w:t>
      </w:r>
    </w:p>
    <w:p w:rsidR="00113857" w:rsidRPr="00B67A12" w:rsidRDefault="00113857" w:rsidP="00113857">
      <w:pPr>
        <w:pStyle w:val="Titre1"/>
        <w:spacing w:after="120"/>
        <w:rPr>
          <w:rFonts w:asciiTheme="majorBidi" w:hAnsiTheme="majorBidi" w:cstheme="majorBidi"/>
          <w:b/>
        </w:rPr>
      </w:pPr>
      <w:r w:rsidRPr="00B67A12">
        <w:lastRenderedPageBreak/>
        <w:t>Tableau 1</w:t>
      </w:r>
      <w:r w:rsidRPr="00B67A12">
        <w:br/>
      </w:r>
      <w:r w:rsidRPr="00B67A12">
        <w:rPr>
          <w:rFonts w:asciiTheme="majorBidi" w:hAnsiTheme="majorBidi" w:cstheme="majorBidi"/>
          <w:b/>
        </w:rPr>
        <w:t>Principales caractéristiques des études de la performance environnementale menées dans le cadre du troisième cycle et des études de la Mongolie et du Maroc, 2013-2018</w:t>
      </w:r>
    </w:p>
    <w:tbl>
      <w:tblPr>
        <w:tblW w:w="8504" w:type="dxa"/>
        <w:tblInd w:w="1134" w:type="dxa"/>
        <w:tblLayout w:type="fixed"/>
        <w:tblCellMar>
          <w:left w:w="0" w:type="dxa"/>
          <w:right w:w="0" w:type="dxa"/>
        </w:tblCellMar>
        <w:tblLook w:val="0000" w:firstRow="0" w:lastRow="0" w:firstColumn="0" w:lastColumn="0" w:noHBand="0" w:noVBand="0"/>
      </w:tblPr>
      <w:tblGrid>
        <w:gridCol w:w="1275"/>
        <w:gridCol w:w="2552"/>
        <w:gridCol w:w="850"/>
        <w:gridCol w:w="1418"/>
        <w:gridCol w:w="1275"/>
        <w:gridCol w:w="1134"/>
      </w:tblGrid>
      <w:tr w:rsidR="00113857" w:rsidRPr="00B67A12" w:rsidTr="00113857">
        <w:trPr>
          <w:tblHeader/>
        </w:trPr>
        <w:tc>
          <w:tcPr>
            <w:tcW w:w="1276" w:type="dxa"/>
            <w:tcBorders>
              <w:top w:val="single" w:sz="4" w:space="0" w:color="auto"/>
              <w:bottom w:val="single" w:sz="12" w:space="0" w:color="auto"/>
            </w:tcBorders>
            <w:shd w:val="clear" w:color="auto" w:fill="auto"/>
            <w:vAlign w:val="bottom"/>
          </w:tcPr>
          <w:p w:rsidR="00113857" w:rsidRPr="00B67A12" w:rsidRDefault="00113857" w:rsidP="00113857">
            <w:pPr>
              <w:spacing w:before="80" w:after="80" w:line="200" w:lineRule="exact"/>
              <w:ind w:right="113"/>
              <w:rPr>
                <w:i/>
                <w:sz w:val="16"/>
              </w:rPr>
            </w:pPr>
          </w:p>
        </w:tc>
        <w:tc>
          <w:tcPr>
            <w:tcW w:w="2552" w:type="dxa"/>
            <w:tcBorders>
              <w:top w:val="single" w:sz="4" w:space="0" w:color="auto"/>
              <w:bottom w:val="single" w:sz="12" w:space="0" w:color="auto"/>
            </w:tcBorders>
            <w:shd w:val="clear" w:color="auto" w:fill="auto"/>
            <w:vAlign w:val="bottom"/>
          </w:tcPr>
          <w:p w:rsidR="00113857" w:rsidRPr="00B67A12" w:rsidRDefault="00113857" w:rsidP="00113857">
            <w:pPr>
              <w:spacing w:before="80" w:after="80" w:line="200" w:lineRule="exact"/>
              <w:ind w:right="113"/>
              <w:rPr>
                <w:bCs/>
                <w:i/>
                <w:sz w:val="16"/>
              </w:rPr>
            </w:pPr>
            <w:r w:rsidRPr="00B67A12">
              <w:rPr>
                <w:bCs/>
                <w:i/>
                <w:sz w:val="16"/>
              </w:rPr>
              <w:t>Pays (par ordre chronologique)</w:t>
            </w:r>
          </w:p>
        </w:tc>
        <w:tc>
          <w:tcPr>
            <w:tcW w:w="850" w:type="dxa"/>
            <w:tcBorders>
              <w:top w:val="single" w:sz="4" w:space="0" w:color="auto"/>
              <w:bottom w:val="single" w:sz="12" w:space="0" w:color="auto"/>
            </w:tcBorders>
            <w:shd w:val="clear" w:color="auto" w:fill="auto"/>
            <w:vAlign w:val="bottom"/>
          </w:tcPr>
          <w:p w:rsidR="00113857" w:rsidRPr="00B67A12" w:rsidRDefault="00113857" w:rsidP="00113857">
            <w:pPr>
              <w:spacing w:before="80" w:after="80" w:line="200" w:lineRule="exact"/>
              <w:ind w:right="113"/>
              <w:rPr>
                <w:bCs/>
                <w:i/>
                <w:sz w:val="16"/>
              </w:rPr>
            </w:pPr>
            <w:r w:rsidRPr="00B67A12">
              <w:rPr>
                <w:bCs/>
                <w:i/>
                <w:sz w:val="16"/>
              </w:rPr>
              <w:t>Chapitres (nombre)</w:t>
            </w:r>
          </w:p>
        </w:tc>
        <w:tc>
          <w:tcPr>
            <w:tcW w:w="1418" w:type="dxa"/>
            <w:tcBorders>
              <w:top w:val="single" w:sz="4" w:space="0" w:color="auto"/>
              <w:bottom w:val="single" w:sz="12" w:space="0" w:color="auto"/>
            </w:tcBorders>
            <w:shd w:val="clear" w:color="auto" w:fill="auto"/>
            <w:vAlign w:val="bottom"/>
          </w:tcPr>
          <w:p w:rsidR="00113857" w:rsidRPr="00B67A12" w:rsidRDefault="00113857" w:rsidP="00113857">
            <w:pPr>
              <w:spacing w:before="80" w:after="80" w:line="200" w:lineRule="exact"/>
              <w:ind w:right="113"/>
              <w:rPr>
                <w:bCs/>
                <w:i/>
                <w:sz w:val="16"/>
              </w:rPr>
            </w:pPr>
            <w:r w:rsidRPr="00B67A12">
              <w:rPr>
                <w:bCs/>
                <w:i/>
                <w:sz w:val="16"/>
              </w:rPr>
              <w:t>Recommandations (nombre)</w:t>
            </w:r>
          </w:p>
        </w:tc>
        <w:tc>
          <w:tcPr>
            <w:tcW w:w="1275" w:type="dxa"/>
            <w:tcBorders>
              <w:top w:val="single" w:sz="4" w:space="0" w:color="auto"/>
              <w:bottom w:val="single" w:sz="12" w:space="0" w:color="auto"/>
            </w:tcBorders>
            <w:shd w:val="clear" w:color="auto" w:fill="auto"/>
            <w:vAlign w:val="bottom"/>
          </w:tcPr>
          <w:p w:rsidR="00113857" w:rsidRPr="00B67A12" w:rsidRDefault="00F84610" w:rsidP="00113857">
            <w:pPr>
              <w:spacing w:before="80" w:after="80" w:line="200" w:lineRule="exact"/>
              <w:ind w:right="113"/>
              <w:rPr>
                <w:bCs/>
                <w:i/>
                <w:sz w:val="16"/>
              </w:rPr>
            </w:pPr>
            <w:r>
              <w:rPr>
                <w:bCs/>
                <w:i/>
                <w:sz w:val="16"/>
              </w:rPr>
              <w:t>Version en français ou en </w:t>
            </w:r>
            <w:r w:rsidR="00113857" w:rsidRPr="00B67A12">
              <w:rPr>
                <w:bCs/>
                <w:i/>
                <w:sz w:val="16"/>
              </w:rPr>
              <w:t>russe</w:t>
            </w:r>
          </w:p>
        </w:tc>
        <w:tc>
          <w:tcPr>
            <w:tcW w:w="1134" w:type="dxa"/>
            <w:tcBorders>
              <w:top w:val="single" w:sz="4" w:space="0" w:color="auto"/>
              <w:bottom w:val="single" w:sz="12" w:space="0" w:color="auto"/>
            </w:tcBorders>
            <w:shd w:val="clear" w:color="auto" w:fill="auto"/>
            <w:vAlign w:val="bottom"/>
          </w:tcPr>
          <w:p w:rsidR="00113857" w:rsidRPr="00B67A12" w:rsidRDefault="00F84610" w:rsidP="00113857">
            <w:pPr>
              <w:spacing w:before="80" w:after="80" w:line="200" w:lineRule="exact"/>
              <w:ind w:right="113"/>
              <w:rPr>
                <w:bCs/>
                <w:i/>
                <w:sz w:val="16"/>
              </w:rPr>
            </w:pPr>
            <w:r>
              <w:rPr>
                <w:bCs/>
                <w:i/>
                <w:sz w:val="16"/>
              </w:rPr>
              <w:t>Version dans la </w:t>
            </w:r>
            <w:r w:rsidR="00113857" w:rsidRPr="00B67A12">
              <w:rPr>
                <w:bCs/>
                <w:i/>
                <w:sz w:val="16"/>
              </w:rPr>
              <w:t>langue nationale</w:t>
            </w:r>
          </w:p>
        </w:tc>
      </w:tr>
      <w:tr w:rsidR="00113857" w:rsidRPr="00B67A12" w:rsidTr="00113857">
        <w:trPr>
          <w:trHeight w:hRule="exact" w:val="113"/>
          <w:tblHeader/>
        </w:trPr>
        <w:tc>
          <w:tcPr>
            <w:tcW w:w="1276" w:type="dxa"/>
            <w:tcBorders>
              <w:top w:val="single" w:sz="12" w:space="0" w:color="auto"/>
            </w:tcBorders>
            <w:shd w:val="clear" w:color="auto" w:fill="auto"/>
          </w:tcPr>
          <w:p w:rsidR="00113857" w:rsidRPr="00B67A12" w:rsidRDefault="00113857" w:rsidP="00113857">
            <w:pPr>
              <w:spacing w:before="40" w:after="120"/>
              <w:ind w:right="113"/>
            </w:pPr>
          </w:p>
        </w:tc>
        <w:tc>
          <w:tcPr>
            <w:tcW w:w="2552" w:type="dxa"/>
            <w:tcBorders>
              <w:top w:val="single" w:sz="12" w:space="0" w:color="auto"/>
            </w:tcBorders>
            <w:shd w:val="clear" w:color="auto" w:fill="auto"/>
          </w:tcPr>
          <w:p w:rsidR="00113857" w:rsidRPr="00B67A12" w:rsidRDefault="00113857" w:rsidP="00113857">
            <w:pPr>
              <w:spacing w:before="40" w:after="120"/>
              <w:ind w:right="113"/>
              <w:rPr>
                <w:bCs/>
              </w:rPr>
            </w:pPr>
          </w:p>
        </w:tc>
        <w:tc>
          <w:tcPr>
            <w:tcW w:w="850" w:type="dxa"/>
            <w:tcBorders>
              <w:top w:val="single" w:sz="12" w:space="0" w:color="auto"/>
            </w:tcBorders>
            <w:shd w:val="clear" w:color="auto" w:fill="auto"/>
          </w:tcPr>
          <w:p w:rsidR="00113857" w:rsidRPr="00B67A12" w:rsidRDefault="00113857" w:rsidP="00113857">
            <w:pPr>
              <w:spacing w:before="40" w:after="120"/>
              <w:ind w:right="113"/>
              <w:rPr>
                <w:bCs/>
              </w:rPr>
            </w:pPr>
          </w:p>
        </w:tc>
        <w:tc>
          <w:tcPr>
            <w:tcW w:w="1418" w:type="dxa"/>
            <w:tcBorders>
              <w:top w:val="single" w:sz="12" w:space="0" w:color="auto"/>
            </w:tcBorders>
            <w:shd w:val="clear" w:color="auto" w:fill="auto"/>
          </w:tcPr>
          <w:p w:rsidR="00113857" w:rsidRPr="00B67A12" w:rsidRDefault="00113857" w:rsidP="00113857">
            <w:pPr>
              <w:spacing w:before="40" w:after="120"/>
              <w:ind w:right="113"/>
              <w:rPr>
                <w:bCs/>
              </w:rPr>
            </w:pPr>
          </w:p>
        </w:tc>
        <w:tc>
          <w:tcPr>
            <w:tcW w:w="1275" w:type="dxa"/>
            <w:tcBorders>
              <w:top w:val="single" w:sz="12" w:space="0" w:color="auto"/>
            </w:tcBorders>
            <w:shd w:val="clear" w:color="auto" w:fill="auto"/>
          </w:tcPr>
          <w:p w:rsidR="00113857" w:rsidRPr="00B67A12" w:rsidRDefault="00113857" w:rsidP="00113857">
            <w:pPr>
              <w:spacing w:before="40" w:after="120"/>
              <w:ind w:right="113"/>
              <w:rPr>
                <w:bCs/>
              </w:rPr>
            </w:pPr>
          </w:p>
        </w:tc>
        <w:tc>
          <w:tcPr>
            <w:tcW w:w="1134" w:type="dxa"/>
            <w:tcBorders>
              <w:top w:val="single" w:sz="12" w:space="0" w:color="auto"/>
            </w:tcBorders>
            <w:shd w:val="clear" w:color="auto" w:fill="auto"/>
          </w:tcPr>
          <w:p w:rsidR="00113857" w:rsidRPr="00B67A12" w:rsidRDefault="00113857" w:rsidP="00113857">
            <w:pPr>
              <w:spacing w:before="40" w:after="120"/>
              <w:ind w:right="113"/>
              <w:rPr>
                <w:bCs/>
              </w:rPr>
            </w:pPr>
          </w:p>
        </w:tc>
      </w:tr>
      <w:tr w:rsidR="00113857" w:rsidRPr="00B67A12" w:rsidTr="00113857">
        <w:tc>
          <w:tcPr>
            <w:tcW w:w="1276" w:type="dxa"/>
            <w:vMerge w:val="restart"/>
            <w:shd w:val="clear" w:color="auto" w:fill="auto"/>
          </w:tcPr>
          <w:p w:rsidR="00113857" w:rsidRPr="00B67A12" w:rsidRDefault="00113857" w:rsidP="00113857">
            <w:pPr>
              <w:spacing w:before="40" w:after="120"/>
              <w:ind w:right="113"/>
            </w:pPr>
            <w:r w:rsidRPr="00B67A12">
              <w:t>Études du troisième cycle</w:t>
            </w:r>
          </w:p>
        </w:tc>
        <w:tc>
          <w:tcPr>
            <w:tcW w:w="2552" w:type="dxa"/>
            <w:shd w:val="clear" w:color="auto" w:fill="auto"/>
          </w:tcPr>
          <w:p w:rsidR="00113857" w:rsidRPr="00B67A12" w:rsidRDefault="00113857" w:rsidP="00113857">
            <w:pPr>
              <w:spacing w:before="40" w:after="120"/>
              <w:ind w:right="113"/>
            </w:pPr>
            <w:r w:rsidRPr="00B67A12">
              <w:t>République de Moldova</w:t>
            </w:r>
          </w:p>
        </w:tc>
        <w:tc>
          <w:tcPr>
            <w:tcW w:w="850" w:type="dxa"/>
            <w:shd w:val="clear" w:color="auto" w:fill="auto"/>
          </w:tcPr>
          <w:p w:rsidR="00113857" w:rsidRPr="00B67A12" w:rsidRDefault="00113857" w:rsidP="00113857">
            <w:pPr>
              <w:spacing w:before="40" w:after="120"/>
              <w:ind w:right="113"/>
            </w:pPr>
            <w:r w:rsidRPr="00B67A12">
              <w:t>10</w:t>
            </w:r>
          </w:p>
        </w:tc>
        <w:tc>
          <w:tcPr>
            <w:tcW w:w="1418" w:type="dxa"/>
            <w:shd w:val="clear" w:color="auto" w:fill="auto"/>
          </w:tcPr>
          <w:p w:rsidR="00113857" w:rsidRPr="00B67A12" w:rsidRDefault="00113857" w:rsidP="00113857">
            <w:pPr>
              <w:spacing w:before="40" w:after="120"/>
              <w:ind w:right="113"/>
            </w:pPr>
            <w:r w:rsidRPr="00B67A12">
              <w:t>41</w:t>
            </w:r>
          </w:p>
        </w:tc>
        <w:tc>
          <w:tcPr>
            <w:tcW w:w="1275" w:type="dxa"/>
            <w:shd w:val="clear" w:color="auto" w:fill="auto"/>
          </w:tcPr>
          <w:p w:rsidR="00113857" w:rsidRPr="00B67A12" w:rsidRDefault="00113857" w:rsidP="00113857">
            <w:pPr>
              <w:spacing w:before="40" w:after="120"/>
              <w:ind w:right="113"/>
            </w:pPr>
            <w:r w:rsidRPr="00B67A12">
              <w:t>Russe</w:t>
            </w:r>
          </w:p>
        </w:tc>
        <w:tc>
          <w:tcPr>
            <w:tcW w:w="1134" w:type="dxa"/>
            <w:shd w:val="clear" w:color="auto" w:fill="auto"/>
          </w:tcPr>
          <w:p w:rsidR="00113857" w:rsidRPr="00B67A12" w:rsidRDefault="00113857" w:rsidP="00113857">
            <w:pPr>
              <w:spacing w:before="40" w:after="120"/>
              <w:ind w:right="113"/>
            </w:pPr>
          </w:p>
        </w:tc>
      </w:tr>
      <w:tr w:rsidR="00113857" w:rsidRPr="00B67A12" w:rsidTr="00113857">
        <w:tc>
          <w:tcPr>
            <w:tcW w:w="1276" w:type="dxa"/>
            <w:vMerge/>
            <w:shd w:val="clear" w:color="auto" w:fill="auto"/>
          </w:tcPr>
          <w:p w:rsidR="00113857" w:rsidRPr="00B67A12" w:rsidRDefault="00113857" w:rsidP="00113857">
            <w:pPr>
              <w:spacing w:before="40" w:after="120"/>
              <w:ind w:right="113"/>
            </w:pPr>
          </w:p>
        </w:tc>
        <w:tc>
          <w:tcPr>
            <w:tcW w:w="2552" w:type="dxa"/>
            <w:shd w:val="clear" w:color="auto" w:fill="auto"/>
          </w:tcPr>
          <w:p w:rsidR="00113857" w:rsidRPr="00B67A12" w:rsidRDefault="00113857" w:rsidP="00113857">
            <w:pPr>
              <w:spacing w:before="40" w:after="120"/>
              <w:ind w:right="113"/>
            </w:pPr>
            <w:r w:rsidRPr="00B67A12">
              <w:t>Monténégro</w:t>
            </w:r>
          </w:p>
        </w:tc>
        <w:tc>
          <w:tcPr>
            <w:tcW w:w="850" w:type="dxa"/>
            <w:shd w:val="clear" w:color="auto" w:fill="auto"/>
          </w:tcPr>
          <w:p w:rsidR="00113857" w:rsidRPr="00B67A12" w:rsidRDefault="00113857" w:rsidP="00113857">
            <w:pPr>
              <w:spacing w:before="40" w:after="120"/>
              <w:ind w:right="113"/>
            </w:pPr>
            <w:r w:rsidRPr="00B67A12">
              <w:t>8</w:t>
            </w:r>
          </w:p>
        </w:tc>
        <w:tc>
          <w:tcPr>
            <w:tcW w:w="1418" w:type="dxa"/>
            <w:shd w:val="clear" w:color="auto" w:fill="auto"/>
          </w:tcPr>
          <w:p w:rsidR="00113857" w:rsidRPr="00B67A12" w:rsidRDefault="00113857" w:rsidP="00113857">
            <w:pPr>
              <w:spacing w:before="40" w:after="120"/>
              <w:ind w:right="113"/>
            </w:pPr>
            <w:r w:rsidRPr="00B67A12">
              <w:t>32</w:t>
            </w:r>
          </w:p>
        </w:tc>
        <w:tc>
          <w:tcPr>
            <w:tcW w:w="1275" w:type="dxa"/>
            <w:shd w:val="clear" w:color="auto" w:fill="auto"/>
          </w:tcPr>
          <w:p w:rsidR="00113857" w:rsidRPr="00B67A12" w:rsidRDefault="00113857" w:rsidP="00113857">
            <w:pPr>
              <w:spacing w:before="40" w:after="120"/>
              <w:ind w:right="113"/>
            </w:pPr>
          </w:p>
        </w:tc>
        <w:tc>
          <w:tcPr>
            <w:tcW w:w="1134" w:type="dxa"/>
            <w:shd w:val="clear" w:color="auto" w:fill="auto"/>
          </w:tcPr>
          <w:p w:rsidR="00113857" w:rsidRPr="00B67A12" w:rsidRDefault="00113857" w:rsidP="00113857">
            <w:pPr>
              <w:spacing w:before="40" w:after="120"/>
              <w:ind w:right="113"/>
            </w:pPr>
          </w:p>
        </w:tc>
      </w:tr>
      <w:tr w:rsidR="00113857" w:rsidRPr="00B67A12" w:rsidTr="00113857">
        <w:tc>
          <w:tcPr>
            <w:tcW w:w="1276" w:type="dxa"/>
            <w:vMerge/>
            <w:shd w:val="clear" w:color="auto" w:fill="auto"/>
          </w:tcPr>
          <w:p w:rsidR="00113857" w:rsidRPr="00B67A12" w:rsidRDefault="00113857" w:rsidP="00113857">
            <w:pPr>
              <w:spacing w:before="40" w:after="120"/>
              <w:ind w:right="113"/>
            </w:pPr>
          </w:p>
        </w:tc>
        <w:tc>
          <w:tcPr>
            <w:tcW w:w="2552" w:type="dxa"/>
            <w:shd w:val="clear" w:color="auto" w:fill="auto"/>
          </w:tcPr>
          <w:p w:rsidR="00113857" w:rsidRPr="00B67A12" w:rsidRDefault="00113857" w:rsidP="00113857">
            <w:pPr>
              <w:spacing w:before="40" w:after="120"/>
              <w:ind w:right="113"/>
            </w:pPr>
            <w:r w:rsidRPr="00B67A12">
              <w:t>Serbie</w:t>
            </w:r>
          </w:p>
        </w:tc>
        <w:tc>
          <w:tcPr>
            <w:tcW w:w="850" w:type="dxa"/>
            <w:shd w:val="clear" w:color="auto" w:fill="auto"/>
          </w:tcPr>
          <w:p w:rsidR="00113857" w:rsidRPr="00B67A12" w:rsidRDefault="00113857" w:rsidP="00113857">
            <w:pPr>
              <w:spacing w:before="40" w:after="120"/>
              <w:ind w:right="113"/>
            </w:pPr>
            <w:r w:rsidRPr="00B67A12">
              <w:t>8</w:t>
            </w:r>
          </w:p>
        </w:tc>
        <w:tc>
          <w:tcPr>
            <w:tcW w:w="1418" w:type="dxa"/>
            <w:shd w:val="clear" w:color="auto" w:fill="auto"/>
          </w:tcPr>
          <w:p w:rsidR="00113857" w:rsidRPr="00B67A12" w:rsidRDefault="00113857" w:rsidP="00113857">
            <w:pPr>
              <w:spacing w:before="40" w:after="120"/>
              <w:ind w:right="113"/>
            </w:pPr>
            <w:r w:rsidRPr="00B67A12">
              <w:t>33</w:t>
            </w:r>
          </w:p>
        </w:tc>
        <w:tc>
          <w:tcPr>
            <w:tcW w:w="1275" w:type="dxa"/>
            <w:shd w:val="clear" w:color="auto" w:fill="auto"/>
          </w:tcPr>
          <w:p w:rsidR="00113857" w:rsidRPr="00B67A12" w:rsidRDefault="00113857" w:rsidP="00113857">
            <w:pPr>
              <w:spacing w:before="40" w:after="120"/>
              <w:ind w:right="113"/>
            </w:pPr>
          </w:p>
        </w:tc>
        <w:tc>
          <w:tcPr>
            <w:tcW w:w="1134" w:type="dxa"/>
            <w:shd w:val="clear" w:color="auto" w:fill="auto"/>
          </w:tcPr>
          <w:p w:rsidR="00113857" w:rsidRPr="00B67A12" w:rsidRDefault="00113857" w:rsidP="00113857">
            <w:pPr>
              <w:spacing w:before="40" w:after="120"/>
              <w:ind w:right="113"/>
            </w:pPr>
          </w:p>
        </w:tc>
      </w:tr>
      <w:tr w:rsidR="00113857" w:rsidRPr="00B67A12" w:rsidTr="00113857">
        <w:tc>
          <w:tcPr>
            <w:tcW w:w="1276" w:type="dxa"/>
            <w:vMerge/>
            <w:shd w:val="clear" w:color="auto" w:fill="auto"/>
          </w:tcPr>
          <w:p w:rsidR="00113857" w:rsidRPr="00B67A12" w:rsidRDefault="00113857" w:rsidP="00113857">
            <w:pPr>
              <w:spacing w:before="40" w:after="120"/>
              <w:ind w:right="113"/>
            </w:pPr>
          </w:p>
        </w:tc>
        <w:tc>
          <w:tcPr>
            <w:tcW w:w="2552" w:type="dxa"/>
            <w:shd w:val="clear" w:color="auto" w:fill="auto"/>
          </w:tcPr>
          <w:p w:rsidR="00113857" w:rsidRPr="00B67A12" w:rsidRDefault="00113857" w:rsidP="00113857">
            <w:pPr>
              <w:spacing w:before="40" w:after="120"/>
              <w:ind w:right="113"/>
            </w:pPr>
            <w:r w:rsidRPr="00B67A12">
              <w:t>Géorgie</w:t>
            </w:r>
          </w:p>
        </w:tc>
        <w:tc>
          <w:tcPr>
            <w:tcW w:w="850" w:type="dxa"/>
            <w:shd w:val="clear" w:color="auto" w:fill="auto"/>
          </w:tcPr>
          <w:p w:rsidR="00113857" w:rsidRPr="00B67A12" w:rsidRDefault="00113857" w:rsidP="00113857">
            <w:pPr>
              <w:spacing w:before="40" w:after="120"/>
              <w:ind w:right="113"/>
            </w:pPr>
            <w:r w:rsidRPr="00B67A12">
              <w:t>14</w:t>
            </w:r>
          </w:p>
        </w:tc>
        <w:tc>
          <w:tcPr>
            <w:tcW w:w="1418" w:type="dxa"/>
            <w:shd w:val="clear" w:color="auto" w:fill="auto"/>
          </w:tcPr>
          <w:p w:rsidR="00113857" w:rsidRPr="00B67A12" w:rsidRDefault="00113857" w:rsidP="00113857">
            <w:pPr>
              <w:spacing w:before="40" w:after="120"/>
              <w:ind w:right="113"/>
            </w:pPr>
            <w:r w:rsidRPr="00B67A12">
              <w:t>67</w:t>
            </w:r>
          </w:p>
        </w:tc>
        <w:tc>
          <w:tcPr>
            <w:tcW w:w="1275" w:type="dxa"/>
            <w:shd w:val="clear" w:color="auto" w:fill="auto"/>
          </w:tcPr>
          <w:p w:rsidR="00113857" w:rsidRPr="00B67A12" w:rsidRDefault="00113857" w:rsidP="00113857">
            <w:pPr>
              <w:spacing w:before="40" w:after="120"/>
              <w:ind w:right="113"/>
            </w:pPr>
          </w:p>
        </w:tc>
        <w:tc>
          <w:tcPr>
            <w:tcW w:w="1134" w:type="dxa"/>
            <w:shd w:val="clear" w:color="auto" w:fill="auto"/>
          </w:tcPr>
          <w:p w:rsidR="00113857" w:rsidRPr="00B67A12" w:rsidRDefault="00113857" w:rsidP="00113857">
            <w:pPr>
              <w:spacing w:before="40" w:after="120"/>
              <w:ind w:right="113"/>
            </w:pPr>
          </w:p>
        </w:tc>
      </w:tr>
      <w:tr w:rsidR="00113857" w:rsidRPr="00B67A12" w:rsidTr="00113857">
        <w:tc>
          <w:tcPr>
            <w:tcW w:w="1276" w:type="dxa"/>
            <w:vMerge/>
            <w:shd w:val="clear" w:color="auto" w:fill="auto"/>
          </w:tcPr>
          <w:p w:rsidR="00113857" w:rsidRPr="00B67A12" w:rsidRDefault="00113857" w:rsidP="00113857">
            <w:pPr>
              <w:spacing w:before="40" w:after="120"/>
              <w:ind w:right="113"/>
            </w:pPr>
          </w:p>
        </w:tc>
        <w:tc>
          <w:tcPr>
            <w:tcW w:w="2552" w:type="dxa"/>
            <w:shd w:val="clear" w:color="auto" w:fill="auto"/>
          </w:tcPr>
          <w:p w:rsidR="00113857" w:rsidRPr="00B67A12" w:rsidRDefault="00113857" w:rsidP="00113857">
            <w:pPr>
              <w:spacing w:before="40" w:after="120"/>
              <w:ind w:right="113"/>
            </w:pPr>
            <w:r w:rsidRPr="00B67A12">
              <w:t>Bulgarie</w:t>
            </w:r>
          </w:p>
        </w:tc>
        <w:tc>
          <w:tcPr>
            <w:tcW w:w="850" w:type="dxa"/>
            <w:shd w:val="clear" w:color="auto" w:fill="auto"/>
          </w:tcPr>
          <w:p w:rsidR="00113857" w:rsidRPr="00B67A12" w:rsidRDefault="00113857" w:rsidP="00113857">
            <w:pPr>
              <w:spacing w:before="40" w:after="120"/>
              <w:ind w:right="113"/>
            </w:pPr>
            <w:r w:rsidRPr="00B67A12">
              <w:t>10</w:t>
            </w:r>
          </w:p>
        </w:tc>
        <w:tc>
          <w:tcPr>
            <w:tcW w:w="1418" w:type="dxa"/>
            <w:shd w:val="clear" w:color="auto" w:fill="auto"/>
          </w:tcPr>
          <w:p w:rsidR="00113857" w:rsidRPr="00B67A12" w:rsidRDefault="00113857" w:rsidP="00113857">
            <w:pPr>
              <w:spacing w:before="40" w:after="120"/>
              <w:ind w:right="113"/>
            </w:pPr>
            <w:r w:rsidRPr="00B67A12">
              <w:t>49</w:t>
            </w:r>
          </w:p>
        </w:tc>
        <w:tc>
          <w:tcPr>
            <w:tcW w:w="1275" w:type="dxa"/>
            <w:shd w:val="clear" w:color="auto" w:fill="auto"/>
          </w:tcPr>
          <w:p w:rsidR="00113857" w:rsidRPr="00B67A12" w:rsidRDefault="00113857" w:rsidP="00113857">
            <w:pPr>
              <w:spacing w:before="40" w:after="120"/>
              <w:ind w:right="113"/>
            </w:pPr>
          </w:p>
        </w:tc>
        <w:tc>
          <w:tcPr>
            <w:tcW w:w="1134" w:type="dxa"/>
            <w:shd w:val="clear" w:color="auto" w:fill="auto"/>
          </w:tcPr>
          <w:p w:rsidR="00113857" w:rsidRPr="00B67A12" w:rsidRDefault="00113857" w:rsidP="00113857">
            <w:pPr>
              <w:spacing w:before="40" w:after="120"/>
              <w:ind w:right="113"/>
            </w:pPr>
          </w:p>
        </w:tc>
      </w:tr>
      <w:tr w:rsidR="00113857" w:rsidRPr="00B67A12" w:rsidTr="00113857">
        <w:tc>
          <w:tcPr>
            <w:tcW w:w="1276" w:type="dxa"/>
            <w:vMerge/>
            <w:shd w:val="clear" w:color="auto" w:fill="auto"/>
          </w:tcPr>
          <w:p w:rsidR="00113857" w:rsidRPr="00B67A12" w:rsidRDefault="00113857" w:rsidP="00113857">
            <w:pPr>
              <w:spacing w:before="40" w:after="120"/>
              <w:ind w:right="113"/>
            </w:pPr>
          </w:p>
        </w:tc>
        <w:tc>
          <w:tcPr>
            <w:tcW w:w="2552" w:type="dxa"/>
            <w:shd w:val="clear" w:color="auto" w:fill="auto"/>
          </w:tcPr>
          <w:p w:rsidR="00113857" w:rsidRPr="00B67A12" w:rsidRDefault="00113857" w:rsidP="00113857">
            <w:pPr>
              <w:spacing w:before="40" w:after="120"/>
              <w:ind w:right="113"/>
            </w:pPr>
            <w:r w:rsidRPr="00B67A12">
              <w:t>Bélarus</w:t>
            </w:r>
          </w:p>
        </w:tc>
        <w:tc>
          <w:tcPr>
            <w:tcW w:w="850" w:type="dxa"/>
            <w:shd w:val="clear" w:color="auto" w:fill="auto"/>
          </w:tcPr>
          <w:p w:rsidR="00113857" w:rsidRPr="00B67A12" w:rsidRDefault="00113857" w:rsidP="00113857">
            <w:pPr>
              <w:spacing w:before="40" w:after="120"/>
              <w:ind w:right="113"/>
            </w:pPr>
            <w:r w:rsidRPr="00B67A12">
              <w:t>14</w:t>
            </w:r>
          </w:p>
        </w:tc>
        <w:tc>
          <w:tcPr>
            <w:tcW w:w="1418" w:type="dxa"/>
            <w:shd w:val="clear" w:color="auto" w:fill="auto"/>
          </w:tcPr>
          <w:p w:rsidR="00113857" w:rsidRPr="00B67A12" w:rsidRDefault="00113857" w:rsidP="00113857">
            <w:pPr>
              <w:spacing w:before="40" w:after="120"/>
              <w:ind w:right="113"/>
            </w:pPr>
            <w:r w:rsidRPr="00B67A12">
              <w:t>64</w:t>
            </w:r>
          </w:p>
        </w:tc>
        <w:tc>
          <w:tcPr>
            <w:tcW w:w="1275" w:type="dxa"/>
            <w:shd w:val="clear" w:color="auto" w:fill="auto"/>
          </w:tcPr>
          <w:p w:rsidR="00113857" w:rsidRPr="00B67A12" w:rsidRDefault="00113857" w:rsidP="00113857">
            <w:pPr>
              <w:spacing w:before="40" w:after="120"/>
              <w:ind w:right="113"/>
            </w:pPr>
            <w:r w:rsidRPr="00B67A12">
              <w:t>Russe</w:t>
            </w:r>
          </w:p>
        </w:tc>
        <w:tc>
          <w:tcPr>
            <w:tcW w:w="1134" w:type="dxa"/>
            <w:shd w:val="clear" w:color="auto" w:fill="auto"/>
          </w:tcPr>
          <w:p w:rsidR="00113857" w:rsidRPr="00B67A12" w:rsidRDefault="00113857" w:rsidP="00113857">
            <w:pPr>
              <w:spacing w:before="40" w:after="120"/>
              <w:ind w:right="113"/>
            </w:pPr>
          </w:p>
        </w:tc>
      </w:tr>
      <w:tr w:rsidR="00113857" w:rsidRPr="00B67A12" w:rsidTr="00113857">
        <w:tc>
          <w:tcPr>
            <w:tcW w:w="1276" w:type="dxa"/>
            <w:vMerge/>
            <w:shd w:val="clear" w:color="auto" w:fill="auto"/>
          </w:tcPr>
          <w:p w:rsidR="00113857" w:rsidRPr="00B67A12" w:rsidRDefault="00113857" w:rsidP="00113857">
            <w:pPr>
              <w:spacing w:before="40" w:after="120"/>
              <w:ind w:right="113"/>
            </w:pPr>
          </w:p>
        </w:tc>
        <w:tc>
          <w:tcPr>
            <w:tcW w:w="2552" w:type="dxa"/>
            <w:shd w:val="clear" w:color="auto" w:fill="auto"/>
          </w:tcPr>
          <w:p w:rsidR="00113857" w:rsidRPr="00B67A12" w:rsidRDefault="00113857" w:rsidP="00113857">
            <w:pPr>
              <w:spacing w:before="40" w:after="120"/>
              <w:ind w:right="113"/>
            </w:pPr>
            <w:r w:rsidRPr="00B67A12">
              <w:t>Tadjikistan</w:t>
            </w:r>
          </w:p>
        </w:tc>
        <w:tc>
          <w:tcPr>
            <w:tcW w:w="850" w:type="dxa"/>
            <w:shd w:val="clear" w:color="auto" w:fill="auto"/>
          </w:tcPr>
          <w:p w:rsidR="00113857" w:rsidRPr="00B67A12" w:rsidRDefault="00113857" w:rsidP="00113857">
            <w:pPr>
              <w:spacing w:before="40" w:after="120"/>
              <w:ind w:right="113"/>
            </w:pPr>
            <w:r w:rsidRPr="00B67A12">
              <w:t>15</w:t>
            </w:r>
          </w:p>
        </w:tc>
        <w:tc>
          <w:tcPr>
            <w:tcW w:w="1418" w:type="dxa"/>
            <w:shd w:val="clear" w:color="auto" w:fill="auto"/>
          </w:tcPr>
          <w:p w:rsidR="00113857" w:rsidRPr="00B67A12" w:rsidRDefault="00113857" w:rsidP="00113857">
            <w:pPr>
              <w:spacing w:before="40" w:after="120"/>
              <w:ind w:right="113"/>
            </w:pPr>
            <w:r w:rsidRPr="00B67A12">
              <w:t>82</w:t>
            </w:r>
          </w:p>
        </w:tc>
        <w:tc>
          <w:tcPr>
            <w:tcW w:w="1275" w:type="dxa"/>
            <w:shd w:val="clear" w:color="auto" w:fill="auto"/>
          </w:tcPr>
          <w:p w:rsidR="00113857" w:rsidRPr="00B67A12" w:rsidRDefault="00113857" w:rsidP="00113857">
            <w:pPr>
              <w:spacing w:before="40" w:after="120"/>
              <w:ind w:right="113"/>
            </w:pPr>
            <w:r w:rsidRPr="00B67A12">
              <w:t>Russe</w:t>
            </w:r>
          </w:p>
        </w:tc>
        <w:tc>
          <w:tcPr>
            <w:tcW w:w="1134" w:type="dxa"/>
            <w:shd w:val="clear" w:color="auto" w:fill="auto"/>
          </w:tcPr>
          <w:p w:rsidR="00113857" w:rsidRPr="00B67A12" w:rsidRDefault="00113857" w:rsidP="00113857">
            <w:pPr>
              <w:spacing w:before="40" w:after="120"/>
              <w:ind w:right="113"/>
            </w:pPr>
          </w:p>
        </w:tc>
      </w:tr>
      <w:tr w:rsidR="00113857" w:rsidRPr="00B67A12" w:rsidTr="00113857">
        <w:tc>
          <w:tcPr>
            <w:tcW w:w="1276" w:type="dxa"/>
            <w:vMerge/>
            <w:shd w:val="clear" w:color="auto" w:fill="auto"/>
          </w:tcPr>
          <w:p w:rsidR="00113857" w:rsidRPr="00B67A12" w:rsidRDefault="00113857" w:rsidP="00113857">
            <w:pPr>
              <w:spacing w:before="40" w:after="120"/>
              <w:ind w:right="113"/>
            </w:pPr>
          </w:p>
        </w:tc>
        <w:tc>
          <w:tcPr>
            <w:tcW w:w="2552" w:type="dxa"/>
            <w:shd w:val="clear" w:color="auto" w:fill="auto"/>
          </w:tcPr>
          <w:p w:rsidR="00113857" w:rsidRPr="00B67A12" w:rsidRDefault="00113857" w:rsidP="00113857">
            <w:pPr>
              <w:spacing w:before="40" w:after="120"/>
              <w:ind w:right="113"/>
            </w:pPr>
            <w:r w:rsidRPr="00B67A12">
              <w:t>Bosnie-Herzégovine</w:t>
            </w:r>
          </w:p>
        </w:tc>
        <w:tc>
          <w:tcPr>
            <w:tcW w:w="850" w:type="dxa"/>
            <w:shd w:val="clear" w:color="auto" w:fill="auto"/>
          </w:tcPr>
          <w:p w:rsidR="00113857" w:rsidRPr="00B67A12" w:rsidRDefault="00113857" w:rsidP="00113857">
            <w:pPr>
              <w:spacing w:before="40" w:after="120"/>
              <w:ind w:right="113"/>
            </w:pPr>
            <w:r w:rsidRPr="00B67A12">
              <w:t>12</w:t>
            </w:r>
          </w:p>
        </w:tc>
        <w:tc>
          <w:tcPr>
            <w:tcW w:w="1418" w:type="dxa"/>
            <w:shd w:val="clear" w:color="auto" w:fill="auto"/>
          </w:tcPr>
          <w:p w:rsidR="00113857" w:rsidRPr="00B67A12" w:rsidRDefault="00113857" w:rsidP="00113857">
            <w:pPr>
              <w:spacing w:before="40" w:after="120"/>
              <w:ind w:right="113"/>
            </w:pPr>
            <w:r w:rsidRPr="00B67A12">
              <w:t>71</w:t>
            </w:r>
          </w:p>
        </w:tc>
        <w:tc>
          <w:tcPr>
            <w:tcW w:w="1275" w:type="dxa"/>
            <w:shd w:val="clear" w:color="auto" w:fill="auto"/>
          </w:tcPr>
          <w:p w:rsidR="00113857" w:rsidRPr="00B67A12" w:rsidRDefault="00113857" w:rsidP="00113857">
            <w:pPr>
              <w:spacing w:before="40" w:after="120"/>
              <w:ind w:right="113"/>
            </w:pPr>
          </w:p>
        </w:tc>
        <w:tc>
          <w:tcPr>
            <w:tcW w:w="1134" w:type="dxa"/>
            <w:shd w:val="clear" w:color="auto" w:fill="auto"/>
          </w:tcPr>
          <w:p w:rsidR="00113857" w:rsidRPr="00B67A12" w:rsidRDefault="00113857" w:rsidP="00113857">
            <w:pPr>
              <w:spacing w:before="40" w:after="120"/>
              <w:ind w:right="113"/>
            </w:pPr>
            <w:r w:rsidRPr="00B67A12">
              <w:t>√</w:t>
            </w:r>
          </w:p>
        </w:tc>
      </w:tr>
      <w:tr w:rsidR="00113857" w:rsidRPr="00B67A12" w:rsidTr="00113857">
        <w:tc>
          <w:tcPr>
            <w:tcW w:w="1276" w:type="dxa"/>
            <w:vMerge/>
            <w:shd w:val="clear" w:color="auto" w:fill="auto"/>
          </w:tcPr>
          <w:p w:rsidR="00113857" w:rsidRPr="00B67A12" w:rsidRDefault="00113857" w:rsidP="00113857">
            <w:pPr>
              <w:spacing w:before="40" w:after="120"/>
              <w:ind w:right="113"/>
            </w:pPr>
          </w:p>
        </w:tc>
        <w:tc>
          <w:tcPr>
            <w:tcW w:w="2552" w:type="dxa"/>
            <w:shd w:val="clear" w:color="auto" w:fill="auto"/>
          </w:tcPr>
          <w:p w:rsidR="00113857" w:rsidRPr="00B67A12" w:rsidRDefault="00113857" w:rsidP="00113857">
            <w:pPr>
              <w:spacing w:before="40" w:after="120"/>
              <w:ind w:right="113"/>
            </w:pPr>
            <w:r w:rsidRPr="00B67A12">
              <w:t>Albanie</w:t>
            </w:r>
          </w:p>
        </w:tc>
        <w:tc>
          <w:tcPr>
            <w:tcW w:w="850" w:type="dxa"/>
            <w:shd w:val="clear" w:color="auto" w:fill="auto"/>
          </w:tcPr>
          <w:p w:rsidR="00113857" w:rsidRPr="00B67A12" w:rsidRDefault="00113857" w:rsidP="00113857">
            <w:pPr>
              <w:spacing w:before="40" w:after="120"/>
              <w:ind w:right="113"/>
            </w:pPr>
            <w:r w:rsidRPr="00B67A12">
              <w:t>11</w:t>
            </w:r>
          </w:p>
        </w:tc>
        <w:tc>
          <w:tcPr>
            <w:tcW w:w="1418" w:type="dxa"/>
            <w:shd w:val="clear" w:color="auto" w:fill="auto"/>
          </w:tcPr>
          <w:p w:rsidR="00113857" w:rsidRPr="00B67A12" w:rsidRDefault="00113857" w:rsidP="00113857">
            <w:pPr>
              <w:spacing w:before="40" w:after="120"/>
              <w:ind w:right="113"/>
            </w:pPr>
            <w:r w:rsidRPr="00B67A12">
              <w:t>58</w:t>
            </w:r>
          </w:p>
        </w:tc>
        <w:tc>
          <w:tcPr>
            <w:tcW w:w="1275" w:type="dxa"/>
            <w:shd w:val="clear" w:color="auto" w:fill="auto"/>
          </w:tcPr>
          <w:p w:rsidR="00113857" w:rsidRPr="00B67A12" w:rsidRDefault="00113857" w:rsidP="00113857">
            <w:pPr>
              <w:spacing w:before="40" w:after="120"/>
              <w:ind w:right="113"/>
            </w:pPr>
          </w:p>
        </w:tc>
        <w:tc>
          <w:tcPr>
            <w:tcW w:w="1134" w:type="dxa"/>
            <w:shd w:val="clear" w:color="auto" w:fill="auto"/>
          </w:tcPr>
          <w:p w:rsidR="00113857" w:rsidRPr="00B67A12" w:rsidRDefault="00113857" w:rsidP="00113857">
            <w:pPr>
              <w:spacing w:before="40" w:after="120"/>
              <w:ind w:right="113"/>
            </w:pPr>
          </w:p>
        </w:tc>
      </w:tr>
      <w:tr w:rsidR="00113857" w:rsidRPr="00B67A12" w:rsidTr="00113857">
        <w:tc>
          <w:tcPr>
            <w:tcW w:w="1276" w:type="dxa"/>
            <w:vMerge/>
            <w:shd w:val="clear" w:color="auto" w:fill="auto"/>
          </w:tcPr>
          <w:p w:rsidR="00113857" w:rsidRPr="00B67A12" w:rsidRDefault="00113857" w:rsidP="00113857">
            <w:pPr>
              <w:spacing w:before="40" w:after="120"/>
              <w:ind w:right="113"/>
            </w:pPr>
          </w:p>
        </w:tc>
        <w:tc>
          <w:tcPr>
            <w:tcW w:w="2552" w:type="dxa"/>
            <w:shd w:val="clear" w:color="auto" w:fill="auto"/>
          </w:tcPr>
          <w:p w:rsidR="00113857" w:rsidRPr="00B67A12" w:rsidRDefault="00113857" w:rsidP="00113857">
            <w:pPr>
              <w:spacing w:before="40" w:after="120"/>
              <w:ind w:right="113"/>
            </w:pPr>
            <w:r w:rsidRPr="00B67A12">
              <w:t>Kazakhstan</w:t>
            </w:r>
          </w:p>
        </w:tc>
        <w:tc>
          <w:tcPr>
            <w:tcW w:w="850" w:type="dxa"/>
            <w:shd w:val="clear" w:color="auto" w:fill="auto"/>
          </w:tcPr>
          <w:p w:rsidR="00113857" w:rsidRPr="00B67A12" w:rsidRDefault="00113857" w:rsidP="00113857">
            <w:pPr>
              <w:spacing w:before="40" w:after="120"/>
              <w:ind w:right="113"/>
            </w:pPr>
            <w:r w:rsidRPr="00B67A12">
              <w:t>13</w:t>
            </w:r>
          </w:p>
        </w:tc>
        <w:tc>
          <w:tcPr>
            <w:tcW w:w="1418" w:type="dxa"/>
            <w:shd w:val="clear" w:color="auto" w:fill="auto"/>
          </w:tcPr>
          <w:p w:rsidR="00113857" w:rsidRPr="00B67A12" w:rsidRDefault="00113857" w:rsidP="00113857">
            <w:pPr>
              <w:spacing w:before="40" w:after="120"/>
              <w:ind w:right="113"/>
            </w:pPr>
            <w:r w:rsidRPr="00B67A12">
              <w:t>-</w:t>
            </w:r>
          </w:p>
        </w:tc>
        <w:tc>
          <w:tcPr>
            <w:tcW w:w="1275" w:type="dxa"/>
            <w:shd w:val="clear" w:color="auto" w:fill="auto"/>
          </w:tcPr>
          <w:p w:rsidR="00113857" w:rsidRPr="00B67A12" w:rsidRDefault="00113857" w:rsidP="00113857">
            <w:pPr>
              <w:spacing w:before="40" w:after="120"/>
              <w:ind w:right="113"/>
            </w:pPr>
            <w:r w:rsidRPr="00B67A12">
              <w:t>Russe</w:t>
            </w:r>
          </w:p>
        </w:tc>
        <w:tc>
          <w:tcPr>
            <w:tcW w:w="1134" w:type="dxa"/>
            <w:shd w:val="clear" w:color="auto" w:fill="auto"/>
          </w:tcPr>
          <w:p w:rsidR="00113857" w:rsidRPr="00B67A12" w:rsidRDefault="00113857" w:rsidP="00113857">
            <w:pPr>
              <w:spacing w:before="40" w:after="120"/>
              <w:ind w:right="113"/>
            </w:pPr>
          </w:p>
        </w:tc>
      </w:tr>
      <w:tr w:rsidR="00113857" w:rsidRPr="00B67A12" w:rsidTr="00113857">
        <w:tc>
          <w:tcPr>
            <w:tcW w:w="1276" w:type="dxa"/>
            <w:vMerge/>
            <w:shd w:val="clear" w:color="auto" w:fill="auto"/>
          </w:tcPr>
          <w:p w:rsidR="00113857" w:rsidRPr="00B67A12" w:rsidRDefault="00113857" w:rsidP="00113857">
            <w:pPr>
              <w:spacing w:before="40" w:after="120"/>
              <w:ind w:right="113"/>
            </w:pPr>
          </w:p>
        </w:tc>
        <w:tc>
          <w:tcPr>
            <w:tcW w:w="2552" w:type="dxa"/>
            <w:shd w:val="clear" w:color="auto" w:fill="auto"/>
          </w:tcPr>
          <w:p w:rsidR="00113857" w:rsidRPr="00B67A12" w:rsidRDefault="0099589A" w:rsidP="00113857">
            <w:pPr>
              <w:spacing w:before="40" w:after="120"/>
              <w:ind w:right="113"/>
            </w:pPr>
            <w:r>
              <w:t>Ex-République yougoslave de </w:t>
            </w:r>
            <w:r w:rsidR="00113857" w:rsidRPr="00B67A12">
              <w:t>Macédoine</w:t>
            </w:r>
          </w:p>
        </w:tc>
        <w:tc>
          <w:tcPr>
            <w:tcW w:w="850" w:type="dxa"/>
            <w:shd w:val="clear" w:color="auto" w:fill="auto"/>
          </w:tcPr>
          <w:p w:rsidR="00113857" w:rsidRPr="00B67A12" w:rsidRDefault="00113857" w:rsidP="00113857">
            <w:pPr>
              <w:spacing w:before="40" w:after="120"/>
              <w:ind w:right="113"/>
            </w:pPr>
            <w:r w:rsidRPr="00B67A12">
              <w:t>11</w:t>
            </w:r>
          </w:p>
        </w:tc>
        <w:tc>
          <w:tcPr>
            <w:tcW w:w="1418" w:type="dxa"/>
            <w:shd w:val="clear" w:color="auto" w:fill="auto"/>
          </w:tcPr>
          <w:p w:rsidR="00113857" w:rsidRPr="00B67A12" w:rsidRDefault="00113857" w:rsidP="00113857">
            <w:pPr>
              <w:spacing w:before="40" w:after="120"/>
              <w:ind w:right="113"/>
            </w:pPr>
            <w:r w:rsidRPr="00B67A12">
              <w:t>-</w:t>
            </w:r>
          </w:p>
        </w:tc>
        <w:tc>
          <w:tcPr>
            <w:tcW w:w="1275" w:type="dxa"/>
            <w:shd w:val="clear" w:color="auto" w:fill="auto"/>
          </w:tcPr>
          <w:p w:rsidR="00113857" w:rsidRPr="00B67A12" w:rsidRDefault="00113857" w:rsidP="00113857">
            <w:pPr>
              <w:spacing w:before="40" w:after="120"/>
              <w:ind w:right="113"/>
            </w:pPr>
          </w:p>
        </w:tc>
        <w:tc>
          <w:tcPr>
            <w:tcW w:w="1134" w:type="dxa"/>
            <w:shd w:val="clear" w:color="auto" w:fill="auto"/>
          </w:tcPr>
          <w:p w:rsidR="00113857" w:rsidRPr="00B67A12" w:rsidRDefault="00113857" w:rsidP="00113857">
            <w:pPr>
              <w:spacing w:before="40" w:after="120"/>
              <w:ind w:right="113"/>
            </w:pPr>
          </w:p>
        </w:tc>
      </w:tr>
      <w:tr w:rsidR="00113857" w:rsidRPr="00B67A12" w:rsidTr="00113857">
        <w:tc>
          <w:tcPr>
            <w:tcW w:w="1276" w:type="dxa"/>
            <w:vMerge w:val="restart"/>
            <w:shd w:val="clear" w:color="auto" w:fill="auto"/>
          </w:tcPr>
          <w:p w:rsidR="00113857" w:rsidRPr="00B67A12" w:rsidRDefault="00113857" w:rsidP="00113857">
            <w:pPr>
              <w:spacing w:before="40" w:after="120"/>
              <w:ind w:right="113"/>
            </w:pPr>
            <w:r w:rsidRPr="00B67A12">
              <w:t>Autres études</w:t>
            </w:r>
          </w:p>
        </w:tc>
        <w:tc>
          <w:tcPr>
            <w:tcW w:w="2552" w:type="dxa"/>
            <w:shd w:val="clear" w:color="auto" w:fill="auto"/>
          </w:tcPr>
          <w:p w:rsidR="00113857" w:rsidRPr="00B67A12" w:rsidRDefault="00113857" w:rsidP="00113857">
            <w:pPr>
              <w:spacing w:before="40" w:after="120"/>
              <w:ind w:right="113"/>
            </w:pPr>
            <w:r w:rsidRPr="00B67A12">
              <w:t>Maroc</w:t>
            </w:r>
          </w:p>
        </w:tc>
        <w:tc>
          <w:tcPr>
            <w:tcW w:w="850" w:type="dxa"/>
            <w:shd w:val="clear" w:color="auto" w:fill="auto"/>
          </w:tcPr>
          <w:p w:rsidR="00113857" w:rsidRPr="00B67A12" w:rsidRDefault="00113857" w:rsidP="00113857">
            <w:pPr>
              <w:spacing w:before="40" w:after="120"/>
              <w:ind w:right="113"/>
            </w:pPr>
            <w:r w:rsidRPr="00B67A12">
              <w:t>13</w:t>
            </w:r>
          </w:p>
        </w:tc>
        <w:tc>
          <w:tcPr>
            <w:tcW w:w="1418" w:type="dxa"/>
            <w:shd w:val="clear" w:color="auto" w:fill="auto"/>
          </w:tcPr>
          <w:p w:rsidR="00113857" w:rsidRPr="00B67A12" w:rsidRDefault="00113857" w:rsidP="00113857">
            <w:pPr>
              <w:spacing w:before="40" w:after="120"/>
              <w:ind w:right="113"/>
            </w:pPr>
            <w:r w:rsidRPr="00B67A12">
              <w:t>60</w:t>
            </w:r>
          </w:p>
        </w:tc>
        <w:tc>
          <w:tcPr>
            <w:tcW w:w="1275" w:type="dxa"/>
            <w:shd w:val="clear" w:color="auto" w:fill="auto"/>
          </w:tcPr>
          <w:p w:rsidR="00113857" w:rsidRPr="00B67A12" w:rsidRDefault="00113857" w:rsidP="0099589A">
            <w:pPr>
              <w:spacing w:before="40" w:after="120"/>
              <w:ind w:right="113"/>
            </w:pPr>
            <w:r w:rsidRPr="00B67A12">
              <w:t>Fr</w:t>
            </w:r>
            <w:r w:rsidR="0099589A">
              <w:t>ançais</w:t>
            </w:r>
          </w:p>
        </w:tc>
        <w:tc>
          <w:tcPr>
            <w:tcW w:w="1134" w:type="dxa"/>
            <w:shd w:val="clear" w:color="auto" w:fill="auto"/>
          </w:tcPr>
          <w:p w:rsidR="00113857" w:rsidRPr="00B67A12" w:rsidRDefault="00113857" w:rsidP="00113857">
            <w:pPr>
              <w:spacing w:before="40" w:after="120"/>
              <w:ind w:right="113"/>
            </w:pPr>
          </w:p>
        </w:tc>
      </w:tr>
      <w:tr w:rsidR="00113857" w:rsidRPr="00B67A12" w:rsidTr="00113857">
        <w:tc>
          <w:tcPr>
            <w:tcW w:w="1276" w:type="dxa"/>
            <w:vMerge/>
            <w:tcBorders>
              <w:bottom w:val="single" w:sz="12" w:space="0" w:color="auto"/>
            </w:tcBorders>
            <w:shd w:val="clear" w:color="auto" w:fill="auto"/>
          </w:tcPr>
          <w:p w:rsidR="00113857" w:rsidRPr="00B67A12" w:rsidRDefault="00113857" w:rsidP="00113857">
            <w:pPr>
              <w:spacing w:before="40" w:after="120"/>
              <w:ind w:right="113"/>
            </w:pPr>
          </w:p>
        </w:tc>
        <w:tc>
          <w:tcPr>
            <w:tcW w:w="2552" w:type="dxa"/>
            <w:tcBorders>
              <w:bottom w:val="single" w:sz="12" w:space="0" w:color="auto"/>
            </w:tcBorders>
            <w:shd w:val="clear" w:color="auto" w:fill="auto"/>
          </w:tcPr>
          <w:p w:rsidR="00113857" w:rsidRPr="00B67A12" w:rsidRDefault="00113857" w:rsidP="00113857">
            <w:pPr>
              <w:spacing w:before="40" w:after="120"/>
              <w:ind w:right="113"/>
            </w:pPr>
            <w:r w:rsidRPr="00B67A12">
              <w:t>Mongolie</w:t>
            </w:r>
          </w:p>
        </w:tc>
        <w:tc>
          <w:tcPr>
            <w:tcW w:w="850" w:type="dxa"/>
            <w:tcBorders>
              <w:bottom w:val="single" w:sz="12" w:space="0" w:color="auto"/>
            </w:tcBorders>
            <w:shd w:val="clear" w:color="auto" w:fill="auto"/>
          </w:tcPr>
          <w:p w:rsidR="00113857" w:rsidRPr="00B67A12" w:rsidRDefault="00113857" w:rsidP="00113857">
            <w:pPr>
              <w:spacing w:before="40" w:after="120"/>
              <w:ind w:right="113"/>
            </w:pPr>
            <w:r w:rsidRPr="00B67A12">
              <w:t>15</w:t>
            </w:r>
          </w:p>
        </w:tc>
        <w:tc>
          <w:tcPr>
            <w:tcW w:w="1418" w:type="dxa"/>
            <w:tcBorders>
              <w:bottom w:val="single" w:sz="12" w:space="0" w:color="auto"/>
            </w:tcBorders>
            <w:shd w:val="clear" w:color="auto" w:fill="auto"/>
          </w:tcPr>
          <w:p w:rsidR="00113857" w:rsidRPr="00B67A12" w:rsidRDefault="00113857" w:rsidP="00113857">
            <w:pPr>
              <w:spacing w:before="40" w:after="120"/>
              <w:ind w:right="113"/>
            </w:pPr>
            <w:r w:rsidRPr="00B67A12">
              <w:t>81</w:t>
            </w:r>
          </w:p>
        </w:tc>
        <w:tc>
          <w:tcPr>
            <w:tcW w:w="1275" w:type="dxa"/>
            <w:tcBorders>
              <w:bottom w:val="single" w:sz="12" w:space="0" w:color="auto"/>
            </w:tcBorders>
            <w:shd w:val="clear" w:color="auto" w:fill="auto"/>
          </w:tcPr>
          <w:p w:rsidR="00113857" w:rsidRPr="00B67A12" w:rsidRDefault="00113857" w:rsidP="00113857">
            <w:pPr>
              <w:spacing w:before="40" w:after="120"/>
              <w:ind w:right="113"/>
            </w:pPr>
          </w:p>
        </w:tc>
        <w:tc>
          <w:tcPr>
            <w:tcW w:w="1134" w:type="dxa"/>
            <w:tcBorders>
              <w:bottom w:val="single" w:sz="12" w:space="0" w:color="auto"/>
            </w:tcBorders>
            <w:shd w:val="clear" w:color="auto" w:fill="auto"/>
          </w:tcPr>
          <w:p w:rsidR="00113857" w:rsidRPr="00B67A12" w:rsidRDefault="00113857" w:rsidP="00113857">
            <w:pPr>
              <w:spacing w:before="40" w:after="120"/>
              <w:ind w:right="113"/>
            </w:pPr>
            <w:r w:rsidRPr="00B67A12">
              <w:t>√</w:t>
            </w:r>
          </w:p>
        </w:tc>
      </w:tr>
    </w:tbl>
    <w:p w:rsidR="00113857" w:rsidRPr="00B67A12" w:rsidRDefault="00113857" w:rsidP="00113857">
      <w:pPr>
        <w:pStyle w:val="Titre1"/>
        <w:spacing w:before="240" w:after="120"/>
        <w:ind w:left="0"/>
        <w:rPr>
          <w:rFonts w:asciiTheme="majorBidi" w:hAnsiTheme="majorBidi" w:cstheme="majorBidi"/>
          <w:b/>
        </w:rPr>
      </w:pPr>
      <w:r w:rsidRPr="00B67A12">
        <w:t>Tableau 2</w:t>
      </w:r>
      <w:r w:rsidRPr="00B67A12">
        <w:br/>
      </w:r>
      <w:r w:rsidRPr="00B67A12">
        <w:rPr>
          <w:rFonts w:asciiTheme="majorBidi" w:hAnsiTheme="majorBidi" w:cstheme="majorBidi"/>
          <w:b/>
        </w:rPr>
        <w:t>Secteurs faisant l</w:t>
      </w:r>
      <w:r w:rsidR="00A03E91" w:rsidRPr="00B67A12">
        <w:rPr>
          <w:rFonts w:asciiTheme="majorBidi" w:hAnsiTheme="majorBidi" w:cstheme="majorBidi"/>
          <w:b/>
        </w:rPr>
        <w:t>’</w:t>
      </w:r>
      <w:r w:rsidRPr="00B67A12">
        <w:rPr>
          <w:rFonts w:asciiTheme="majorBidi" w:hAnsiTheme="majorBidi" w:cstheme="majorBidi"/>
          <w:b/>
        </w:rPr>
        <w:t>objet de chapitres spécifiques dans les études du troisième cycle et les études de la Mongolie et du Maroc, 2013-2018</w:t>
      </w:r>
    </w:p>
    <w:tbl>
      <w:tblPr>
        <w:tblW w:w="9637" w:type="dxa"/>
        <w:tblLayout w:type="fixed"/>
        <w:tblCellMar>
          <w:left w:w="0" w:type="dxa"/>
          <w:right w:w="0" w:type="dxa"/>
        </w:tblCellMar>
        <w:tblLook w:val="0000" w:firstRow="0" w:lastRow="0" w:firstColumn="0" w:lastColumn="0" w:noHBand="0" w:noVBand="0"/>
      </w:tblPr>
      <w:tblGrid>
        <w:gridCol w:w="851"/>
        <w:gridCol w:w="1984"/>
        <w:gridCol w:w="798"/>
        <w:gridCol w:w="710"/>
        <w:gridCol w:w="552"/>
        <w:gridCol w:w="552"/>
        <w:gridCol w:w="758"/>
        <w:gridCol w:w="664"/>
        <w:gridCol w:w="795"/>
        <w:gridCol w:w="792"/>
        <w:gridCol w:w="1181"/>
      </w:tblGrid>
      <w:tr w:rsidR="00A03E91" w:rsidRPr="00B67A12" w:rsidTr="00A03E91">
        <w:trPr>
          <w:cantSplit/>
          <w:tblHeader/>
        </w:trPr>
        <w:tc>
          <w:tcPr>
            <w:tcW w:w="851" w:type="dxa"/>
            <w:tcBorders>
              <w:top w:val="single" w:sz="4" w:space="0" w:color="auto"/>
              <w:bottom w:val="single" w:sz="12" w:space="0" w:color="auto"/>
            </w:tcBorders>
            <w:shd w:val="clear" w:color="auto" w:fill="auto"/>
            <w:vAlign w:val="bottom"/>
          </w:tcPr>
          <w:p w:rsidR="00113857" w:rsidRPr="00B67A12" w:rsidRDefault="00113857" w:rsidP="003D614A">
            <w:pPr>
              <w:suppressAutoHyphens w:val="0"/>
              <w:spacing w:before="80" w:after="80" w:line="200" w:lineRule="exact"/>
              <w:rPr>
                <w:i/>
                <w:sz w:val="16"/>
              </w:rPr>
            </w:pPr>
          </w:p>
        </w:tc>
        <w:tc>
          <w:tcPr>
            <w:tcW w:w="1984" w:type="dxa"/>
            <w:tcBorders>
              <w:top w:val="single" w:sz="4" w:space="0" w:color="auto"/>
              <w:bottom w:val="single" w:sz="12" w:space="0" w:color="auto"/>
            </w:tcBorders>
            <w:shd w:val="clear" w:color="auto" w:fill="auto"/>
            <w:vAlign w:val="bottom"/>
          </w:tcPr>
          <w:p w:rsidR="00113857" w:rsidRPr="00B67A12" w:rsidRDefault="00113857" w:rsidP="003D614A">
            <w:pPr>
              <w:suppressAutoHyphens w:val="0"/>
              <w:spacing w:before="80" w:after="80" w:line="200" w:lineRule="exact"/>
              <w:rPr>
                <w:bCs/>
                <w:i/>
                <w:sz w:val="16"/>
              </w:rPr>
            </w:pPr>
            <w:r w:rsidRPr="00B67A12">
              <w:rPr>
                <w:bCs/>
                <w:i/>
                <w:sz w:val="16"/>
              </w:rPr>
              <w:t>Pays</w:t>
            </w:r>
            <w:r w:rsidRPr="00B67A12">
              <w:rPr>
                <w:bCs/>
                <w:i/>
                <w:sz w:val="16"/>
              </w:rPr>
              <w:br/>
              <w:t>(par ordre chronologique)</w:t>
            </w:r>
          </w:p>
        </w:tc>
        <w:tc>
          <w:tcPr>
            <w:tcW w:w="798" w:type="dxa"/>
            <w:tcBorders>
              <w:top w:val="single" w:sz="4" w:space="0" w:color="auto"/>
              <w:bottom w:val="single" w:sz="12" w:space="0" w:color="auto"/>
            </w:tcBorders>
            <w:shd w:val="clear" w:color="auto" w:fill="auto"/>
            <w:textDirection w:val="lrTbV"/>
            <w:vAlign w:val="bottom"/>
          </w:tcPr>
          <w:p w:rsidR="00113857" w:rsidRPr="00B67A12" w:rsidRDefault="00A03E91" w:rsidP="003D614A">
            <w:pPr>
              <w:suppressAutoHyphens w:val="0"/>
              <w:spacing w:before="80" w:after="80" w:line="200" w:lineRule="exact"/>
              <w:rPr>
                <w:bCs/>
                <w:i/>
                <w:sz w:val="16"/>
              </w:rPr>
            </w:pPr>
            <w:r w:rsidRPr="00B67A12">
              <w:rPr>
                <w:bCs/>
                <w:i/>
                <w:sz w:val="16"/>
              </w:rPr>
              <w:t>Agri</w:t>
            </w:r>
            <w:r w:rsidR="00113857" w:rsidRPr="00B67A12">
              <w:rPr>
                <w:bCs/>
                <w:i/>
                <w:sz w:val="16"/>
              </w:rPr>
              <w:t>culture</w:t>
            </w:r>
          </w:p>
        </w:tc>
        <w:tc>
          <w:tcPr>
            <w:tcW w:w="710" w:type="dxa"/>
            <w:tcBorders>
              <w:top w:val="single" w:sz="4" w:space="0" w:color="auto"/>
              <w:bottom w:val="single" w:sz="12" w:space="0" w:color="auto"/>
            </w:tcBorders>
            <w:shd w:val="clear" w:color="auto" w:fill="auto"/>
            <w:textDirection w:val="lrTbV"/>
            <w:vAlign w:val="bottom"/>
          </w:tcPr>
          <w:p w:rsidR="00113857" w:rsidRPr="00B67A12" w:rsidRDefault="00113857" w:rsidP="003D614A">
            <w:pPr>
              <w:suppressAutoHyphens w:val="0"/>
              <w:spacing w:before="80" w:after="80" w:line="200" w:lineRule="exact"/>
              <w:rPr>
                <w:bCs/>
                <w:i/>
                <w:sz w:val="16"/>
              </w:rPr>
            </w:pPr>
            <w:r w:rsidRPr="00B67A12">
              <w:rPr>
                <w:bCs/>
                <w:i/>
                <w:sz w:val="16"/>
              </w:rPr>
              <w:t>Énergie</w:t>
            </w:r>
          </w:p>
        </w:tc>
        <w:tc>
          <w:tcPr>
            <w:tcW w:w="552" w:type="dxa"/>
            <w:tcBorders>
              <w:top w:val="single" w:sz="4" w:space="0" w:color="auto"/>
              <w:bottom w:val="single" w:sz="12" w:space="0" w:color="auto"/>
            </w:tcBorders>
            <w:shd w:val="clear" w:color="auto" w:fill="auto"/>
            <w:textDirection w:val="lrTbV"/>
            <w:vAlign w:val="bottom"/>
          </w:tcPr>
          <w:p w:rsidR="00113857" w:rsidRPr="00B67A12" w:rsidRDefault="00113857" w:rsidP="003D614A">
            <w:pPr>
              <w:suppressAutoHyphens w:val="0"/>
              <w:spacing w:before="80" w:after="80" w:line="200" w:lineRule="exact"/>
              <w:rPr>
                <w:bCs/>
                <w:i/>
                <w:sz w:val="16"/>
              </w:rPr>
            </w:pPr>
            <w:r w:rsidRPr="00B67A12">
              <w:rPr>
                <w:bCs/>
                <w:i/>
                <w:sz w:val="16"/>
              </w:rPr>
              <w:t>Forêts</w:t>
            </w:r>
          </w:p>
        </w:tc>
        <w:tc>
          <w:tcPr>
            <w:tcW w:w="552" w:type="dxa"/>
            <w:tcBorders>
              <w:top w:val="single" w:sz="4" w:space="0" w:color="auto"/>
              <w:bottom w:val="single" w:sz="12" w:space="0" w:color="auto"/>
            </w:tcBorders>
            <w:shd w:val="clear" w:color="auto" w:fill="auto"/>
            <w:textDirection w:val="lrTbV"/>
            <w:vAlign w:val="bottom"/>
          </w:tcPr>
          <w:p w:rsidR="00113857" w:rsidRPr="00B67A12" w:rsidRDefault="00113857" w:rsidP="003D614A">
            <w:pPr>
              <w:suppressAutoHyphens w:val="0"/>
              <w:spacing w:before="80" w:after="80" w:line="200" w:lineRule="exact"/>
              <w:rPr>
                <w:bCs/>
                <w:i/>
                <w:sz w:val="16"/>
              </w:rPr>
            </w:pPr>
            <w:r w:rsidRPr="00B67A12">
              <w:rPr>
                <w:bCs/>
                <w:i/>
                <w:sz w:val="16"/>
              </w:rPr>
              <w:t>Santé</w:t>
            </w:r>
          </w:p>
        </w:tc>
        <w:tc>
          <w:tcPr>
            <w:tcW w:w="758" w:type="dxa"/>
            <w:tcBorders>
              <w:top w:val="single" w:sz="4" w:space="0" w:color="auto"/>
              <w:bottom w:val="single" w:sz="12" w:space="0" w:color="auto"/>
            </w:tcBorders>
            <w:shd w:val="clear" w:color="auto" w:fill="auto"/>
            <w:textDirection w:val="lrTbV"/>
            <w:vAlign w:val="bottom"/>
          </w:tcPr>
          <w:p w:rsidR="00113857" w:rsidRPr="00B67A12" w:rsidRDefault="00113857" w:rsidP="003D614A">
            <w:pPr>
              <w:suppressAutoHyphens w:val="0"/>
              <w:spacing w:before="80" w:after="80" w:line="200" w:lineRule="exact"/>
              <w:rPr>
                <w:bCs/>
                <w:i/>
                <w:sz w:val="16"/>
              </w:rPr>
            </w:pPr>
            <w:r w:rsidRPr="00B67A12">
              <w:rPr>
                <w:bCs/>
                <w:i/>
                <w:sz w:val="16"/>
              </w:rPr>
              <w:t>Logement</w:t>
            </w:r>
          </w:p>
        </w:tc>
        <w:tc>
          <w:tcPr>
            <w:tcW w:w="664" w:type="dxa"/>
            <w:tcBorders>
              <w:top w:val="single" w:sz="4" w:space="0" w:color="auto"/>
              <w:bottom w:val="single" w:sz="12" w:space="0" w:color="auto"/>
            </w:tcBorders>
            <w:shd w:val="clear" w:color="auto" w:fill="auto"/>
            <w:textDirection w:val="lrTbV"/>
            <w:vAlign w:val="bottom"/>
          </w:tcPr>
          <w:p w:rsidR="00113857" w:rsidRPr="00B67A12" w:rsidRDefault="00113857" w:rsidP="003D614A">
            <w:pPr>
              <w:suppressAutoHyphens w:val="0"/>
              <w:spacing w:before="80" w:after="80" w:line="200" w:lineRule="exact"/>
              <w:rPr>
                <w:bCs/>
                <w:i/>
                <w:sz w:val="16"/>
              </w:rPr>
            </w:pPr>
            <w:r w:rsidRPr="00B67A12">
              <w:rPr>
                <w:bCs/>
                <w:i/>
                <w:sz w:val="16"/>
              </w:rPr>
              <w:t>Industrie</w:t>
            </w:r>
          </w:p>
        </w:tc>
        <w:tc>
          <w:tcPr>
            <w:tcW w:w="795" w:type="dxa"/>
            <w:tcBorders>
              <w:top w:val="single" w:sz="4" w:space="0" w:color="auto"/>
              <w:bottom w:val="single" w:sz="12" w:space="0" w:color="auto"/>
            </w:tcBorders>
            <w:shd w:val="clear" w:color="auto" w:fill="auto"/>
            <w:textDirection w:val="lrTbV"/>
            <w:vAlign w:val="bottom"/>
          </w:tcPr>
          <w:p w:rsidR="00113857" w:rsidRPr="00B67A12" w:rsidRDefault="00113857" w:rsidP="003D614A">
            <w:pPr>
              <w:suppressAutoHyphens w:val="0"/>
              <w:spacing w:before="80" w:after="80" w:line="200" w:lineRule="exact"/>
              <w:rPr>
                <w:bCs/>
                <w:i/>
                <w:sz w:val="16"/>
              </w:rPr>
            </w:pPr>
            <w:r w:rsidRPr="00B67A12">
              <w:rPr>
                <w:bCs/>
                <w:i/>
                <w:sz w:val="16"/>
              </w:rPr>
              <w:t>Tourisme</w:t>
            </w:r>
          </w:p>
        </w:tc>
        <w:tc>
          <w:tcPr>
            <w:tcW w:w="792" w:type="dxa"/>
            <w:tcBorders>
              <w:top w:val="single" w:sz="4" w:space="0" w:color="auto"/>
              <w:bottom w:val="single" w:sz="12" w:space="0" w:color="auto"/>
            </w:tcBorders>
            <w:shd w:val="clear" w:color="auto" w:fill="auto"/>
            <w:textDirection w:val="lrTbV"/>
            <w:vAlign w:val="bottom"/>
          </w:tcPr>
          <w:p w:rsidR="00113857" w:rsidRPr="00B67A12" w:rsidRDefault="00113857" w:rsidP="003D614A">
            <w:pPr>
              <w:suppressAutoHyphens w:val="0"/>
              <w:spacing w:before="80" w:after="80" w:line="200" w:lineRule="exact"/>
              <w:rPr>
                <w:bCs/>
                <w:i/>
                <w:sz w:val="16"/>
              </w:rPr>
            </w:pPr>
            <w:r w:rsidRPr="00B67A12">
              <w:rPr>
                <w:bCs/>
                <w:i/>
                <w:sz w:val="16"/>
              </w:rPr>
              <w:t>Transports</w:t>
            </w:r>
          </w:p>
        </w:tc>
        <w:tc>
          <w:tcPr>
            <w:tcW w:w="1181" w:type="dxa"/>
            <w:tcBorders>
              <w:top w:val="single" w:sz="4" w:space="0" w:color="auto"/>
              <w:bottom w:val="single" w:sz="12" w:space="0" w:color="auto"/>
            </w:tcBorders>
            <w:shd w:val="clear" w:color="auto" w:fill="auto"/>
            <w:textDirection w:val="lrTbV"/>
            <w:vAlign w:val="bottom"/>
          </w:tcPr>
          <w:p w:rsidR="00113857" w:rsidRPr="00B67A12" w:rsidRDefault="00113857" w:rsidP="003D614A">
            <w:pPr>
              <w:suppressAutoHyphens w:val="0"/>
              <w:spacing w:before="80" w:after="80" w:line="200" w:lineRule="exact"/>
              <w:rPr>
                <w:bCs/>
                <w:i/>
                <w:sz w:val="16"/>
                <w:szCs w:val="15"/>
              </w:rPr>
            </w:pPr>
            <w:r w:rsidRPr="00B67A12">
              <w:rPr>
                <w:bCs/>
                <w:i/>
                <w:sz w:val="16"/>
                <w:szCs w:val="15"/>
              </w:rPr>
              <w:t>Gestion des catastrophes</w:t>
            </w:r>
          </w:p>
        </w:tc>
      </w:tr>
      <w:tr w:rsidR="00A03E91" w:rsidRPr="00B67A12" w:rsidTr="00A03E91">
        <w:trPr>
          <w:cantSplit/>
        </w:trPr>
        <w:tc>
          <w:tcPr>
            <w:tcW w:w="851" w:type="dxa"/>
            <w:vMerge w:val="restart"/>
            <w:shd w:val="clear" w:color="auto" w:fill="auto"/>
          </w:tcPr>
          <w:p w:rsidR="00113857" w:rsidRPr="00B67A12" w:rsidRDefault="00113857" w:rsidP="00A03E91">
            <w:pPr>
              <w:suppressAutoHyphens w:val="0"/>
              <w:spacing w:before="40" w:after="40" w:line="220" w:lineRule="exact"/>
              <w:rPr>
                <w:sz w:val="18"/>
              </w:rPr>
            </w:pPr>
            <w:r w:rsidRPr="00B67A12">
              <w:rPr>
                <w:sz w:val="18"/>
              </w:rPr>
              <w:t xml:space="preserve">Études du troisième cycle </w:t>
            </w:r>
          </w:p>
        </w:tc>
        <w:tc>
          <w:tcPr>
            <w:tcW w:w="1984" w:type="dxa"/>
            <w:shd w:val="clear" w:color="auto" w:fill="auto"/>
            <w:vAlign w:val="bottom"/>
          </w:tcPr>
          <w:p w:rsidR="00113857" w:rsidRPr="00B67A12" w:rsidRDefault="00113857" w:rsidP="003D614A">
            <w:pPr>
              <w:suppressAutoHyphens w:val="0"/>
              <w:spacing w:before="40" w:after="40" w:line="220" w:lineRule="exact"/>
              <w:rPr>
                <w:sz w:val="18"/>
              </w:rPr>
            </w:pPr>
            <w:r w:rsidRPr="00B67A12">
              <w:rPr>
                <w:sz w:val="18"/>
              </w:rPr>
              <w:t>République de Moldova</w:t>
            </w:r>
          </w:p>
        </w:tc>
        <w:tc>
          <w:tcPr>
            <w:tcW w:w="798"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10"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5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664"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5"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1181"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r>
      <w:tr w:rsidR="00A03E91" w:rsidRPr="00B67A12" w:rsidTr="00A03E91">
        <w:trPr>
          <w:cantSplit/>
        </w:trPr>
        <w:tc>
          <w:tcPr>
            <w:tcW w:w="851" w:type="dxa"/>
            <w:vMerge/>
            <w:shd w:val="clear" w:color="auto" w:fill="auto"/>
          </w:tcPr>
          <w:p w:rsidR="00113857" w:rsidRPr="00B67A12" w:rsidRDefault="00113857" w:rsidP="00A03E91">
            <w:pPr>
              <w:suppressAutoHyphens w:val="0"/>
              <w:spacing w:before="40" w:after="40" w:line="220" w:lineRule="exact"/>
              <w:rPr>
                <w:sz w:val="18"/>
              </w:rPr>
            </w:pPr>
          </w:p>
        </w:tc>
        <w:tc>
          <w:tcPr>
            <w:tcW w:w="1984" w:type="dxa"/>
            <w:shd w:val="clear" w:color="auto" w:fill="auto"/>
            <w:vAlign w:val="bottom"/>
          </w:tcPr>
          <w:p w:rsidR="00113857" w:rsidRPr="00B67A12" w:rsidRDefault="00113857" w:rsidP="003D614A">
            <w:pPr>
              <w:suppressAutoHyphens w:val="0"/>
              <w:spacing w:before="40" w:after="40" w:line="220" w:lineRule="exact"/>
              <w:rPr>
                <w:sz w:val="18"/>
              </w:rPr>
            </w:pPr>
            <w:r w:rsidRPr="00B67A12">
              <w:rPr>
                <w:sz w:val="18"/>
              </w:rPr>
              <w:t>Monténégro</w:t>
            </w:r>
          </w:p>
        </w:tc>
        <w:tc>
          <w:tcPr>
            <w:tcW w:w="79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10"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5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664"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5"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1181"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r>
      <w:tr w:rsidR="00A03E91" w:rsidRPr="00B67A12" w:rsidTr="00A03E91">
        <w:trPr>
          <w:cantSplit/>
        </w:trPr>
        <w:tc>
          <w:tcPr>
            <w:tcW w:w="851" w:type="dxa"/>
            <w:vMerge/>
            <w:shd w:val="clear" w:color="auto" w:fill="auto"/>
          </w:tcPr>
          <w:p w:rsidR="00113857" w:rsidRPr="00B67A12" w:rsidRDefault="00113857" w:rsidP="00A03E91">
            <w:pPr>
              <w:suppressAutoHyphens w:val="0"/>
              <w:spacing w:before="40" w:after="40" w:line="220" w:lineRule="exact"/>
              <w:rPr>
                <w:sz w:val="18"/>
              </w:rPr>
            </w:pPr>
          </w:p>
        </w:tc>
        <w:tc>
          <w:tcPr>
            <w:tcW w:w="1984" w:type="dxa"/>
            <w:shd w:val="clear" w:color="auto" w:fill="auto"/>
            <w:vAlign w:val="bottom"/>
          </w:tcPr>
          <w:p w:rsidR="00113857" w:rsidRPr="00B67A12" w:rsidRDefault="00113857" w:rsidP="003D614A">
            <w:pPr>
              <w:suppressAutoHyphens w:val="0"/>
              <w:spacing w:before="40" w:after="40" w:line="220" w:lineRule="exact"/>
              <w:rPr>
                <w:sz w:val="18"/>
              </w:rPr>
            </w:pPr>
            <w:r w:rsidRPr="00B67A12">
              <w:rPr>
                <w:sz w:val="18"/>
              </w:rPr>
              <w:t>Serbie</w:t>
            </w:r>
          </w:p>
        </w:tc>
        <w:tc>
          <w:tcPr>
            <w:tcW w:w="79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10"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5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664"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5"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1181"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r>
      <w:tr w:rsidR="00A03E91" w:rsidRPr="00B67A12" w:rsidTr="00A03E91">
        <w:trPr>
          <w:cantSplit/>
        </w:trPr>
        <w:tc>
          <w:tcPr>
            <w:tcW w:w="851" w:type="dxa"/>
            <w:vMerge/>
            <w:shd w:val="clear" w:color="auto" w:fill="auto"/>
          </w:tcPr>
          <w:p w:rsidR="00113857" w:rsidRPr="00B67A12" w:rsidRDefault="00113857" w:rsidP="00A03E91">
            <w:pPr>
              <w:suppressAutoHyphens w:val="0"/>
              <w:spacing w:before="40" w:after="40" w:line="220" w:lineRule="exact"/>
              <w:rPr>
                <w:sz w:val="18"/>
              </w:rPr>
            </w:pPr>
          </w:p>
        </w:tc>
        <w:tc>
          <w:tcPr>
            <w:tcW w:w="1984" w:type="dxa"/>
            <w:shd w:val="clear" w:color="auto" w:fill="auto"/>
            <w:vAlign w:val="bottom"/>
          </w:tcPr>
          <w:p w:rsidR="00113857" w:rsidRPr="00B67A12" w:rsidRDefault="00113857" w:rsidP="003D614A">
            <w:pPr>
              <w:suppressAutoHyphens w:val="0"/>
              <w:spacing w:before="40" w:after="40" w:line="220" w:lineRule="exact"/>
              <w:rPr>
                <w:sz w:val="18"/>
              </w:rPr>
            </w:pPr>
            <w:r w:rsidRPr="00B67A12">
              <w:rPr>
                <w:sz w:val="18"/>
              </w:rPr>
              <w:t>Géorgie</w:t>
            </w:r>
          </w:p>
        </w:tc>
        <w:tc>
          <w:tcPr>
            <w:tcW w:w="79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10"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5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664"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95"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92"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1181"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r>
      <w:tr w:rsidR="00A03E91" w:rsidRPr="00B67A12" w:rsidTr="00A03E91">
        <w:trPr>
          <w:cantSplit/>
        </w:trPr>
        <w:tc>
          <w:tcPr>
            <w:tcW w:w="851" w:type="dxa"/>
            <w:vMerge/>
            <w:shd w:val="clear" w:color="auto" w:fill="auto"/>
          </w:tcPr>
          <w:p w:rsidR="00113857" w:rsidRPr="00B67A12" w:rsidRDefault="00113857" w:rsidP="00A03E91">
            <w:pPr>
              <w:suppressAutoHyphens w:val="0"/>
              <w:spacing w:before="40" w:after="40" w:line="220" w:lineRule="exact"/>
              <w:rPr>
                <w:sz w:val="18"/>
              </w:rPr>
            </w:pPr>
          </w:p>
        </w:tc>
        <w:tc>
          <w:tcPr>
            <w:tcW w:w="1984" w:type="dxa"/>
            <w:shd w:val="clear" w:color="auto" w:fill="auto"/>
            <w:vAlign w:val="bottom"/>
          </w:tcPr>
          <w:p w:rsidR="00113857" w:rsidRPr="00B67A12" w:rsidRDefault="00113857" w:rsidP="003D614A">
            <w:pPr>
              <w:suppressAutoHyphens w:val="0"/>
              <w:spacing w:before="40" w:after="40" w:line="220" w:lineRule="exact"/>
              <w:rPr>
                <w:sz w:val="18"/>
              </w:rPr>
            </w:pPr>
            <w:r w:rsidRPr="00B67A12">
              <w:rPr>
                <w:sz w:val="18"/>
              </w:rPr>
              <w:t>Bélarus</w:t>
            </w:r>
          </w:p>
        </w:tc>
        <w:tc>
          <w:tcPr>
            <w:tcW w:w="79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10"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58"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664"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5"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92"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1181"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r>
      <w:tr w:rsidR="00A03E91" w:rsidRPr="00B67A12" w:rsidTr="00A03E91">
        <w:trPr>
          <w:cantSplit/>
        </w:trPr>
        <w:tc>
          <w:tcPr>
            <w:tcW w:w="851" w:type="dxa"/>
            <w:vMerge/>
            <w:shd w:val="clear" w:color="auto" w:fill="auto"/>
          </w:tcPr>
          <w:p w:rsidR="00113857" w:rsidRPr="00B67A12" w:rsidRDefault="00113857" w:rsidP="00A03E91">
            <w:pPr>
              <w:suppressAutoHyphens w:val="0"/>
              <w:spacing w:before="40" w:after="40" w:line="220" w:lineRule="exact"/>
              <w:rPr>
                <w:sz w:val="18"/>
              </w:rPr>
            </w:pPr>
          </w:p>
        </w:tc>
        <w:tc>
          <w:tcPr>
            <w:tcW w:w="1984" w:type="dxa"/>
            <w:shd w:val="clear" w:color="auto" w:fill="auto"/>
            <w:vAlign w:val="bottom"/>
          </w:tcPr>
          <w:p w:rsidR="00113857" w:rsidRPr="00B67A12" w:rsidRDefault="00113857" w:rsidP="003D614A">
            <w:pPr>
              <w:suppressAutoHyphens w:val="0"/>
              <w:spacing w:before="40" w:after="40" w:line="220" w:lineRule="exact"/>
              <w:rPr>
                <w:sz w:val="18"/>
              </w:rPr>
            </w:pPr>
            <w:r w:rsidRPr="00B67A12">
              <w:rPr>
                <w:sz w:val="18"/>
              </w:rPr>
              <w:t>Bulgarie</w:t>
            </w:r>
          </w:p>
        </w:tc>
        <w:tc>
          <w:tcPr>
            <w:tcW w:w="79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10"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5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664"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5"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1181"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r>
      <w:tr w:rsidR="00A03E91" w:rsidRPr="00B67A12" w:rsidTr="00A03E91">
        <w:trPr>
          <w:cantSplit/>
        </w:trPr>
        <w:tc>
          <w:tcPr>
            <w:tcW w:w="851" w:type="dxa"/>
            <w:vMerge/>
            <w:shd w:val="clear" w:color="auto" w:fill="auto"/>
          </w:tcPr>
          <w:p w:rsidR="00113857" w:rsidRPr="00B67A12" w:rsidRDefault="00113857" w:rsidP="00A03E91">
            <w:pPr>
              <w:suppressAutoHyphens w:val="0"/>
              <w:spacing w:before="40" w:after="40" w:line="220" w:lineRule="exact"/>
              <w:rPr>
                <w:sz w:val="18"/>
              </w:rPr>
            </w:pPr>
          </w:p>
        </w:tc>
        <w:tc>
          <w:tcPr>
            <w:tcW w:w="1984" w:type="dxa"/>
            <w:shd w:val="clear" w:color="auto" w:fill="auto"/>
            <w:vAlign w:val="bottom"/>
          </w:tcPr>
          <w:p w:rsidR="00113857" w:rsidRPr="00B67A12" w:rsidRDefault="00113857" w:rsidP="003D614A">
            <w:pPr>
              <w:suppressAutoHyphens w:val="0"/>
              <w:spacing w:before="40" w:after="40" w:line="220" w:lineRule="exact"/>
              <w:rPr>
                <w:sz w:val="18"/>
              </w:rPr>
            </w:pPr>
            <w:r w:rsidRPr="00B67A12">
              <w:rPr>
                <w:sz w:val="18"/>
              </w:rPr>
              <w:t>Tadjikistan</w:t>
            </w:r>
          </w:p>
        </w:tc>
        <w:tc>
          <w:tcPr>
            <w:tcW w:w="798"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10"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58"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664"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95"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2"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1181"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r>
      <w:tr w:rsidR="00A03E91" w:rsidRPr="00B67A12" w:rsidTr="00A03E91">
        <w:trPr>
          <w:cantSplit/>
        </w:trPr>
        <w:tc>
          <w:tcPr>
            <w:tcW w:w="851" w:type="dxa"/>
            <w:vMerge/>
            <w:shd w:val="clear" w:color="auto" w:fill="auto"/>
          </w:tcPr>
          <w:p w:rsidR="00113857" w:rsidRPr="00B67A12" w:rsidRDefault="00113857" w:rsidP="00A03E91">
            <w:pPr>
              <w:suppressAutoHyphens w:val="0"/>
              <w:spacing w:before="40" w:after="40" w:line="220" w:lineRule="exact"/>
              <w:rPr>
                <w:sz w:val="18"/>
              </w:rPr>
            </w:pPr>
          </w:p>
        </w:tc>
        <w:tc>
          <w:tcPr>
            <w:tcW w:w="1984" w:type="dxa"/>
            <w:shd w:val="clear" w:color="auto" w:fill="auto"/>
            <w:vAlign w:val="bottom"/>
          </w:tcPr>
          <w:p w:rsidR="00113857" w:rsidRPr="00B67A12" w:rsidRDefault="00113857" w:rsidP="003D614A">
            <w:pPr>
              <w:suppressAutoHyphens w:val="0"/>
              <w:spacing w:before="40" w:after="40" w:line="220" w:lineRule="exact"/>
              <w:rPr>
                <w:sz w:val="18"/>
              </w:rPr>
            </w:pPr>
            <w:r w:rsidRPr="00B67A12">
              <w:rPr>
                <w:sz w:val="18"/>
              </w:rPr>
              <w:t>Albanie</w:t>
            </w:r>
          </w:p>
        </w:tc>
        <w:tc>
          <w:tcPr>
            <w:tcW w:w="79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10"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5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664"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95"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2"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1181"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r>
      <w:tr w:rsidR="00A03E91" w:rsidRPr="00B67A12" w:rsidTr="00A03E91">
        <w:trPr>
          <w:cantSplit/>
        </w:trPr>
        <w:tc>
          <w:tcPr>
            <w:tcW w:w="851" w:type="dxa"/>
            <w:vMerge/>
            <w:shd w:val="clear" w:color="auto" w:fill="auto"/>
          </w:tcPr>
          <w:p w:rsidR="00113857" w:rsidRPr="00B67A12" w:rsidRDefault="00113857" w:rsidP="00A03E91">
            <w:pPr>
              <w:suppressAutoHyphens w:val="0"/>
              <w:spacing w:before="40" w:after="40" w:line="220" w:lineRule="exact"/>
              <w:rPr>
                <w:sz w:val="18"/>
              </w:rPr>
            </w:pPr>
          </w:p>
        </w:tc>
        <w:tc>
          <w:tcPr>
            <w:tcW w:w="1984" w:type="dxa"/>
            <w:shd w:val="clear" w:color="auto" w:fill="auto"/>
            <w:vAlign w:val="bottom"/>
          </w:tcPr>
          <w:p w:rsidR="00113857" w:rsidRPr="00B67A12" w:rsidRDefault="00113857" w:rsidP="003D614A">
            <w:pPr>
              <w:suppressAutoHyphens w:val="0"/>
              <w:spacing w:before="40" w:after="40" w:line="220" w:lineRule="exact"/>
              <w:rPr>
                <w:sz w:val="18"/>
              </w:rPr>
            </w:pPr>
            <w:r w:rsidRPr="00B67A12">
              <w:rPr>
                <w:sz w:val="18"/>
              </w:rPr>
              <w:t>Bosnie-Herzégovine</w:t>
            </w:r>
          </w:p>
        </w:tc>
        <w:tc>
          <w:tcPr>
            <w:tcW w:w="79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10"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5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664"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5"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1181"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r>
      <w:tr w:rsidR="00A03E91" w:rsidRPr="00B67A12" w:rsidTr="00A03E91">
        <w:trPr>
          <w:cantSplit/>
        </w:trPr>
        <w:tc>
          <w:tcPr>
            <w:tcW w:w="851" w:type="dxa"/>
            <w:vMerge/>
            <w:shd w:val="clear" w:color="auto" w:fill="auto"/>
          </w:tcPr>
          <w:p w:rsidR="00113857" w:rsidRPr="00B67A12" w:rsidRDefault="00113857" w:rsidP="00A03E91">
            <w:pPr>
              <w:suppressAutoHyphens w:val="0"/>
              <w:spacing w:before="40" w:after="40" w:line="220" w:lineRule="exact"/>
              <w:rPr>
                <w:sz w:val="18"/>
              </w:rPr>
            </w:pPr>
          </w:p>
        </w:tc>
        <w:tc>
          <w:tcPr>
            <w:tcW w:w="1984" w:type="dxa"/>
            <w:shd w:val="clear" w:color="auto" w:fill="auto"/>
            <w:vAlign w:val="bottom"/>
          </w:tcPr>
          <w:p w:rsidR="00113857" w:rsidRPr="00B67A12" w:rsidRDefault="00113857" w:rsidP="003D614A">
            <w:pPr>
              <w:suppressAutoHyphens w:val="0"/>
              <w:spacing w:before="40" w:after="40" w:line="220" w:lineRule="exact"/>
              <w:rPr>
                <w:sz w:val="18"/>
              </w:rPr>
            </w:pPr>
            <w:r w:rsidRPr="00B67A12">
              <w:rPr>
                <w:sz w:val="18"/>
              </w:rPr>
              <w:t>Ex-République yougoslave de Macédoine</w:t>
            </w:r>
          </w:p>
        </w:tc>
        <w:tc>
          <w:tcPr>
            <w:tcW w:w="79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10"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5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664"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5"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1181"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r>
      <w:tr w:rsidR="00A03E91" w:rsidRPr="00B67A12" w:rsidTr="00A03E91">
        <w:trPr>
          <w:cantSplit/>
        </w:trPr>
        <w:tc>
          <w:tcPr>
            <w:tcW w:w="851" w:type="dxa"/>
            <w:vMerge/>
            <w:shd w:val="clear" w:color="auto" w:fill="auto"/>
          </w:tcPr>
          <w:p w:rsidR="00113857" w:rsidRPr="00B67A12" w:rsidRDefault="00113857" w:rsidP="00A03E91">
            <w:pPr>
              <w:suppressAutoHyphens w:val="0"/>
              <w:spacing w:before="40" w:after="40" w:line="220" w:lineRule="exact"/>
              <w:rPr>
                <w:sz w:val="18"/>
              </w:rPr>
            </w:pPr>
          </w:p>
        </w:tc>
        <w:tc>
          <w:tcPr>
            <w:tcW w:w="1984" w:type="dxa"/>
            <w:shd w:val="clear" w:color="auto" w:fill="auto"/>
            <w:vAlign w:val="bottom"/>
          </w:tcPr>
          <w:p w:rsidR="00113857" w:rsidRPr="00B67A12" w:rsidRDefault="00113857" w:rsidP="003D614A">
            <w:pPr>
              <w:suppressAutoHyphens w:val="0"/>
              <w:spacing w:before="40" w:after="40" w:line="220" w:lineRule="exact"/>
              <w:rPr>
                <w:sz w:val="18"/>
              </w:rPr>
            </w:pPr>
            <w:r w:rsidRPr="00B67A12">
              <w:rPr>
                <w:sz w:val="18"/>
              </w:rPr>
              <w:t>Kazakhstan</w:t>
            </w:r>
          </w:p>
        </w:tc>
        <w:tc>
          <w:tcPr>
            <w:tcW w:w="798"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10"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5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664"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95"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1181"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r>
      <w:tr w:rsidR="00A03E91" w:rsidRPr="00B67A12" w:rsidTr="00A03E91">
        <w:trPr>
          <w:cantSplit/>
        </w:trPr>
        <w:tc>
          <w:tcPr>
            <w:tcW w:w="851" w:type="dxa"/>
            <w:vMerge w:val="restart"/>
            <w:shd w:val="clear" w:color="auto" w:fill="auto"/>
          </w:tcPr>
          <w:p w:rsidR="00113857" w:rsidRPr="00B67A12" w:rsidRDefault="00113857" w:rsidP="00A03E91">
            <w:pPr>
              <w:suppressAutoHyphens w:val="0"/>
              <w:spacing w:before="40" w:after="40" w:line="220" w:lineRule="exact"/>
              <w:rPr>
                <w:sz w:val="18"/>
              </w:rPr>
            </w:pPr>
            <w:r w:rsidRPr="00B67A12">
              <w:rPr>
                <w:sz w:val="18"/>
              </w:rPr>
              <w:t>Autres études</w:t>
            </w:r>
          </w:p>
        </w:tc>
        <w:tc>
          <w:tcPr>
            <w:tcW w:w="1984" w:type="dxa"/>
            <w:shd w:val="clear" w:color="auto" w:fill="auto"/>
            <w:vAlign w:val="bottom"/>
          </w:tcPr>
          <w:p w:rsidR="00113857" w:rsidRPr="00B67A12" w:rsidRDefault="00113857" w:rsidP="003D614A">
            <w:pPr>
              <w:suppressAutoHyphens w:val="0"/>
              <w:spacing w:before="40" w:after="40" w:line="220" w:lineRule="exact"/>
              <w:rPr>
                <w:sz w:val="18"/>
              </w:rPr>
            </w:pPr>
            <w:r w:rsidRPr="00B67A12">
              <w:rPr>
                <w:sz w:val="18"/>
              </w:rPr>
              <w:t>Maroc</w:t>
            </w:r>
          </w:p>
        </w:tc>
        <w:tc>
          <w:tcPr>
            <w:tcW w:w="798"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10"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552"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58"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664" w:type="dxa"/>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95"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2"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1181" w:type="dxa"/>
            <w:shd w:val="clear" w:color="auto" w:fill="auto"/>
            <w:vAlign w:val="bottom"/>
          </w:tcPr>
          <w:p w:rsidR="00113857" w:rsidRPr="00B67A12" w:rsidRDefault="00113857" w:rsidP="00A03E91">
            <w:pPr>
              <w:suppressAutoHyphens w:val="0"/>
              <w:spacing w:before="40" w:after="40" w:line="220" w:lineRule="exact"/>
              <w:jc w:val="right"/>
              <w:rPr>
                <w:b/>
                <w:bCs/>
                <w:sz w:val="18"/>
              </w:rPr>
            </w:pPr>
          </w:p>
        </w:tc>
      </w:tr>
      <w:tr w:rsidR="003D614A" w:rsidRPr="00B67A12" w:rsidTr="003D614A">
        <w:trPr>
          <w:cantSplit/>
        </w:trPr>
        <w:tc>
          <w:tcPr>
            <w:tcW w:w="851" w:type="dxa"/>
            <w:vMerge/>
            <w:tcBorders>
              <w:bottom w:val="single" w:sz="4" w:space="0" w:color="auto"/>
            </w:tcBorders>
            <w:shd w:val="clear" w:color="auto" w:fill="auto"/>
          </w:tcPr>
          <w:p w:rsidR="00113857" w:rsidRPr="00B67A12" w:rsidRDefault="00113857" w:rsidP="00A03E91">
            <w:pPr>
              <w:suppressAutoHyphens w:val="0"/>
              <w:spacing w:before="40" w:after="40" w:line="220" w:lineRule="exact"/>
              <w:rPr>
                <w:sz w:val="18"/>
              </w:rPr>
            </w:pPr>
          </w:p>
        </w:tc>
        <w:tc>
          <w:tcPr>
            <w:tcW w:w="1984" w:type="dxa"/>
            <w:tcBorders>
              <w:bottom w:val="single" w:sz="4" w:space="0" w:color="auto"/>
            </w:tcBorders>
            <w:shd w:val="clear" w:color="auto" w:fill="auto"/>
            <w:vAlign w:val="bottom"/>
          </w:tcPr>
          <w:p w:rsidR="00113857" w:rsidRPr="00B67A12" w:rsidRDefault="00113857" w:rsidP="003D614A">
            <w:pPr>
              <w:suppressAutoHyphens w:val="0"/>
              <w:spacing w:before="40" w:after="40" w:line="220" w:lineRule="exact"/>
              <w:rPr>
                <w:sz w:val="18"/>
              </w:rPr>
            </w:pPr>
            <w:r w:rsidRPr="00B67A12">
              <w:rPr>
                <w:sz w:val="18"/>
              </w:rPr>
              <w:t>Mongolie</w:t>
            </w:r>
          </w:p>
        </w:tc>
        <w:tc>
          <w:tcPr>
            <w:tcW w:w="798" w:type="dxa"/>
            <w:tcBorders>
              <w:bottom w:val="single" w:sz="4" w:space="0" w:color="auto"/>
            </w:tcBorders>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10" w:type="dxa"/>
            <w:tcBorders>
              <w:bottom w:val="single" w:sz="4" w:space="0" w:color="auto"/>
            </w:tcBorders>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552" w:type="dxa"/>
            <w:tcBorders>
              <w:bottom w:val="single" w:sz="4" w:space="0" w:color="auto"/>
            </w:tcBorders>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552" w:type="dxa"/>
            <w:tcBorders>
              <w:bottom w:val="single" w:sz="4" w:space="0" w:color="auto"/>
            </w:tcBorders>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c>
          <w:tcPr>
            <w:tcW w:w="758" w:type="dxa"/>
            <w:tcBorders>
              <w:bottom w:val="single" w:sz="4" w:space="0" w:color="auto"/>
            </w:tcBorders>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664" w:type="dxa"/>
            <w:tcBorders>
              <w:bottom w:val="single" w:sz="4" w:space="0" w:color="auto"/>
            </w:tcBorders>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5" w:type="dxa"/>
            <w:tcBorders>
              <w:bottom w:val="single" w:sz="4" w:space="0" w:color="auto"/>
            </w:tcBorders>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792" w:type="dxa"/>
            <w:tcBorders>
              <w:bottom w:val="single" w:sz="4" w:space="0" w:color="auto"/>
            </w:tcBorders>
            <w:shd w:val="clear" w:color="auto" w:fill="auto"/>
            <w:vAlign w:val="bottom"/>
          </w:tcPr>
          <w:p w:rsidR="00113857" w:rsidRPr="00B67A12" w:rsidRDefault="00113857" w:rsidP="00A03E91">
            <w:pPr>
              <w:suppressAutoHyphens w:val="0"/>
              <w:spacing w:before="40" w:after="40" w:line="220" w:lineRule="exact"/>
              <w:jc w:val="right"/>
              <w:rPr>
                <w:b/>
                <w:bCs/>
                <w:sz w:val="18"/>
              </w:rPr>
            </w:pPr>
          </w:p>
        </w:tc>
        <w:tc>
          <w:tcPr>
            <w:tcW w:w="1181" w:type="dxa"/>
            <w:tcBorders>
              <w:bottom w:val="single" w:sz="4" w:space="0" w:color="auto"/>
            </w:tcBorders>
            <w:shd w:val="clear" w:color="auto" w:fill="auto"/>
            <w:vAlign w:val="bottom"/>
          </w:tcPr>
          <w:p w:rsidR="00113857" w:rsidRPr="00B67A12" w:rsidRDefault="00113857" w:rsidP="00A03E91">
            <w:pPr>
              <w:suppressAutoHyphens w:val="0"/>
              <w:spacing w:before="40" w:after="40" w:line="220" w:lineRule="exact"/>
              <w:jc w:val="right"/>
              <w:rPr>
                <w:b/>
                <w:bCs/>
                <w:sz w:val="18"/>
              </w:rPr>
            </w:pPr>
            <w:r w:rsidRPr="00B67A12">
              <w:rPr>
                <w:b/>
                <w:bCs/>
                <w:sz w:val="18"/>
              </w:rPr>
              <w:t>√</w:t>
            </w:r>
          </w:p>
        </w:tc>
      </w:tr>
      <w:tr w:rsidR="00A03E91" w:rsidRPr="003D614A" w:rsidTr="00A03E91">
        <w:trPr>
          <w:cantSplit/>
        </w:trPr>
        <w:tc>
          <w:tcPr>
            <w:tcW w:w="851" w:type="dxa"/>
            <w:tcBorders>
              <w:top w:val="single" w:sz="4" w:space="0" w:color="auto"/>
              <w:bottom w:val="single" w:sz="12" w:space="0" w:color="auto"/>
            </w:tcBorders>
            <w:shd w:val="clear" w:color="auto" w:fill="auto"/>
          </w:tcPr>
          <w:p w:rsidR="00113857" w:rsidRPr="003D614A" w:rsidRDefault="00113857" w:rsidP="003D614A">
            <w:pPr>
              <w:suppressAutoHyphens w:val="0"/>
              <w:spacing w:before="80" w:after="80" w:line="220" w:lineRule="exact"/>
              <w:ind w:left="283"/>
              <w:rPr>
                <w:b/>
                <w:bCs/>
                <w:sz w:val="18"/>
              </w:rPr>
            </w:pPr>
            <w:r w:rsidRPr="003D614A">
              <w:rPr>
                <w:b/>
                <w:bCs/>
                <w:sz w:val="18"/>
              </w:rPr>
              <w:t>Total</w:t>
            </w:r>
          </w:p>
        </w:tc>
        <w:tc>
          <w:tcPr>
            <w:tcW w:w="1984" w:type="dxa"/>
            <w:tcBorders>
              <w:top w:val="single" w:sz="4" w:space="0" w:color="auto"/>
              <w:bottom w:val="single" w:sz="12" w:space="0" w:color="auto"/>
            </w:tcBorders>
            <w:shd w:val="clear" w:color="auto" w:fill="auto"/>
            <w:vAlign w:val="bottom"/>
          </w:tcPr>
          <w:p w:rsidR="00113857" w:rsidRPr="003D614A" w:rsidRDefault="00113857" w:rsidP="003D614A">
            <w:pPr>
              <w:suppressAutoHyphens w:val="0"/>
              <w:spacing w:before="80" w:after="80" w:line="220" w:lineRule="exact"/>
              <w:rPr>
                <w:b/>
                <w:bCs/>
                <w:sz w:val="18"/>
              </w:rPr>
            </w:pPr>
          </w:p>
        </w:tc>
        <w:tc>
          <w:tcPr>
            <w:tcW w:w="798" w:type="dxa"/>
            <w:tcBorders>
              <w:top w:val="single" w:sz="4" w:space="0" w:color="auto"/>
              <w:bottom w:val="single" w:sz="12" w:space="0" w:color="auto"/>
            </w:tcBorders>
            <w:shd w:val="clear" w:color="auto" w:fill="auto"/>
            <w:vAlign w:val="bottom"/>
          </w:tcPr>
          <w:p w:rsidR="00113857" w:rsidRPr="003D614A" w:rsidRDefault="00113857" w:rsidP="003D614A">
            <w:pPr>
              <w:suppressAutoHyphens w:val="0"/>
              <w:spacing w:before="80" w:after="80" w:line="220" w:lineRule="exact"/>
              <w:jc w:val="right"/>
              <w:rPr>
                <w:b/>
                <w:bCs/>
                <w:sz w:val="18"/>
              </w:rPr>
            </w:pPr>
            <w:r w:rsidRPr="003D614A">
              <w:rPr>
                <w:b/>
                <w:bCs/>
                <w:sz w:val="18"/>
              </w:rPr>
              <w:t>4</w:t>
            </w:r>
          </w:p>
        </w:tc>
        <w:tc>
          <w:tcPr>
            <w:tcW w:w="710" w:type="dxa"/>
            <w:tcBorders>
              <w:top w:val="single" w:sz="4" w:space="0" w:color="auto"/>
              <w:bottom w:val="single" w:sz="12" w:space="0" w:color="auto"/>
            </w:tcBorders>
            <w:shd w:val="clear" w:color="auto" w:fill="auto"/>
            <w:vAlign w:val="bottom"/>
          </w:tcPr>
          <w:p w:rsidR="00113857" w:rsidRPr="003D614A" w:rsidRDefault="00113857" w:rsidP="003D614A">
            <w:pPr>
              <w:suppressAutoHyphens w:val="0"/>
              <w:spacing w:before="80" w:after="80" w:line="220" w:lineRule="exact"/>
              <w:jc w:val="right"/>
              <w:rPr>
                <w:b/>
                <w:bCs/>
                <w:sz w:val="18"/>
              </w:rPr>
            </w:pPr>
            <w:r w:rsidRPr="003D614A">
              <w:rPr>
                <w:b/>
                <w:bCs/>
                <w:sz w:val="18"/>
              </w:rPr>
              <w:t>7</w:t>
            </w:r>
          </w:p>
        </w:tc>
        <w:tc>
          <w:tcPr>
            <w:tcW w:w="552" w:type="dxa"/>
            <w:tcBorders>
              <w:top w:val="single" w:sz="4" w:space="0" w:color="auto"/>
              <w:bottom w:val="single" w:sz="12" w:space="0" w:color="auto"/>
            </w:tcBorders>
            <w:shd w:val="clear" w:color="auto" w:fill="auto"/>
            <w:vAlign w:val="bottom"/>
          </w:tcPr>
          <w:p w:rsidR="00113857" w:rsidRPr="003D614A" w:rsidRDefault="00113857" w:rsidP="003D614A">
            <w:pPr>
              <w:suppressAutoHyphens w:val="0"/>
              <w:spacing w:before="80" w:after="80" w:line="220" w:lineRule="exact"/>
              <w:jc w:val="right"/>
              <w:rPr>
                <w:b/>
                <w:bCs/>
                <w:sz w:val="18"/>
              </w:rPr>
            </w:pPr>
            <w:r w:rsidRPr="003D614A">
              <w:rPr>
                <w:b/>
                <w:bCs/>
                <w:sz w:val="18"/>
              </w:rPr>
              <w:t>7</w:t>
            </w:r>
          </w:p>
        </w:tc>
        <w:tc>
          <w:tcPr>
            <w:tcW w:w="552" w:type="dxa"/>
            <w:tcBorders>
              <w:top w:val="single" w:sz="4" w:space="0" w:color="auto"/>
              <w:bottom w:val="single" w:sz="12" w:space="0" w:color="auto"/>
            </w:tcBorders>
            <w:shd w:val="clear" w:color="auto" w:fill="auto"/>
            <w:vAlign w:val="bottom"/>
          </w:tcPr>
          <w:p w:rsidR="00113857" w:rsidRPr="003D614A" w:rsidRDefault="00113857" w:rsidP="003D614A">
            <w:pPr>
              <w:suppressAutoHyphens w:val="0"/>
              <w:spacing w:before="80" w:after="80" w:line="220" w:lineRule="exact"/>
              <w:jc w:val="right"/>
              <w:rPr>
                <w:b/>
                <w:bCs/>
                <w:sz w:val="18"/>
              </w:rPr>
            </w:pPr>
            <w:r w:rsidRPr="003D614A">
              <w:rPr>
                <w:b/>
                <w:bCs/>
                <w:sz w:val="18"/>
              </w:rPr>
              <w:t>6</w:t>
            </w:r>
          </w:p>
        </w:tc>
        <w:tc>
          <w:tcPr>
            <w:tcW w:w="758" w:type="dxa"/>
            <w:tcBorders>
              <w:top w:val="single" w:sz="4" w:space="0" w:color="auto"/>
              <w:bottom w:val="single" w:sz="12" w:space="0" w:color="auto"/>
            </w:tcBorders>
            <w:shd w:val="clear" w:color="auto" w:fill="auto"/>
            <w:vAlign w:val="bottom"/>
          </w:tcPr>
          <w:p w:rsidR="00113857" w:rsidRPr="003D614A" w:rsidRDefault="00113857" w:rsidP="003D614A">
            <w:pPr>
              <w:suppressAutoHyphens w:val="0"/>
              <w:spacing w:before="80" w:after="80" w:line="220" w:lineRule="exact"/>
              <w:jc w:val="right"/>
              <w:rPr>
                <w:b/>
                <w:bCs/>
                <w:sz w:val="18"/>
              </w:rPr>
            </w:pPr>
            <w:r w:rsidRPr="003D614A">
              <w:rPr>
                <w:b/>
                <w:bCs/>
                <w:sz w:val="18"/>
              </w:rPr>
              <w:t>2</w:t>
            </w:r>
          </w:p>
        </w:tc>
        <w:tc>
          <w:tcPr>
            <w:tcW w:w="664" w:type="dxa"/>
            <w:tcBorders>
              <w:top w:val="single" w:sz="4" w:space="0" w:color="auto"/>
              <w:bottom w:val="single" w:sz="12" w:space="0" w:color="auto"/>
            </w:tcBorders>
            <w:shd w:val="clear" w:color="auto" w:fill="auto"/>
            <w:vAlign w:val="bottom"/>
          </w:tcPr>
          <w:p w:rsidR="00113857" w:rsidRPr="003D614A" w:rsidRDefault="00113857" w:rsidP="003D614A">
            <w:pPr>
              <w:suppressAutoHyphens w:val="0"/>
              <w:spacing w:before="80" w:after="80" w:line="220" w:lineRule="exact"/>
              <w:jc w:val="right"/>
              <w:rPr>
                <w:b/>
                <w:bCs/>
                <w:sz w:val="18"/>
              </w:rPr>
            </w:pPr>
            <w:r w:rsidRPr="003D614A">
              <w:rPr>
                <w:b/>
                <w:bCs/>
                <w:sz w:val="18"/>
              </w:rPr>
              <w:t>5</w:t>
            </w:r>
          </w:p>
        </w:tc>
        <w:tc>
          <w:tcPr>
            <w:tcW w:w="795" w:type="dxa"/>
            <w:tcBorders>
              <w:top w:val="single" w:sz="4" w:space="0" w:color="auto"/>
              <w:bottom w:val="single" w:sz="12" w:space="0" w:color="auto"/>
            </w:tcBorders>
            <w:shd w:val="clear" w:color="auto" w:fill="auto"/>
            <w:vAlign w:val="bottom"/>
          </w:tcPr>
          <w:p w:rsidR="00113857" w:rsidRPr="003D614A" w:rsidRDefault="00113857" w:rsidP="003D614A">
            <w:pPr>
              <w:suppressAutoHyphens w:val="0"/>
              <w:spacing w:before="80" w:after="80" w:line="220" w:lineRule="exact"/>
              <w:jc w:val="right"/>
              <w:rPr>
                <w:b/>
                <w:bCs/>
                <w:sz w:val="18"/>
              </w:rPr>
            </w:pPr>
            <w:r w:rsidRPr="003D614A">
              <w:rPr>
                <w:b/>
                <w:bCs/>
                <w:sz w:val="18"/>
              </w:rPr>
              <w:t>2</w:t>
            </w:r>
          </w:p>
        </w:tc>
        <w:tc>
          <w:tcPr>
            <w:tcW w:w="792" w:type="dxa"/>
            <w:tcBorders>
              <w:top w:val="single" w:sz="4" w:space="0" w:color="auto"/>
              <w:bottom w:val="single" w:sz="12" w:space="0" w:color="auto"/>
            </w:tcBorders>
            <w:shd w:val="clear" w:color="auto" w:fill="auto"/>
            <w:vAlign w:val="bottom"/>
          </w:tcPr>
          <w:p w:rsidR="00113857" w:rsidRPr="003D614A" w:rsidRDefault="00113857" w:rsidP="003D614A">
            <w:pPr>
              <w:suppressAutoHyphens w:val="0"/>
              <w:spacing w:before="80" w:after="80" w:line="220" w:lineRule="exact"/>
              <w:jc w:val="right"/>
              <w:rPr>
                <w:b/>
                <w:bCs/>
                <w:sz w:val="18"/>
              </w:rPr>
            </w:pPr>
            <w:r w:rsidRPr="003D614A">
              <w:rPr>
                <w:b/>
                <w:bCs/>
                <w:sz w:val="18"/>
              </w:rPr>
              <w:t>4</w:t>
            </w:r>
          </w:p>
        </w:tc>
        <w:tc>
          <w:tcPr>
            <w:tcW w:w="1181" w:type="dxa"/>
            <w:tcBorders>
              <w:top w:val="single" w:sz="4" w:space="0" w:color="auto"/>
              <w:bottom w:val="single" w:sz="12" w:space="0" w:color="auto"/>
            </w:tcBorders>
            <w:shd w:val="clear" w:color="auto" w:fill="auto"/>
            <w:vAlign w:val="bottom"/>
          </w:tcPr>
          <w:p w:rsidR="00113857" w:rsidRPr="003D614A" w:rsidRDefault="00113857" w:rsidP="003D614A">
            <w:pPr>
              <w:suppressAutoHyphens w:val="0"/>
              <w:spacing w:before="80" w:after="80" w:line="220" w:lineRule="exact"/>
              <w:jc w:val="right"/>
              <w:rPr>
                <w:b/>
                <w:bCs/>
                <w:sz w:val="18"/>
              </w:rPr>
            </w:pPr>
            <w:r w:rsidRPr="003D614A">
              <w:rPr>
                <w:b/>
                <w:bCs/>
                <w:sz w:val="18"/>
              </w:rPr>
              <w:t>3</w:t>
            </w:r>
          </w:p>
        </w:tc>
      </w:tr>
    </w:tbl>
    <w:p w:rsidR="00113857" w:rsidRPr="00B67A12" w:rsidRDefault="00113857" w:rsidP="00A03E91">
      <w:pPr>
        <w:pStyle w:val="Titre1"/>
        <w:spacing w:after="120"/>
        <w:rPr>
          <w:b/>
        </w:rPr>
      </w:pPr>
      <w:r w:rsidRPr="00B67A12">
        <w:rPr>
          <w:rFonts w:asciiTheme="majorBidi" w:hAnsiTheme="majorBidi" w:cstheme="majorBidi"/>
        </w:rPr>
        <w:lastRenderedPageBreak/>
        <w:t>Figure 2</w:t>
      </w:r>
      <w:r w:rsidR="00A03E91" w:rsidRPr="00B67A12">
        <w:rPr>
          <w:rFonts w:asciiTheme="majorBidi" w:hAnsiTheme="majorBidi" w:cstheme="majorBidi"/>
        </w:rPr>
        <w:br/>
      </w:r>
      <w:r w:rsidRPr="00B67A12">
        <w:rPr>
          <w:b/>
        </w:rPr>
        <w:t xml:space="preserve">Destinataires des recommandations issues des études du troisième cycle et des études </w:t>
      </w:r>
      <w:r w:rsidR="00A03E91" w:rsidRPr="00B67A12">
        <w:rPr>
          <w:b/>
        </w:rPr>
        <w:br/>
      </w:r>
      <w:r w:rsidRPr="00B67A12">
        <w:rPr>
          <w:b/>
        </w:rPr>
        <w:t>de la Mongolie et du Maroc, 2013-2018</w:t>
      </w:r>
    </w:p>
    <w:p w:rsidR="00113857" w:rsidRPr="00B67A12" w:rsidRDefault="00C8321C" w:rsidP="00C8321C">
      <w:pPr>
        <w:pStyle w:val="SingleTxtG"/>
        <w:rPr>
          <w:rFonts w:asciiTheme="majorBidi" w:hAnsiTheme="majorBidi" w:cstheme="majorBidi"/>
        </w:rPr>
      </w:pPr>
      <w:r w:rsidRPr="00B67A12">
        <w:rPr>
          <w:noProof/>
          <w:lang w:eastAsia="fr-CH"/>
        </w:rPr>
        <mc:AlternateContent>
          <mc:Choice Requires="wps">
            <w:drawing>
              <wp:anchor distT="0" distB="0" distL="114300" distR="114300" simplePos="0" relativeHeight="251684352" behindDoc="0" locked="0" layoutInCell="1" allowOverlap="1" wp14:anchorId="62F7E48E" wp14:editId="5B08193D">
                <wp:simplePos x="0" y="0"/>
                <wp:positionH relativeFrom="column">
                  <wp:posOffset>925195</wp:posOffset>
                </wp:positionH>
                <wp:positionV relativeFrom="paragraph">
                  <wp:posOffset>1679575</wp:posOffset>
                </wp:positionV>
                <wp:extent cx="828000" cy="5760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828000" cy="576000"/>
                        </a:xfrm>
                        <a:prstGeom prst="rect">
                          <a:avLst/>
                        </a:prstGeom>
                        <a:solidFill>
                          <a:schemeClr val="lt1"/>
                        </a:solidFill>
                        <a:ln w="6350">
                          <a:noFill/>
                        </a:ln>
                      </wps:spPr>
                      <wps:txbx>
                        <w:txbxContent>
                          <w:p w:rsidR="00D66874" w:rsidRPr="00C8321C" w:rsidRDefault="00D66874" w:rsidP="00C8321C">
                            <w:pPr>
                              <w:spacing w:line="200" w:lineRule="atLeast"/>
                              <w:jc w:val="center"/>
                              <w:rPr>
                                <w:sz w:val="16"/>
                                <w:szCs w:val="16"/>
                              </w:rPr>
                            </w:pPr>
                            <w:r w:rsidRPr="00C8321C">
                              <w:rPr>
                                <w:sz w:val="16"/>
                                <w:szCs w:val="16"/>
                              </w:rPr>
                              <w:t>Autorités nationales chargées de l’environnement 31</w:t>
                            </w:r>
                            <w:r>
                              <w:rPr>
                                <w:sz w:val="16"/>
                                <w:szCs w:val="16"/>
                              </w:rPr>
                              <w:t> </w:t>
                            </w:r>
                            <w:r w:rsidRPr="00C8321C">
                              <w:rPr>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7E48E" id="Zone de texte 11" o:spid="_x0000_s1028" type="#_x0000_t202" style="position:absolute;left:0;text-align:left;margin-left:72.85pt;margin-top:132.25pt;width:65.2pt;height:45.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" fillcolor="white [3201]" stroked="f" strokeweight=".5pt">
                <v:textbox inset="0,0,0,0">
                  <w:txbxContent>
                    <w:p w:rsidR="00D66874" w:rsidRPr="00C8321C" w:rsidRDefault="00D66874" w:rsidP="00C8321C">
                      <w:pPr>
                        <w:spacing w:line="200" w:lineRule="atLeast"/>
                        <w:jc w:val="center"/>
                        <w:rPr>
                          <w:sz w:val="16"/>
                          <w:szCs w:val="16"/>
                        </w:rPr>
                      </w:pPr>
                      <w:r w:rsidRPr="00C8321C">
                        <w:rPr>
                          <w:sz w:val="16"/>
                          <w:szCs w:val="16"/>
                        </w:rPr>
                        <w:t>Autorités nationales chargées de l’environnement 31</w:t>
                      </w:r>
                      <w:r>
                        <w:rPr>
                          <w:sz w:val="16"/>
                          <w:szCs w:val="16"/>
                        </w:rPr>
                        <w:t> </w:t>
                      </w:r>
                      <w:r w:rsidRPr="00C8321C">
                        <w:rPr>
                          <w:sz w:val="16"/>
                          <w:szCs w:val="16"/>
                        </w:rPr>
                        <w:t>%</w:t>
                      </w:r>
                    </w:p>
                  </w:txbxContent>
                </v:textbox>
              </v:shape>
            </w:pict>
          </mc:Fallback>
        </mc:AlternateContent>
      </w:r>
      <w:r w:rsidRPr="00B67A12">
        <w:rPr>
          <w:noProof/>
          <w:lang w:eastAsia="fr-CH"/>
        </w:rPr>
        <mc:AlternateContent>
          <mc:Choice Requires="wps">
            <w:drawing>
              <wp:anchor distT="0" distB="0" distL="114300" distR="114300" simplePos="0" relativeHeight="251668992" behindDoc="0" locked="0" layoutInCell="1" allowOverlap="1" wp14:anchorId="60BD2A73" wp14:editId="54127031">
                <wp:simplePos x="0" y="0"/>
                <wp:positionH relativeFrom="column">
                  <wp:posOffset>866775</wp:posOffset>
                </wp:positionH>
                <wp:positionV relativeFrom="paragraph">
                  <wp:posOffset>311480</wp:posOffset>
                </wp:positionV>
                <wp:extent cx="833755" cy="497205"/>
                <wp:effectExtent l="0" t="0" r="4445" b="0"/>
                <wp:wrapNone/>
                <wp:docPr id="8" name="Zone de texte 8"/>
                <wp:cNvGraphicFramePr/>
                <a:graphic xmlns:a="http://schemas.openxmlformats.org/drawingml/2006/main">
                  <a:graphicData uri="http://schemas.microsoft.com/office/word/2010/wordprocessingShape">
                    <wps:wsp>
                      <wps:cNvSpPr txBox="1"/>
                      <wps:spPr>
                        <a:xfrm>
                          <a:off x="0" y="0"/>
                          <a:ext cx="833755" cy="497205"/>
                        </a:xfrm>
                        <a:prstGeom prst="rect">
                          <a:avLst/>
                        </a:prstGeom>
                        <a:solidFill>
                          <a:schemeClr val="lt1"/>
                        </a:solidFill>
                        <a:ln w="6350">
                          <a:noFill/>
                        </a:ln>
                      </wps:spPr>
                      <wps:txbx>
                        <w:txbxContent>
                          <w:p w:rsidR="00D66874" w:rsidRPr="00C8321C" w:rsidRDefault="00D66874" w:rsidP="00C8321C">
                            <w:pPr>
                              <w:spacing w:line="200" w:lineRule="atLeast"/>
                              <w:jc w:val="center"/>
                              <w:rPr>
                                <w:sz w:val="16"/>
                                <w:szCs w:val="16"/>
                              </w:rPr>
                            </w:pPr>
                            <w:r w:rsidRPr="00C8321C">
                              <w:rPr>
                                <w:sz w:val="16"/>
                                <w:szCs w:val="16"/>
                              </w:rPr>
                              <w:t>Ministères sectoriels et autres organes 26</w:t>
                            </w:r>
                            <w:r>
                              <w:rPr>
                                <w:sz w:val="16"/>
                                <w:szCs w:val="16"/>
                              </w:rPr>
                              <w:t> </w:t>
                            </w:r>
                            <w:r w:rsidRPr="00C8321C">
                              <w:rPr>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D2A73" id="Zone de texte 8" o:spid="_x0000_s1029" type="#_x0000_t202" style="position:absolute;left:0;text-align:left;margin-left:68.25pt;margin-top:24.55pt;width:65.65pt;height:39.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" fillcolor="white [3201]" stroked="f" strokeweight=".5pt">
                <v:textbox inset="0,0,0,0">
                  <w:txbxContent>
                    <w:p w:rsidR="00D66874" w:rsidRPr="00C8321C" w:rsidRDefault="00D66874" w:rsidP="00C8321C">
                      <w:pPr>
                        <w:spacing w:line="200" w:lineRule="atLeast"/>
                        <w:jc w:val="center"/>
                        <w:rPr>
                          <w:sz w:val="16"/>
                          <w:szCs w:val="16"/>
                        </w:rPr>
                      </w:pPr>
                      <w:r w:rsidRPr="00C8321C">
                        <w:rPr>
                          <w:sz w:val="16"/>
                          <w:szCs w:val="16"/>
                        </w:rPr>
                        <w:t>Ministères sectoriels et autres organes 26</w:t>
                      </w:r>
                      <w:r>
                        <w:rPr>
                          <w:sz w:val="16"/>
                          <w:szCs w:val="16"/>
                        </w:rPr>
                        <w:t> </w:t>
                      </w:r>
                      <w:r w:rsidRPr="00C8321C">
                        <w:rPr>
                          <w:sz w:val="16"/>
                          <w:szCs w:val="16"/>
                        </w:rPr>
                        <w:t>%</w:t>
                      </w:r>
                    </w:p>
                  </w:txbxContent>
                </v:textbox>
              </v:shape>
            </w:pict>
          </mc:Fallback>
        </mc:AlternateContent>
      </w:r>
      <w:r w:rsidRPr="00B67A12">
        <w:rPr>
          <w:noProof/>
          <w:lang w:eastAsia="fr-CH"/>
        </w:rPr>
        <mc:AlternateContent>
          <mc:Choice Requires="wps">
            <w:drawing>
              <wp:anchor distT="0" distB="0" distL="114300" distR="114300" simplePos="0" relativeHeight="251678208" behindDoc="0" locked="0" layoutInCell="1" allowOverlap="1" wp14:anchorId="6266EFA6" wp14:editId="2204AA11">
                <wp:simplePos x="0" y="0"/>
                <wp:positionH relativeFrom="column">
                  <wp:posOffset>3924783</wp:posOffset>
                </wp:positionH>
                <wp:positionV relativeFrom="paragraph">
                  <wp:posOffset>239496</wp:posOffset>
                </wp:positionV>
                <wp:extent cx="833933" cy="497433"/>
                <wp:effectExtent l="0" t="0" r="4445" b="0"/>
                <wp:wrapNone/>
                <wp:docPr id="9" name="Zone de texte 9"/>
                <wp:cNvGraphicFramePr/>
                <a:graphic xmlns:a="http://schemas.openxmlformats.org/drawingml/2006/main">
                  <a:graphicData uri="http://schemas.microsoft.com/office/word/2010/wordprocessingShape">
                    <wps:wsp>
                      <wps:cNvSpPr txBox="1"/>
                      <wps:spPr>
                        <a:xfrm>
                          <a:off x="0" y="0"/>
                          <a:ext cx="833933" cy="497433"/>
                        </a:xfrm>
                        <a:prstGeom prst="rect">
                          <a:avLst/>
                        </a:prstGeom>
                        <a:solidFill>
                          <a:schemeClr val="lt1"/>
                        </a:solidFill>
                        <a:ln w="6350">
                          <a:noFill/>
                        </a:ln>
                      </wps:spPr>
                      <wps:txbx>
                        <w:txbxContent>
                          <w:p w:rsidR="00D66874" w:rsidRPr="00C8321C" w:rsidRDefault="00D66874" w:rsidP="00C8321C">
                            <w:pPr>
                              <w:spacing w:line="200" w:lineRule="atLeast"/>
                              <w:jc w:val="center"/>
                              <w:rPr>
                                <w:sz w:val="16"/>
                                <w:szCs w:val="16"/>
                              </w:rPr>
                            </w:pPr>
                            <w:r w:rsidRPr="00C8321C">
                              <w:rPr>
                                <w:sz w:val="16"/>
                                <w:szCs w:val="16"/>
                              </w:rPr>
                              <w:t>Gouvernement 43</w:t>
                            </w:r>
                            <w:r>
                              <w:rPr>
                                <w:sz w:val="16"/>
                                <w:szCs w:val="16"/>
                              </w:rPr>
                              <w:t> </w:t>
                            </w:r>
                            <w:r w:rsidRPr="00C8321C">
                              <w:rPr>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6EFA6" id="Zone de texte 9" o:spid="_x0000_s1030" type="#_x0000_t202" style="position:absolute;left:0;text-align:left;margin-left:309.05pt;margin-top:18.85pt;width:65.65pt;height:3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" fillcolor="white [3201]" stroked="f" strokeweight=".5pt">
                <v:textbox inset="0,0,0,0">
                  <w:txbxContent>
                    <w:p w:rsidR="00D66874" w:rsidRPr="00C8321C" w:rsidRDefault="00D66874" w:rsidP="00C8321C">
                      <w:pPr>
                        <w:spacing w:line="200" w:lineRule="atLeast"/>
                        <w:jc w:val="center"/>
                        <w:rPr>
                          <w:sz w:val="16"/>
                          <w:szCs w:val="16"/>
                        </w:rPr>
                      </w:pPr>
                      <w:r w:rsidRPr="00C8321C">
                        <w:rPr>
                          <w:sz w:val="16"/>
                          <w:szCs w:val="16"/>
                        </w:rPr>
                        <w:t>Gouvernement 43</w:t>
                      </w:r>
                      <w:r>
                        <w:rPr>
                          <w:sz w:val="16"/>
                          <w:szCs w:val="16"/>
                        </w:rPr>
                        <w:t> </w:t>
                      </w:r>
                      <w:r w:rsidRPr="00C8321C">
                        <w:rPr>
                          <w:sz w:val="16"/>
                          <w:szCs w:val="16"/>
                        </w:rPr>
                        <w:t>%</w:t>
                      </w:r>
                    </w:p>
                  </w:txbxContent>
                </v:textbox>
              </v:shape>
            </w:pict>
          </mc:Fallback>
        </mc:AlternateContent>
      </w:r>
      <w:r w:rsidR="00113857" w:rsidRPr="00B67A12">
        <w:rPr>
          <w:noProof/>
          <w:lang w:eastAsia="fr-CH"/>
        </w:rPr>
        <w:drawing>
          <wp:inline distT="0" distB="0" distL="0" distR="0" wp14:anchorId="27FD2432" wp14:editId="356259B9">
            <wp:extent cx="4095750" cy="2514600"/>
            <wp:effectExtent l="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2514600"/>
                    </a:xfrm>
                    <a:prstGeom prst="rect">
                      <a:avLst/>
                    </a:prstGeom>
                    <a:noFill/>
                    <a:ln>
                      <a:noFill/>
                    </a:ln>
                  </pic:spPr>
                </pic:pic>
              </a:graphicData>
            </a:graphic>
          </wp:inline>
        </w:drawing>
      </w:r>
    </w:p>
    <w:p w:rsidR="00113857" w:rsidRPr="00B67A12" w:rsidRDefault="00113857" w:rsidP="00A03E91">
      <w:pPr>
        <w:pStyle w:val="SingleTxtG"/>
        <w:spacing w:line="200" w:lineRule="atLeast"/>
        <w:ind w:firstLine="170"/>
        <w:jc w:val="left"/>
        <w:rPr>
          <w:sz w:val="16"/>
        </w:rPr>
      </w:pPr>
      <w:r w:rsidRPr="00B67A12">
        <w:rPr>
          <w:i/>
          <w:sz w:val="16"/>
        </w:rPr>
        <w:t>Note </w:t>
      </w:r>
      <w:r w:rsidRPr="00B67A12">
        <w:rPr>
          <w:sz w:val="16"/>
        </w:rPr>
        <w:t>: Les pourcentages correspondent à des moyennes. La troisième étude de la Bosnie-Herzégovine n</w:t>
      </w:r>
      <w:r w:rsidR="00A03E91" w:rsidRPr="00B67A12">
        <w:rPr>
          <w:sz w:val="16"/>
        </w:rPr>
        <w:t>’</w:t>
      </w:r>
      <w:r w:rsidRPr="00B67A12">
        <w:rPr>
          <w:sz w:val="16"/>
        </w:rPr>
        <w:t>a pas été prise en compte car les catégories utilisées dans le graphique ne concordent pas étroitement avec les dispositifs institutionnels du pays.</w:t>
      </w:r>
    </w:p>
    <w:p w:rsidR="00113857" w:rsidRPr="00B67A12" w:rsidRDefault="00113857" w:rsidP="00113857">
      <w:pPr>
        <w:pStyle w:val="H23G"/>
      </w:pPr>
      <w:r w:rsidRPr="00B67A12">
        <w:tab/>
        <w:t>2.</w:t>
      </w:r>
      <w:r w:rsidRPr="00B67A12">
        <w:tab/>
        <w:t>Intégration des objectifs de développement durable dans les études</w:t>
      </w:r>
    </w:p>
    <w:p w:rsidR="00113857" w:rsidRPr="00B67A12" w:rsidRDefault="00113857" w:rsidP="00113857">
      <w:pPr>
        <w:pStyle w:val="SingleTxtG"/>
        <w:keepNext/>
      </w:pPr>
      <w:r w:rsidRPr="00B67A12">
        <w:t>11.</w:t>
      </w:r>
      <w:r w:rsidRPr="00B67A12">
        <w:tab/>
        <w:t>Toutes les études du troisième cycle sont centrées sur les trois grandes catégories de questions définies dans la Déclaration ministérielle d</w:t>
      </w:r>
      <w:r w:rsidR="00A03E91" w:rsidRPr="00B67A12">
        <w:t>’</w:t>
      </w:r>
      <w:r w:rsidRPr="00B67A12">
        <w:t>Astana (ECE/ASTANA.CONF/</w:t>
      </w:r>
      <w:r w:rsidR="00A03E91" w:rsidRPr="00B67A12">
        <w:t xml:space="preserve"> </w:t>
      </w:r>
      <w:r w:rsidRPr="00B67A12">
        <w:t>2011/2/Add.1</w:t>
      </w:r>
      <w:r w:rsidR="00A03E91" w:rsidRPr="00B67A12">
        <w:t>, par. </w:t>
      </w:r>
      <w:r w:rsidRPr="00B67A12">
        <w:t>13) comme sujets essentiels à traiter dans ce cadre :</w:t>
      </w:r>
    </w:p>
    <w:p w:rsidR="00113857" w:rsidRPr="00B67A12" w:rsidRDefault="00113857" w:rsidP="00113857">
      <w:pPr>
        <w:pStyle w:val="SingleTxtG"/>
        <w:ind w:firstLine="567"/>
      </w:pPr>
      <w:r w:rsidRPr="00B67A12">
        <w:t>a)</w:t>
      </w:r>
      <w:r w:rsidRPr="00B67A12">
        <w:tab/>
        <w:t>La gouvernance et le financement en matière d</w:t>
      </w:r>
      <w:r w:rsidR="00A03E91" w:rsidRPr="00B67A12">
        <w:t>’</w:t>
      </w:r>
      <w:r w:rsidRPr="00B67A12">
        <w:t>environnement dans le contexte d</w:t>
      </w:r>
      <w:r w:rsidR="00A03E91" w:rsidRPr="00B67A12">
        <w:t>’</w:t>
      </w:r>
      <w:r w:rsidRPr="00B67A12">
        <w:t>une économie verte ;</w:t>
      </w:r>
    </w:p>
    <w:p w:rsidR="00113857" w:rsidRPr="00B67A12" w:rsidRDefault="00113857" w:rsidP="00113857">
      <w:pPr>
        <w:pStyle w:val="SingleTxtG"/>
        <w:ind w:firstLine="567"/>
      </w:pPr>
      <w:r w:rsidRPr="00B67A12">
        <w:t>b)</w:t>
      </w:r>
      <w:r w:rsidRPr="00B67A12">
        <w:tab/>
        <w:t>La coopération des pays avec la communauté internationale ;</w:t>
      </w:r>
    </w:p>
    <w:p w:rsidR="00113857" w:rsidRPr="00B67A12" w:rsidRDefault="00113857" w:rsidP="00113857">
      <w:pPr>
        <w:pStyle w:val="SingleTxtG"/>
        <w:ind w:firstLine="567"/>
      </w:pPr>
      <w:r w:rsidRPr="00B67A12">
        <w:t>c)</w:t>
      </w:r>
      <w:r w:rsidRPr="00B67A12">
        <w:tab/>
        <w:t>La prise en compte de l</w:t>
      </w:r>
      <w:r w:rsidR="00A03E91" w:rsidRPr="00B67A12">
        <w:t>’</w:t>
      </w:r>
      <w:r w:rsidRPr="00B67A12">
        <w:t>environnement dans des secteurs prioritaires.</w:t>
      </w:r>
    </w:p>
    <w:p w:rsidR="00113857" w:rsidRPr="00B67A12" w:rsidRDefault="00113857" w:rsidP="00113857">
      <w:pPr>
        <w:pStyle w:val="SingleTxtG"/>
      </w:pPr>
      <w:r w:rsidRPr="00B67A12">
        <w:t>12.</w:t>
      </w:r>
      <w:r w:rsidRPr="00B67A12">
        <w:tab/>
        <w:t>Depuis 2017, une thématique supplémentaire, portant sur les objectifs de développement durable, a été ajoutée aux études, conformément à la Déclaration ministérielle de Batumi.</w:t>
      </w:r>
    </w:p>
    <w:p w:rsidR="00113857" w:rsidRPr="00B67A12" w:rsidRDefault="00113857" w:rsidP="00113857">
      <w:pPr>
        <w:pStyle w:val="SingleTxtG"/>
      </w:pPr>
      <w:r w:rsidRPr="00B67A12">
        <w:t>13.</w:t>
      </w:r>
      <w:r w:rsidRPr="00B67A12">
        <w:tab/>
        <w:t>En décembre 2016, le Groupe d</w:t>
      </w:r>
      <w:r w:rsidR="00A03E91" w:rsidRPr="00B67A12">
        <w:t>’</w:t>
      </w:r>
      <w:r w:rsidRPr="00B67A12">
        <w:t>experts des études de la performance environnementale a établi, avec le concours du secrétariat, un document sur le rôle que jouent ces études dans l</w:t>
      </w:r>
      <w:r w:rsidR="00A03E91" w:rsidRPr="00B67A12">
        <w:t>’</w:t>
      </w:r>
      <w:r w:rsidRPr="00B67A12">
        <w:t>appui à la réalisation des objectifs de développement durable et au suivi des progrès accomplis à cet égard dans la région paneuropéenne. Ce document (ECE/CEP/2017/11), approuvé par le Comité des politiques de l</w:t>
      </w:r>
      <w:r w:rsidR="00A03E91" w:rsidRPr="00B67A12">
        <w:t>’</w:t>
      </w:r>
      <w:r w:rsidRPr="00B67A12">
        <w:t>environnement en 2017, met en relief les différentes options possibles pour prendre en compte les objectifs de développement durable pertinents dans les études, ainsi que les données et les ressources nécessaires à cette fin. Il offre le principal cadre méthodologique pour l</w:t>
      </w:r>
      <w:r w:rsidR="00A03E91" w:rsidRPr="00B67A12">
        <w:t>’</w:t>
      </w:r>
      <w:r w:rsidRPr="00B67A12">
        <w:t>intégration de ces objectifs dans les études.</w:t>
      </w:r>
    </w:p>
    <w:p w:rsidR="00113857" w:rsidRPr="00B67A12" w:rsidRDefault="00113857" w:rsidP="00113857">
      <w:pPr>
        <w:pStyle w:val="SingleTxtG"/>
      </w:pPr>
      <w:r w:rsidRPr="00B67A12">
        <w:t>14.</w:t>
      </w:r>
      <w:r w:rsidRPr="00B67A12">
        <w:tab/>
        <w:t>Les trois études menées en 2017 (les troisièmes études concernant l</w:t>
      </w:r>
      <w:r w:rsidR="00A03E91" w:rsidRPr="00B67A12">
        <w:t>’</w:t>
      </w:r>
      <w:r w:rsidRPr="00B67A12">
        <w:t>Albanie et la Bosnie-Herzégovine et l</w:t>
      </w:r>
      <w:r w:rsidR="00A03E91" w:rsidRPr="00B67A12">
        <w:t>’</w:t>
      </w:r>
      <w:r w:rsidRPr="00B67A12">
        <w:t xml:space="preserve">étude concernant la Mongolie) et la troisième étude concernant le Kazakhstan, en cours en 2018, comportent une évaluation des objectifs de développement durable pertinents ainsi que des recommandations liées aux </w:t>
      </w:r>
      <w:r w:rsidR="00A03E91" w:rsidRPr="00B67A12">
        <w:t>cibles correspondantes (tableau </w:t>
      </w:r>
      <w:r w:rsidRPr="00B67A12">
        <w:t>3). Elles traitent également de questions systémiques telles que l</w:t>
      </w:r>
      <w:r w:rsidR="00A03E91" w:rsidRPr="00B67A12">
        <w:t>’</w:t>
      </w:r>
      <w:r w:rsidRPr="00B67A12">
        <w:t>existence d</w:t>
      </w:r>
      <w:r w:rsidR="00A03E91" w:rsidRPr="00B67A12">
        <w:t>’</w:t>
      </w:r>
      <w:r w:rsidRPr="00B67A12">
        <w:t>un cadre institutionnel pour la mise en œuvre et le suivi du Programme de développement durable à l</w:t>
      </w:r>
      <w:r w:rsidR="00A03E91" w:rsidRPr="00B67A12">
        <w:t>’</w:t>
      </w:r>
      <w:r w:rsidRPr="00B67A12">
        <w:t>horizon 2030, l</w:t>
      </w:r>
      <w:r w:rsidR="00A03E91" w:rsidRPr="00B67A12">
        <w:t>’</w:t>
      </w:r>
      <w:r w:rsidRPr="00B67A12">
        <w:t>intégration des objectifs de développement durable dans le cadre national des politiques publiques, les lacunes en matière de données, l</w:t>
      </w:r>
      <w:r w:rsidR="00A03E91" w:rsidRPr="00B67A12">
        <w:t>’</w:t>
      </w:r>
      <w:r w:rsidRPr="00B67A12">
        <w:t>appropriation nationale et les ressources nécessaires à la mise en œuvre. Les recommandations formulées fournissent des orientations aux gouvernements et autres parties prenantes pour concevoir des politiques et des mesures concrètes visant à atteindre les objectifs du Programme 2030. Dans la troisième étude de la performance environnementale de l</w:t>
      </w:r>
      <w:r w:rsidR="00A03E91" w:rsidRPr="00B67A12">
        <w:t xml:space="preserve">’Albanie, par exemple, </w:t>
      </w:r>
      <w:r w:rsidR="00A03E91" w:rsidRPr="00B67A12">
        <w:lastRenderedPageBreak/>
        <w:t>25 </w:t>
      </w:r>
      <w:r w:rsidRPr="00B67A12">
        <w:t>recommandations portent sur les objectifs de développement durable et les cibles correspondantes et 35 recommandations « souples » figurent dans les encadrés consacrés à ces objectifs et cibles dans le corps du rapport. La troisième étude concernant l</w:t>
      </w:r>
      <w:r w:rsidR="00A03E91" w:rsidRPr="00B67A12">
        <w:t>’</w:t>
      </w:r>
      <w:r w:rsidR="00A43597">
        <w:t>ex</w:t>
      </w:r>
      <w:r w:rsidR="00A43597">
        <w:noBreakHyphen/>
      </w:r>
      <w:r w:rsidRPr="00B67A12">
        <w:t>République yougoslave de Macédoine, en cours de réalisation en 2018, suit la même approche pour intégrer les objectifs de développement durable et les cibles correspondantes.</w:t>
      </w:r>
    </w:p>
    <w:p w:rsidR="00113857" w:rsidRPr="00B67A12" w:rsidRDefault="00113857" w:rsidP="00113857">
      <w:pPr>
        <w:pStyle w:val="Titre1"/>
        <w:spacing w:after="120"/>
        <w:rPr>
          <w:b/>
        </w:rPr>
      </w:pPr>
      <w:r w:rsidRPr="00B67A12">
        <w:t>Tableau 3</w:t>
      </w:r>
      <w:r w:rsidRPr="00B67A12">
        <w:br/>
      </w:r>
      <w:r w:rsidRPr="00B67A12">
        <w:rPr>
          <w:b/>
        </w:rPr>
        <w:t>Intégration des cibles du Programme de développement durable à l</w:t>
      </w:r>
      <w:r w:rsidR="00A03E91" w:rsidRPr="00B67A12">
        <w:rPr>
          <w:b/>
        </w:rPr>
        <w:t>’horizon 2030 dans les études de </w:t>
      </w:r>
      <w:r w:rsidRPr="00B67A12">
        <w:rPr>
          <w:b/>
        </w:rPr>
        <w:t>la performance environnementale</w:t>
      </w:r>
    </w:p>
    <w:tbl>
      <w:tblPr>
        <w:tblW w:w="8504" w:type="dxa"/>
        <w:tblInd w:w="1134" w:type="dxa"/>
        <w:tblLayout w:type="fixed"/>
        <w:tblCellMar>
          <w:left w:w="0" w:type="dxa"/>
          <w:right w:w="0" w:type="dxa"/>
        </w:tblCellMar>
        <w:tblLook w:val="04A0" w:firstRow="1" w:lastRow="0" w:firstColumn="1" w:lastColumn="0" w:noHBand="0" w:noVBand="1"/>
      </w:tblPr>
      <w:tblGrid>
        <w:gridCol w:w="3402"/>
        <w:gridCol w:w="1091"/>
        <w:gridCol w:w="1603"/>
        <w:gridCol w:w="992"/>
        <w:gridCol w:w="1416"/>
      </w:tblGrid>
      <w:tr w:rsidR="00EB195E" w:rsidRPr="00B67A12" w:rsidTr="00853E26">
        <w:trPr>
          <w:tblHeader/>
        </w:trPr>
        <w:tc>
          <w:tcPr>
            <w:tcW w:w="3402" w:type="dxa"/>
            <w:tcBorders>
              <w:top w:val="single" w:sz="4" w:space="0" w:color="auto"/>
              <w:bottom w:val="single" w:sz="12" w:space="0" w:color="auto"/>
            </w:tcBorders>
            <w:shd w:val="clear" w:color="auto" w:fill="auto"/>
            <w:noWrap/>
            <w:vAlign w:val="bottom"/>
            <w:hideMark/>
          </w:tcPr>
          <w:p w:rsidR="00113857" w:rsidRPr="00B67A12" w:rsidRDefault="00113857" w:rsidP="00113857">
            <w:pPr>
              <w:suppressAutoHyphens w:val="0"/>
              <w:spacing w:before="80" w:after="80" w:line="200" w:lineRule="exact"/>
              <w:rPr>
                <w:i/>
                <w:sz w:val="16"/>
              </w:rPr>
            </w:pPr>
            <w:r w:rsidRPr="00B67A12">
              <w:rPr>
                <w:i/>
                <w:sz w:val="16"/>
              </w:rPr>
              <w:t xml:space="preserve"> </w:t>
            </w:r>
          </w:p>
        </w:tc>
        <w:tc>
          <w:tcPr>
            <w:tcW w:w="1091" w:type="dxa"/>
            <w:tcBorders>
              <w:top w:val="single" w:sz="4" w:space="0" w:color="auto"/>
              <w:bottom w:val="single" w:sz="12" w:space="0" w:color="auto"/>
            </w:tcBorders>
            <w:shd w:val="clear" w:color="auto" w:fill="auto"/>
            <w:vAlign w:val="bottom"/>
            <w:hideMark/>
          </w:tcPr>
          <w:p w:rsidR="00113857" w:rsidRPr="00B67A12" w:rsidRDefault="00113857" w:rsidP="00113857">
            <w:pPr>
              <w:suppressAutoHyphens w:val="0"/>
              <w:spacing w:before="80" w:after="80" w:line="200" w:lineRule="exact"/>
              <w:jc w:val="right"/>
              <w:rPr>
                <w:i/>
                <w:sz w:val="16"/>
              </w:rPr>
            </w:pPr>
            <w:r w:rsidRPr="00B67A12">
              <w:rPr>
                <w:i/>
                <w:sz w:val="16"/>
              </w:rPr>
              <w:t>Troisième étude de l</w:t>
            </w:r>
            <w:r w:rsidR="00A03E91" w:rsidRPr="00B67A12">
              <w:rPr>
                <w:i/>
                <w:sz w:val="16"/>
              </w:rPr>
              <w:t>’</w:t>
            </w:r>
            <w:r w:rsidRPr="00B67A12">
              <w:rPr>
                <w:i/>
                <w:sz w:val="16"/>
              </w:rPr>
              <w:t>Albanie</w:t>
            </w:r>
          </w:p>
        </w:tc>
        <w:tc>
          <w:tcPr>
            <w:tcW w:w="1603" w:type="dxa"/>
            <w:tcBorders>
              <w:top w:val="single" w:sz="4" w:space="0" w:color="auto"/>
              <w:bottom w:val="single" w:sz="12" w:space="0" w:color="auto"/>
            </w:tcBorders>
            <w:shd w:val="clear" w:color="auto" w:fill="auto"/>
            <w:vAlign w:val="bottom"/>
            <w:hideMark/>
          </w:tcPr>
          <w:p w:rsidR="00113857" w:rsidRPr="00B67A12" w:rsidRDefault="00113857" w:rsidP="00113857">
            <w:pPr>
              <w:suppressAutoHyphens w:val="0"/>
              <w:spacing w:before="80" w:after="80" w:line="200" w:lineRule="exact"/>
              <w:jc w:val="right"/>
              <w:rPr>
                <w:i/>
                <w:sz w:val="16"/>
              </w:rPr>
            </w:pPr>
            <w:r w:rsidRPr="00B67A12">
              <w:rPr>
                <w:i/>
                <w:sz w:val="16"/>
              </w:rPr>
              <w:t>Troisième étude de la Bosnie-Herzégovine</w:t>
            </w:r>
          </w:p>
        </w:tc>
        <w:tc>
          <w:tcPr>
            <w:tcW w:w="992" w:type="dxa"/>
            <w:tcBorders>
              <w:top w:val="single" w:sz="4" w:space="0" w:color="auto"/>
              <w:bottom w:val="single" w:sz="12" w:space="0" w:color="auto"/>
            </w:tcBorders>
            <w:shd w:val="clear" w:color="auto" w:fill="auto"/>
            <w:vAlign w:val="bottom"/>
            <w:hideMark/>
          </w:tcPr>
          <w:p w:rsidR="00113857" w:rsidRPr="00B67A12" w:rsidRDefault="00113857" w:rsidP="00113857">
            <w:pPr>
              <w:suppressAutoHyphens w:val="0"/>
              <w:spacing w:before="80" w:after="80" w:line="200" w:lineRule="exact"/>
              <w:jc w:val="right"/>
              <w:rPr>
                <w:i/>
                <w:sz w:val="16"/>
              </w:rPr>
            </w:pPr>
            <w:r w:rsidRPr="00B67A12">
              <w:rPr>
                <w:i/>
                <w:sz w:val="16"/>
              </w:rPr>
              <w:t>Étude de la Mongolie</w:t>
            </w:r>
          </w:p>
        </w:tc>
        <w:tc>
          <w:tcPr>
            <w:tcW w:w="1416" w:type="dxa"/>
            <w:tcBorders>
              <w:top w:val="single" w:sz="4" w:space="0" w:color="auto"/>
              <w:bottom w:val="single" w:sz="12" w:space="0" w:color="auto"/>
            </w:tcBorders>
            <w:shd w:val="clear" w:color="auto" w:fill="auto"/>
            <w:vAlign w:val="bottom"/>
            <w:hideMark/>
          </w:tcPr>
          <w:p w:rsidR="00113857" w:rsidRPr="00B67A12" w:rsidRDefault="00113857" w:rsidP="00113857">
            <w:pPr>
              <w:suppressAutoHyphens w:val="0"/>
              <w:spacing w:before="80" w:after="80" w:line="200" w:lineRule="exact"/>
              <w:jc w:val="right"/>
              <w:rPr>
                <w:i/>
                <w:sz w:val="16"/>
              </w:rPr>
            </w:pPr>
            <w:r w:rsidRPr="00B67A12">
              <w:rPr>
                <w:i/>
                <w:sz w:val="16"/>
              </w:rPr>
              <w:t>Projet de troisième étude du Kazakhstan</w:t>
            </w:r>
          </w:p>
        </w:tc>
      </w:tr>
      <w:tr w:rsidR="00EB195E" w:rsidRPr="00B67A12" w:rsidTr="00853E26">
        <w:tc>
          <w:tcPr>
            <w:tcW w:w="3402" w:type="dxa"/>
            <w:tcBorders>
              <w:top w:val="single" w:sz="12" w:space="0" w:color="auto"/>
            </w:tcBorders>
            <w:shd w:val="clear" w:color="auto" w:fill="auto"/>
            <w:hideMark/>
          </w:tcPr>
          <w:p w:rsidR="00113857" w:rsidRPr="00B67A12" w:rsidRDefault="00113857" w:rsidP="00113857">
            <w:pPr>
              <w:suppressAutoHyphens w:val="0"/>
              <w:spacing w:before="40" w:after="40" w:line="220" w:lineRule="exact"/>
              <w:rPr>
                <w:sz w:val="18"/>
              </w:rPr>
            </w:pPr>
            <w:r w:rsidRPr="00B67A12">
              <w:rPr>
                <w:sz w:val="18"/>
              </w:rPr>
              <w:t>Cibles traitées dans le corps du texte (nombre)</w:t>
            </w:r>
          </w:p>
        </w:tc>
        <w:tc>
          <w:tcPr>
            <w:tcW w:w="1091" w:type="dxa"/>
            <w:tcBorders>
              <w:top w:val="single" w:sz="12" w:space="0" w:color="auto"/>
            </w:tcBorders>
            <w:shd w:val="clear" w:color="auto" w:fill="auto"/>
            <w:noWrap/>
            <w:vAlign w:val="bottom"/>
            <w:hideMark/>
          </w:tcPr>
          <w:p w:rsidR="00113857" w:rsidRPr="00B67A12" w:rsidRDefault="00113857" w:rsidP="00113857">
            <w:pPr>
              <w:suppressAutoHyphens w:val="0"/>
              <w:spacing w:before="40" w:after="40" w:line="220" w:lineRule="exact"/>
              <w:jc w:val="right"/>
              <w:rPr>
                <w:sz w:val="18"/>
              </w:rPr>
            </w:pPr>
            <w:r w:rsidRPr="00B67A12">
              <w:rPr>
                <w:sz w:val="18"/>
              </w:rPr>
              <w:t>44</w:t>
            </w:r>
          </w:p>
        </w:tc>
        <w:tc>
          <w:tcPr>
            <w:tcW w:w="1603" w:type="dxa"/>
            <w:tcBorders>
              <w:top w:val="single" w:sz="12" w:space="0" w:color="auto"/>
            </w:tcBorders>
            <w:shd w:val="clear" w:color="auto" w:fill="auto"/>
            <w:noWrap/>
            <w:vAlign w:val="bottom"/>
            <w:hideMark/>
          </w:tcPr>
          <w:p w:rsidR="00113857" w:rsidRPr="00B67A12" w:rsidRDefault="00113857" w:rsidP="00113857">
            <w:pPr>
              <w:suppressAutoHyphens w:val="0"/>
              <w:spacing w:before="40" w:after="40" w:line="220" w:lineRule="exact"/>
              <w:jc w:val="right"/>
              <w:rPr>
                <w:sz w:val="18"/>
              </w:rPr>
            </w:pPr>
            <w:r w:rsidRPr="00B67A12">
              <w:rPr>
                <w:sz w:val="18"/>
              </w:rPr>
              <w:t>44</w:t>
            </w:r>
          </w:p>
        </w:tc>
        <w:tc>
          <w:tcPr>
            <w:tcW w:w="992" w:type="dxa"/>
            <w:tcBorders>
              <w:top w:val="single" w:sz="12" w:space="0" w:color="auto"/>
            </w:tcBorders>
            <w:shd w:val="clear" w:color="auto" w:fill="auto"/>
            <w:noWrap/>
            <w:vAlign w:val="bottom"/>
            <w:hideMark/>
          </w:tcPr>
          <w:p w:rsidR="00113857" w:rsidRPr="00B67A12" w:rsidRDefault="00113857" w:rsidP="00113857">
            <w:pPr>
              <w:suppressAutoHyphens w:val="0"/>
              <w:spacing w:before="40" w:after="40" w:line="220" w:lineRule="exact"/>
              <w:jc w:val="right"/>
              <w:rPr>
                <w:sz w:val="18"/>
              </w:rPr>
            </w:pPr>
            <w:r w:rsidRPr="00B67A12">
              <w:rPr>
                <w:sz w:val="18"/>
              </w:rPr>
              <w:t>42</w:t>
            </w:r>
          </w:p>
        </w:tc>
        <w:tc>
          <w:tcPr>
            <w:tcW w:w="1416" w:type="dxa"/>
            <w:tcBorders>
              <w:top w:val="single" w:sz="12" w:space="0" w:color="auto"/>
            </w:tcBorders>
            <w:shd w:val="clear" w:color="auto" w:fill="auto"/>
            <w:noWrap/>
            <w:vAlign w:val="bottom"/>
            <w:hideMark/>
          </w:tcPr>
          <w:p w:rsidR="00113857" w:rsidRPr="00B67A12" w:rsidRDefault="00113857" w:rsidP="00113857">
            <w:pPr>
              <w:suppressAutoHyphens w:val="0"/>
              <w:spacing w:before="40" w:after="40" w:line="220" w:lineRule="exact"/>
              <w:jc w:val="right"/>
              <w:rPr>
                <w:sz w:val="18"/>
              </w:rPr>
            </w:pPr>
            <w:r w:rsidRPr="00B67A12">
              <w:rPr>
                <w:sz w:val="18"/>
              </w:rPr>
              <w:t>54</w:t>
            </w:r>
          </w:p>
        </w:tc>
      </w:tr>
      <w:tr w:rsidR="00EB195E" w:rsidRPr="00B67A12" w:rsidTr="00853E26">
        <w:tc>
          <w:tcPr>
            <w:tcW w:w="3402" w:type="dxa"/>
            <w:shd w:val="clear" w:color="auto" w:fill="auto"/>
            <w:hideMark/>
          </w:tcPr>
          <w:p w:rsidR="00113857" w:rsidRPr="00B67A12" w:rsidRDefault="00113857" w:rsidP="00113857">
            <w:pPr>
              <w:suppressAutoHyphens w:val="0"/>
              <w:spacing w:before="40" w:after="40" w:line="220" w:lineRule="exact"/>
              <w:rPr>
                <w:sz w:val="18"/>
              </w:rPr>
            </w:pPr>
            <w:r w:rsidRPr="00B67A12">
              <w:rPr>
                <w:sz w:val="18"/>
              </w:rPr>
              <w:t>Cibles mentionnées dans les recommandations (nombre)</w:t>
            </w:r>
          </w:p>
        </w:tc>
        <w:tc>
          <w:tcPr>
            <w:tcW w:w="1091" w:type="dxa"/>
            <w:shd w:val="clear" w:color="auto" w:fill="auto"/>
            <w:noWrap/>
            <w:vAlign w:val="bottom"/>
            <w:hideMark/>
          </w:tcPr>
          <w:p w:rsidR="00113857" w:rsidRPr="00B67A12" w:rsidRDefault="00113857" w:rsidP="00113857">
            <w:pPr>
              <w:suppressAutoHyphens w:val="0"/>
              <w:spacing w:before="40" w:after="40" w:line="220" w:lineRule="exact"/>
              <w:jc w:val="right"/>
              <w:rPr>
                <w:sz w:val="18"/>
              </w:rPr>
            </w:pPr>
            <w:r w:rsidRPr="00B67A12">
              <w:rPr>
                <w:sz w:val="18"/>
              </w:rPr>
              <w:t>38</w:t>
            </w:r>
          </w:p>
        </w:tc>
        <w:tc>
          <w:tcPr>
            <w:tcW w:w="1603" w:type="dxa"/>
            <w:shd w:val="clear" w:color="auto" w:fill="auto"/>
            <w:noWrap/>
            <w:vAlign w:val="bottom"/>
            <w:hideMark/>
          </w:tcPr>
          <w:p w:rsidR="00113857" w:rsidRPr="00B67A12" w:rsidRDefault="00113857" w:rsidP="00113857">
            <w:pPr>
              <w:suppressAutoHyphens w:val="0"/>
              <w:spacing w:before="40" w:after="40" w:line="220" w:lineRule="exact"/>
              <w:jc w:val="right"/>
              <w:rPr>
                <w:sz w:val="18"/>
              </w:rPr>
            </w:pPr>
            <w:r w:rsidRPr="00B67A12">
              <w:rPr>
                <w:sz w:val="18"/>
              </w:rPr>
              <w:t>39</w:t>
            </w:r>
          </w:p>
        </w:tc>
        <w:tc>
          <w:tcPr>
            <w:tcW w:w="992" w:type="dxa"/>
            <w:shd w:val="clear" w:color="auto" w:fill="auto"/>
            <w:noWrap/>
            <w:vAlign w:val="bottom"/>
            <w:hideMark/>
          </w:tcPr>
          <w:p w:rsidR="00113857" w:rsidRPr="00B67A12" w:rsidRDefault="00113857" w:rsidP="00113857">
            <w:pPr>
              <w:suppressAutoHyphens w:val="0"/>
              <w:spacing w:before="40" w:after="40" w:line="220" w:lineRule="exact"/>
              <w:jc w:val="right"/>
              <w:rPr>
                <w:sz w:val="18"/>
              </w:rPr>
            </w:pPr>
            <w:r w:rsidRPr="00B67A12">
              <w:rPr>
                <w:sz w:val="18"/>
              </w:rPr>
              <w:t>38</w:t>
            </w:r>
          </w:p>
        </w:tc>
        <w:tc>
          <w:tcPr>
            <w:tcW w:w="1416" w:type="dxa"/>
            <w:shd w:val="clear" w:color="auto" w:fill="auto"/>
            <w:noWrap/>
            <w:vAlign w:val="bottom"/>
            <w:hideMark/>
          </w:tcPr>
          <w:p w:rsidR="00113857" w:rsidRPr="00B67A12" w:rsidRDefault="00A03E91" w:rsidP="00113857">
            <w:pPr>
              <w:suppressAutoHyphens w:val="0"/>
              <w:spacing w:before="40" w:after="40" w:line="220" w:lineRule="exact"/>
              <w:jc w:val="right"/>
              <w:rPr>
                <w:sz w:val="18"/>
              </w:rPr>
            </w:pPr>
            <w:r w:rsidRPr="00B67A12">
              <w:rPr>
                <w:sz w:val="18"/>
              </w:rPr>
              <w:t>-</w:t>
            </w:r>
          </w:p>
        </w:tc>
      </w:tr>
      <w:tr w:rsidR="00EB195E" w:rsidRPr="00B67A12" w:rsidTr="00853E26">
        <w:tc>
          <w:tcPr>
            <w:tcW w:w="3402" w:type="dxa"/>
            <w:shd w:val="clear" w:color="auto" w:fill="auto"/>
            <w:hideMark/>
          </w:tcPr>
          <w:p w:rsidR="00113857" w:rsidRPr="00B67A12" w:rsidRDefault="00113857" w:rsidP="00113857">
            <w:pPr>
              <w:suppressAutoHyphens w:val="0"/>
              <w:spacing w:before="40" w:after="40" w:line="220" w:lineRule="exact"/>
              <w:rPr>
                <w:sz w:val="18"/>
              </w:rPr>
            </w:pPr>
            <w:r w:rsidRPr="00B67A12">
              <w:rPr>
                <w:sz w:val="18"/>
              </w:rPr>
              <w:t>Recommandations relatives aux objectifs de développement durable (nombre), dont :</w:t>
            </w:r>
          </w:p>
        </w:tc>
        <w:tc>
          <w:tcPr>
            <w:tcW w:w="1091" w:type="dxa"/>
            <w:shd w:val="clear" w:color="auto" w:fill="auto"/>
            <w:noWrap/>
            <w:vAlign w:val="bottom"/>
            <w:hideMark/>
          </w:tcPr>
          <w:p w:rsidR="00113857" w:rsidRPr="00B67A12" w:rsidRDefault="00113857" w:rsidP="00113857">
            <w:pPr>
              <w:suppressAutoHyphens w:val="0"/>
              <w:spacing w:before="40" w:after="40" w:line="220" w:lineRule="exact"/>
              <w:jc w:val="right"/>
              <w:rPr>
                <w:sz w:val="18"/>
              </w:rPr>
            </w:pPr>
            <w:r w:rsidRPr="00B67A12">
              <w:rPr>
                <w:sz w:val="18"/>
              </w:rPr>
              <w:t>60</w:t>
            </w:r>
          </w:p>
        </w:tc>
        <w:tc>
          <w:tcPr>
            <w:tcW w:w="1603" w:type="dxa"/>
            <w:shd w:val="clear" w:color="auto" w:fill="auto"/>
            <w:noWrap/>
            <w:vAlign w:val="bottom"/>
            <w:hideMark/>
          </w:tcPr>
          <w:p w:rsidR="00113857" w:rsidRPr="00B67A12" w:rsidRDefault="00113857" w:rsidP="00113857">
            <w:pPr>
              <w:suppressAutoHyphens w:val="0"/>
              <w:spacing w:before="40" w:after="40" w:line="220" w:lineRule="exact"/>
              <w:jc w:val="right"/>
              <w:rPr>
                <w:sz w:val="18"/>
              </w:rPr>
            </w:pPr>
            <w:r w:rsidRPr="00B67A12">
              <w:rPr>
                <w:sz w:val="18"/>
              </w:rPr>
              <w:t>46</w:t>
            </w:r>
          </w:p>
        </w:tc>
        <w:tc>
          <w:tcPr>
            <w:tcW w:w="992" w:type="dxa"/>
            <w:shd w:val="clear" w:color="auto" w:fill="auto"/>
            <w:noWrap/>
            <w:vAlign w:val="bottom"/>
            <w:hideMark/>
          </w:tcPr>
          <w:p w:rsidR="00113857" w:rsidRPr="00B67A12" w:rsidRDefault="00113857" w:rsidP="00113857">
            <w:pPr>
              <w:suppressAutoHyphens w:val="0"/>
              <w:spacing w:before="40" w:after="40" w:line="220" w:lineRule="exact"/>
              <w:jc w:val="right"/>
              <w:rPr>
                <w:sz w:val="18"/>
              </w:rPr>
            </w:pPr>
            <w:r w:rsidRPr="00B67A12">
              <w:rPr>
                <w:sz w:val="18"/>
              </w:rPr>
              <w:t>76</w:t>
            </w:r>
          </w:p>
        </w:tc>
        <w:tc>
          <w:tcPr>
            <w:tcW w:w="1416" w:type="dxa"/>
            <w:shd w:val="clear" w:color="auto" w:fill="auto"/>
            <w:noWrap/>
            <w:vAlign w:val="bottom"/>
            <w:hideMark/>
          </w:tcPr>
          <w:p w:rsidR="00113857" w:rsidRPr="00B67A12" w:rsidRDefault="00A03E91" w:rsidP="00A03E91">
            <w:pPr>
              <w:suppressAutoHyphens w:val="0"/>
              <w:spacing w:before="40" w:after="40" w:line="220" w:lineRule="exact"/>
              <w:jc w:val="right"/>
              <w:rPr>
                <w:sz w:val="18"/>
              </w:rPr>
            </w:pPr>
            <w:r w:rsidRPr="00B67A12">
              <w:rPr>
                <w:sz w:val="18"/>
              </w:rPr>
              <w:t>-</w:t>
            </w:r>
          </w:p>
        </w:tc>
      </w:tr>
      <w:tr w:rsidR="00EB195E" w:rsidRPr="00B67A12" w:rsidTr="00853E26">
        <w:tc>
          <w:tcPr>
            <w:tcW w:w="3402" w:type="dxa"/>
            <w:shd w:val="clear" w:color="auto" w:fill="auto"/>
            <w:noWrap/>
            <w:hideMark/>
          </w:tcPr>
          <w:p w:rsidR="00113857" w:rsidRPr="00B67A12" w:rsidRDefault="00113857" w:rsidP="00A03E91">
            <w:pPr>
              <w:suppressAutoHyphens w:val="0"/>
              <w:spacing w:before="40" w:after="40" w:line="220" w:lineRule="exact"/>
              <w:ind w:left="284"/>
              <w:rPr>
                <w:sz w:val="18"/>
              </w:rPr>
            </w:pPr>
            <w:r w:rsidRPr="00B67A12">
              <w:rPr>
                <w:sz w:val="18"/>
              </w:rPr>
              <w:t>Mention dans les encadrés</w:t>
            </w:r>
          </w:p>
        </w:tc>
        <w:tc>
          <w:tcPr>
            <w:tcW w:w="1091" w:type="dxa"/>
            <w:shd w:val="clear" w:color="auto" w:fill="auto"/>
            <w:noWrap/>
            <w:vAlign w:val="bottom"/>
            <w:hideMark/>
          </w:tcPr>
          <w:p w:rsidR="00113857" w:rsidRPr="00B67A12" w:rsidRDefault="00113857" w:rsidP="00113857">
            <w:pPr>
              <w:suppressAutoHyphens w:val="0"/>
              <w:spacing w:before="40" w:after="40" w:line="220" w:lineRule="exact"/>
              <w:jc w:val="right"/>
              <w:rPr>
                <w:sz w:val="18"/>
              </w:rPr>
            </w:pPr>
            <w:r w:rsidRPr="00B67A12">
              <w:rPr>
                <w:sz w:val="18"/>
              </w:rPr>
              <w:t>35</w:t>
            </w:r>
          </w:p>
        </w:tc>
        <w:tc>
          <w:tcPr>
            <w:tcW w:w="1603" w:type="dxa"/>
            <w:shd w:val="clear" w:color="auto" w:fill="auto"/>
            <w:noWrap/>
            <w:vAlign w:val="bottom"/>
            <w:hideMark/>
          </w:tcPr>
          <w:p w:rsidR="00113857" w:rsidRPr="00B67A12" w:rsidRDefault="00113857" w:rsidP="00113857">
            <w:pPr>
              <w:suppressAutoHyphens w:val="0"/>
              <w:spacing w:before="40" w:after="40" w:line="220" w:lineRule="exact"/>
              <w:jc w:val="right"/>
              <w:rPr>
                <w:sz w:val="18"/>
              </w:rPr>
            </w:pPr>
            <w:r w:rsidRPr="00B67A12">
              <w:rPr>
                <w:sz w:val="18"/>
              </w:rPr>
              <w:t>36</w:t>
            </w:r>
          </w:p>
        </w:tc>
        <w:tc>
          <w:tcPr>
            <w:tcW w:w="992" w:type="dxa"/>
            <w:shd w:val="clear" w:color="auto" w:fill="auto"/>
            <w:noWrap/>
            <w:vAlign w:val="bottom"/>
            <w:hideMark/>
          </w:tcPr>
          <w:p w:rsidR="00113857" w:rsidRPr="00B67A12" w:rsidRDefault="00113857" w:rsidP="00113857">
            <w:pPr>
              <w:suppressAutoHyphens w:val="0"/>
              <w:spacing w:before="40" w:after="40" w:line="220" w:lineRule="exact"/>
              <w:jc w:val="right"/>
              <w:rPr>
                <w:sz w:val="18"/>
              </w:rPr>
            </w:pPr>
            <w:r w:rsidRPr="00B67A12">
              <w:rPr>
                <w:sz w:val="18"/>
              </w:rPr>
              <w:t>41</w:t>
            </w:r>
          </w:p>
        </w:tc>
        <w:tc>
          <w:tcPr>
            <w:tcW w:w="1416" w:type="dxa"/>
            <w:shd w:val="clear" w:color="auto" w:fill="auto"/>
            <w:noWrap/>
            <w:vAlign w:val="bottom"/>
            <w:hideMark/>
          </w:tcPr>
          <w:p w:rsidR="00113857" w:rsidRPr="00B67A12" w:rsidRDefault="00A03E91" w:rsidP="00A03E91">
            <w:pPr>
              <w:suppressAutoHyphens w:val="0"/>
              <w:spacing w:before="40" w:after="40" w:line="220" w:lineRule="exact"/>
              <w:jc w:val="right"/>
              <w:rPr>
                <w:sz w:val="18"/>
              </w:rPr>
            </w:pPr>
            <w:r w:rsidRPr="00B67A12">
              <w:rPr>
                <w:sz w:val="18"/>
              </w:rPr>
              <w:t>-</w:t>
            </w:r>
          </w:p>
        </w:tc>
      </w:tr>
      <w:tr w:rsidR="00EB195E" w:rsidRPr="00B67A12" w:rsidTr="00853E26">
        <w:tc>
          <w:tcPr>
            <w:tcW w:w="3402" w:type="dxa"/>
            <w:tcBorders>
              <w:bottom w:val="single" w:sz="12" w:space="0" w:color="auto"/>
            </w:tcBorders>
            <w:shd w:val="clear" w:color="auto" w:fill="auto"/>
            <w:noWrap/>
            <w:hideMark/>
          </w:tcPr>
          <w:p w:rsidR="00113857" w:rsidRPr="00B67A12" w:rsidRDefault="00113857" w:rsidP="00A03E91">
            <w:pPr>
              <w:suppressAutoHyphens w:val="0"/>
              <w:spacing w:before="40" w:after="40" w:line="220" w:lineRule="exact"/>
              <w:ind w:left="284"/>
              <w:rPr>
                <w:sz w:val="18"/>
              </w:rPr>
            </w:pPr>
            <w:r w:rsidRPr="00B67A12">
              <w:rPr>
                <w:sz w:val="18"/>
              </w:rPr>
              <w:t>Recommandations</w:t>
            </w:r>
          </w:p>
        </w:tc>
        <w:tc>
          <w:tcPr>
            <w:tcW w:w="1091" w:type="dxa"/>
            <w:tcBorders>
              <w:bottom w:val="single" w:sz="12" w:space="0" w:color="auto"/>
            </w:tcBorders>
            <w:shd w:val="clear" w:color="auto" w:fill="auto"/>
            <w:noWrap/>
            <w:vAlign w:val="bottom"/>
            <w:hideMark/>
          </w:tcPr>
          <w:p w:rsidR="00113857" w:rsidRPr="00B67A12" w:rsidRDefault="00113857" w:rsidP="00113857">
            <w:pPr>
              <w:suppressAutoHyphens w:val="0"/>
              <w:spacing w:before="40" w:after="40" w:line="220" w:lineRule="exact"/>
              <w:jc w:val="right"/>
              <w:rPr>
                <w:sz w:val="18"/>
              </w:rPr>
            </w:pPr>
            <w:r w:rsidRPr="00B67A12">
              <w:rPr>
                <w:sz w:val="18"/>
              </w:rPr>
              <w:t>25</w:t>
            </w:r>
          </w:p>
        </w:tc>
        <w:tc>
          <w:tcPr>
            <w:tcW w:w="1603" w:type="dxa"/>
            <w:tcBorders>
              <w:bottom w:val="single" w:sz="12" w:space="0" w:color="auto"/>
            </w:tcBorders>
            <w:shd w:val="clear" w:color="auto" w:fill="auto"/>
            <w:noWrap/>
            <w:vAlign w:val="bottom"/>
            <w:hideMark/>
          </w:tcPr>
          <w:p w:rsidR="00113857" w:rsidRPr="00B67A12" w:rsidRDefault="00113857" w:rsidP="00113857">
            <w:pPr>
              <w:suppressAutoHyphens w:val="0"/>
              <w:spacing w:before="40" w:after="40" w:line="220" w:lineRule="exact"/>
              <w:jc w:val="right"/>
              <w:rPr>
                <w:sz w:val="18"/>
              </w:rPr>
            </w:pPr>
            <w:r w:rsidRPr="00B67A12">
              <w:rPr>
                <w:sz w:val="18"/>
              </w:rPr>
              <w:t>10</w:t>
            </w:r>
          </w:p>
        </w:tc>
        <w:tc>
          <w:tcPr>
            <w:tcW w:w="992" w:type="dxa"/>
            <w:tcBorders>
              <w:bottom w:val="single" w:sz="12" w:space="0" w:color="auto"/>
            </w:tcBorders>
            <w:shd w:val="clear" w:color="auto" w:fill="auto"/>
            <w:noWrap/>
            <w:vAlign w:val="bottom"/>
            <w:hideMark/>
          </w:tcPr>
          <w:p w:rsidR="00113857" w:rsidRPr="00B67A12" w:rsidRDefault="00113857" w:rsidP="00113857">
            <w:pPr>
              <w:suppressAutoHyphens w:val="0"/>
              <w:spacing w:before="40" w:after="40" w:line="220" w:lineRule="exact"/>
              <w:jc w:val="right"/>
              <w:rPr>
                <w:sz w:val="18"/>
              </w:rPr>
            </w:pPr>
            <w:r w:rsidRPr="00B67A12">
              <w:rPr>
                <w:sz w:val="18"/>
              </w:rPr>
              <w:t>35</w:t>
            </w:r>
          </w:p>
        </w:tc>
        <w:tc>
          <w:tcPr>
            <w:tcW w:w="1416" w:type="dxa"/>
            <w:tcBorders>
              <w:bottom w:val="single" w:sz="12" w:space="0" w:color="auto"/>
            </w:tcBorders>
            <w:shd w:val="clear" w:color="auto" w:fill="auto"/>
            <w:noWrap/>
            <w:vAlign w:val="bottom"/>
            <w:hideMark/>
          </w:tcPr>
          <w:p w:rsidR="00113857" w:rsidRPr="00B67A12" w:rsidRDefault="00A03E91" w:rsidP="00A03E91">
            <w:pPr>
              <w:suppressAutoHyphens w:val="0"/>
              <w:spacing w:before="40" w:after="40" w:line="220" w:lineRule="exact"/>
              <w:jc w:val="right"/>
              <w:rPr>
                <w:sz w:val="18"/>
              </w:rPr>
            </w:pPr>
            <w:r w:rsidRPr="00B67A12">
              <w:rPr>
                <w:sz w:val="18"/>
              </w:rPr>
              <w:t>-</w:t>
            </w:r>
          </w:p>
        </w:tc>
      </w:tr>
    </w:tbl>
    <w:p w:rsidR="00113857" w:rsidRPr="00B67A12" w:rsidRDefault="00113857" w:rsidP="00E03657">
      <w:pPr>
        <w:spacing w:after="240" w:line="220" w:lineRule="exact"/>
        <w:ind w:left="1134" w:firstLine="170"/>
        <w:rPr>
          <w:bCs/>
          <w:iCs/>
          <w:sz w:val="18"/>
          <w:szCs w:val="18"/>
        </w:rPr>
      </w:pPr>
      <w:r w:rsidRPr="00B67A12">
        <w:rPr>
          <w:bCs/>
          <w:i/>
          <w:sz w:val="18"/>
          <w:szCs w:val="18"/>
        </w:rPr>
        <w:t>Note </w:t>
      </w:r>
      <w:r w:rsidRPr="00B67A12">
        <w:rPr>
          <w:bCs/>
          <w:sz w:val="18"/>
          <w:szCs w:val="18"/>
        </w:rPr>
        <w:t>: L</w:t>
      </w:r>
      <w:r w:rsidR="00A03E91" w:rsidRPr="00B67A12">
        <w:rPr>
          <w:bCs/>
          <w:sz w:val="18"/>
          <w:szCs w:val="18"/>
        </w:rPr>
        <w:t>’</w:t>
      </w:r>
      <w:r w:rsidRPr="00B67A12">
        <w:rPr>
          <w:bCs/>
          <w:sz w:val="18"/>
          <w:szCs w:val="18"/>
        </w:rPr>
        <w:t>i</w:t>
      </w:r>
      <w:r w:rsidRPr="00B67A12">
        <w:rPr>
          <w:bCs/>
          <w:iCs/>
          <w:sz w:val="18"/>
          <w:szCs w:val="18"/>
        </w:rPr>
        <w:t>nformation concernant le Kazakhstan a un caractère préliminaire.</w:t>
      </w:r>
    </w:p>
    <w:p w:rsidR="00113857" w:rsidRPr="00B67A12" w:rsidRDefault="00113857" w:rsidP="00113857">
      <w:pPr>
        <w:pStyle w:val="SingleTxtG"/>
        <w:rPr>
          <w:rFonts w:eastAsia="Times New Roman"/>
        </w:rPr>
      </w:pPr>
      <w:r w:rsidRPr="00B67A12">
        <w:t>15.</w:t>
      </w:r>
      <w:r w:rsidRPr="00B67A12">
        <w:tab/>
        <w:t>La figure 3 montre quelles cibles ont été traitées systématiquement dans les trois études concernant l</w:t>
      </w:r>
      <w:r w:rsidR="00A03E91" w:rsidRPr="00B67A12">
        <w:t>’</w:t>
      </w:r>
      <w:r w:rsidRPr="00B67A12">
        <w:t>Albanie, la Bosnie-Herzégovine et le Kazakhstan ainsi que dans l</w:t>
      </w:r>
      <w:r w:rsidR="00A03E91" w:rsidRPr="00B67A12">
        <w:t>’</w:t>
      </w:r>
      <w:r w:rsidRPr="00B67A12">
        <w:t>étude sur la Mongolie, et quelles autres cibles ont en outre été traitées dans l</w:t>
      </w:r>
      <w:r w:rsidR="00A03E91" w:rsidRPr="00B67A12">
        <w:t>’</w:t>
      </w:r>
      <w:r w:rsidRPr="00B67A12">
        <w:t>une ou plusieurs de ces quatre études. On voit que le traitement des cibles a été adapté au cas par cas en fonction du contenu de l</w:t>
      </w:r>
      <w:r w:rsidR="00A03E91" w:rsidRPr="00B67A12">
        <w:t>’</w:t>
      </w:r>
      <w:r w:rsidRPr="00B67A12">
        <w:t>étude, lequel a été déterminé en concertation avec le gouvernement concerné. Les objectifs de développement durable les plus fréquemment traités dans ces quat</w:t>
      </w:r>
      <w:r w:rsidR="00E1105F" w:rsidRPr="00B67A12">
        <w:t>re études sont les objectifs 6 (</w:t>
      </w:r>
      <w:r w:rsidRPr="00B67A12">
        <w:t>eau</w:t>
      </w:r>
      <w:r w:rsidR="00E1105F" w:rsidRPr="00B67A12">
        <w:t xml:space="preserve"> potable et assainissement), 11 </w:t>
      </w:r>
      <w:r w:rsidRPr="00B67A12">
        <w:t>(villes et communautés d</w:t>
      </w:r>
      <w:r w:rsidR="00E1105F" w:rsidRPr="00B67A12">
        <w:t>urables), 12 </w:t>
      </w:r>
      <w:r w:rsidRPr="00B67A12">
        <w:rPr>
          <w:rFonts w:eastAsia="Times New Roman"/>
        </w:rPr>
        <w:t xml:space="preserve">(modes de consommation et </w:t>
      </w:r>
      <w:r w:rsidR="00E1105F" w:rsidRPr="00B67A12">
        <w:rPr>
          <w:rFonts w:eastAsia="Times New Roman"/>
        </w:rPr>
        <w:t>de production responsables), 13 </w:t>
      </w:r>
      <w:r w:rsidRPr="00B67A12">
        <w:rPr>
          <w:rFonts w:eastAsia="Times New Roman"/>
        </w:rPr>
        <w:t>(lutte contre les</w:t>
      </w:r>
      <w:r w:rsidR="00E1105F" w:rsidRPr="00B67A12">
        <w:rPr>
          <w:rFonts w:eastAsia="Times New Roman"/>
        </w:rPr>
        <w:t xml:space="preserve"> changements climatiques) et 15 </w:t>
      </w:r>
      <w:r w:rsidRPr="00B67A12">
        <w:rPr>
          <w:rFonts w:eastAsia="Times New Roman"/>
        </w:rPr>
        <w:t>(vie terrestre).</w:t>
      </w:r>
    </w:p>
    <w:p w:rsidR="00113857" w:rsidRPr="00B67A12" w:rsidRDefault="00113857" w:rsidP="004D62D4">
      <w:pPr>
        <w:pStyle w:val="Titre1"/>
        <w:spacing w:after="120"/>
        <w:rPr>
          <w:b/>
        </w:rPr>
      </w:pPr>
      <w:r w:rsidRPr="00B67A12">
        <w:lastRenderedPageBreak/>
        <w:t>Figure 3</w:t>
      </w:r>
      <w:r w:rsidR="00E1105F" w:rsidRPr="00B67A12">
        <w:br/>
      </w:r>
      <w:r w:rsidRPr="00B67A12">
        <w:rPr>
          <w:b/>
        </w:rPr>
        <w:t>Cibles du Programme de développement durable à l</w:t>
      </w:r>
      <w:r w:rsidR="00A03E91" w:rsidRPr="00B67A12">
        <w:rPr>
          <w:b/>
        </w:rPr>
        <w:t>’</w:t>
      </w:r>
      <w:r w:rsidRPr="00B67A12">
        <w:rPr>
          <w:b/>
        </w:rPr>
        <w:t>horizon 2030</w:t>
      </w:r>
      <w:r w:rsidR="004D62D4" w:rsidRPr="00B67A12">
        <w:rPr>
          <w:b/>
        </w:rPr>
        <w:t xml:space="preserve"> traitées dans les études de la </w:t>
      </w:r>
      <w:r w:rsidRPr="00B67A12">
        <w:rPr>
          <w:b/>
        </w:rPr>
        <w:t>performance environnementale</w:t>
      </w:r>
    </w:p>
    <w:p w:rsidR="00A83DAF" w:rsidRPr="00B67A12" w:rsidRDefault="00A83DAF" w:rsidP="004D62D4">
      <w:pPr>
        <w:pStyle w:val="SingleTxtG"/>
      </w:pPr>
      <w:r w:rsidRPr="00B67A12">
        <w:rPr>
          <w:noProof/>
          <w:lang w:eastAsia="fr-CH"/>
        </w:rPr>
        <mc:AlternateContent>
          <mc:Choice Requires="wpg">
            <w:drawing>
              <wp:inline distT="0" distB="0" distL="0" distR="0" wp14:anchorId="1918D398" wp14:editId="687A2956">
                <wp:extent cx="5254958" cy="3752833"/>
                <wp:effectExtent l="0" t="38100" r="22225" b="210185"/>
                <wp:docPr id="23"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254958" cy="3752833"/>
                          <a:chOff x="0" y="0"/>
                          <a:chExt cx="5254958" cy="3752833"/>
                        </a:xfrm>
                      </wpg:grpSpPr>
                      <wpg:grpSp>
                        <wpg:cNvPr id="24" name="Group 24">
                          <a:extLst/>
                        </wpg:cNvPr>
                        <wpg:cNvGrpSpPr/>
                        <wpg:grpSpPr>
                          <a:xfrm>
                            <a:off x="0" y="0"/>
                            <a:ext cx="5254958" cy="3752833"/>
                            <a:chOff x="0" y="0"/>
                            <a:chExt cx="5254958" cy="3752833"/>
                          </a:xfrm>
                        </wpg:grpSpPr>
                        <wpg:grpSp>
                          <wpg:cNvPr id="25" name="Group 25">
                            <a:extLst/>
                          </wpg:cNvPr>
                          <wpg:cNvGrpSpPr/>
                          <wpg:grpSpPr>
                            <a:xfrm>
                              <a:off x="0" y="0"/>
                              <a:ext cx="5254958" cy="3752833"/>
                              <a:chOff x="0" y="0"/>
                              <a:chExt cx="5254958" cy="3752833"/>
                            </a:xfrm>
                          </wpg:grpSpPr>
                          <wpg:grpSp>
                            <wpg:cNvPr id="26" name="Group 26">
                              <a:extLst/>
                            </wpg:cNvPr>
                            <wpg:cNvGrpSpPr/>
                            <wpg:grpSpPr>
                              <a:xfrm>
                                <a:off x="0" y="0"/>
                                <a:ext cx="4898806" cy="3752833"/>
                                <a:chOff x="0" y="0"/>
                                <a:chExt cx="4898806" cy="3752833"/>
                              </a:xfrm>
                            </wpg:grpSpPr>
                            <wpg:grpSp>
                              <wpg:cNvPr id="27" name="Group 27">
                                <a:extLst/>
                              </wpg:cNvPr>
                              <wpg:cNvGrpSpPr/>
                              <wpg:grpSpPr>
                                <a:xfrm>
                                  <a:off x="0" y="0"/>
                                  <a:ext cx="4898806" cy="3752833"/>
                                  <a:chOff x="0" y="0"/>
                                  <a:chExt cx="4898806" cy="3752833"/>
                                </a:xfrm>
                              </wpg:grpSpPr>
                              <wpg:graphicFrame>
                                <wpg:cNvPr id="28" name="Diagram 28">
                                  <a:extLst/>
                                </wpg:cNvPr>
                                <wpg:cNvFrPr/>
                                <wpg:xfrm>
                                  <a:off x="0" y="486625"/>
                                  <a:ext cx="4572000" cy="3048000"/>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s:wsp>
                                <wps:cNvPr id="29" name="Arc 29">
                                  <a:extLst/>
                                </wps:cNvPr>
                                <wps:cNvSpPr/>
                                <wps:spPr>
                                  <a:xfrm flipV="1">
                                    <a:off x="1816630" y="1173628"/>
                                    <a:ext cx="3082176" cy="2579205"/>
                                  </a:xfrm>
                                  <a:prstGeom prst="arc">
                                    <a:avLst>
                                      <a:gd name="adj1" fmla="val 15319489"/>
                                      <a:gd name="adj2" fmla="val 822772"/>
                                    </a:avLst>
                                  </a:prstGeom>
                                  <a:noFill/>
                                  <a:ln w="19050" cap="flat" cmpd="sng" algn="ctr">
                                    <a:solidFill>
                                      <a:srgbClr val="4472C4">
                                        <a:lumMod val="40000"/>
                                        <a:lumOff val="60000"/>
                                      </a:srgbClr>
                                    </a:solidFill>
                                    <a:prstDash val="solid"/>
                                    <a:miter lim="800000"/>
                                  </a:ln>
                                  <a:effectLst/>
                                </wps:spPr>
                                <wps:bodyPr rtlCol="0" anchor="ctr"/>
                              </wps:wsp>
                              <wps:wsp>
                                <wps:cNvPr id="30" name="TextBox 2">
                                  <a:extLst/>
                                </wps:cNvPr>
                                <wps:cNvSpPr txBox="1"/>
                                <wps:spPr>
                                  <a:xfrm>
                                    <a:off x="1400680" y="271882"/>
                                    <a:ext cx="1740535" cy="588010"/>
                                  </a:xfrm>
                                  <a:prstGeom prst="rect">
                                    <a:avLst/>
                                  </a:prstGeom>
                                  <a:noFill/>
                                </wps:spPr>
                                <wps:txbx>
                                  <w:txbxContent>
                                    <w:p w:rsidR="00D66874" w:rsidRDefault="00D66874" w:rsidP="00A83DAF">
                                      <w:pPr>
                                        <w:pStyle w:val="NormalWeb"/>
                                        <w:spacing w:before="0" w:beforeAutospacing="0" w:after="0" w:afterAutospacing="0"/>
                                        <w:jc w:val="center"/>
                                      </w:pPr>
                                      <w:r w:rsidRPr="006F615E">
                                        <w:rPr>
                                          <w:b/>
                                          <w:bCs/>
                                          <w:color w:val="000000"/>
                                          <w:kern w:val="24"/>
                                          <w:sz w:val="18"/>
                                          <w:szCs w:val="18"/>
                                          <w:lang w:val="fr-CH"/>
                                          <w14:textFill>
                                            <w14:solidFill>
                                              <w14:srgbClr w14:val="000000">
                                                <w14:satOff w14:val="0"/>
                                                <w14:lumOff w14:val="0"/>
                                              </w14:srgbClr>
                                            </w14:solidFill>
                                          </w14:textFill>
                                        </w:rPr>
                                        <w:t>Projet de troisième EPE du</w:t>
                                      </w:r>
                                      <w:r>
                                        <w:rPr>
                                          <w:b/>
                                          <w:bCs/>
                                          <w:color w:val="000000"/>
                                          <w:kern w:val="24"/>
                                          <w:sz w:val="18"/>
                                          <w:szCs w:val="18"/>
                                          <w:lang w:val="fr-CH"/>
                                          <w14:textFill>
                                            <w14:solidFill>
                                              <w14:srgbClr w14:val="000000">
                                                <w14:satOff w14:val="0"/>
                                                <w14:lumOff w14:val="0"/>
                                              </w14:srgbClr>
                                            </w14:solidFill>
                                          </w14:textFill>
                                        </w:rPr>
                                        <w:t> </w:t>
                                      </w:r>
                                      <w:r w:rsidRPr="006F615E">
                                        <w:rPr>
                                          <w:b/>
                                          <w:bCs/>
                                          <w:color w:val="000000"/>
                                          <w:kern w:val="24"/>
                                          <w:sz w:val="18"/>
                                          <w:szCs w:val="18"/>
                                          <w:lang w:val="fr-CH"/>
                                          <w14:textFill>
                                            <w14:solidFill>
                                              <w14:srgbClr w14:val="000000">
                                                <w14:satOff w14:val="0"/>
                                                <w14:lumOff w14:val="0"/>
                                              </w14:srgbClr>
                                            </w14:solidFill>
                                          </w14:textFill>
                                        </w:rPr>
                                        <w:t>Kazakhstan</w:t>
                                      </w:r>
                                    </w:p>
                                    <w:p w:rsidR="00D66874" w:rsidRDefault="00D66874" w:rsidP="00A83DAF">
                                      <w:pPr>
                                        <w:pStyle w:val="NormalWeb"/>
                                        <w:spacing w:before="0" w:beforeAutospacing="0" w:after="0" w:afterAutospacing="0"/>
                                        <w:jc w:val="center"/>
                                      </w:pPr>
                                      <w:r w:rsidRPr="001A7897">
                                        <w:rPr>
                                          <w:color w:val="000000"/>
                                          <w:kern w:val="24"/>
                                          <w:sz w:val="16"/>
                                          <w:szCs w:val="16"/>
                                        </w:rPr>
                                        <w:t>2.3, 2.4, 2.a, 3.d, 4.a, 7.1, 7.2, 7.3, 7.b, 17.10</w:t>
                                      </w:r>
                                    </w:p>
                                  </w:txbxContent>
                                </wps:txbx>
                                <wps:bodyPr wrap="square" rtlCol="0">
                                  <a:spAutoFit/>
                                </wps:bodyPr>
                              </wps:wsp>
                              <wps:wsp>
                                <wps:cNvPr id="31" name="TextBox 3">
                                  <a:extLst/>
                                </wps:cNvPr>
                                <wps:cNvSpPr txBox="1"/>
                                <wps:spPr>
                                  <a:xfrm>
                                    <a:off x="3333956" y="1654027"/>
                                    <a:ext cx="963930" cy="719455"/>
                                  </a:xfrm>
                                  <a:prstGeom prst="rect">
                                    <a:avLst/>
                                  </a:prstGeom>
                                  <a:noFill/>
                                </wps:spPr>
                                <wps:txbx>
                                  <w:txbxContent>
                                    <w:p w:rsidR="00D66874" w:rsidRDefault="00D66874" w:rsidP="00A83DAF">
                                      <w:pPr>
                                        <w:pStyle w:val="NormalWeb"/>
                                        <w:spacing w:before="0" w:beforeAutospacing="0" w:after="0" w:afterAutospacing="0"/>
                                        <w:jc w:val="center"/>
                                      </w:pPr>
                                      <w:r w:rsidRPr="006F615E">
                                        <w:rPr>
                                          <w:b/>
                                          <w:bCs/>
                                          <w:color w:val="000000"/>
                                          <w:kern w:val="24"/>
                                          <w:sz w:val="18"/>
                                          <w:szCs w:val="18"/>
                                          <w:lang w:val="fr-CH"/>
                                          <w14:textFill>
                                            <w14:solidFill>
                                              <w14:srgbClr w14:val="000000">
                                                <w14:satOff w14:val="0"/>
                                                <w14:lumOff w14:val="0"/>
                                              </w14:srgbClr>
                                            </w14:solidFill>
                                          </w14:textFill>
                                        </w:rPr>
                                        <w:t>Troisième EPE de la Bosnie-Herzégovine</w:t>
                                      </w:r>
                                    </w:p>
                                    <w:p w:rsidR="00D66874" w:rsidRDefault="00D66874" w:rsidP="00A83DAF">
                                      <w:pPr>
                                        <w:pStyle w:val="NormalWeb"/>
                                        <w:spacing w:before="0" w:beforeAutospacing="0" w:after="0" w:afterAutospacing="0"/>
                                        <w:jc w:val="center"/>
                                      </w:pPr>
                                      <w:r w:rsidRPr="001A7897">
                                        <w:rPr>
                                          <w:color w:val="000000"/>
                                          <w:kern w:val="24"/>
                                          <w:sz w:val="16"/>
                                          <w:szCs w:val="16"/>
                                          <w:lang w:val="pt-BR"/>
                                        </w:rPr>
                                        <w:t>1.4, 6.6, 10.1, 10.b, 14.2, 14.a</w:t>
                                      </w:r>
                                    </w:p>
                                  </w:txbxContent>
                                </wps:txbx>
                                <wps:bodyPr wrap="square" rtlCol="0">
                                  <a:spAutoFit/>
                                </wps:bodyPr>
                              </wps:wsp>
                              <wps:wsp>
                                <wps:cNvPr id="32" name="TextBox 11">
                                  <a:extLst/>
                                </wps:cNvPr>
                                <wps:cNvSpPr txBox="1"/>
                                <wps:spPr>
                                  <a:xfrm>
                                    <a:off x="1165373" y="959523"/>
                                    <a:ext cx="837565" cy="325120"/>
                                  </a:xfrm>
                                  <a:prstGeom prst="rect">
                                    <a:avLst/>
                                  </a:prstGeom>
                                  <a:noFill/>
                                </wps:spPr>
                                <wps:txbx>
                                  <w:txbxContent>
                                    <w:p w:rsidR="00D66874" w:rsidRDefault="00D66874" w:rsidP="00A83DAF">
                                      <w:pPr>
                                        <w:pStyle w:val="NormalWeb"/>
                                        <w:spacing w:before="0" w:beforeAutospacing="0" w:after="0" w:afterAutospacing="0"/>
                                      </w:pPr>
                                      <w:r w:rsidRPr="001A7897">
                                        <w:rPr>
                                          <w:color w:val="000000"/>
                                          <w:kern w:val="24"/>
                                          <w:sz w:val="16"/>
                                          <w:szCs w:val="16"/>
                                          <w:lang w:val="pt-BR"/>
                                        </w:rPr>
                                        <w:t>3.1, 3.2, 3.3, 3.4, 3.a, 8.8</w:t>
                                      </w:r>
                                    </w:p>
                                  </w:txbxContent>
                                </wps:txbx>
                                <wps:bodyPr wrap="square" rtlCol="0">
                                  <a:spAutoFit/>
                                </wps:bodyPr>
                              </wps:wsp>
                              <wps:wsp>
                                <wps:cNvPr id="33" name="TextBox 12">
                                  <a:extLst/>
                                </wps:cNvPr>
                                <wps:cNvSpPr txBox="1"/>
                                <wps:spPr>
                                  <a:xfrm>
                                    <a:off x="337492" y="1659333"/>
                                    <a:ext cx="992505" cy="523875"/>
                                  </a:xfrm>
                                  <a:prstGeom prst="rect">
                                    <a:avLst/>
                                  </a:prstGeom>
                                  <a:noFill/>
                                </wps:spPr>
                                <wps:txbx>
                                  <w:txbxContent>
                                    <w:p w:rsidR="00D66874" w:rsidRDefault="00D66874" w:rsidP="00A83DAF">
                                      <w:pPr>
                                        <w:pStyle w:val="NormalWeb"/>
                                        <w:spacing w:before="0" w:beforeAutospacing="0" w:after="76" w:afterAutospacing="0" w:line="216" w:lineRule="auto"/>
                                        <w:jc w:val="center"/>
                                      </w:pPr>
                                      <w:r w:rsidRPr="006F615E">
                                        <w:rPr>
                                          <w:b/>
                                          <w:bCs/>
                                          <w:color w:val="000000"/>
                                          <w:kern w:val="24"/>
                                          <w:sz w:val="18"/>
                                          <w:szCs w:val="18"/>
                                          <w:lang w:val="fr-CH"/>
                                          <w14:textFill>
                                            <w14:solidFill>
                                              <w14:srgbClr w14:val="000000">
                                                <w14:satOff w14:val="0"/>
                                                <w14:lumOff w14:val="0"/>
                                              </w14:srgbClr>
                                            </w14:solidFill>
                                          </w14:textFill>
                                        </w:rPr>
                                        <w:t>EPE de la Mongolie</w:t>
                                      </w:r>
                                    </w:p>
                                    <w:p w:rsidR="00D66874" w:rsidRDefault="00D66874" w:rsidP="00A83DAF">
                                      <w:pPr>
                                        <w:pStyle w:val="NormalWeb"/>
                                        <w:spacing w:before="0" w:beforeAutospacing="0" w:after="67" w:afterAutospacing="0" w:line="216" w:lineRule="auto"/>
                                        <w:jc w:val="center"/>
                                      </w:pPr>
                                      <w:r w:rsidRPr="001A7897">
                                        <w:rPr>
                                          <w:color w:val="000000"/>
                                          <w:kern w:val="24"/>
                                          <w:sz w:val="16"/>
                                          <w:szCs w:val="16"/>
                                          <w:lang w:val="es-ES"/>
                                        </w:rPr>
                                        <w:t>2.1, 11.5, 15.c</w:t>
                                      </w:r>
                                    </w:p>
                                  </w:txbxContent>
                                </wps:txbx>
                                <wps:bodyPr wrap="square" rtlCol="0">
                                  <a:spAutoFit/>
                                </wps:bodyPr>
                              </wps:wsp>
                              <wps:wsp>
                                <wps:cNvPr id="34" name="TextBox 13">
                                  <a:extLst/>
                                </wps:cNvPr>
                                <wps:cNvSpPr txBox="1"/>
                                <wps:spPr>
                                  <a:xfrm>
                                    <a:off x="1847158" y="1471774"/>
                                    <a:ext cx="1036320" cy="1026160"/>
                                  </a:xfrm>
                                  <a:prstGeom prst="rect">
                                    <a:avLst/>
                                  </a:prstGeom>
                                  <a:noFill/>
                                </wps:spPr>
                                <wps:txbx>
                                  <w:txbxContent>
                                    <w:p w:rsidR="00D66874" w:rsidRDefault="00D66874" w:rsidP="00A83DAF">
                                      <w:pPr>
                                        <w:pStyle w:val="NormalWeb"/>
                                        <w:spacing w:before="0" w:beforeAutospacing="0" w:after="0" w:afterAutospacing="0"/>
                                      </w:pPr>
                                      <w:r w:rsidRPr="001A7897">
                                        <w:rPr>
                                          <w:color w:val="FFFFFF"/>
                                          <w:kern w:val="24"/>
                                          <w:sz w:val="16"/>
                                          <w:szCs w:val="16"/>
                                        </w:rPr>
                                        <w:t xml:space="preserve">3.9, 6.1, 6.2, 6.3, 6.5, 8.3, 11.6, 11.b, </w:t>
                                      </w:r>
                                      <w:r w:rsidRPr="001A7897">
                                        <w:rPr>
                                          <w:color w:val="FFFFFF"/>
                                          <w:kern w:val="24"/>
                                          <w:sz w:val="16"/>
                                          <w:szCs w:val="16"/>
                                          <w:lang w:val="en-US"/>
                                        </w:rPr>
                                        <w:t xml:space="preserve">12.1, 12.5, 12.7, 12.8, 12.c, </w:t>
                                      </w:r>
                                      <w:r w:rsidRPr="001A7897">
                                        <w:rPr>
                                          <w:color w:val="FFFFFF"/>
                                          <w:kern w:val="24"/>
                                          <w:sz w:val="16"/>
                                          <w:szCs w:val="16"/>
                                        </w:rPr>
                                        <w:t xml:space="preserve">13.2, 13.3, 15.1, 15.2, 15.3, 15.4, 15.5, 15.6, 15.7, 15.8, </w:t>
                                      </w:r>
                                      <w:r w:rsidRPr="001A7897">
                                        <w:rPr>
                                          <w:color w:val="FFFFFF"/>
                                          <w:kern w:val="24"/>
                                          <w:sz w:val="16"/>
                                          <w:szCs w:val="16"/>
                                          <w:lang w:val="en-US"/>
                                        </w:rPr>
                                        <w:t>15.a, 17.14</w:t>
                                      </w:r>
                                    </w:p>
                                  </w:txbxContent>
                                </wps:txbx>
                                <wps:bodyPr wrap="square" rtlCol="0">
                                  <a:spAutoFit/>
                                </wps:bodyPr>
                              </wps:wsp>
                              <wps:wsp>
                                <wps:cNvPr id="35" name="TextBox 15">
                                  <a:extLst/>
                                </wps:cNvPr>
                                <wps:cNvSpPr txBox="1"/>
                                <wps:spPr>
                                  <a:xfrm>
                                    <a:off x="1965378" y="2489375"/>
                                    <a:ext cx="781050" cy="325120"/>
                                  </a:xfrm>
                                  <a:prstGeom prst="rect">
                                    <a:avLst/>
                                  </a:prstGeom>
                                  <a:noFill/>
                                </wps:spPr>
                                <wps:txbx>
                                  <w:txbxContent>
                                    <w:p w:rsidR="00D66874" w:rsidRDefault="00D66874" w:rsidP="00A83DAF">
                                      <w:pPr>
                                        <w:pStyle w:val="NormalWeb"/>
                                        <w:spacing w:before="0" w:beforeAutospacing="0" w:after="0" w:afterAutospacing="0"/>
                                      </w:pPr>
                                      <w:r w:rsidRPr="001A7897">
                                        <w:rPr>
                                          <w:color w:val="000000"/>
                                          <w:kern w:val="24"/>
                                          <w:sz w:val="16"/>
                                          <w:szCs w:val="16"/>
                                          <w:lang w:val="fr-CH"/>
                                        </w:rPr>
                                        <w:t>8.4, 11.4, 15.9, 15.b</w:t>
                                      </w:r>
                                    </w:p>
                                  </w:txbxContent>
                                </wps:txbx>
                                <wps:bodyPr wrap="square" rtlCol="0">
                                  <a:spAutoFit/>
                                </wps:bodyPr>
                              </wps:wsp>
                              <wps:wsp>
                                <wps:cNvPr id="36" name="TextBox 17">
                                  <a:extLst/>
                                </wps:cNvPr>
                                <wps:cNvSpPr txBox="1"/>
                                <wps:spPr>
                                  <a:xfrm>
                                    <a:off x="2660856" y="2576397"/>
                                    <a:ext cx="762000" cy="208280"/>
                                  </a:xfrm>
                                  <a:prstGeom prst="rect">
                                    <a:avLst/>
                                  </a:prstGeom>
                                  <a:noFill/>
                                </wps:spPr>
                                <wps:txbx>
                                  <w:txbxContent>
                                    <w:p w:rsidR="00D66874" w:rsidRDefault="00D66874" w:rsidP="00A83DAF">
                                      <w:pPr>
                                        <w:pStyle w:val="NormalWeb"/>
                                        <w:spacing w:before="0" w:beforeAutospacing="0" w:after="0" w:afterAutospacing="0"/>
                                      </w:pPr>
                                      <w:r w:rsidRPr="001A7897">
                                        <w:rPr>
                                          <w:color w:val="000000"/>
                                          <w:kern w:val="24"/>
                                          <w:sz w:val="16"/>
                                          <w:szCs w:val="16"/>
                                          <w:lang w:val="es-ES"/>
                                        </w:rPr>
                                        <w:t>6.4, 14.1, 14.c</w:t>
                                      </w:r>
                                    </w:p>
                                  </w:txbxContent>
                                </wps:txbx>
                                <wps:bodyPr wrap="none" rtlCol="0">
                                  <a:spAutoFit/>
                                </wps:bodyPr>
                              </wps:wsp>
                              <wps:wsp>
                                <wps:cNvPr id="37" name="TextBox 18">
                                  <a:extLst/>
                                </wps:cNvPr>
                                <wps:cNvSpPr txBox="1"/>
                                <wps:spPr>
                                  <a:xfrm>
                                    <a:off x="1645770" y="3262114"/>
                                    <a:ext cx="1544955" cy="339725"/>
                                  </a:xfrm>
                                  <a:prstGeom prst="rect">
                                    <a:avLst/>
                                  </a:prstGeom>
                                  <a:noFill/>
                                </wps:spPr>
                                <wps:txbx>
                                  <w:txbxContent>
                                    <w:p w:rsidR="00D66874" w:rsidRDefault="00D66874" w:rsidP="00A83DAF">
                                      <w:pPr>
                                        <w:pStyle w:val="NormalWeb"/>
                                        <w:spacing w:before="0" w:beforeAutospacing="0" w:after="0" w:afterAutospacing="0"/>
                                        <w:jc w:val="center"/>
                                      </w:pPr>
                                      <w:r w:rsidRPr="006F615E">
                                        <w:rPr>
                                          <w:b/>
                                          <w:bCs/>
                                          <w:color w:val="000000"/>
                                          <w:kern w:val="24"/>
                                          <w:sz w:val="18"/>
                                          <w:szCs w:val="18"/>
                                          <w:lang w:val="fr-CH"/>
                                          <w14:textFill>
                                            <w14:solidFill>
                                              <w14:srgbClr w14:val="000000">
                                                <w14:satOff w14:val="0"/>
                                                <w14:lumOff w14:val="0"/>
                                              </w14:srgbClr>
                                            </w14:solidFill>
                                          </w14:textFill>
                                        </w:rPr>
                                        <w:t>Troisième EPE de l’Albanie</w:t>
                                      </w:r>
                                    </w:p>
                                    <w:p w:rsidR="00D66874" w:rsidRDefault="00D66874" w:rsidP="00A83DAF">
                                      <w:pPr>
                                        <w:pStyle w:val="NormalWeb"/>
                                        <w:spacing w:before="0" w:beforeAutospacing="0" w:after="0" w:afterAutospacing="0"/>
                                        <w:jc w:val="center"/>
                                      </w:pPr>
                                      <w:r w:rsidRPr="001A7897">
                                        <w:rPr>
                                          <w:color w:val="000000"/>
                                          <w:kern w:val="24"/>
                                          <w:sz w:val="16"/>
                                          <w:szCs w:val="16"/>
                                        </w:rPr>
                                        <w:t>6.b, 9.1, 9.b, 11.2</w:t>
                                      </w:r>
                                    </w:p>
                                  </w:txbxContent>
                                </wps:txbx>
                                <wps:bodyPr wrap="none" rtlCol="0">
                                  <a:spAutoFit/>
                                </wps:bodyPr>
                              </wps:wsp>
                              <wps:wsp>
                                <wps:cNvPr id="38" name="Arc 38">
                                  <a:extLst/>
                                </wps:cNvPr>
                                <wps:cNvSpPr/>
                                <wps:spPr>
                                  <a:xfrm>
                                    <a:off x="1993292" y="0"/>
                                    <a:ext cx="2794545" cy="3455753"/>
                                  </a:xfrm>
                                  <a:prstGeom prst="arc">
                                    <a:avLst>
                                      <a:gd name="adj1" fmla="val 14814363"/>
                                      <a:gd name="adj2" fmla="val 0"/>
                                    </a:avLst>
                                  </a:prstGeom>
                                  <a:noFill/>
                                  <a:ln w="19050" cap="flat" cmpd="sng" algn="ctr">
                                    <a:solidFill>
                                      <a:srgbClr val="4472C4">
                                        <a:lumMod val="40000"/>
                                        <a:lumOff val="60000"/>
                                      </a:srgbClr>
                                    </a:solidFill>
                                    <a:prstDash val="solid"/>
                                    <a:miter lim="800000"/>
                                  </a:ln>
                                  <a:effectLst/>
                                </wps:spPr>
                                <wps:bodyPr rtlCol="0" anchor="ctr"/>
                              </wps:wsp>
                            </wpg:grpSp>
                            <wps:wsp>
                              <wps:cNvPr id="39" name="TextBox 9">
                                <a:extLst/>
                              </wps:cNvPr>
                              <wps:cNvSpPr txBox="1"/>
                              <wps:spPr>
                                <a:xfrm>
                                  <a:off x="2506232" y="1005682"/>
                                  <a:ext cx="711200" cy="208280"/>
                                </a:xfrm>
                                <a:prstGeom prst="rect">
                                  <a:avLst/>
                                </a:prstGeom>
                                <a:noFill/>
                              </wps:spPr>
                              <wps:txbx>
                                <w:txbxContent>
                                  <w:p w:rsidR="00D66874" w:rsidRDefault="00D66874" w:rsidP="00A83DAF">
                                    <w:pPr>
                                      <w:pStyle w:val="NormalWeb"/>
                                      <w:spacing w:before="0" w:beforeAutospacing="0" w:after="0" w:afterAutospacing="0"/>
                                    </w:pPr>
                                    <w:r w:rsidRPr="001A7897">
                                      <w:rPr>
                                        <w:color w:val="000000"/>
                                        <w:kern w:val="24"/>
                                        <w:sz w:val="16"/>
                                        <w:szCs w:val="16"/>
                                      </w:rPr>
                                      <w:t>2.5, 5.a, 14.5</w:t>
                                    </w:r>
                                  </w:p>
                                </w:txbxContent>
                              </wps:txbx>
                              <wps:bodyPr wrap="none" rtlCol="0">
                                <a:spAutoFit/>
                              </wps:bodyPr>
                            </wps:wsp>
                            <wps:wsp>
                              <wps:cNvPr id="40" name="TextBox 10">
                                <a:extLst/>
                              </wps:cNvPr>
                              <wps:cNvSpPr txBox="1"/>
                              <wps:spPr>
                                <a:xfrm>
                                  <a:off x="1993166" y="1182924"/>
                                  <a:ext cx="539115" cy="208280"/>
                                </a:xfrm>
                                <a:prstGeom prst="rect">
                                  <a:avLst/>
                                </a:prstGeom>
                                <a:noFill/>
                              </wps:spPr>
                              <wps:txbx>
                                <w:txbxContent>
                                  <w:p w:rsidR="00D66874" w:rsidRDefault="00D66874" w:rsidP="00A83DAF">
                                    <w:pPr>
                                      <w:pStyle w:val="NormalWeb"/>
                                      <w:spacing w:before="0" w:beforeAutospacing="0" w:after="0" w:afterAutospacing="0"/>
                                    </w:pPr>
                                    <w:r w:rsidRPr="001A7897">
                                      <w:rPr>
                                        <w:color w:val="000000"/>
                                        <w:kern w:val="24"/>
                                        <w:sz w:val="16"/>
                                        <w:szCs w:val="16"/>
                                        <w:lang w:val="en-US"/>
                                      </w:rPr>
                                      <w:t>1.5, 12.6</w:t>
                                    </w:r>
                                  </w:p>
                                </w:txbxContent>
                              </wps:txbx>
                              <wps:bodyPr wrap="none" rtlCol="0">
                                <a:spAutoFit/>
                              </wps:bodyPr>
                            </wps:wsp>
                          </wpg:grpSp>
                          <wps:wsp>
                            <wps:cNvPr id="41" name="Oval 41">
                              <a:extLst/>
                            </wps:cNvPr>
                            <wps:cNvSpPr/>
                            <wps:spPr>
                              <a:xfrm>
                                <a:off x="4427151" y="1652834"/>
                                <a:ext cx="827807" cy="645675"/>
                              </a:xfrm>
                              <a:prstGeom prst="ellipse">
                                <a:avLst/>
                              </a:prstGeom>
                              <a:solidFill>
                                <a:srgbClr val="5B9BD5">
                                  <a:lumMod val="40000"/>
                                  <a:lumOff val="60000"/>
                                </a:srgbClr>
                              </a:solidFill>
                              <a:ln w="12700" cap="flat" cmpd="sng" algn="ctr">
                                <a:solidFill>
                                  <a:srgbClr val="E7E6E6">
                                    <a:lumMod val="90000"/>
                                  </a:srgbClr>
                                </a:solidFill>
                                <a:prstDash val="solid"/>
                                <a:miter lim="800000"/>
                              </a:ln>
                              <a:effectLst/>
                            </wps:spPr>
                            <wps:txbx>
                              <w:txbxContent>
                                <w:p w:rsidR="00D66874" w:rsidRDefault="00D66874" w:rsidP="00A83DAF">
                                  <w:pPr>
                                    <w:pStyle w:val="NormalWeb"/>
                                    <w:spacing w:before="0" w:beforeAutospacing="0" w:after="0" w:afterAutospacing="0"/>
                                    <w:jc w:val="center"/>
                                  </w:pPr>
                                  <w:r w:rsidRPr="001A7897">
                                    <w:rPr>
                                      <w:color w:val="000000"/>
                                      <w:kern w:val="24"/>
                                      <w:sz w:val="16"/>
                                      <w:szCs w:val="16"/>
                                      <w:lang w:val="es-ES"/>
                                    </w:rPr>
                                    <w:t>3.6, 8.2, 9.2, 9.4, 9.5</w:t>
                                  </w:r>
                                </w:p>
                              </w:txbxContent>
                            </wps:txbx>
                            <wps:bodyPr rtlCol="0" anchor="ctr"/>
                          </wps:wsp>
                        </wpg:grpSp>
                        <wps:wsp>
                          <wps:cNvPr id="42" name="TextBox 16">
                            <a:extLst/>
                          </wps:cNvPr>
                          <wps:cNvSpPr txBox="1"/>
                          <wps:spPr>
                            <a:xfrm>
                              <a:off x="2829440" y="1887946"/>
                              <a:ext cx="361315" cy="208280"/>
                            </a:xfrm>
                            <a:prstGeom prst="rect">
                              <a:avLst/>
                            </a:prstGeom>
                            <a:noFill/>
                          </wps:spPr>
                          <wps:txbx>
                            <w:txbxContent>
                              <w:p w:rsidR="00D66874" w:rsidRDefault="00D66874" w:rsidP="00A83DAF">
                                <w:pPr>
                                  <w:pStyle w:val="NormalWeb"/>
                                  <w:spacing w:before="0" w:beforeAutospacing="0" w:after="0" w:afterAutospacing="0"/>
                                </w:pPr>
                                <w:r w:rsidRPr="001A7897">
                                  <w:rPr>
                                    <w:color w:val="000000"/>
                                    <w:kern w:val="24"/>
                                    <w:sz w:val="16"/>
                                    <w:szCs w:val="16"/>
                                    <w:lang w:val="en-US"/>
                                  </w:rPr>
                                  <w:t>13.1</w:t>
                                </w:r>
                              </w:p>
                            </w:txbxContent>
                          </wps:txbx>
                          <wps:bodyPr wrap="none" rtlCol="0">
                            <a:spAutoFit/>
                          </wps:bodyPr>
                        </wps:wsp>
                      </wpg:grpSp>
                      <wps:wsp>
                        <wps:cNvPr id="45" name="TextBox 24">
                          <a:extLst/>
                        </wps:cNvPr>
                        <wps:cNvSpPr txBox="1"/>
                        <wps:spPr>
                          <a:xfrm>
                            <a:off x="1272108" y="1893025"/>
                            <a:ext cx="583565" cy="222885"/>
                          </a:xfrm>
                          <a:prstGeom prst="rect">
                            <a:avLst/>
                          </a:prstGeom>
                          <a:noFill/>
                        </wps:spPr>
                        <wps:txbx>
                          <w:txbxContent>
                            <w:p w:rsidR="00D66874" w:rsidRDefault="00D66874" w:rsidP="00A83DAF">
                              <w:pPr>
                                <w:pStyle w:val="NormalWeb"/>
                                <w:spacing w:before="0" w:beforeAutospacing="0" w:after="0" w:afterAutospacing="0"/>
                              </w:pPr>
                              <w:r w:rsidRPr="001A7897">
                                <w:rPr>
                                  <w:color w:val="000000"/>
                                  <w:kern w:val="24"/>
                                  <w:sz w:val="18"/>
                                  <w:szCs w:val="18"/>
                                  <w:lang w:val="en-US"/>
                                </w:rPr>
                                <w:t>4.7, 12.4</w:t>
                              </w:r>
                            </w:p>
                          </w:txbxContent>
                        </wps:txbx>
                        <wps:bodyPr wrap="none" rtlCol="0">
                          <a:spAutoFit/>
                        </wps:bodyPr>
                      </wps:wsp>
                    </wpg:wgp>
                  </a:graphicData>
                </a:graphic>
              </wp:inline>
            </w:drawing>
          </mc:Choice>
          <mc:Fallback>
            <w:pict>
              <v:group w14:anchorId="1918D398" id="Group 5" o:spid="_x0000_s1031" style="width:413.8pt;height:295.5pt;mso-position-horizontal-relative:char;mso-position-vertical-relative:line" coordsize="52549,3752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">
                <v:group id="Group 24" o:spid="_x0000_s1032" style="position:absolute;width:52549;height:37528" coordsize="52549,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5" o:spid="_x0000_s1033" style="position:absolute;width:52549;height:37528" coordsize="52549,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6" o:spid="_x0000_s1034" style="position:absolute;width:48988;height:37528" coordsize="48988,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7" o:spid="_x0000_s1035" style="position:absolute;width:48988;height:37528" coordsize="48988,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8" o:spid="_x0000_s1036" type="#_x0000_t75" style="position:absolute;left:3352;top:670;width:39015;height:38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">
                          <v:imagedata r:id="rId15" o:title=""/>
                          <o:lock v:ext="edit" aspectratio="f"/>
                        </v:shape>
                        <v:shape id="Arc 29" o:spid="_x0000_s1037" style="position:absolute;left:18166;top:11736;width:30822;height:25792;flip:y;visibility:visible;mso-wrap-style:square;v-text-anchor:middle" coordsize="3082176,257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" path="m1211193,29894nsc1672837,-54764,2155375,42511,2520305,293800v476069,327818,672845,861521,500255,1356812l1541088,1289603,1211193,29894xem1211193,29894nfc1672837,-54764,2155375,42511,2520305,293800v476069,327818,672845,861521,500255,1356812e" filled="f" strokecolor="#b4c7e7" strokeweight="1.5pt">
                          <v:stroke joinstyle="miter"/>
                          <v:path arrowok="t" o:connecttype="custom" o:connectlocs="1211193,29894;2520305,293800;3020560,1650612" o:connectangles="0,0,0"/>
                        </v:shape>
                        <v:shape id="TextBox 2" o:spid="_x0000_s1038" type="#_x0000_t202" style="position:absolute;left:14006;top:2718;width:17406;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rsidR="00D66874" w:rsidRDefault="00D66874" w:rsidP="00A83DAF">
                                <w:pPr>
                                  <w:pStyle w:val="NormalWeb"/>
                                  <w:spacing w:before="0" w:beforeAutospacing="0" w:after="0" w:afterAutospacing="0"/>
                                  <w:jc w:val="center"/>
                                </w:pPr>
                                <w:r w:rsidRPr="006F615E">
                                  <w:rPr>
                                    <w:b/>
                                    <w:bCs/>
                                    <w:color w:val="000000"/>
                                    <w:kern w:val="24"/>
                                    <w:sz w:val="18"/>
                                    <w:szCs w:val="18"/>
                                    <w:lang w:val="fr-CH"/>
                                    <w14:textFill>
                                      <w14:solidFill>
                                        <w14:srgbClr w14:val="000000">
                                          <w14:satOff w14:val="0"/>
                                          <w14:lumOff w14:val="0"/>
                                        </w14:srgbClr>
                                      </w14:solidFill>
                                    </w14:textFill>
                                  </w:rPr>
                                  <w:t>Projet de troisième EPE du</w:t>
                                </w:r>
                                <w:r>
                                  <w:rPr>
                                    <w:b/>
                                    <w:bCs/>
                                    <w:color w:val="000000"/>
                                    <w:kern w:val="24"/>
                                    <w:sz w:val="18"/>
                                    <w:szCs w:val="18"/>
                                    <w:lang w:val="fr-CH"/>
                                    <w14:textFill>
                                      <w14:solidFill>
                                        <w14:srgbClr w14:val="000000">
                                          <w14:satOff w14:val="0"/>
                                          <w14:lumOff w14:val="0"/>
                                        </w14:srgbClr>
                                      </w14:solidFill>
                                    </w14:textFill>
                                  </w:rPr>
                                  <w:t> </w:t>
                                </w:r>
                                <w:r w:rsidRPr="006F615E">
                                  <w:rPr>
                                    <w:b/>
                                    <w:bCs/>
                                    <w:color w:val="000000"/>
                                    <w:kern w:val="24"/>
                                    <w:sz w:val="18"/>
                                    <w:szCs w:val="18"/>
                                    <w:lang w:val="fr-CH"/>
                                    <w14:textFill>
                                      <w14:solidFill>
                                        <w14:srgbClr w14:val="000000">
                                          <w14:satOff w14:val="0"/>
                                          <w14:lumOff w14:val="0"/>
                                        </w14:srgbClr>
                                      </w14:solidFill>
                                    </w14:textFill>
                                  </w:rPr>
                                  <w:t>Kazakhstan</w:t>
                                </w:r>
                              </w:p>
                              <w:p w:rsidR="00D66874" w:rsidRDefault="00D66874" w:rsidP="00A83DAF">
                                <w:pPr>
                                  <w:pStyle w:val="NormalWeb"/>
                                  <w:spacing w:before="0" w:beforeAutospacing="0" w:after="0" w:afterAutospacing="0"/>
                                  <w:jc w:val="center"/>
                                </w:pPr>
                                <w:r w:rsidRPr="001A7897">
                                  <w:rPr>
                                    <w:color w:val="000000"/>
                                    <w:kern w:val="24"/>
                                    <w:sz w:val="16"/>
                                    <w:szCs w:val="16"/>
                                  </w:rPr>
                                  <w:t>2.3, 2.4, 2.a, 3.d, 4.a, 7.1, 7.2, 7.3, 7.b, 17.10</w:t>
                                </w:r>
                              </w:p>
                            </w:txbxContent>
                          </v:textbox>
                        </v:shape>
                        <v:shape id="TextBox 3" o:spid="_x0000_s1039" type="#_x0000_t202" style="position:absolute;left:33339;top:16540;width:9639;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rsidR="00D66874" w:rsidRDefault="00D66874" w:rsidP="00A83DAF">
                                <w:pPr>
                                  <w:pStyle w:val="NormalWeb"/>
                                  <w:spacing w:before="0" w:beforeAutospacing="0" w:after="0" w:afterAutospacing="0"/>
                                  <w:jc w:val="center"/>
                                </w:pPr>
                                <w:r w:rsidRPr="006F615E">
                                  <w:rPr>
                                    <w:b/>
                                    <w:bCs/>
                                    <w:color w:val="000000"/>
                                    <w:kern w:val="24"/>
                                    <w:sz w:val="18"/>
                                    <w:szCs w:val="18"/>
                                    <w:lang w:val="fr-CH"/>
                                    <w14:textFill>
                                      <w14:solidFill>
                                        <w14:srgbClr w14:val="000000">
                                          <w14:satOff w14:val="0"/>
                                          <w14:lumOff w14:val="0"/>
                                        </w14:srgbClr>
                                      </w14:solidFill>
                                    </w14:textFill>
                                  </w:rPr>
                                  <w:t>Troisième EPE de la Bosnie-Herzégovine</w:t>
                                </w:r>
                              </w:p>
                              <w:p w:rsidR="00D66874" w:rsidRDefault="00D66874" w:rsidP="00A83DAF">
                                <w:pPr>
                                  <w:pStyle w:val="NormalWeb"/>
                                  <w:spacing w:before="0" w:beforeAutospacing="0" w:after="0" w:afterAutospacing="0"/>
                                  <w:jc w:val="center"/>
                                </w:pPr>
                                <w:r w:rsidRPr="001A7897">
                                  <w:rPr>
                                    <w:color w:val="000000"/>
                                    <w:kern w:val="24"/>
                                    <w:sz w:val="16"/>
                                    <w:szCs w:val="16"/>
                                    <w:lang w:val="pt-BR"/>
                                  </w:rPr>
                                  <w:t>1.4, 6.6, 10.1, 10.b, 14.2, 14.a</w:t>
                                </w:r>
                              </w:p>
                            </w:txbxContent>
                          </v:textbox>
                        </v:shape>
                        <v:shape id="TextBox 11" o:spid="_x0000_s1040" type="#_x0000_t202" style="position:absolute;left:11653;top:9595;width:8376;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rsidR="00D66874" w:rsidRDefault="00D66874" w:rsidP="00A83DAF">
                                <w:pPr>
                                  <w:pStyle w:val="NormalWeb"/>
                                  <w:spacing w:before="0" w:beforeAutospacing="0" w:after="0" w:afterAutospacing="0"/>
                                </w:pPr>
                                <w:r w:rsidRPr="001A7897">
                                  <w:rPr>
                                    <w:color w:val="000000"/>
                                    <w:kern w:val="24"/>
                                    <w:sz w:val="16"/>
                                    <w:szCs w:val="16"/>
                                    <w:lang w:val="pt-BR"/>
                                  </w:rPr>
                                  <w:t>3.1, 3.2, 3.3, 3.4, 3.a, 8.8</w:t>
                                </w:r>
                              </w:p>
                            </w:txbxContent>
                          </v:textbox>
                        </v:shape>
                        <v:shape id="TextBox 12" o:spid="_x0000_s1041" type="#_x0000_t202" style="position:absolute;left:3374;top:16593;width:9925;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rsidR="00D66874" w:rsidRDefault="00D66874" w:rsidP="00A83DAF">
                                <w:pPr>
                                  <w:pStyle w:val="NormalWeb"/>
                                  <w:spacing w:before="0" w:beforeAutospacing="0" w:after="76" w:afterAutospacing="0" w:line="216" w:lineRule="auto"/>
                                  <w:jc w:val="center"/>
                                </w:pPr>
                                <w:r w:rsidRPr="006F615E">
                                  <w:rPr>
                                    <w:b/>
                                    <w:bCs/>
                                    <w:color w:val="000000"/>
                                    <w:kern w:val="24"/>
                                    <w:sz w:val="18"/>
                                    <w:szCs w:val="18"/>
                                    <w:lang w:val="fr-CH"/>
                                    <w14:textFill>
                                      <w14:solidFill>
                                        <w14:srgbClr w14:val="000000">
                                          <w14:satOff w14:val="0"/>
                                          <w14:lumOff w14:val="0"/>
                                        </w14:srgbClr>
                                      </w14:solidFill>
                                    </w14:textFill>
                                  </w:rPr>
                                  <w:t>EPE de la Mongolie</w:t>
                                </w:r>
                              </w:p>
                              <w:p w:rsidR="00D66874" w:rsidRDefault="00D66874" w:rsidP="00A83DAF">
                                <w:pPr>
                                  <w:pStyle w:val="NormalWeb"/>
                                  <w:spacing w:before="0" w:beforeAutospacing="0" w:after="67" w:afterAutospacing="0" w:line="216" w:lineRule="auto"/>
                                  <w:jc w:val="center"/>
                                </w:pPr>
                                <w:r w:rsidRPr="001A7897">
                                  <w:rPr>
                                    <w:color w:val="000000"/>
                                    <w:kern w:val="24"/>
                                    <w:sz w:val="16"/>
                                    <w:szCs w:val="16"/>
                                    <w:lang w:val="es-ES"/>
                                  </w:rPr>
                                  <w:t>2.1, 11.5, 15.c</w:t>
                                </w:r>
                              </w:p>
                            </w:txbxContent>
                          </v:textbox>
                        </v:shape>
                        <v:shape id="TextBox 13" o:spid="_x0000_s1042" type="#_x0000_t202" style="position:absolute;left:18471;top:14717;width:10363;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rsidR="00D66874" w:rsidRDefault="00D66874" w:rsidP="00A83DAF">
                                <w:pPr>
                                  <w:pStyle w:val="NormalWeb"/>
                                  <w:spacing w:before="0" w:beforeAutospacing="0" w:after="0" w:afterAutospacing="0"/>
                                </w:pPr>
                                <w:r w:rsidRPr="001A7897">
                                  <w:rPr>
                                    <w:color w:val="FFFFFF"/>
                                    <w:kern w:val="24"/>
                                    <w:sz w:val="16"/>
                                    <w:szCs w:val="16"/>
                                  </w:rPr>
                                  <w:t xml:space="preserve">3.9, 6.1, 6.2, 6.3, 6.5, 8.3, 11.6, 11.b, </w:t>
                                </w:r>
                                <w:r w:rsidRPr="001A7897">
                                  <w:rPr>
                                    <w:color w:val="FFFFFF"/>
                                    <w:kern w:val="24"/>
                                    <w:sz w:val="16"/>
                                    <w:szCs w:val="16"/>
                                    <w:lang w:val="en-US"/>
                                  </w:rPr>
                                  <w:t xml:space="preserve">12.1, 12.5, 12.7, 12.8, 12.c, </w:t>
                                </w:r>
                                <w:r w:rsidRPr="001A7897">
                                  <w:rPr>
                                    <w:color w:val="FFFFFF"/>
                                    <w:kern w:val="24"/>
                                    <w:sz w:val="16"/>
                                    <w:szCs w:val="16"/>
                                  </w:rPr>
                                  <w:t xml:space="preserve">13.2, 13.3, 15.1, 15.2, 15.3, 15.4, 15.5, 15.6, 15.7, 15.8, </w:t>
                                </w:r>
                                <w:r w:rsidRPr="001A7897">
                                  <w:rPr>
                                    <w:color w:val="FFFFFF"/>
                                    <w:kern w:val="24"/>
                                    <w:sz w:val="16"/>
                                    <w:szCs w:val="16"/>
                                    <w:lang w:val="en-US"/>
                                  </w:rPr>
                                  <w:t>15.a, 17.14</w:t>
                                </w:r>
                              </w:p>
                            </w:txbxContent>
                          </v:textbox>
                        </v:shape>
                        <v:shape id="TextBox 15" o:spid="_x0000_s1043" type="#_x0000_t202" style="position:absolute;left:19653;top:24893;width:7811;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rsidR="00D66874" w:rsidRDefault="00D66874" w:rsidP="00A83DAF">
                                <w:pPr>
                                  <w:pStyle w:val="NormalWeb"/>
                                  <w:spacing w:before="0" w:beforeAutospacing="0" w:after="0" w:afterAutospacing="0"/>
                                </w:pPr>
                                <w:r w:rsidRPr="001A7897">
                                  <w:rPr>
                                    <w:color w:val="000000"/>
                                    <w:kern w:val="24"/>
                                    <w:sz w:val="16"/>
                                    <w:szCs w:val="16"/>
                                    <w:lang w:val="fr-CH"/>
                                  </w:rPr>
                                  <w:t>8.4, 11.4, 15.9, 15.b</w:t>
                                </w:r>
                              </w:p>
                            </w:txbxContent>
                          </v:textbox>
                        </v:shape>
                        <v:shape id="TextBox 17" o:spid="_x0000_s1044" type="#_x0000_t202" style="position:absolute;left:26608;top:25763;width:7620;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" filled="f" stroked="f">
                          <v:textbox style="mso-fit-shape-to-text:t">
                            <w:txbxContent>
                              <w:p w:rsidR="00D66874" w:rsidRDefault="00D66874" w:rsidP="00A83DAF">
                                <w:pPr>
                                  <w:pStyle w:val="NormalWeb"/>
                                  <w:spacing w:before="0" w:beforeAutospacing="0" w:after="0" w:afterAutospacing="0"/>
                                </w:pPr>
                                <w:r w:rsidRPr="001A7897">
                                  <w:rPr>
                                    <w:color w:val="000000"/>
                                    <w:kern w:val="24"/>
                                    <w:sz w:val="16"/>
                                    <w:szCs w:val="16"/>
                                    <w:lang w:val="es-ES"/>
                                  </w:rPr>
                                  <w:t>6.4, 14.1, 14.c</w:t>
                                </w:r>
                              </w:p>
                            </w:txbxContent>
                          </v:textbox>
                        </v:shape>
                        <v:shape id="TextBox 18" o:spid="_x0000_s1045" type="#_x0000_t202" style="position:absolute;left:16457;top:32621;width:15450;height:3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" filled="f" stroked="f">
                          <v:textbox style="mso-fit-shape-to-text:t">
                            <w:txbxContent>
                              <w:p w:rsidR="00D66874" w:rsidRDefault="00D66874" w:rsidP="00A83DAF">
                                <w:pPr>
                                  <w:pStyle w:val="NormalWeb"/>
                                  <w:spacing w:before="0" w:beforeAutospacing="0" w:after="0" w:afterAutospacing="0"/>
                                  <w:jc w:val="center"/>
                                </w:pPr>
                                <w:r w:rsidRPr="006F615E">
                                  <w:rPr>
                                    <w:b/>
                                    <w:bCs/>
                                    <w:color w:val="000000"/>
                                    <w:kern w:val="24"/>
                                    <w:sz w:val="18"/>
                                    <w:szCs w:val="18"/>
                                    <w:lang w:val="fr-CH"/>
                                    <w14:textFill>
                                      <w14:solidFill>
                                        <w14:srgbClr w14:val="000000">
                                          <w14:satOff w14:val="0"/>
                                          <w14:lumOff w14:val="0"/>
                                        </w14:srgbClr>
                                      </w14:solidFill>
                                    </w14:textFill>
                                  </w:rPr>
                                  <w:t>Troisième EPE de l’Albanie</w:t>
                                </w:r>
                              </w:p>
                              <w:p w:rsidR="00D66874" w:rsidRDefault="00D66874" w:rsidP="00A83DAF">
                                <w:pPr>
                                  <w:pStyle w:val="NormalWeb"/>
                                  <w:spacing w:before="0" w:beforeAutospacing="0" w:after="0" w:afterAutospacing="0"/>
                                  <w:jc w:val="center"/>
                                </w:pPr>
                                <w:r w:rsidRPr="001A7897">
                                  <w:rPr>
                                    <w:color w:val="000000"/>
                                    <w:kern w:val="24"/>
                                    <w:sz w:val="16"/>
                                    <w:szCs w:val="16"/>
                                  </w:rPr>
                                  <w:t>6.b, 9.1, 9.b, 11.2</w:t>
                                </w:r>
                              </w:p>
                            </w:txbxContent>
                          </v:textbox>
                        </v:shape>
                        <v:shape id="Arc 38" o:spid="_x0000_s1046" style="position:absolute;left:19932;width:27946;height:34557;visibility:visible;mso-wrap-style:square;v-text-anchor:middle" coordsize="2794545,34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" path="m745542,199470nsc1241936,-124212,1846764,-49247,2281335,389823v324799,328161,513211,819392,513210,1338055l1397273,1727877,745542,199470xem745542,199470nfc1241936,-124212,1846764,-49247,2281335,389823v324799,328161,513211,819392,513210,1338055e" filled="f" strokecolor="#b4c7e7" strokeweight="1.5pt">
                          <v:stroke joinstyle="miter"/>
                          <v:path arrowok="t" o:connecttype="custom" o:connectlocs="745542,199470;2281335,389823;2794545,1727878" o:connectangles="0,0,0"/>
                        </v:shape>
                      </v:group>
                      <v:shape id="TextBox 9" o:spid="_x0000_s1047" type="#_x0000_t202" style="position:absolute;left:25062;top:10056;width:7112;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" filled="f" stroked="f">
                        <v:textbox style="mso-fit-shape-to-text:t">
                          <w:txbxContent>
                            <w:p w:rsidR="00D66874" w:rsidRDefault="00D66874" w:rsidP="00A83DAF">
                              <w:pPr>
                                <w:pStyle w:val="NormalWeb"/>
                                <w:spacing w:before="0" w:beforeAutospacing="0" w:after="0" w:afterAutospacing="0"/>
                              </w:pPr>
                              <w:r w:rsidRPr="001A7897">
                                <w:rPr>
                                  <w:color w:val="000000"/>
                                  <w:kern w:val="24"/>
                                  <w:sz w:val="16"/>
                                  <w:szCs w:val="16"/>
                                </w:rPr>
                                <w:t>2.5, 5.a, 14.5</w:t>
                              </w:r>
                            </w:p>
                          </w:txbxContent>
                        </v:textbox>
                      </v:shape>
                      <v:shape id="TextBox 10" o:spid="_x0000_s1048" type="#_x0000_t202" style="position:absolute;left:19931;top:11829;width:5391;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" filled="f" stroked="f">
                        <v:textbox style="mso-fit-shape-to-text:t">
                          <w:txbxContent>
                            <w:p w:rsidR="00D66874" w:rsidRDefault="00D66874" w:rsidP="00A83DAF">
                              <w:pPr>
                                <w:pStyle w:val="NormalWeb"/>
                                <w:spacing w:before="0" w:beforeAutospacing="0" w:after="0" w:afterAutospacing="0"/>
                              </w:pPr>
                              <w:r w:rsidRPr="001A7897">
                                <w:rPr>
                                  <w:color w:val="000000"/>
                                  <w:kern w:val="24"/>
                                  <w:sz w:val="16"/>
                                  <w:szCs w:val="16"/>
                                  <w:lang w:val="en-US"/>
                                </w:rPr>
                                <w:t>1.5, 12.6</w:t>
                              </w:r>
                            </w:p>
                          </w:txbxContent>
                        </v:textbox>
                      </v:shape>
                    </v:group>
                    <v:oval id="Oval 41" o:spid="_x0000_s1049" style="position:absolute;left:44271;top:16528;width:8278;height:6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" fillcolor="#bdd7ee" strokecolor="#d0cece" strokeweight="1pt">
                      <v:stroke joinstyle="miter"/>
                      <v:textbox>
                        <w:txbxContent>
                          <w:p w:rsidR="00D66874" w:rsidRDefault="00D66874" w:rsidP="00A83DAF">
                            <w:pPr>
                              <w:pStyle w:val="NormalWeb"/>
                              <w:spacing w:before="0" w:beforeAutospacing="0" w:after="0" w:afterAutospacing="0"/>
                              <w:jc w:val="center"/>
                            </w:pPr>
                            <w:r w:rsidRPr="001A7897">
                              <w:rPr>
                                <w:color w:val="000000"/>
                                <w:kern w:val="24"/>
                                <w:sz w:val="16"/>
                                <w:szCs w:val="16"/>
                                <w:lang w:val="es-ES"/>
                              </w:rPr>
                              <w:t>3.6, 8.2, 9.2, 9.4, 9.5</w:t>
                            </w:r>
                          </w:p>
                        </w:txbxContent>
                      </v:textbox>
                    </v:oval>
                  </v:group>
                  <v:shape id="TextBox 16" o:spid="_x0000_s1050" type="#_x0000_t202" style="position:absolute;left:28294;top:18879;width:361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" filled="f" stroked="f">
                    <v:textbox style="mso-fit-shape-to-text:t">
                      <w:txbxContent>
                        <w:p w:rsidR="00D66874" w:rsidRDefault="00D66874" w:rsidP="00A83DAF">
                          <w:pPr>
                            <w:pStyle w:val="NormalWeb"/>
                            <w:spacing w:before="0" w:beforeAutospacing="0" w:after="0" w:afterAutospacing="0"/>
                          </w:pPr>
                          <w:r w:rsidRPr="001A7897">
                            <w:rPr>
                              <w:color w:val="000000"/>
                              <w:kern w:val="24"/>
                              <w:sz w:val="16"/>
                              <w:szCs w:val="16"/>
                              <w:lang w:val="en-US"/>
                            </w:rPr>
                            <w:t>13.1</w:t>
                          </w:r>
                        </w:p>
                      </w:txbxContent>
                    </v:textbox>
                  </v:shape>
                </v:group>
                <v:shape id="TextBox 24" o:spid="_x0000_s1051" type="#_x0000_t202" style="position:absolute;left:12721;top:18930;width:5835;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" filled="f" stroked="f">
                  <v:textbox style="mso-fit-shape-to-text:t">
                    <w:txbxContent>
                      <w:p w:rsidR="00D66874" w:rsidRDefault="00D66874" w:rsidP="00A83DAF">
                        <w:pPr>
                          <w:pStyle w:val="NormalWeb"/>
                          <w:spacing w:before="0" w:beforeAutospacing="0" w:after="0" w:afterAutospacing="0"/>
                        </w:pPr>
                        <w:r w:rsidRPr="001A7897">
                          <w:rPr>
                            <w:color w:val="000000"/>
                            <w:kern w:val="24"/>
                            <w:sz w:val="18"/>
                            <w:szCs w:val="18"/>
                            <w:lang w:val="en-US"/>
                          </w:rPr>
                          <w:t>4.7, 12.4</w:t>
                        </w:r>
                      </w:p>
                    </w:txbxContent>
                  </v:textbox>
                </v:shape>
                <w10:anchorlock/>
              </v:group>
            </w:pict>
          </mc:Fallback>
        </mc:AlternateContent>
      </w:r>
    </w:p>
    <w:p w:rsidR="00113857" w:rsidRPr="00B67A12" w:rsidRDefault="00113857" w:rsidP="00E1105F">
      <w:pPr>
        <w:pStyle w:val="SingleTxtG"/>
        <w:spacing w:after="0" w:line="200" w:lineRule="atLeast"/>
        <w:ind w:firstLine="170"/>
        <w:jc w:val="left"/>
        <w:rPr>
          <w:sz w:val="18"/>
        </w:rPr>
      </w:pPr>
      <w:r w:rsidRPr="00B67A12">
        <w:rPr>
          <w:i/>
          <w:sz w:val="18"/>
        </w:rPr>
        <w:t>Abréviation</w:t>
      </w:r>
      <w:r w:rsidRPr="00B67A12">
        <w:rPr>
          <w:sz w:val="18"/>
        </w:rPr>
        <w:t> : EPE= Étude de la performance environnementale.</w:t>
      </w:r>
    </w:p>
    <w:p w:rsidR="00113857" w:rsidRPr="00B67A12" w:rsidRDefault="00113857" w:rsidP="00E1105F">
      <w:pPr>
        <w:pStyle w:val="SingleTxtG"/>
        <w:spacing w:after="240" w:line="200" w:lineRule="atLeast"/>
        <w:ind w:firstLine="170"/>
        <w:jc w:val="left"/>
        <w:rPr>
          <w:sz w:val="18"/>
        </w:rPr>
      </w:pPr>
      <w:r w:rsidRPr="00B67A12">
        <w:rPr>
          <w:i/>
          <w:sz w:val="18"/>
        </w:rPr>
        <w:t>Notes</w:t>
      </w:r>
      <w:r w:rsidRPr="00B67A12">
        <w:rPr>
          <w:sz w:val="18"/>
        </w:rPr>
        <w:t> : Les informations concernant le Kazakhstan ont un caractère préliminaire. Les cibles figurant dans l</w:t>
      </w:r>
      <w:r w:rsidR="00A03E91" w:rsidRPr="00B67A12">
        <w:rPr>
          <w:sz w:val="18"/>
        </w:rPr>
        <w:t>’</w:t>
      </w:r>
      <w:r w:rsidRPr="00B67A12">
        <w:rPr>
          <w:sz w:val="18"/>
        </w:rPr>
        <w:t>ovale bleu sur la droite ont été traitées dans les études de l</w:t>
      </w:r>
      <w:r w:rsidR="00A03E91" w:rsidRPr="00B67A12">
        <w:rPr>
          <w:sz w:val="18"/>
        </w:rPr>
        <w:t>’</w:t>
      </w:r>
      <w:r w:rsidRPr="00B67A12">
        <w:rPr>
          <w:sz w:val="18"/>
        </w:rPr>
        <w:t>Albanie et du Kazakhstan mais il n</w:t>
      </w:r>
      <w:r w:rsidR="00A03E91" w:rsidRPr="00B67A12">
        <w:rPr>
          <w:sz w:val="18"/>
        </w:rPr>
        <w:t>’</w:t>
      </w:r>
      <w:r w:rsidRPr="00B67A12">
        <w:rPr>
          <w:sz w:val="18"/>
        </w:rPr>
        <w:t>a pas été possible de les présenter autrement dans le graphique.</w:t>
      </w:r>
    </w:p>
    <w:p w:rsidR="00113857" w:rsidRPr="00B67A12" w:rsidRDefault="00113857" w:rsidP="00113857">
      <w:pPr>
        <w:pStyle w:val="SingleTxtG"/>
      </w:pPr>
      <w:r w:rsidRPr="00B67A12">
        <w:t>16.</w:t>
      </w:r>
      <w:r w:rsidRPr="00B67A12">
        <w:tab/>
        <w:t>Les premiers résultats de l</w:t>
      </w:r>
      <w:r w:rsidR="00A03E91" w:rsidRPr="00B67A12">
        <w:t>’</w:t>
      </w:r>
      <w:r w:rsidRPr="00B67A12">
        <w:t>intégration des objectifs de développement durable dans les études de performance environnementale, et les enseignements tirés des études de l</w:t>
      </w:r>
      <w:r w:rsidR="00A03E91" w:rsidRPr="00B67A12">
        <w:t>’</w:t>
      </w:r>
      <w:r w:rsidRPr="00B67A12">
        <w:t>Albanie, de la Bosnie-Herzégovine et de la Mongolie ont été examinés par le Groupe d</w:t>
      </w:r>
      <w:r w:rsidR="00A03E91" w:rsidRPr="00B67A12">
        <w:t>’</w:t>
      </w:r>
      <w:r w:rsidRPr="00B67A12">
        <w:t>experts des études de la performance environnementale lors d</w:t>
      </w:r>
      <w:r w:rsidR="00A03E91" w:rsidRPr="00B67A12">
        <w:t>’</w:t>
      </w:r>
      <w:r w:rsidRPr="00B67A12">
        <w:t>une réunion ouverte à laquelle ont participé les pays étudiés, en octobre 2017. Les débats ont porté sur les aspects concrets et méthodologiques de l</w:t>
      </w:r>
      <w:r w:rsidR="00A03E91" w:rsidRPr="00B67A12">
        <w:t>’</w:t>
      </w:r>
      <w:r w:rsidRPr="00B67A12">
        <w:t>intégration des objectifs et cibles dans les études, les progrès réalisés pour atteindre les objectifs et les cibles dans les pays étudiés et la pertinence des recommandations formulées dans les études. Le Groupe d</w:t>
      </w:r>
      <w:r w:rsidR="00A03E91" w:rsidRPr="00B67A12">
        <w:t>’</w:t>
      </w:r>
      <w:r w:rsidRPr="00B67A12">
        <w:t>experts a fourni des orientations sur les possibilités d</w:t>
      </w:r>
      <w:r w:rsidR="00A03E91" w:rsidRPr="00B67A12">
        <w:t>’</w:t>
      </w:r>
      <w:r w:rsidRPr="00B67A12">
        <w:t>améliorer cette intégration dans le cadre du Programme d</w:t>
      </w:r>
      <w:r w:rsidR="00A03E91" w:rsidRPr="00B67A12">
        <w:t>’</w:t>
      </w:r>
      <w:r w:rsidRPr="00B67A12">
        <w:t>études de la performance environnementale.</w:t>
      </w:r>
    </w:p>
    <w:p w:rsidR="00113857" w:rsidRPr="00B67A12" w:rsidRDefault="00113857" w:rsidP="00113857">
      <w:pPr>
        <w:pStyle w:val="SingleTxtG"/>
      </w:pPr>
      <w:r w:rsidRPr="00B67A12">
        <w:t>17.</w:t>
      </w:r>
      <w:r w:rsidRPr="00B67A12">
        <w:tab/>
        <w:t>Au début de 2017, le secrétariat a mis au point une fiche d</w:t>
      </w:r>
      <w:r w:rsidR="00A03E91" w:rsidRPr="00B67A12">
        <w:t>’</w:t>
      </w:r>
      <w:r w:rsidRPr="00B67A12">
        <w:t>information à l</w:t>
      </w:r>
      <w:r w:rsidR="00A03E91" w:rsidRPr="00B67A12">
        <w:t>’</w:t>
      </w:r>
      <w:r w:rsidRPr="00B67A12">
        <w:t>intention des équipes internationales d</w:t>
      </w:r>
      <w:r w:rsidR="00A03E91" w:rsidRPr="00B67A12">
        <w:t>’</w:t>
      </w:r>
      <w:r w:rsidRPr="00B67A12">
        <w:t>experts afin de faciliter le traitement des objectifs de développement durable par les experts chargés de rédiger les différents chapitres de l</w:t>
      </w:r>
      <w:r w:rsidR="00A03E91" w:rsidRPr="00B67A12">
        <w:t>’</w:t>
      </w:r>
      <w:r w:rsidRPr="00B67A12">
        <w:t>étude. Cette fiche d</w:t>
      </w:r>
      <w:r w:rsidR="00A03E91" w:rsidRPr="00B67A12">
        <w:t>’</w:t>
      </w:r>
      <w:r w:rsidRPr="00B67A12">
        <w:t>information est constamment révisée en fonction de l</w:t>
      </w:r>
      <w:r w:rsidR="00A03E91" w:rsidRPr="00B67A12">
        <w:t>’</w:t>
      </w:r>
      <w:r w:rsidRPr="00B67A12">
        <w:t>expérience acquise. Durant toutes les missions préparatoires effectuées pendant la période 2017-2018, le secrétariat a consulté les institutions gouvernementales compétentes et les équipes de pays des Nations Unies sur les besoins et les modalités pratiques concernant l</w:t>
      </w:r>
      <w:r w:rsidR="00A03E91" w:rsidRPr="00B67A12">
        <w:t>’</w:t>
      </w:r>
      <w:r w:rsidRPr="00B67A12">
        <w:t>intégration des objectifs de développement durable dans les études considérées. En outre, durant toutes les missions d</w:t>
      </w:r>
      <w:r w:rsidR="00A03E91" w:rsidRPr="00B67A12">
        <w:t>’</w:t>
      </w:r>
      <w:r w:rsidRPr="00B67A12">
        <w:t>étude menées pendant la période 2017-2018, le secrétariat a organisé des réunions préparatoires à l</w:t>
      </w:r>
      <w:r w:rsidR="00A03E91" w:rsidRPr="00B67A12">
        <w:t>’</w:t>
      </w:r>
      <w:r w:rsidRPr="00B67A12">
        <w:t>intention des équipes internationales d</w:t>
      </w:r>
      <w:r w:rsidR="00A03E91" w:rsidRPr="00B67A12">
        <w:t>’</w:t>
      </w:r>
      <w:r w:rsidRPr="00B67A12">
        <w:t>experts pour leur fournir des orientations sur la procédure d</w:t>
      </w:r>
      <w:r w:rsidR="00A03E91" w:rsidRPr="00B67A12">
        <w:t>’</w:t>
      </w:r>
      <w:r w:rsidRPr="00B67A12">
        <w:t>intégration.</w:t>
      </w:r>
    </w:p>
    <w:p w:rsidR="00113857" w:rsidRPr="00B67A12" w:rsidRDefault="00113857" w:rsidP="00113857">
      <w:pPr>
        <w:pStyle w:val="H23G"/>
      </w:pPr>
      <w:r w:rsidRPr="00B67A12">
        <w:lastRenderedPageBreak/>
        <w:tab/>
        <w:t>3.</w:t>
      </w:r>
      <w:r w:rsidRPr="00B67A12">
        <w:tab/>
        <w:t>Assistance fournie dans le cadre de la mise en œuvre des recommandations issues de</w:t>
      </w:r>
      <w:r w:rsidR="00E1105F" w:rsidRPr="00B67A12">
        <w:t> </w:t>
      </w:r>
      <w:r w:rsidRPr="00B67A12">
        <w:t>l</w:t>
      </w:r>
      <w:r w:rsidR="00A03E91" w:rsidRPr="00B67A12">
        <w:t>’</w:t>
      </w:r>
      <w:r w:rsidRPr="00B67A12">
        <w:t>étude de la performance environnementale</w:t>
      </w:r>
    </w:p>
    <w:p w:rsidR="00113857" w:rsidRPr="00B67A12" w:rsidRDefault="00113857" w:rsidP="00113857">
      <w:pPr>
        <w:pStyle w:val="SingleTxtG"/>
      </w:pPr>
      <w:r w:rsidRPr="00B67A12">
        <w:t>18.</w:t>
      </w:r>
      <w:r w:rsidRPr="00B67A12">
        <w:tab/>
        <w:t>En 2017, le Programme d</w:t>
      </w:r>
      <w:r w:rsidR="00A03E91" w:rsidRPr="00B67A12">
        <w:t>’</w:t>
      </w:r>
      <w:r w:rsidRPr="00B67A12">
        <w:t>études de la performance environnementale a commencé à aider les pays à mettre en œuvre les recommandations découlant de l</w:t>
      </w:r>
      <w:r w:rsidR="00A03E91" w:rsidRPr="00B67A12">
        <w:t>’</w:t>
      </w:r>
      <w:r w:rsidRPr="00B67A12">
        <w:t>étude les concernant. Deux ateliers de coopération technique ont été organisés au titre du Programme pour faciliter la mise en commun des bonnes pratiques et l</w:t>
      </w:r>
      <w:r w:rsidR="00A03E91" w:rsidRPr="00B67A12">
        <w:t>’</w:t>
      </w:r>
      <w:r w:rsidRPr="00B67A12">
        <w:t>échange de données d</w:t>
      </w:r>
      <w:r w:rsidR="00A03E91" w:rsidRPr="00B67A12">
        <w:t>’</w:t>
      </w:r>
      <w:r w:rsidRPr="00B67A12">
        <w:t>expérience</w:t>
      </w:r>
      <w:r w:rsidR="00E1105F" w:rsidRPr="00B67A12">
        <w:t> : un atelier (Astana, 29 et 30 </w:t>
      </w:r>
      <w:r w:rsidRPr="00B67A12">
        <w:t>novembre 2017), organisé en coopération avec la Division de l</w:t>
      </w:r>
      <w:r w:rsidR="00A03E91" w:rsidRPr="00B67A12">
        <w:t>’</w:t>
      </w:r>
      <w:r w:rsidRPr="00B67A12">
        <w:t>énergie durable de la CEE, a mis l</w:t>
      </w:r>
      <w:r w:rsidR="00A03E91" w:rsidRPr="00B67A12">
        <w:t>’</w:t>
      </w:r>
      <w:r w:rsidRPr="00B67A12">
        <w:t>accent sur l</w:t>
      </w:r>
      <w:r w:rsidR="00A03E91" w:rsidRPr="00B67A12">
        <w:t>’</w:t>
      </w:r>
      <w:r w:rsidRPr="00B67A12">
        <w:t>application des recommandations relatives aux politiques et aux pratiques en matière d</w:t>
      </w:r>
      <w:r w:rsidR="00A03E91" w:rsidRPr="00B67A12">
        <w:t>’</w:t>
      </w:r>
      <w:r w:rsidRPr="00B67A12">
        <w:t>énergie durab</w:t>
      </w:r>
      <w:r w:rsidR="00E1105F" w:rsidRPr="00B67A12">
        <w:t>le, et un atelier (Tbilissi, 14 </w:t>
      </w:r>
      <w:r w:rsidRPr="00B67A12">
        <w:t>décembre 2017), organisé en coopération avec la Division des transports durable de la CEE, a porté sur l</w:t>
      </w:r>
      <w:r w:rsidR="00A03E91" w:rsidRPr="00B67A12">
        <w:t>’</w:t>
      </w:r>
      <w:r w:rsidRPr="00B67A12">
        <w:t>application des recommandations relatives aux politiques en matière de transports durables. Ces ateliers, qui rassemblaient les pays de l</w:t>
      </w:r>
      <w:r w:rsidR="00A03E91" w:rsidRPr="00B67A12">
        <w:t>’</w:t>
      </w:r>
      <w:r w:rsidRPr="00B67A12">
        <w:t>Europe de l</w:t>
      </w:r>
      <w:r w:rsidR="00A03E91" w:rsidRPr="00B67A12">
        <w:t>’</w:t>
      </w:r>
      <w:r w:rsidRPr="00B67A12">
        <w:t>Est et de l</w:t>
      </w:r>
      <w:r w:rsidR="00A03E91" w:rsidRPr="00B67A12">
        <w:t>’</w:t>
      </w:r>
      <w:r w:rsidRPr="00B67A12">
        <w:t>Europe du Sud-Est, du Caucase et de l</w:t>
      </w:r>
      <w:r w:rsidR="00A03E91" w:rsidRPr="00B67A12">
        <w:t>’</w:t>
      </w:r>
      <w:r w:rsidRPr="00B67A12">
        <w:t>Asie centrale participant au Programme, ont permis un échange approfondi de données d</w:t>
      </w:r>
      <w:r w:rsidR="00A03E91" w:rsidRPr="00B67A12">
        <w:t>’</w:t>
      </w:r>
      <w:r w:rsidRPr="00B67A12">
        <w:t>expérience.</w:t>
      </w:r>
    </w:p>
    <w:p w:rsidR="00113857" w:rsidRPr="00B67A12" w:rsidRDefault="00113857" w:rsidP="00113857">
      <w:pPr>
        <w:pStyle w:val="SingleTxtG"/>
      </w:pPr>
      <w:r w:rsidRPr="00B67A12">
        <w:t>19.</w:t>
      </w:r>
      <w:r w:rsidRPr="00B67A12">
        <w:tab/>
        <w:t>Depuis le milieu de l</w:t>
      </w:r>
      <w:r w:rsidR="00A03E91" w:rsidRPr="00B67A12">
        <w:t>’</w:t>
      </w:r>
      <w:r w:rsidRPr="00B67A12">
        <w:t>année 2018, le Programme met en œuvre un projet dans cinq pays de l</w:t>
      </w:r>
      <w:r w:rsidR="00A03E91" w:rsidRPr="00B67A12">
        <w:t>’</w:t>
      </w:r>
      <w:r w:rsidRPr="00B67A12">
        <w:t>Europe du Sud-Est (Albanie, Bosnie-Herzég</w:t>
      </w:r>
      <w:r w:rsidR="00E1105F" w:rsidRPr="00B67A12">
        <w:t>ovine, Monténégro, Serbie et ex</w:t>
      </w:r>
      <w:r w:rsidR="00E1105F" w:rsidRPr="00B67A12">
        <w:noBreakHyphen/>
      </w:r>
      <w:r w:rsidRPr="00B67A12">
        <w:t>République yougoslave de Macédoine). Financé par le Compte de l</w:t>
      </w:r>
      <w:r w:rsidR="00A03E91" w:rsidRPr="00B67A12">
        <w:t>’</w:t>
      </w:r>
      <w:r w:rsidRPr="00B67A12">
        <w:t>ONU pour le développement, ce projet vise à aider les pays à appliquer certaines des recommandations relatives aux objectifs de développement durable issues de l</w:t>
      </w:r>
      <w:r w:rsidR="00A03E91" w:rsidRPr="00B67A12">
        <w:t>’</w:t>
      </w:r>
      <w:r w:rsidRPr="00B67A12">
        <w:t>étude de performance environnementale les concernant et promeut l</w:t>
      </w:r>
      <w:r w:rsidR="00A03E91" w:rsidRPr="00B67A12">
        <w:t>’</w:t>
      </w:r>
      <w:r w:rsidRPr="00B67A12">
        <w:t>apprentissage par les pairs au nivea</w:t>
      </w:r>
      <w:r w:rsidR="00C87907">
        <w:t>u sous</w:t>
      </w:r>
      <w:r w:rsidR="00C87907">
        <w:noBreakHyphen/>
      </w:r>
      <w:r w:rsidRPr="00B67A12">
        <w:t>régional. Il est exécuté en coopération avec le Programme des Nations Unies pour le développement (PNUE), le Programme des Nations Unies pour le développement et les équipes de pays des Nations Unies pendant la période 2018-2021.</w:t>
      </w:r>
    </w:p>
    <w:p w:rsidR="00113857" w:rsidRPr="00B67A12" w:rsidRDefault="00113857" w:rsidP="00113857">
      <w:pPr>
        <w:pStyle w:val="H23G"/>
      </w:pPr>
      <w:r w:rsidRPr="00B67A12">
        <w:tab/>
        <w:t>4.</w:t>
      </w:r>
      <w:r w:rsidRPr="00B67A12">
        <w:tab/>
        <w:t>Amélioration de la communication et de l</w:t>
      </w:r>
      <w:r w:rsidR="00A03E91" w:rsidRPr="00B67A12">
        <w:t>’</w:t>
      </w:r>
      <w:r w:rsidRPr="00B67A12">
        <w:t>information</w:t>
      </w:r>
    </w:p>
    <w:p w:rsidR="00113857" w:rsidRPr="00B67A12" w:rsidRDefault="00113857" w:rsidP="00113857">
      <w:pPr>
        <w:pStyle w:val="SingleTxtG"/>
      </w:pPr>
      <w:r w:rsidRPr="00B67A12">
        <w:t>20.</w:t>
      </w:r>
      <w:r w:rsidRPr="00B67A12">
        <w:tab/>
        <w:t>Plusieurs mesures ont été prises pour améliorer la communication et l</w:t>
      </w:r>
      <w:r w:rsidR="00A03E91" w:rsidRPr="00B67A12">
        <w:t>’</w:t>
      </w:r>
      <w:r w:rsidRPr="00B67A12">
        <w:t>information dans le cadre du troisième cycle. Un nouveau modèle de page de garde permet de mieux rendre compte des caractéristiques naturelles, sociales et culturelles des pays étudiés. À l</w:t>
      </w:r>
      <w:r w:rsidR="00A03E91" w:rsidRPr="00B67A12">
        <w:t>’</w:t>
      </w:r>
      <w:r w:rsidRPr="00B67A12">
        <w:t>exception d</w:t>
      </w:r>
      <w:r w:rsidR="00A03E91" w:rsidRPr="00B67A12">
        <w:t>’</w:t>
      </w:r>
      <w:r w:rsidRPr="00B67A12">
        <w:t>un seul pays, le lancement de toutes les études a été organisé en coopération avec le gouvernement des pays concernés. Depuis 2015, des brochures illustrant les messages cl</w:t>
      </w:r>
      <w:r w:rsidR="008F288C">
        <w:t>ef</w:t>
      </w:r>
      <w:r w:rsidRPr="00B67A12">
        <w:t>s de l</w:t>
      </w:r>
      <w:r w:rsidR="00A03E91" w:rsidRPr="00B67A12">
        <w:t>’</w:t>
      </w:r>
      <w:r w:rsidRPr="00B67A12">
        <w:t>étude (</w:t>
      </w:r>
      <w:proofErr w:type="spellStart"/>
      <w:r w:rsidRPr="00B67A12">
        <w:rPr>
          <w:i/>
        </w:rPr>
        <w:t>Highlights</w:t>
      </w:r>
      <w:proofErr w:type="spellEnd"/>
      <w:r w:rsidRPr="00B67A12">
        <w:t>) ont été publiées parallèlement au document principal rendant compte de l</w:t>
      </w:r>
      <w:r w:rsidR="00A03E91" w:rsidRPr="00B67A12">
        <w:t>’</w:t>
      </w:r>
      <w:r w:rsidRPr="00B67A12">
        <w:t>étude, afin de faciliter la diffusion des résultats de celle-ci.</w:t>
      </w:r>
    </w:p>
    <w:p w:rsidR="00113857" w:rsidRPr="00B67A12" w:rsidRDefault="00113857" w:rsidP="00113857">
      <w:pPr>
        <w:pStyle w:val="SingleTxtG"/>
      </w:pPr>
      <w:r w:rsidRPr="00B67A12">
        <w:t>21.</w:t>
      </w:r>
      <w:r w:rsidRPr="00B67A12">
        <w:tab/>
        <w:t>De plus en plus, les études de la performance environnementale sont utilisées dans d</w:t>
      </w:r>
      <w:r w:rsidR="00A03E91" w:rsidRPr="00B67A12">
        <w:t>’</w:t>
      </w:r>
      <w:r w:rsidRPr="00B67A12">
        <w:t>autres forums et par d</w:t>
      </w:r>
      <w:r w:rsidR="00A03E91" w:rsidRPr="00B67A12">
        <w:t>’</w:t>
      </w:r>
      <w:r w:rsidRPr="00B67A12">
        <w:t>autres organisations, ce qui accroît leur diffusion. Au Tadjikistan, par exemple, un projet du PNUD a aidé le pays à produire un rapport national sur l</w:t>
      </w:r>
      <w:r w:rsidR="00A03E91" w:rsidRPr="00B67A12">
        <w:t>’</w:t>
      </w:r>
      <w:r w:rsidRPr="00B67A12">
        <w:t>état de l</w:t>
      </w:r>
      <w:r w:rsidR="00A03E91" w:rsidRPr="00B67A12">
        <w:t>’</w:t>
      </w:r>
      <w:r w:rsidRPr="00B67A12">
        <w:t>environnement et sa version visuelle en ligne en s</w:t>
      </w:r>
      <w:r w:rsidR="00A03E91" w:rsidRPr="00B67A12">
        <w:t>’</w:t>
      </w:r>
      <w:r w:rsidRPr="00B67A12">
        <w:t>appuyant sur les informations et les données contenues dans la troisième étude concernant le pays. En Mongolie, l</w:t>
      </w:r>
      <w:r w:rsidR="00A03E91" w:rsidRPr="00B67A12">
        <w:t>’</w:t>
      </w:r>
      <w:r w:rsidRPr="00B67A12">
        <w:t>étude de la performance environnementale a contribué à l</w:t>
      </w:r>
      <w:r w:rsidR="00A03E91" w:rsidRPr="00B67A12">
        <w:t>’</w:t>
      </w:r>
      <w:r w:rsidRPr="00B67A12">
        <w:t>élaboration des « Perspectives de la Mongolie en matière de durabilité » (</w:t>
      </w:r>
      <w:proofErr w:type="spellStart"/>
      <w:r w:rsidRPr="00B67A12">
        <w:t>Sustainability</w:t>
      </w:r>
      <w:proofErr w:type="spellEnd"/>
      <w:r w:rsidRPr="00B67A12">
        <w:t xml:space="preserve"> Outlook for </w:t>
      </w:r>
      <w:proofErr w:type="spellStart"/>
      <w:r w:rsidRPr="00B67A12">
        <w:t>Mongolia</w:t>
      </w:r>
      <w:proofErr w:type="spellEnd"/>
      <w:r w:rsidRPr="00B67A12">
        <w:t xml:space="preserve">) et sert actuellement à la rédaction, par le Gouvernement, des « Voies à suivre pour concrétiser les engagements souscrits au niveau international par la Mongolie » </w:t>
      </w:r>
      <w:r w:rsidR="00E1105F" w:rsidRPr="00B67A12">
        <w:t>−</w:t>
      </w:r>
      <w:r w:rsidRPr="00B67A12">
        <w:t xml:space="preserve"> feuille de route devant guider les efforts déployés par le pays pour parvenir au développement durable. En Albanie, la troisième étude a aidé à préparer une mission du système des Nations Unies dans le pays, portant sur l</w:t>
      </w:r>
      <w:r w:rsidR="00A03E91" w:rsidRPr="00B67A12">
        <w:t>’</w:t>
      </w:r>
      <w:r w:rsidRPr="00B67A12">
        <w:t>intégration, l</w:t>
      </w:r>
      <w:r w:rsidR="00A03E91" w:rsidRPr="00B67A12">
        <w:t>’</w:t>
      </w:r>
      <w:r w:rsidRPr="00B67A12">
        <w:t>accélération et le soutien stratégique et entreprise en vue d</w:t>
      </w:r>
      <w:r w:rsidR="00A03E91" w:rsidRPr="00B67A12">
        <w:t>’</w:t>
      </w:r>
      <w:r w:rsidRPr="00B67A12">
        <w:t>intégrer le Programme 2030 dans le cadre national de développement.</w:t>
      </w:r>
    </w:p>
    <w:p w:rsidR="00113857" w:rsidRPr="00B67A12" w:rsidRDefault="00113857" w:rsidP="00113857">
      <w:pPr>
        <w:pStyle w:val="H1G"/>
      </w:pPr>
      <w:r w:rsidRPr="00B67A12">
        <w:tab/>
        <w:t>B.</w:t>
      </w:r>
      <w:r w:rsidRPr="00B67A12">
        <w:tab/>
        <w:t>Principales constatations</w:t>
      </w:r>
    </w:p>
    <w:p w:rsidR="00113857" w:rsidRPr="00B67A12" w:rsidRDefault="00113857" w:rsidP="00113857">
      <w:pPr>
        <w:pStyle w:val="H23G"/>
      </w:pPr>
      <w:r w:rsidRPr="00B67A12">
        <w:tab/>
        <w:t>1.</w:t>
      </w:r>
      <w:r w:rsidRPr="00B67A12">
        <w:tab/>
        <w:t>La gouvernance et le financement en matière d</w:t>
      </w:r>
      <w:r w:rsidR="00A03E91" w:rsidRPr="00B67A12">
        <w:t>’</w:t>
      </w:r>
      <w:r w:rsidRPr="00B67A12">
        <w:t>environnement dans le contexte d</w:t>
      </w:r>
      <w:r w:rsidR="00A03E91" w:rsidRPr="00B67A12">
        <w:t>’</w:t>
      </w:r>
      <w:r w:rsidRPr="00B67A12">
        <w:t>une</w:t>
      </w:r>
      <w:r w:rsidR="00E1105F" w:rsidRPr="00B67A12">
        <w:t> </w:t>
      </w:r>
      <w:r w:rsidRPr="00B67A12">
        <w:t>économie verte</w:t>
      </w:r>
    </w:p>
    <w:p w:rsidR="00113857" w:rsidRPr="00B67A12" w:rsidRDefault="00113857" w:rsidP="00113857">
      <w:pPr>
        <w:pStyle w:val="SingleTxtG"/>
        <w:rPr>
          <w:spacing w:val="-1"/>
        </w:rPr>
      </w:pPr>
      <w:r w:rsidRPr="00B67A12">
        <w:t>22.</w:t>
      </w:r>
      <w:r w:rsidRPr="00B67A12">
        <w:tab/>
      </w:r>
      <w:r w:rsidRPr="00B67A12">
        <w:rPr>
          <w:spacing w:val="-1"/>
        </w:rPr>
        <w:t>À quelques exceptions près, les pays étudiés dans le cadre du troisième cycle sont dépourvus de cadre relatif aux questions juridiques et à l</w:t>
      </w:r>
      <w:r w:rsidR="00A03E91" w:rsidRPr="00B67A12">
        <w:rPr>
          <w:spacing w:val="-1"/>
        </w:rPr>
        <w:t>’</w:t>
      </w:r>
      <w:r w:rsidRPr="00B67A12">
        <w:rPr>
          <w:spacing w:val="-1"/>
        </w:rPr>
        <w:t>élaboration des politiques pour une économie verte et les initiatives spécifiques en faveur d</w:t>
      </w:r>
      <w:r w:rsidR="00A03E91" w:rsidRPr="00B67A12">
        <w:rPr>
          <w:spacing w:val="-1"/>
        </w:rPr>
        <w:t>’</w:t>
      </w:r>
      <w:r w:rsidRPr="00B67A12">
        <w:rPr>
          <w:spacing w:val="-1"/>
        </w:rPr>
        <w:t>une économie verte font défaut, hormis quelques projets financés par des donateurs internationaux. Même lorsqu</w:t>
      </w:r>
      <w:r w:rsidR="00A03E91" w:rsidRPr="00B67A12">
        <w:rPr>
          <w:spacing w:val="-1"/>
        </w:rPr>
        <w:t>’</w:t>
      </w:r>
      <w:r w:rsidRPr="00B67A12">
        <w:rPr>
          <w:spacing w:val="-1"/>
        </w:rPr>
        <w:t>un cadre solide est en place pour les politiques publiques, comme c</w:t>
      </w:r>
      <w:r w:rsidR="00A03E91" w:rsidRPr="00B67A12">
        <w:rPr>
          <w:spacing w:val="-1"/>
        </w:rPr>
        <w:t>’</w:t>
      </w:r>
      <w:r w:rsidRPr="00B67A12">
        <w:rPr>
          <w:spacing w:val="-1"/>
        </w:rPr>
        <w:t xml:space="preserve">est le cas par exemple au Kazakhstan et en Mongolie, les capacités institutionnelles de mise en œuvre des approches </w:t>
      </w:r>
      <w:r w:rsidRPr="00B67A12">
        <w:rPr>
          <w:spacing w:val="-1"/>
        </w:rPr>
        <w:lastRenderedPageBreak/>
        <w:t>axées sur l</w:t>
      </w:r>
      <w:r w:rsidR="00A03E91" w:rsidRPr="00B67A12">
        <w:rPr>
          <w:spacing w:val="-1"/>
        </w:rPr>
        <w:t>’</w:t>
      </w:r>
      <w:r w:rsidRPr="00B67A12">
        <w:rPr>
          <w:spacing w:val="-1"/>
        </w:rPr>
        <w:t>économie verte sont insuffisantes. Les indicateurs de l</w:t>
      </w:r>
      <w:r w:rsidR="00A03E91" w:rsidRPr="00B67A12">
        <w:rPr>
          <w:spacing w:val="-1"/>
        </w:rPr>
        <w:t>’</w:t>
      </w:r>
      <w:r w:rsidRPr="00B67A12">
        <w:rPr>
          <w:spacing w:val="-1"/>
        </w:rPr>
        <w:t>économie verte ne sont guère utilisés. Aucune information sur les investissements dans l</w:t>
      </w:r>
      <w:r w:rsidR="00A03E91" w:rsidRPr="00B67A12">
        <w:rPr>
          <w:spacing w:val="-1"/>
        </w:rPr>
        <w:t>’</w:t>
      </w:r>
      <w:r w:rsidRPr="00B67A12">
        <w:rPr>
          <w:spacing w:val="-1"/>
        </w:rPr>
        <w:t>économie verte n</w:t>
      </w:r>
      <w:r w:rsidR="00A03E91" w:rsidRPr="00B67A12">
        <w:rPr>
          <w:spacing w:val="-1"/>
        </w:rPr>
        <w:t>’</w:t>
      </w:r>
      <w:r w:rsidRPr="00B67A12">
        <w:rPr>
          <w:spacing w:val="-1"/>
        </w:rPr>
        <w:t>est collectée indépendamment des renseignements sur les dépenses générales en matière d</w:t>
      </w:r>
      <w:r w:rsidR="00A03E91" w:rsidRPr="00B67A12">
        <w:rPr>
          <w:spacing w:val="-1"/>
        </w:rPr>
        <w:t>’</w:t>
      </w:r>
      <w:r w:rsidRPr="00B67A12">
        <w:rPr>
          <w:spacing w:val="-1"/>
        </w:rPr>
        <w:t>environnement. Dans certains pays qui ont fait l</w:t>
      </w:r>
      <w:r w:rsidR="00A03E91" w:rsidRPr="00B67A12">
        <w:rPr>
          <w:spacing w:val="-1"/>
        </w:rPr>
        <w:t>’</w:t>
      </w:r>
      <w:r w:rsidRPr="00B67A12">
        <w:rPr>
          <w:spacing w:val="-1"/>
        </w:rPr>
        <w:t>objet d</w:t>
      </w:r>
      <w:r w:rsidR="00A03E91" w:rsidRPr="00B67A12">
        <w:rPr>
          <w:spacing w:val="-1"/>
        </w:rPr>
        <w:t>’</w:t>
      </w:r>
      <w:r w:rsidRPr="00B67A12">
        <w:rPr>
          <w:spacing w:val="-1"/>
        </w:rPr>
        <w:t>une troisième étude, le cadre des politiques relatives à l</w:t>
      </w:r>
      <w:r w:rsidR="00A03E91" w:rsidRPr="00B67A12">
        <w:rPr>
          <w:spacing w:val="-1"/>
        </w:rPr>
        <w:t>’</w:t>
      </w:r>
      <w:r w:rsidRPr="00B67A12">
        <w:rPr>
          <w:spacing w:val="-1"/>
        </w:rPr>
        <w:t>économie verte a, depuis, été renforcé : le Bélarus, par exemple, a approuvé un plan d</w:t>
      </w:r>
      <w:r w:rsidR="00A03E91" w:rsidRPr="00B67A12">
        <w:rPr>
          <w:spacing w:val="-1"/>
        </w:rPr>
        <w:t>’</w:t>
      </w:r>
      <w:r w:rsidRPr="00B67A12">
        <w:rPr>
          <w:spacing w:val="-1"/>
        </w:rPr>
        <w:t>action national visant à introduire les principes de l</w:t>
      </w:r>
      <w:r w:rsidR="00A03E91" w:rsidRPr="00B67A12">
        <w:rPr>
          <w:spacing w:val="-1"/>
        </w:rPr>
        <w:t>’</w:t>
      </w:r>
      <w:r w:rsidRPr="00B67A12">
        <w:rPr>
          <w:spacing w:val="-1"/>
        </w:rPr>
        <w:t>économie verte pour la période allant jusqu</w:t>
      </w:r>
      <w:r w:rsidR="00A03E91" w:rsidRPr="00B67A12">
        <w:rPr>
          <w:spacing w:val="-1"/>
        </w:rPr>
        <w:t>’</w:t>
      </w:r>
      <w:r w:rsidRPr="00B67A12">
        <w:rPr>
          <w:spacing w:val="-1"/>
        </w:rPr>
        <w:t>à 2020, tandis que la République de Moldova a adopté un programme d</w:t>
      </w:r>
      <w:r w:rsidR="00A03E91" w:rsidRPr="00B67A12">
        <w:rPr>
          <w:spacing w:val="-1"/>
        </w:rPr>
        <w:t>’</w:t>
      </w:r>
      <w:r w:rsidRPr="00B67A12">
        <w:rPr>
          <w:spacing w:val="-1"/>
        </w:rPr>
        <w:t>appui à l</w:t>
      </w:r>
      <w:r w:rsidR="00A03E91" w:rsidRPr="00B67A12">
        <w:rPr>
          <w:spacing w:val="-1"/>
        </w:rPr>
        <w:t>’</w:t>
      </w:r>
      <w:r w:rsidRPr="00B67A12">
        <w:rPr>
          <w:spacing w:val="-1"/>
        </w:rPr>
        <w:t>économie verte pour la période 2018-2020, assorti d</w:t>
      </w:r>
      <w:r w:rsidR="00A03E91" w:rsidRPr="00B67A12">
        <w:rPr>
          <w:spacing w:val="-1"/>
        </w:rPr>
        <w:t>’</w:t>
      </w:r>
      <w:r w:rsidRPr="00B67A12">
        <w:rPr>
          <w:spacing w:val="-1"/>
        </w:rPr>
        <w:t>un plan d</w:t>
      </w:r>
      <w:r w:rsidR="00A03E91" w:rsidRPr="00B67A12">
        <w:rPr>
          <w:spacing w:val="-1"/>
        </w:rPr>
        <w:t>’</w:t>
      </w:r>
      <w:r w:rsidRPr="00B67A12">
        <w:rPr>
          <w:spacing w:val="-1"/>
        </w:rPr>
        <w:t>action.</w:t>
      </w:r>
    </w:p>
    <w:p w:rsidR="00113857" w:rsidRPr="00B67A12" w:rsidRDefault="00113857" w:rsidP="00113857">
      <w:pPr>
        <w:pStyle w:val="SingleTxtG"/>
      </w:pPr>
      <w:r w:rsidRPr="00B67A12">
        <w:t>23.</w:t>
      </w:r>
      <w:r w:rsidRPr="00B67A12">
        <w:tab/>
        <w:t>Les opérations des systèmes nationaux de financement pour la protection de l</w:t>
      </w:r>
      <w:r w:rsidR="00A03E91" w:rsidRPr="00B67A12">
        <w:t>’</w:t>
      </w:r>
      <w:r w:rsidRPr="00B67A12">
        <w:t>environnement se sont améliorées dans tous les pays étudiés. Cependant, dans la plupart de ces pays, tant les taxes au titre de la pollution de l</w:t>
      </w:r>
      <w:r w:rsidR="00A03E91" w:rsidRPr="00B67A12">
        <w:t>’</w:t>
      </w:r>
      <w:r w:rsidRPr="00B67A12">
        <w:t>environnement que les prix facturés pour l</w:t>
      </w:r>
      <w:r w:rsidR="00A03E91" w:rsidRPr="00B67A12">
        <w:t>’</w:t>
      </w:r>
      <w:r w:rsidRPr="00B67A12">
        <w:t>utilisation des ressources naturelles restent souvent trop faibles pour favoriser la réduction de la pollution et l</w:t>
      </w:r>
      <w:r w:rsidR="00A03E91" w:rsidRPr="00B67A12">
        <w:t>’</w:t>
      </w:r>
      <w:r w:rsidRPr="00B67A12">
        <w:t>exploitation durable de ces ressources. Dans certains pays, les amendes en cas d</w:t>
      </w:r>
      <w:r w:rsidR="00A03E91" w:rsidRPr="00B67A12">
        <w:t>’</w:t>
      </w:r>
      <w:r w:rsidRPr="00B67A12">
        <w:t>infractions environnementales sont très faibles et n</w:t>
      </w:r>
      <w:r w:rsidR="00A03E91" w:rsidRPr="00B67A12">
        <w:t>’</w:t>
      </w:r>
      <w:r w:rsidRPr="00B67A12">
        <w:t>ont pas été indexées sur l</w:t>
      </w:r>
      <w:r w:rsidR="00A03E91" w:rsidRPr="00B67A12">
        <w:t>’</w:t>
      </w:r>
      <w:r w:rsidRPr="00B67A12">
        <w:t>inflation, de sorte que de telles mesures ne sont guère susceptibles de contribuer à modifier les comportements. Les tarifs pratiqués sont également très bas dans certains pays, ce qui n</w:t>
      </w:r>
      <w:r w:rsidR="00A03E91" w:rsidRPr="00B67A12">
        <w:t>’</w:t>
      </w:r>
      <w:r w:rsidRPr="00B67A12">
        <w:t>incite pas à utiliser l</w:t>
      </w:r>
      <w:r w:rsidR="00A03E91" w:rsidRPr="00B67A12">
        <w:t>’</w:t>
      </w:r>
      <w:r w:rsidRPr="00B67A12">
        <w:t>eau et l</w:t>
      </w:r>
      <w:r w:rsidR="00A03E91" w:rsidRPr="00B67A12">
        <w:t>’</w:t>
      </w:r>
      <w:r w:rsidRPr="00B67A12">
        <w:t>électricité de façon rationnelle ni à produire moins de déchets. Les prestataires de services, qui perdent constamment de l</w:t>
      </w:r>
      <w:r w:rsidR="00A03E91" w:rsidRPr="00B67A12">
        <w:t>’</w:t>
      </w:r>
      <w:r w:rsidRPr="00B67A12">
        <w:t>argent, manquent de fonds pour effectuer les investissements voulus dans la maintenance et la modernisation des infrastructures.</w:t>
      </w:r>
    </w:p>
    <w:p w:rsidR="00113857" w:rsidRPr="00B67A12" w:rsidRDefault="00113857" w:rsidP="00113857">
      <w:pPr>
        <w:pStyle w:val="SingleTxtG"/>
      </w:pPr>
      <w:r w:rsidRPr="00B67A12">
        <w:t>24.</w:t>
      </w:r>
      <w:r w:rsidRPr="00B67A12">
        <w:tab/>
        <w:t>Les dépenses nationales en matière de protection de l</w:t>
      </w:r>
      <w:r w:rsidR="00A03E91" w:rsidRPr="00B67A12">
        <w:t>’</w:t>
      </w:r>
      <w:r w:rsidRPr="00B67A12">
        <w:t>environnement restent faibles dans la plupart des pays étudiés. D</w:t>
      </w:r>
      <w:r w:rsidR="00A03E91" w:rsidRPr="00B67A12">
        <w:t>’</w:t>
      </w:r>
      <w:r w:rsidRPr="00B67A12">
        <w:t>une manière générale, ces dépenses ne font pas l</w:t>
      </w:r>
      <w:r w:rsidR="00A03E91" w:rsidRPr="00B67A12">
        <w:t>’</w:t>
      </w:r>
      <w:r w:rsidRPr="00B67A12">
        <w:t>objet d</w:t>
      </w:r>
      <w:r w:rsidR="00A03E91" w:rsidRPr="00B67A12">
        <w:t>’</w:t>
      </w:r>
      <w:r w:rsidRPr="00B67A12">
        <w:t>un examen périodique et elles ne cadrent pas toujours avec les priorités définies dans les documents stratégiques environnementaux et sectoriels. Dans de nombreux pays, les mesures d</w:t>
      </w:r>
      <w:r w:rsidR="00A03E91" w:rsidRPr="00B67A12">
        <w:t>’</w:t>
      </w:r>
      <w:r w:rsidRPr="00B67A12">
        <w:t>incitation axées sur l</w:t>
      </w:r>
      <w:r w:rsidR="00A03E91" w:rsidRPr="00B67A12">
        <w:t>’</w:t>
      </w:r>
      <w:r w:rsidRPr="00B67A12">
        <w:t>utilisation des sources d</w:t>
      </w:r>
      <w:r w:rsidR="00A03E91" w:rsidRPr="00B67A12">
        <w:t>’</w:t>
      </w:r>
      <w:r w:rsidRPr="00B67A12">
        <w:t>énergie renouvelables, l</w:t>
      </w:r>
      <w:r w:rsidR="00A03E91" w:rsidRPr="00B67A12">
        <w:t>’</w:t>
      </w:r>
      <w:r w:rsidRPr="00B67A12">
        <w:t>amélioration de l</w:t>
      </w:r>
      <w:r w:rsidR="00A03E91" w:rsidRPr="00B67A12">
        <w:t>’</w:t>
      </w:r>
      <w:r w:rsidRPr="00B67A12">
        <w:t>efficacité énergétique, les modes de production et de consommation durables et le développement de modes de transport plus propres en sont encore au stade embryonnaire ou expérimental.</w:t>
      </w:r>
    </w:p>
    <w:p w:rsidR="00113857" w:rsidRPr="00B67A12" w:rsidRDefault="00113857" w:rsidP="00113857">
      <w:pPr>
        <w:pStyle w:val="H23G"/>
      </w:pPr>
      <w:r w:rsidRPr="00B67A12">
        <w:tab/>
        <w:t>2.</w:t>
      </w:r>
      <w:r w:rsidRPr="00B67A12">
        <w:tab/>
        <w:t>Coopération des pays avec la communauté internationale</w:t>
      </w:r>
    </w:p>
    <w:p w:rsidR="00113857" w:rsidRPr="00B67A12" w:rsidRDefault="00113857" w:rsidP="00113857">
      <w:pPr>
        <w:pStyle w:val="SingleTxtG"/>
      </w:pPr>
      <w:r w:rsidRPr="00B67A12">
        <w:t>25.</w:t>
      </w:r>
      <w:r w:rsidRPr="00B67A12">
        <w:tab/>
        <w:t>Les études réalisées dans le cadre du troisième cycle ont montré que la plupart des difficultés rencontrées en ce qui concerne la coopération avec la communauté internationale dans les pays étudiés sont liées aux capacités, à la disponibilité des ressources et à l</w:t>
      </w:r>
      <w:r w:rsidR="00A03E91" w:rsidRPr="00B67A12">
        <w:t>’</w:t>
      </w:r>
      <w:r w:rsidRPr="00B67A12">
        <w:t>engagement politique. Tous les pays étudiés disposent désormais d</w:t>
      </w:r>
      <w:r w:rsidR="00A03E91" w:rsidRPr="00B67A12">
        <w:t>’</w:t>
      </w:r>
      <w:r w:rsidRPr="00B67A12">
        <w:t>un réseau de coordonnateurs désignés pour chacun des accords multilatéraux relatifs à l</w:t>
      </w:r>
      <w:r w:rsidR="00A03E91" w:rsidRPr="00B67A12">
        <w:t>’</w:t>
      </w:r>
      <w:r w:rsidRPr="00B67A12">
        <w:t>environnement mais des problèmes se posent en ce qui concerne la formation adéquate des coordonnateurs, la définition précise des responsabilités qui leur incombent, leur charge de travail et leur aptitude à consacrer un temps suffisant aux activités ayant trait aux accords. La question de l</w:t>
      </w:r>
      <w:r w:rsidR="00A03E91" w:rsidRPr="00B67A12">
        <w:t>’</w:t>
      </w:r>
      <w:r w:rsidRPr="00B67A12">
        <w:t>établissement des rapports nationaux au titre des accords multilatéraux relatifs à l</w:t>
      </w:r>
      <w:r w:rsidR="00A03E91" w:rsidRPr="00B67A12">
        <w:t>’</w:t>
      </w:r>
      <w:r w:rsidRPr="00B67A12">
        <w:t>environnement est un autre problème lié aux capacités : les retards dans l</w:t>
      </w:r>
      <w:r w:rsidR="00A03E91" w:rsidRPr="00B67A12">
        <w:t>’</w:t>
      </w:r>
      <w:r w:rsidRPr="00B67A12">
        <w:t>établissement des rapports concernant certains accords ou l</w:t>
      </w:r>
      <w:r w:rsidR="00A03E91" w:rsidRPr="00B67A12">
        <w:t>’</w:t>
      </w:r>
      <w:r w:rsidRPr="00B67A12">
        <w:t>absence systématique de rapport d</w:t>
      </w:r>
      <w:r w:rsidR="00A03E91" w:rsidRPr="00B67A12">
        <w:t>’</w:t>
      </w:r>
      <w:r w:rsidRPr="00B67A12">
        <w:t>un pays sont souvent signalés dans les études du troisième cycle.</w:t>
      </w:r>
    </w:p>
    <w:p w:rsidR="00113857" w:rsidRPr="00B67A12" w:rsidRDefault="00113857" w:rsidP="00113857">
      <w:pPr>
        <w:pStyle w:val="SingleTxtG"/>
      </w:pPr>
      <w:r w:rsidRPr="00B67A12">
        <w:t>26.</w:t>
      </w:r>
      <w:r w:rsidRPr="00B67A12">
        <w:tab/>
        <w:t>Bien souvent, les pays étudiés dans le cadre du troisième cycle ne sont pas en mesure de mobiliser des ressources suffisantes pour permettre une participation régulière aux activités internationales de coopération en matière d</w:t>
      </w:r>
      <w:r w:rsidR="00A03E91" w:rsidRPr="00B67A12">
        <w:t>’</w:t>
      </w:r>
      <w:r w:rsidRPr="00B67A12">
        <w:t>environnement. Rares sont les pays étudiés qui accueillent de grandes réunions internationales, là encore pour des raisons financières. Un autre problème important mis en évidence dans le cadre du troisième cycle est le fait que les pays dépendent de l</w:t>
      </w:r>
      <w:r w:rsidR="00A03E91" w:rsidRPr="00B67A12">
        <w:t>’</w:t>
      </w:r>
      <w:r w:rsidRPr="00B67A12">
        <w:t>aide internationale pour la mise en œuvre des accords multilatéraux relatifs à l</w:t>
      </w:r>
      <w:r w:rsidR="00A03E91" w:rsidRPr="00B67A12">
        <w:t>’</w:t>
      </w:r>
      <w:r w:rsidRPr="00B67A12">
        <w:t>environnement.</w:t>
      </w:r>
    </w:p>
    <w:p w:rsidR="00113857" w:rsidRPr="00B67A12" w:rsidRDefault="00113857" w:rsidP="00113857">
      <w:pPr>
        <w:pStyle w:val="SingleTxtG"/>
      </w:pPr>
      <w:r w:rsidRPr="00B67A12">
        <w:t>27.</w:t>
      </w:r>
      <w:r w:rsidRPr="00B67A12">
        <w:tab/>
        <w:t>Les autres constatations ont trait à la nécessité pour les pays de définir clairement les priorités pour leur coopération internationale en matière d</w:t>
      </w:r>
      <w:r w:rsidR="00A03E91" w:rsidRPr="00B67A12">
        <w:t>’</w:t>
      </w:r>
      <w:r w:rsidRPr="00B67A12">
        <w:t>environnement, étant donné que cela aide à mieux cibler l</w:t>
      </w:r>
      <w:r w:rsidR="00A03E91" w:rsidRPr="00B67A12">
        <w:t>’</w:t>
      </w:r>
      <w:r w:rsidRPr="00B67A12">
        <w:t>utilisation des ressources quand celles-ci sont rares. Les études contiennent en outre des recommandations portant sur le fonctionnement des mécanismes institutionnels, par exemple les moyens d</w:t>
      </w:r>
      <w:r w:rsidR="00A03E91" w:rsidRPr="00B67A12">
        <w:t>’</w:t>
      </w:r>
      <w:r w:rsidRPr="00B67A12">
        <w:t>accroître l</w:t>
      </w:r>
      <w:r w:rsidR="00A03E91" w:rsidRPr="00B67A12">
        <w:t>’</w:t>
      </w:r>
      <w:r w:rsidRPr="00B67A12">
        <w:t>efficacité du réseau de coordonnateurs, de resserrer la coordination avec les ministères sectoriels pour la mise en œuvre des accords multilatéraux relatifs à l</w:t>
      </w:r>
      <w:r w:rsidR="00A03E91" w:rsidRPr="00B67A12">
        <w:t>’</w:t>
      </w:r>
      <w:r w:rsidRPr="00B67A12">
        <w:t>environnement et de renforcer les synergies aux fins de cette mise en œuvre.</w:t>
      </w:r>
    </w:p>
    <w:p w:rsidR="00113857" w:rsidRPr="00B67A12" w:rsidRDefault="00113857" w:rsidP="00113857">
      <w:pPr>
        <w:pStyle w:val="SingleTxtG"/>
      </w:pPr>
      <w:r w:rsidRPr="00B67A12">
        <w:lastRenderedPageBreak/>
        <w:t>28.</w:t>
      </w:r>
      <w:r w:rsidRPr="00B67A12">
        <w:tab/>
        <w:t>Les pays étudiés dans le cadre du troisième cycle ont adhéré à de nombreux accords multilatéraux relatifs à l</w:t>
      </w:r>
      <w:r w:rsidR="00A03E91" w:rsidRPr="00B67A12">
        <w:t>’</w:t>
      </w:r>
      <w:r w:rsidRPr="00B67A12">
        <w:t>environnement mais certains d</w:t>
      </w:r>
      <w:r w:rsidR="00A03E91" w:rsidRPr="00B67A12">
        <w:t>’</w:t>
      </w:r>
      <w:r w:rsidRPr="00B67A12">
        <w:t>entre eux ne participen</w:t>
      </w:r>
      <w:r w:rsidR="001B32F3">
        <w:t>t toujours pas à des accords clef</w:t>
      </w:r>
      <w:r w:rsidRPr="00B67A12">
        <w:t>s. Les études de la performance environnementale contiennent donc des recommandations sur l</w:t>
      </w:r>
      <w:r w:rsidR="00A03E91" w:rsidRPr="00B67A12">
        <w:t>’</w:t>
      </w:r>
      <w:r w:rsidRPr="00B67A12">
        <w:t>adhésion à de tels accords, soulignant souvent la marche à suivre (par exemple le recours aux mécanismes d</w:t>
      </w:r>
      <w:r w:rsidR="00A03E91" w:rsidRPr="00B67A12">
        <w:t>’</w:t>
      </w:r>
      <w:r w:rsidRPr="00B67A12">
        <w:t>aide et de pré-adhésion ou la réalisation d</w:t>
      </w:r>
      <w:r w:rsidR="00A03E91" w:rsidRPr="00B67A12">
        <w:t>’</w:t>
      </w:r>
      <w:r w:rsidRPr="00B67A12">
        <w:t>une étude de coûts-avantages), et sur l</w:t>
      </w:r>
      <w:r w:rsidR="00A03E91" w:rsidRPr="00B67A12">
        <w:t>’</w:t>
      </w:r>
      <w:r w:rsidRPr="00B67A12">
        <w:t>utilisation des mécanismes et processus non contraignants.</w:t>
      </w:r>
    </w:p>
    <w:p w:rsidR="00113857" w:rsidRPr="00B67A12" w:rsidRDefault="00113857" w:rsidP="00113857">
      <w:pPr>
        <w:pStyle w:val="SingleTxtG"/>
        <w:rPr>
          <w:rStyle w:val="preferred"/>
          <w:rFonts w:eastAsia="Times New Roman"/>
        </w:rPr>
      </w:pPr>
      <w:r w:rsidRPr="00B67A12">
        <w:t>29.</w:t>
      </w:r>
      <w:r w:rsidRPr="00B67A12">
        <w:tab/>
        <w:t>En outre, les études mettent en relief des problèmes spécifiques auxquels les pays étudiés se heurtent dans l</w:t>
      </w:r>
      <w:r w:rsidR="00A03E91" w:rsidRPr="00B67A12">
        <w:t>’</w:t>
      </w:r>
      <w:r w:rsidRPr="00B67A12">
        <w:t>application des accords multilatéraux relatifs à l</w:t>
      </w:r>
      <w:r w:rsidR="00A03E91" w:rsidRPr="00B67A12">
        <w:t>’</w:t>
      </w:r>
      <w:r w:rsidRPr="00B67A12">
        <w:t xml:space="preserve">environnement et des avis sont fournis concernant les mesures prioritaires à prendre pour que ces accords soient davantage appliqués : par exemple, accorder la protection nationale requise aux sites </w:t>
      </w:r>
      <w:proofErr w:type="spellStart"/>
      <w:r w:rsidRPr="00B67A12">
        <w:t>Ramsar</w:t>
      </w:r>
      <w:proofErr w:type="spellEnd"/>
      <w:r w:rsidRPr="00B67A12">
        <w:t xml:space="preserve"> et élaborer et adopter les plans de gestion de ces sites, ou élaborer le cadre juridique concernant la prévention des risques biotechnologiques pour permettre la mise en œuvre du P</w:t>
      </w:r>
      <w:r w:rsidRPr="00B67A12">
        <w:rPr>
          <w:rStyle w:val="preferred"/>
          <w:rFonts w:eastAsia="Times New Roman"/>
        </w:rPr>
        <w:t xml:space="preserve">rotocole de </w:t>
      </w:r>
      <w:r w:rsidRPr="00B67A12">
        <w:rPr>
          <w:rStyle w:val="Accentuation"/>
          <w:rFonts w:eastAsia="Times New Roman"/>
        </w:rPr>
        <w:t>Cartagena</w:t>
      </w:r>
      <w:r w:rsidRPr="00B67A12">
        <w:rPr>
          <w:rStyle w:val="preferred"/>
          <w:rFonts w:eastAsia="Times New Roman"/>
        </w:rPr>
        <w:t xml:space="preserve"> sur la prévention des risques biotechnologiques relatif à la Convention sur la diversité biologique.</w:t>
      </w:r>
    </w:p>
    <w:p w:rsidR="00113857" w:rsidRPr="00B67A12" w:rsidRDefault="00113857" w:rsidP="00113857">
      <w:pPr>
        <w:pStyle w:val="SingleTxtG"/>
        <w:rPr>
          <w:rStyle w:val="preferred"/>
          <w:rFonts w:eastAsia="Times New Roman"/>
        </w:rPr>
      </w:pPr>
      <w:r w:rsidRPr="00B67A12">
        <w:rPr>
          <w:rStyle w:val="preferred"/>
          <w:rFonts w:eastAsia="Times New Roman"/>
        </w:rPr>
        <w:t>30.</w:t>
      </w:r>
      <w:r w:rsidRPr="00B67A12">
        <w:rPr>
          <w:rStyle w:val="preferred"/>
          <w:rFonts w:eastAsia="Times New Roman"/>
        </w:rPr>
        <w:tab/>
        <w:t>Enfin, les études comportent une analyse des efforts déployés par les pays étudiés pour élaborer et appliquer des politiques nationales de lutte contre les changements climatiques qui soient conformes aux engagements qu</w:t>
      </w:r>
      <w:r w:rsidR="00A03E91" w:rsidRPr="00B67A12">
        <w:rPr>
          <w:rStyle w:val="preferred"/>
          <w:rFonts w:eastAsia="Times New Roman"/>
        </w:rPr>
        <w:t>’</w:t>
      </w:r>
      <w:r w:rsidRPr="00B67A12">
        <w:rPr>
          <w:rStyle w:val="preferred"/>
          <w:rFonts w:eastAsia="Times New Roman"/>
        </w:rPr>
        <w:t>ils ont pris à l</w:t>
      </w:r>
      <w:r w:rsidR="00A03E91" w:rsidRPr="00B67A12">
        <w:rPr>
          <w:rStyle w:val="preferred"/>
          <w:rFonts w:eastAsia="Times New Roman"/>
        </w:rPr>
        <w:t>’</w:t>
      </w:r>
      <w:r w:rsidRPr="00B67A12">
        <w:rPr>
          <w:rStyle w:val="preferred"/>
          <w:rFonts w:eastAsia="Times New Roman"/>
        </w:rPr>
        <w:t>échelle mondiale. Elles offrent aux gouvernements des avis sur les moyens d</w:t>
      </w:r>
      <w:r w:rsidR="00A03E91" w:rsidRPr="00B67A12">
        <w:rPr>
          <w:rStyle w:val="preferred"/>
          <w:rFonts w:eastAsia="Times New Roman"/>
        </w:rPr>
        <w:t>’</w:t>
      </w:r>
      <w:r w:rsidRPr="00B67A12">
        <w:rPr>
          <w:rStyle w:val="preferred"/>
          <w:rFonts w:eastAsia="Times New Roman"/>
        </w:rPr>
        <w:t>intensifier les actions en matière d</w:t>
      </w:r>
      <w:r w:rsidR="00A03E91" w:rsidRPr="00B67A12">
        <w:rPr>
          <w:rStyle w:val="preferred"/>
          <w:rFonts w:eastAsia="Times New Roman"/>
        </w:rPr>
        <w:t>’</w:t>
      </w:r>
      <w:r w:rsidRPr="00B67A12">
        <w:rPr>
          <w:rStyle w:val="preferred"/>
          <w:rFonts w:eastAsia="Times New Roman"/>
        </w:rPr>
        <w:t>atténuation et d</w:t>
      </w:r>
      <w:r w:rsidR="00A03E91" w:rsidRPr="00B67A12">
        <w:rPr>
          <w:rStyle w:val="preferred"/>
          <w:rFonts w:eastAsia="Times New Roman"/>
        </w:rPr>
        <w:t>’</w:t>
      </w:r>
      <w:r w:rsidRPr="00B67A12">
        <w:rPr>
          <w:rStyle w:val="preferred"/>
          <w:rFonts w:eastAsia="Times New Roman"/>
        </w:rPr>
        <w:t>adaptation aux niveaux national et local en renforçant les processus d</w:t>
      </w:r>
      <w:r w:rsidR="00A03E91" w:rsidRPr="00B67A12">
        <w:rPr>
          <w:rStyle w:val="preferred"/>
          <w:rFonts w:eastAsia="Times New Roman"/>
        </w:rPr>
        <w:t>’</w:t>
      </w:r>
      <w:r w:rsidRPr="00B67A12">
        <w:rPr>
          <w:rStyle w:val="preferred"/>
          <w:rFonts w:eastAsia="Times New Roman"/>
        </w:rPr>
        <w:t>établissement des inventaires et de sensibilisation.</w:t>
      </w:r>
    </w:p>
    <w:p w:rsidR="00113857" w:rsidRPr="00B67A12" w:rsidRDefault="00113857" w:rsidP="00113857">
      <w:pPr>
        <w:pStyle w:val="SingleTxtG"/>
        <w:rPr>
          <w:rStyle w:val="preferred"/>
          <w:rFonts w:eastAsia="Times New Roman"/>
        </w:rPr>
      </w:pPr>
      <w:r w:rsidRPr="00B67A12">
        <w:rPr>
          <w:rStyle w:val="preferred"/>
          <w:rFonts w:eastAsia="Times New Roman"/>
        </w:rPr>
        <w:t>31.</w:t>
      </w:r>
      <w:r w:rsidRPr="00B67A12">
        <w:rPr>
          <w:rStyle w:val="preferred"/>
          <w:rFonts w:eastAsia="Times New Roman"/>
        </w:rPr>
        <w:tab/>
        <w:t>Dans le troisième cycle d</w:t>
      </w:r>
      <w:r w:rsidR="00A03E91" w:rsidRPr="00B67A12">
        <w:rPr>
          <w:rStyle w:val="preferred"/>
          <w:rFonts w:eastAsia="Times New Roman"/>
        </w:rPr>
        <w:t>’</w:t>
      </w:r>
      <w:r w:rsidRPr="00B67A12">
        <w:rPr>
          <w:rStyle w:val="preferred"/>
          <w:rFonts w:eastAsia="Times New Roman"/>
        </w:rPr>
        <w:t>études, la façon d</w:t>
      </w:r>
      <w:r w:rsidR="00A03E91" w:rsidRPr="00B67A12">
        <w:rPr>
          <w:rStyle w:val="preferred"/>
          <w:rFonts w:eastAsia="Times New Roman"/>
        </w:rPr>
        <w:t>’</w:t>
      </w:r>
      <w:r w:rsidRPr="00B67A12">
        <w:rPr>
          <w:rStyle w:val="preferred"/>
          <w:rFonts w:eastAsia="Times New Roman"/>
        </w:rPr>
        <w:t>aborder la question de la coopération des pays avec la communauté internationale a évolué en parallèle avec cette coopération elle-même. Alors qu</w:t>
      </w:r>
      <w:r w:rsidR="00A03E91" w:rsidRPr="00B67A12">
        <w:rPr>
          <w:rStyle w:val="preferred"/>
          <w:rFonts w:eastAsia="Times New Roman"/>
        </w:rPr>
        <w:t>’</w:t>
      </w:r>
      <w:r w:rsidRPr="00B67A12">
        <w:rPr>
          <w:rStyle w:val="preferred"/>
          <w:rFonts w:eastAsia="Times New Roman"/>
        </w:rPr>
        <w:t>au début du troisième cycle, les études traitaient des problèmes systémiques liés à la mise en œuvre et au suivi des objectifs du Millénaire pour le développement durable, actuellement elles mettent fortement l</w:t>
      </w:r>
      <w:r w:rsidR="00A03E91" w:rsidRPr="00B67A12">
        <w:rPr>
          <w:rStyle w:val="preferred"/>
          <w:rFonts w:eastAsia="Times New Roman"/>
        </w:rPr>
        <w:t>’</w:t>
      </w:r>
      <w:r w:rsidRPr="00B67A12">
        <w:rPr>
          <w:rStyle w:val="preferred"/>
          <w:rFonts w:eastAsia="Times New Roman"/>
        </w:rPr>
        <w:t>accent sur l</w:t>
      </w:r>
      <w:r w:rsidR="00A03E91" w:rsidRPr="00B67A12">
        <w:rPr>
          <w:rStyle w:val="preferred"/>
          <w:rFonts w:eastAsia="Times New Roman"/>
        </w:rPr>
        <w:t>’</w:t>
      </w:r>
      <w:r w:rsidRPr="00B67A12">
        <w:rPr>
          <w:rStyle w:val="preferred"/>
          <w:rFonts w:eastAsia="Times New Roman"/>
        </w:rPr>
        <w:t>Accord de Paris sur le climat et le Programme 2030. De plus, elles couvrent un large éventail d</w:t>
      </w:r>
      <w:r w:rsidR="00A03E91" w:rsidRPr="00B67A12">
        <w:rPr>
          <w:rStyle w:val="preferred"/>
          <w:rFonts w:eastAsia="Times New Roman"/>
        </w:rPr>
        <w:t>’</w:t>
      </w:r>
      <w:r w:rsidRPr="00B67A12">
        <w:rPr>
          <w:rStyle w:val="preferred"/>
          <w:rFonts w:eastAsia="Times New Roman"/>
        </w:rPr>
        <w:t>accords internationaux, dont bien souvent des accords multilatéraux comportant une dimension environnementale, même si leur cible principale n</w:t>
      </w:r>
      <w:r w:rsidR="00A03E91" w:rsidRPr="00B67A12">
        <w:rPr>
          <w:rStyle w:val="preferred"/>
          <w:rFonts w:eastAsia="Times New Roman"/>
        </w:rPr>
        <w:t>’</w:t>
      </w:r>
      <w:r w:rsidRPr="00B67A12">
        <w:rPr>
          <w:rStyle w:val="preferred"/>
          <w:rFonts w:eastAsia="Times New Roman"/>
        </w:rPr>
        <w:t>est pas l</w:t>
      </w:r>
      <w:r w:rsidR="00A03E91" w:rsidRPr="00B67A12">
        <w:rPr>
          <w:rStyle w:val="preferred"/>
          <w:rFonts w:eastAsia="Times New Roman"/>
        </w:rPr>
        <w:t>’</w:t>
      </w:r>
      <w:r w:rsidRPr="00B67A12">
        <w:rPr>
          <w:rStyle w:val="preferred"/>
          <w:rFonts w:eastAsia="Times New Roman"/>
        </w:rPr>
        <w:t>environnement. Par exemple, les troisièmes études de la Géorgie et du Bélarus ainsi que l</w:t>
      </w:r>
      <w:r w:rsidR="00A03E91" w:rsidRPr="00B67A12">
        <w:rPr>
          <w:rStyle w:val="preferred"/>
          <w:rFonts w:eastAsia="Times New Roman"/>
        </w:rPr>
        <w:t>’</w:t>
      </w:r>
      <w:r w:rsidRPr="00B67A12">
        <w:rPr>
          <w:rStyle w:val="preferred"/>
          <w:rFonts w:eastAsia="Times New Roman"/>
        </w:rPr>
        <w:t>étude de la Mongolie traitent des conventions de l</w:t>
      </w:r>
      <w:r w:rsidR="00A03E91" w:rsidRPr="00B67A12">
        <w:rPr>
          <w:rStyle w:val="preferred"/>
          <w:rFonts w:eastAsia="Times New Roman"/>
        </w:rPr>
        <w:t>’</w:t>
      </w:r>
      <w:r w:rsidRPr="00B67A12">
        <w:rPr>
          <w:rStyle w:val="preferred"/>
          <w:rFonts w:eastAsia="Times New Roman"/>
        </w:rPr>
        <w:t>Organisation internationale du Travail relatives à la salubrité de l</w:t>
      </w:r>
      <w:r w:rsidR="00A03E91" w:rsidRPr="00B67A12">
        <w:rPr>
          <w:rStyle w:val="preferred"/>
          <w:rFonts w:eastAsia="Times New Roman"/>
        </w:rPr>
        <w:t>’</w:t>
      </w:r>
      <w:r w:rsidRPr="00B67A12">
        <w:rPr>
          <w:rStyle w:val="preferred"/>
          <w:rFonts w:eastAsia="Times New Roman"/>
        </w:rPr>
        <w:t>environnement et la troisième étude de la Bulgarie traite de la Convention-cadre de l</w:t>
      </w:r>
      <w:r w:rsidR="00A03E91" w:rsidRPr="00B67A12">
        <w:rPr>
          <w:rStyle w:val="preferred"/>
          <w:rFonts w:eastAsia="Times New Roman"/>
        </w:rPr>
        <w:t>’</w:t>
      </w:r>
      <w:r w:rsidRPr="00B67A12">
        <w:rPr>
          <w:rStyle w:val="preferred"/>
          <w:rFonts w:eastAsia="Times New Roman"/>
        </w:rPr>
        <w:t>Organisation mondiale de la Santé pour la lutte anti-tabac.</w:t>
      </w:r>
    </w:p>
    <w:p w:rsidR="00113857" w:rsidRPr="00B67A12" w:rsidRDefault="00113857" w:rsidP="00113857">
      <w:pPr>
        <w:pStyle w:val="H23G"/>
      </w:pPr>
      <w:r w:rsidRPr="00B67A12">
        <w:tab/>
        <w:t>3.</w:t>
      </w:r>
      <w:r w:rsidRPr="00B67A12">
        <w:tab/>
        <w:t>La prise en compte de l</w:t>
      </w:r>
      <w:r w:rsidR="00A03E91" w:rsidRPr="00B67A12">
        <w:t>’</w:t>
      </w:r>
      <w:r w:rsidRPr="00B67A12">
        <w:t>environnement</w:t>
      </w:r>
      <w:r w:rsidR="00F02516">
        <w:t xml:space="preserve"> dans des secteurs prioritaires</w:t>
      </w:r>
    </w:p>
    <w:p w:rsidR="00113857" w:rsidRPr="00B67A12" w:rsidRDefault="00113857" w:rsidP="00113857">
      <w:pPr>
        <w:pStyle w:val="SingleTxtG"/>
      </w:pPr>
      <w:r w:rsidRPr="00B67A12">
        <w:t>32.</w:t>
      </w:r>
      <w:r w:rsidRPr="00B67A12">
        <w:tab/>
        <w:t>Dans les études du troisième cycle, les chapitres consacrés aux aspects sectoriels prennent en compte les efforts déployés en vue d</w:t>
      </w:r>
      <w:r w:rsidR="00A03E91" w:rsidRPr="00B67A12">
        <w:t>’</w:t>
      </w:r>
      <w:r w:rsidRPr="00B67A12">
        <w:t>intégrer les impératifs environnementaux dans les documents de politique sectorielle et les lois et textes réglementaires. Ils analysent aussi comment les prescriptions et les politiques sont appliquées concrètement et avec quelle efficacité, et évaluent le niveau de coopération et de coordination entre les autorités compétentes.</w:t>
      </w:r>
    </w:p>
    <w:p w:rsidR="00113857" w:rsidRPr="00B67A12" w:rsidRDefault="00113857" w:rsidP="00113857">
      <w:pPr>
        <w:pStyle w:val="SingleTxtG"/>
      </w:pPr>
      <w:r w:rsidRPr="00B67A12">
        <w:t>33.</w:t>
      </w:r>
      <w:r w:rsidRPr="00B67A12">
        <w:tab/>
        <w:t>Toutes les études abordent la question de l</w:t>
      </w:r>
      <w:r w:rsidR="00A03E91" w:rsidRPr="00B67A12">
        <w:t>’</w:t>
      </w:r>
      <w:r w:rsidRPr="00B67A12">
        <w:t>utilisation d</w:t>
      </w:r>
      <w:r w:rsidR="00A03E91" w:rsidRPr="00B67A12">
        <w:t>’</w:t>
      </w:r>
      <w:r w:rsidRPr="00B67A12">
        <w:t>un instrument d</w:t>
      </w:r>
      <w:r w:rsidR="00A03E91" w:rsidRPr="00B67A12">
        <w:t>’</w:t>
      </w:r>
      <w:r w:rsidRPr="00B67A12">
        <w:t>évaluation stratégique environnementale comme outil permettant d</w:t>
      </w:r>
      <w:r w:rsidR="00A03E91" w:rsidRPr="00B67A12">
        <w:t>’</w:t>
      </w:r>
      <w:r w:rsidRPr="00B67A12">
        <w:t>intégrer les préoccupations environnementales dans les politiques sectorielles. Beaucoup de pays étudiés dans le cadre du troisième cycle ne se sont pas dotés d</w:t>
      </w:r>
      <w:r w:rsidR="00A03E91" w:rsidRPr="00B67A12">
        <w:t>’</w:t>
      </w:r>
      <w:r w:rsidRPr="00B67A12">
        <w:t>un dispositif d</w:t>
      </w:r>
      <w:r w:rsidR="00A03E91" w:rsidRPr="00B67A12">
        <w:t>’</w:t>
      </w:r>
      <w:r w:rsidRPr="00B67A12">
        <w:t>évaluation stratégique environnementale ou bien celui-ci est au stade embryonnaire. Dans les cas où un tel dispositif est d</w:t>
      </w:r>
      <w:r w:rsidR="00A03E91" w:rsidRPr="00B67A12">
        <w:t>’</w:t>
      </w:r>
      <w:r w:rsidRPr="00B67A12">
        <w:t>ores et déjà opérationnel, il reste encore à convaincre les autorités sectorielles des avantages que présentent ces évaluations et des mécanismes d</w:t>
      </w:r>
      <w:r w:rsidR="00A03E91" w:rsidRPr="00B67A12">
        <w:t>’</w:t>
      </w:r>
      <w:r w:rsidRPr="00B67A12">
        <w:t>assurance de la qualité permettant une mise en œuvre efficace ne sont pas en place.</w:t>
      </w:r>
    </w:p>
    <w:p w:rsidR="00113857" w:rsidRPr="00B67A12" w:rsidRDefault="00113857" w:rsidP="00113857">
      <w:pPr>
        <w:pStyle w:val="SingleTxtG"/>
      </w:pPr>
      <w:r w:rsidRPr="00B67A12">
        <w:t>34.</w:t>
      </w:r>
      <w:r w:rsidRPr="00B67A12">
        <w:tab/>
        <w:t>Dans certains pays, les autorités nationales chargées de l</w:t>
      </w:r>
      <w:r w:rsidR="00A03E91" w:rsidRPr="00B67A12">
        <w:t>’</w:t>
      </w:r>
      <w:r w:rsidRPr="00B67A12">
        <w:t>environnement ont indiqué avoir instauré une coopération plus étroite avec les ministères sectoriels suite aux travaux communs menés pendant le déroulement de l</w:t>
      </w:r>
      <w:r w:rsidR="00A03E91" w:rsidRPr="00B67A12">
        <w:t>’</w:t>
      </w:r>
      <w:r w:rsidRPr="00B67A12">
        <w:t>étude.</w:t>
      </w:r>
    </w:p>
    <w:p w:rsidR="00113857" w:rsidRPr="00B67A12" w:rsidRDefault="00113857" w:rsidP="00113857">
      <w:pPr>
        <w:pStyle w:val="H23G"/>
      </w:pPr>
      <w:r w:rsidRPr="00B67A12">
        <w:tab/>
        <w:t>4.</w:t>
      </w:r>
      <w:r w:rsidRPr="00B67A12">
        <w:tab/>
        <w:t>Intégration des objectifs de développement durable pertinents</w:t>
      </w:r>
    </w:p>
    <w:p w:rsidR="00113857" w:rsidRPr="00B67A12" w:rsidRDefault="00113857" w:rsidP="00113857">
      <w:pPr>
        <w:pStyle w:val="SingleTxtG"/>
      </w:pPr>
      <w:r w:rsidRPr="00B67A12">
        <w:t>35.</w:t>
      </w:r>
      <w:r w:rsidRPr="00B67A12">
        <w:tab/>
        <w:t>Dans les quatre pays pour lesquels les objectifs et cibles de développement durable ont été intégrés dans l</w:t>
      </w:r>
      <w:r w:rsidR="00A03E91" w:rsidRPr="00B67A12">
        <w:t>’</w:t>
      </w:r>
      <w:r w:rsidRPr="00B67A12">
        <w:t xml:space="preserve">étude les concernant (Albanie, Bosnie-Herzégovine, Kazakhstan et </w:t>
      </w:r>
      <w:r w:rsidRPr="00B67A12">
        <w:lastRenderedPageBreak/>
        <w:t>Mongolie), les autorités nationales chargées de l</w:t>
      </w:r>
      <w:r w:rsidR="00A03E91" w:rsidRPr="00B67A12">
        <w:t>’</w:t>
      </w:r>
      <w:r w:rsidRPr="00B67A12">
        <w:t>environnement ne sont pas celles qui dirigent ou coordonnent le suivi et la mise en œuvre du Programme 2030. À cet égard, l</w:t>
      </w:r>
      <w:r w:rsidR="00A03E91" w:rsidRPr="00B67A12">
        <w:t>’</w:t>
      </w:r>
      <w:r w:rsidRPr="00B67A12">
        <w:t>ensemble du processus d</w:t>
      </w:r>
      <w:r w:rsidR="00A03E91" w:rsidRPr="00B67A12">
        <w:t>’</w:t>
      </w:r>
      <w:r w:rsidRPr="00B67A12">
        <w:t>intégration des objectifs de développement durable dans les études a contribué à conférer une plus grande visibilité aux autorités nationales chargées de l</w:t>
      </w:r>
      <w:r w:rsidR="00A03E91" w:rsidRPr="00B67A12">
        <w:t>’</w:t>
      </w:r>
      <w:r w:rsidRPr="00B67A12">
        <w:t>environnement, dans le cadre du dispositif national de suivi et de mise en œuvre du Programme 2030.</w:t>
      </w:r>
    </w:p>
    <w:p w:rsidR="00113857" w:rsidRPr="00B67A12" w:rsidRDefault="00113857" w:rsidP="00113857">
      <w:pPr>
        <w:pStyle w:val="SingleTxtG"/>
      </w:pPr>
      <w:r w:rsidRPr="00B67A12">
        <w:t>36.</w:t>
      </w:r>
      <w:r w:rsidRPr="00B67A12">
        <w:tab/>
        <w:t>La situation n</w:t>
      </w:r>
      <w:r w:rsidR="00A03E91" w:rsidRPr="00B67A12">
        <w:t>’</w:t>
      </w:r>
      <w:r w:rsidRPr="00B67A12">
        <w:t>est pas la même dans les quatre pays en ce qui concerne la définition de cadres institutionnels et de politiques pour le suivi et la mise en œuvre du Programme 2030. Dans certains pays, ces cadres sont déjà en place et fonctionnent. Dans d</w:t>
      </w:r>
      <w:r w:rsidR="00A03E91" w:rsidRPr="00B67A12">
        <w:t>’</w:t>
      </w:r>
      <w:r w:rsidRPr="00B67A12">
        <w:t>autres, le processus commence seulement et l</w:t>
      </w:r>
      <w:r w:rsidR="00A03E91" w:rsidRPr="00B67A12">
        <w:t>’</w:t>
      </w:r>
      <w:r w:rsidRPr="00B67A12">
        <w:t>étude de la performance environnementale a contribué à attirer l</w:t>
      </w:r>
      <w:r w:rsidR="00A03E91" w:rsidRPr="00B67A12">
        <w:t>’</w:t>
      </w:r>
      <w:r w:rsidRPr="00B67A12">
        <w:t>attention sur l</w:t>
      </w:r>
      <w:r w:rsidR="00A03E91" w:rsidRPr="00B67A12">
        <w:t>’</w:t>
      </w:r>
      <w:r w:rsidRPr="00B67A12">
        <w:t>importance de mettre en place de tels cadres.</w:t>
      </w:r>
    </w:p>
    <w:p w:rsidR="00113857" w:rsidRPr="00B67A12" w:rsidRDefault="00113857" w:rsidP="00113857">
      <w:pPr>
        <w:pStyle w:val="SingleTxtG"/>
      </w:pPr>
      <w:r w:rsidRPr="00B67A12">
        <w:t>37.</w:t>
      </w:r>
      <w:r w:rsidRPr="00B67A12">
        <w:tab/>
        <w:t>Dans les quatre pays, le processus consistant à évaluer la disponibilité des données et les lacunes en termes d</w:t>
      </w:r>
      <w:r w:rsidR="00A03E91" w:rsidRPr="00B67A12">
        <w:t>’</w:t>
      </w:r>
      <w:r w:rsidRPr="00B67A12">
        <w:t>indicateurs par rapport au cadre mondial d</w:t>
      </w:r>
      <w:r w:rsidR="00A03E91" w:rsidRPr="00B67A12">
        <w:t>’</w:t>
      </w:r>
      <w:r w:rsidRPr="00B67A12">
        <w:t>indicateurs pour les objectifs de développement durable et les cibles du Programme 2030 était en cours mais la définition des cibles et indicateurs nationaux n</w:t>
      </w:r>
      <w:r w:rsidR="00A03E91" w:rsidRPr="00B67A12">
        <w:t>’</w:t>
      </w:r>
      <w:r w:rsidRPr="00B67A12">
        <w:t>avait pas encore commencé ou commençait seulement, de sorte que les avis formulés à cet égard dans les études de la performance environnementale venaient à point nommé.</w:t>
      </w:r>
    </w:p>
    <w:p w:rsidR="00113857" w:rsidRPr="00B67A12" w:rsidRDefault="00113857" w:rsidP="00113857">
      <w:pPr>
        <w:pStyle w:val="SingleTxtG"/>
      </w:pPr>
      <w:r w:rsidRPr="00B67A12">
        <w:t>38.</w:t>
      </w:r>
      <w:r w:rsidRPr="00B67A12">
        <w:tab/>
        <w:t>Le degré d</w:t>
      </w:r>
      <w:r w:rsidR="00A03E91" w:rsidRPr="00B67A12">
        <w:t>’</w:t>
      </w:r>
      <w:r w:rsidRPr="00B67A12">
        <w:t>adhésion et de sensibilisation aux objectifs de développement durable varie selon les quatre pays. En Mongolie, l</w:t>
      </w:r>
      <w:r w:rsidR="00A03E91" w:rsidRPr="00B67A12">
        <w:t>’</w:t>
      </w:r>
      <w:r w:rsidRPr="00B67A12">
        <w:t>adhésion et la réceptivité à ces objectifs étaient impressionnantes, non seulement parmi les autorités publiques centrales mais aussi parmi les responsables locaux et les citoyens. Tel n</w:t>
      </w:r>
      <w:r w:rsidR="00A03E91" w:rsidRPr="00B67A12">
        <w:t>’</w:t>
      </w:r>
      <w:r w:rsidRPr="00B67A12">
        <w:t>était pas le cas dans les trois autres pays, où les autorités nationales chargées de l</w:t>
      </w:r>
      <w:r w:rsidR="00A03E91" w:rsidRPr="00B67A12">
        <w:t>’</w:t>
      </w:r>
      <w:r w:rsidRPr="00B67A12">
        <w:t>environnement et les ministères de tutelle n</w:t>
      </w:r>
      <w:r w:rsidR="00A03E91" w:rsidRPr="00B67A12">
        <w:t>’</w:t>
      </w:r>
      <w:r w:rsidRPr="00B67A12">
        <w:t>étaient pas suffisamment sensibilisés aux objectifs, la prise de conscience étant encore plus faible à l</w:t>
      </w:r>
      <w:r w:rsidR="00A03E91" w:rsidRPr="00B67A12">
        <w:t>’</w:t>
      </w:r>
      <w:r w:rsidRPr="00B67A12">
        <w:t>échelon local, parmi le public et les milieux d</w:t>
      </w:r>
      <w:r w:rsidR="00A03E91" w:rsidRPr="00B67A12">
        <w:t>’</w:t>
      </w:r>
      <w:r w:rsidRPr="00B67A12">
        <w:t>affaires. En Bosnie-Herzégovine, un outil de consultation innovant</w:t>
      </w:r>
      <w:r w:rsidRPr="00B67A12">
        <w:rPr>
          <w:rStyle w:val="Appelnotedebasdep"/>
        </w:rPr>
        <w:footnoteReference w:id="3"/>
      </w:r>
      <w:r w:rsidRPr="00B67A12">
        <w:t xml:space="preserve"> a été mis au point pour sensibiliser davantage au Programme 2030 et cette initiative pourrait être transposée dans d</w:t>
      </w:r>
      <w:r w:rsidR="00A03E91" w:rsidRPr="00B67A12">
        <w:t>’</w:t>
      </w:r>
      <w:r w:rsidRPr="00B67A12">
        <w:t>autres pays.</w:t>
      </w:r>
    </w:p>
    <w:p w:rsidR="00113857" w:rsidRPr="00B67A12" w:rsidRDefault="00113857" w:rsidP="00113857">
      <w:pPr>
        <w:pStyle w:val="SingleTxtG"/>
      </w:pPr>
      <w:r w:rsidRPr="00B67A12">
        <w:t>39.</w:t>
      </w:r>
      <w:r w:rsidRPr="00B67A12">
        <w:tab/>
        <w:t>Dans les pays étudiés où l</w:t>
      </w:r>
      <w:r w:rsidR="00A03E91" w:rsidRPr="00B67A12">
        <w:t>’</w:t>
      </w:r>
      <w:r w:rsidRPr="00B67A12">
        <w:t>adhésion à l</w:t>
      </w:r>
      <w:r w:rsidR="00A03E91" w:rsidRPr="00B67A12">
        <w:t>’</w:t>
      </w:r>
      <w:r w:rsidRPr="00B67A12">
        <w:t>Union européenne est une priorité absolue et mobilise déjà des efforts et des ressources considérables, il est important que les actions menées pour atteindre les objectifs de développement durable cadrent avec le processus d</w:t>
      </w:r>
      <w:r w:rsidR="00A03E91" w:rsidRPr="00B67A12">
        <w:t>’</w:t>
      </w:r>
      <w:r w:rsidRPr="00B67A12">
        <w:t>adhésion, en termes tant de contenu que de modalités. L</w:t>
      </w:r>
      <w:r w:rsidR="00A03E91" w:rsidRPr="00B67A12">
        <w:t>’</w:t>
      </w:r>
      <w:r w:rsidRPr="00B67A12">
        <w:t>Albanie et la Bosnie-Herzégovine ont acquis une expérience utile à cet égard.</w:t>
      </w:r>
    </w:p>
    <w:p w:rsidR="00113857" w:rsidRPr="00B67A12" w:rsidRDefault="00113857" w:rsidP="00113857">
      <w:pPr>
        <w:pStyle w:val="HChG"/>
      </w:pPr>
      <w:r w:rsidRPr="00B67A12">
        <w:tab/>
        <w:t>II.</w:t>
      </w:r>
      <w:r w:rsidRPr="00B67A12">
        <w:tab/>
        <w:t>Enseignements tirés et difficultés rencontrées</w:t>
      </w:r>
    </w:p>
    <w:p w:rsidR="00113857" w:rsidRPr="00B67A12" w:rsidRDefault="00113857" w:rsidP="00113857">
      <w:pPr>
        <w:pStyle w:val="H1G"/>
      </w:pPr>
      <w:r w:rsidRPr="00B67A12">
        <w:tab/>
        <w:t>A.</w:t>
      </w:r>
      <w:r w:rsidRPr="00B67A12">
        <w:tab/>
        <w:t>Conduite du troisième cycle</w:t>
      </w:r>
    </w:p>
    <w:p w:rsidR="00113857" w:rsidRPr="00B67A12" w:rsidRDefault="00113857" w:rsidP="00113857">
      <w:pPr>
        <w:pStyle w:val="SingleTxtG"/>
      </w:pPr>
      <w:r w:rsidRPr="00B67A12">
        <w:t>40.</w:t>
      </w:r>
      <w:r w:rsidRPr="00B67A12">
        <w:tab/>
        <w:t>S</w:t>
      </w:r>
      <w:r w:rsidR="00A03E91" w:rsidRPr="00B67A12">
        <w:t>’</w:t>
      </w:r>
      <w:r w:rsidRPr="00B67A12">
        <w:t>agissant du processus, il a été généralement plus facile pour le Programme d</w:t>
      </w:r>
      <w:r w:rsidR="00A03E91" w:rsidRPr="00B67A12">
        <w:t>’</w:t>
      </w:r>
      <w:r w:rsidRPr="00B67A12">
        <w:t xml:space="preserve">organiser les études dans le cadre du troisième cycle étant donné que, dans de nombreux pays, la mémoire institutionnelle concernant la deuxième </w:t>
      </w:r>
      <w:r w:rsidR="00E1105F" w:rsidRPr="00B67A12">
        <w:t>−</w:t>
      </w:r>
      <w:r w:rsidRPr="00B67A12">
        <w:t xml:space="preserve"> et parfois la première </w:t>
      </w:r>
      <w:r w:rsidR="00E1105F" w:rsidRPr="00B67A12">
        <w:t>−</w:t>
      </w:r>
      <w:r w:rsidRPr="00B67A12">
        <w:t xml:space="preserve"> étude était encore en place. La méthodologie de l</w:t>
      </w:r>
      <w:r w:rsidR="00A03E91" w:rsidRPr="00B67A12">
        <w:t>’</w:t>
      </w:r>
      <w:r w:rsidRPr="00B67A12">
        <w:t>étude n</w:t>
      </w:r>
      <w:r w:rsidR="00A03E91" w:rsidRPr="00B67A12">
        <w:t>’</w:t>
      </w:r>
      <w:r w:rsidRPr="00B67A12">
        <w:t>en est pas moins constamment ajustée pour traiter les domaines problématiques et répondre de façon plus ciblée aux besoins spécifiques des pays étudiés.</w:t>
      </w:r>
    </w:p>
    <w:p w:rsidR="00113857" w:rsidRPr="00B67A12" w:rsidRDefault="00113857" w:rsidP="00113857">
      <w:pPr>
        <w:pStyle w:val="SingleTxtG"/>
      </w:pPr>
      <w:r w:rsidRPr="00B67A12">
        <w:t>41.</w:t>
      </w:r>
      <w:r w:rsidRPr="00B67A12">
        <w:tab/>
        <w:t>Dans le cadre de ce cycle, une difficulté particulière a été de faire en sorte que les études restent pertinentes et utiles compte tenu des différentes voies choisies par les pays étudiés, tout en prenant en considération leurs préférences spécifiques. Le Kazakhstan, par exemple, a demandé que la troisième étude fasse référence à la pratique des pays membres de l</w:t>
      </w:r>
      <w:r w:rsidR="00A03E91" w:rsidRPr="00B67A12">
        <w:t>’</w:t>
      </w:r>
      <w:r w:rsidRPr="00B67A12">
        <w:t>Organisation de coopération et de développement économiques (OCDE), tandis que l</w:t>
      </w:r>
      <w:r w:rsidR="00A03E91" w:rsidRPr="00B67A12">
        <w:t>’</w:t>
      </w:r>
      <w:r w:rsidRPr="00B67A12">
        <w:t>Albanie voyait dans la troisième étude un instrument pour l</w:t>
      </w:r>
      <w:r w:rsidR="00A03E91" w:rsidRPr="00B67A12">
        <w:t>’</w:t>
      </w:r>
      <w:r w:rsidRPr="00B67A12">
        <w:t>aider dans le processus d</w:t>
      </w:r>
      <w:r w:rsidR="00A03E91" w:rsidRPr="00B67A12">
        <w:t>’</w:t>
      </w:r>
      <w:r w:rsidRPr="00B67A12">
        <w:t>adhésion à l</w:t>
      </w:r>
      <w:r w:rsidR="00A03E91" w:rsidRPr="00B67A12">
        <w:t>’</w:t>
      </w:r>
      <w:r w:rsidRPr="00B67A12">
        <w:t>Union européenne.</w:t>
      </w:r>
    </w:p>
    <w:p w:rsidR="00113857" w:rsidRPr="00B67A12" w:rsidRDefault="00113857" w:rsidP="00113857">
      <w:pPr>
        <w:pStyle w:val="H1G"/>
      </w:pPr>
      <w:r w:rsidRPr="00B67A12">
        <w:lastRenderedPageBreak/>
        <w:tab/>
        <w:t>B.</w:t>
      </w:r>
      <w:r w:rsidRPr="00B67A12">
        <w:tab/>
        <w:t>Intégration des objectifs de développement durable pertinents</w:t>
      </w:r>
    </w:p>
    <w:p w:rsidR="00113857" w:rsidRPr="00B67A12" w:rsidRDefault="00113857" w:rsidP="00113857">
      <w:pPr>
        <w:pStyle w:val="SingleTxtG"/>
      </w:pPr>
      <w:r w:rsidRPr="00B67A12">
        <w:t>42.</w:t>
      </w:r>
      <w:r w:rsidRPr="00B67A12">
        <w:tab/>
        <w:t>Lorsqu</w:t>
      </w:r>
      <w:r w:rsidR="00A03E91" w:rsidRPr="00B67A12">
        <w:t>’</w:t>
      </w:r>
      <w:r w:rsidRPr="00B67A12">
        <w:t>il s</w:t>
      </w:r>
      <w:r w:rsidR="00A03E91" w:rsidRPr="00B67A12">
        <w:t>’</w:t>
      </w:r>
      <w:r w:rsidRPr="00B67A12">
        <w:t>agit d</w:t>
      </w:r>
      <w:r w:rsidR="00A03E91" w:rsidRPr="00B67A12">
        <w:t>’</w:t>
      </w:r>
      <w:r w:rsidRPr="00B67A12">
        <w:t>intégrer les objectifs de développement durable dans les études de la performance environnementale, la principale difficulté rencontrée tient au fait que l</w:t>
      </w:r>
      <w:r w:rsidR="00A03E91" w:rsidRPr="00B67A12">
        <w:t>’</w:t>
      </w:r>
      <w:r w:rsidRPr="00B67A12">
        <w:t>on ne dispose encore que de peu de données et d</w:t>
      </w:r>
      <w:r w:rsidR="00A03E91" w:rsidRPr="00B67A12">
        <w:t>’</w:t>
      </w:r>
      <w:r w:rsidRPr="00B67A12">
        <w:t>informations pour entreprendre une évaluation cible par cible. Dans le cas de certaines cibles, alors que les études s</w:t>
      </w:r>
      <w:r w:rsidR="00A03E91" w:rsidRPr="00B67A12">
        <w:t>’</w:t>
      </w:r>
      <w:r w:rsidRPr="00B67A12">
        <w:t>efforçaient de les prendre en compte, il a fallu y renoncer au stade de la rédaction du rapport sur l</w:t>
      </w:r>
      <w:r w:rsidR="00A03E91" w:rsidRPr="00B67A12">
        <w:t>’</w:t>
      </w:r>
      <w:r w:rsidRPr="00B67A12">
        <w:t>étude, faute d</w:t>
      </w:r>
      <w:r w:rsidR="00A03E91" w:rsidRPr="00B67A12">
        <w:t>’</w:t>
      </w:r>
      <w:r w:rsidRPr="00B67A12">
        <w:t>informations. Toutefois, la volonté de surmonter cette difficulté a contribué à l</w:t>
      </w:r>
      <w:r w:rsidR="00A03E91" w:rsidRPr="00B67A12">
        <w:t>’</w:t>
      </w:r>
      <w:r w:rsidRPr="00B67A12">
        <w:t>utilité et à l</w:t>
      </w:r>
      <w:r w:rsidR="00A03E91" w:rsidRPr="00B67A12">
        <w:t>’</w:t>
      </w:r>
      <w:r w:rsidRPr="00B67A12">
        <w:t>intérêt de l</w:t>
      </w:r>
      <w:r w:rsidR="00A03E91" w:rsidRPr="00B67A12">
        <w:t>’</w:t>
      </w:r>
      <w:r w:rsidRPr="00B67A12">
        <w:t>ensemble du processus et de l</w:t>
      </w:r>
      <w:r w:rsidR="00A03E91" w:rsidRPr="00B67A12">
        <w:t>’</w:t>
      </w:r>
      <w:r w:rsidRPr="00B67A12">
        <w:t>étude finale pour les pays étudiés.</w:t>
      </w:r>
    </w:p>
    <w:p w:rsidR="00113857" w:rsidRPr="00B67A12" w:rsidRDefault="00113857" w:rsidP="00113857">
      <w:pPr>
        <w:pStyle w:val="SingleTxtG"/>
      </w:pPr>
      <w:r w:rsidRPr="00B67A12">
        <w:t>43.</w:t>
      </w:r>
      <w:r w:rsidRPr="00B67A12">
        <w:tab/>
        <w:t>Incorporer les objectifs de développement durable dans les études nécessite que les pays étudiés s</w:t>
      </w:r>
      <w:r w:rsidR="00A03E91" w:rsidRPr="00B67A12">
        <w:t>’</w:t>
      </w:r>
      <w:r w:rsidRPr="00B67A12">
        <w:t>efforcent de fournir des données et des informations supplémentaires sur les objectifs et cibles considérés. Il faut aussi que les équipes internationales d</w:t>
      </w:r>
      <w:r w:rsidR="00A03E91" w:rsidRPr="00B67A12">
        <w:t>’</w:t>
      </w:r>
      <w:r w:rsidRPr="00B67A12">
        <w:t>experts s</w:t>
      </w:r>
      <w:r w:rsidR="00A03E91" w:rsidRPr="00B67A12">
        <w:t>’</w:t>
      </w:r>
      <w:r w:rsidRPr="00B67A12">
        <w:t>emploient à avoir accès à ces données et informations et à les analyser. Mais, comme l</w:t>
      </w:r>
      <w:r w:rsidR="00A03E91" w:rsidRPr="00B67A12">
        <w:t>’</w:t>
      </w:r>
      <w:r w:rsidRPr="00B67A12">
        <w:t>ont montré les études sur l</w:t>
      </w:r>
      <w:r w:rsidR="00A03E91" w:rsidRPr="00B67A12">
        <w:t>’</w:t>
      </w:r>
      <w:r w:rsidRPr="00B67A12">
        <w:t>Albanie, la Bosnie-Herzégovine et le Kazakhstan menées dans le cadre du troisième cycle ainsi que l</w:t>
      </w:r>
      <w:r w:rsidR="00A03E91" w:rsidRPr="00B67A12">
        <w:t>’</w:t>
      </w:r>
      <w:r w:rsidRPr="00B67A12">
        <w:t>étude sur la Mongolie, il ne s</w:t>
      </w:r>
      <w:r w:rsidR="00A03E91" w:rsidRPr="00B67A12">
        <w:t>’</w:t>
      </w:r>
      <w:r w:rsidRPr="00B67A12">
        <w:t>agit pas là d</w:t>
      </w:r>
      <w:r w:rsidR="00A03E91" w:rsidRPr="00B67A12">
        <w:t>’</w:t>
      </w:r>
      <w:r w:rsidRPr="00B67A12">
        <w:t>une « mission impossible ». La quête de données et d</w:t>
      </w:r>
      <w:r w:rsidR="00A03E91" w:rsidRPr="00B67A12">
        <w:t>’</w:t>
      </w:r>
      <w:r w:rsidRPr="00B67A12">
        <w:t>informations pertinentes a contribué à renforcer la coopération entre les autorités nationales responsables des questions d</w:t>
      </w:r>
      <w:r w:rsidR="00A03E91" w:rsidRPr="00B67A12">
        <w:t>’</w:t>
      </w:r>
      <w:r w:rsidRPr="00B67A12">
        <w:t>environnement, les bureaux de statistique et les autorités chargées de coordonner la mise en œuvre du Programme 2030 dans les pays étudiés. Quant aux équipes internationales d</w:t>
      </w:r>
      <w:r w:rsidR="00A03E91" w:rsidRPr="00B67A12">
        <w:t>’</w:t>
      </w:r>
      <w:r w:rsidRPr="00B67A12">
        <w:t>experts, le nouveau défi lié à la prise en compte des objectifs et des cibles a permis d</w:t>
      </w:r>
      <w:r w:rsidR="00A03E91" w:rsidRPr="00B67A12">
        <w:t>’</w:t>
      </w:r>
      <w:r w:rsidRPr="00B67A12">
        <w:t>intensifier les échanges d</w:t>
      </w:r>
      <w:r w:rsidR="00A03E91" w:rsidRPr="00B67A12">
        <w:t>’</w:t>
      </w:r>
      <w:r w:rsidRPr="00B67A12">
        <w:t>information et la communication entre leurs membres.</w:t>
      </w:r>
    </w:p>
    <w:p w:rsidR="00113857" w:rsidRPr="00B67A12" w:rsidRDefault="00113857" w:rsidP="00113857">
      <w:pPr>
        <w:pStyle w:val="SingleTxtG"/>
        <w:rPr>
          <w:spacing w:val="-1"/>
        </w:rPr>
      </w:pPr>
      <w:r w:rsidRPr="00B67A12">
        <w:t>44.</w:t>
      </w:r>
      <w:r w:rsidRPr="00B67A12">
        <w:tab/>
      </w:r>
      <w:r w:rsidRPr="00B67A12">
        <w:rPr>
          <w:spacing w:val="-1"/>
        </w:rPr>
        <w:t>Tous les pays examinés pendant la période 2017-2018 ont retenu la même option pour intégrer les objectifs de développement durable dans leurs études</w:t>
      </w:r>
      <w:r w:rsidRPr="00B67A12">
        <w:rPr>
          <w:rStyle w:val="Appelnotedebasdep"/>
          <w:spacing w:val="-1"/>
        </w:rPr>
        <w:footnoteReference w:id="4"/>
      </w:r>
      <w:r w:rsidRPr="00B67A12">
        <w:rPr>
          <w:spacing w:val="-1"/>
        </w:rPr>
        <w:t>, ce qui a permis d</w:t>
      </w:r>
      <w:r w:rsidR="00A03E91" w:rsidRPr="00B67A12">
        <w:rPr>
          <w:spacing w:val="-1"/>
        </w:rPr>
        <w:t>’</w:t>
      </w:r>
      <w:r w:rsidRPr="00B67A12">
        <w:rPr>
          <w:spacing w:val="-1"/>
        </w:rPr>
        <w:t>améliorer les aspects méthodologiques de cette intégration d</w:t>
      </w:r>
      <w:r w:rsidR="00A03E91" w:rsidRPr="00B67A12">
        <w:rPr>
          <w:spacing w:val="-1"/>
        </w:rPr>
        <w:t>’</w:t>
      </w:r>
      <w:r w:rsidRPr="00B67A12">
        <w:rPr>
          <w:spacing w:val="-1"/>
        </w:rPr>
        <w:t>une étude à l</w:t>
      </w:r>
      <w:r w:rsidR="00A03E91" w:rsidRPr="00B67A12">
        <w:rPr>
          <w:spacing w:val="-1"/>
        </w:rPr>
        <w:t>’</w:t>
      </w:r>
      <w:r w:rsidRPr="00B67A12">
        <w:rPr>
          <w:spacing w:val="-1"/>
        </w:rPr>
        <w:t>autre. Toutefois, sur le plan méthodologique, il a été difficile de dépasser le cadre des indicateurs convenus à l</w:t>
      </w:r>
      <w:r w:rsidR="00A03E91" w:rsidRPr="00B67A12">
        <w:rPr>
          <w:spacing w:val="-1"/>
        </w:rPr>
        <w:t>’</w:t>
      </w:r>
      <w:r w:rsidRPr="00B67A12">
        <w:rPr>
          <w:spacing w:val="-1"/>
        </w:rPr>
        <w:t>échelle mondiale lorsqu</w:t>
      </w:r>
      <w:r w:rsidR="00A03E91" w:rsidRPr="00B67A12">
        <w:rPr>
          <w:spacing w:val="-1"/>
        </w:rPr>
        <w:t>’</w:t>
      </w:r>
      <w:r w:rsidRPr="00B67A12">
        <w:rPr>
          <w:spacing w:val="-1"/>
        </w:rPr>
        <w:t>il s</w:t>
      </w:r>
      <w:r w:rsidR="00A03E91" w:rsidRPr="00B67A12">
        <w:rPr>
          <w:spacing w:val="-1"/>
        </w:rPr>
        <w:t>’</w:t>
      </w:r>
      <w:r w:rsidRPr="00B67A12">
        <w:rPr>
          <w:spacing w:val="-1"/>
        </w:rPr>
        <w:t>agissait d</w:t>
      </w:r>
      <w:r w:rsidR="00A03E91" w:rsidRPr="00B67A12">
        <w:rPr>
          <w:spacing w:val="-1"/>
        </w:rPr>
        <w:t>’</w:t>
      </w:r>
      <w:r w:rsidRPr="00B67A12">
        <w:rPr>
          <w:spacing w:val="-1"/>
        </w:rPr>
        <w:t>examiner des cibles spécifiques dans les différents chapitres. Un autre défi tient à la dimension intersectorielle des objectifs de développement durable, dont il est difficile de rendre compte étant donné que les cibles sont présentées sous forme d</w:t>
      </w:r>
      <w:r w:rsidR="00A03E91" w:rsidRPr="00B67A12">
        <w:rPr>
          <w:spacing w:val="-1"/>
        </w:rPr>
        <w:t>’</w:t>
      </w:r>
      <w:r w:rsidRPr="00B67A12">
        <w:rPr>
          <w:spacing w:val="-1"/>
        </w:rPr>
        <w:t>encadrés répartis dans les différents chapitres thématiques des études.</w:t>
      </w:r>
    </w:p>
    <w:p w:rsidR="00113857" w:rsidRPr="00B67A12" w:rsidRDefault="00113857" w:rsidP="00113857">
      <w:pPr>
        <w:pStyle w:val="SingleTxtG"/>
      </w:pPr>
      <w:r w:rsidRPr="00B67A12">
        <w:t>45.</w:t>
      </w:r>
      <w:r w:rsidRPr="00B67A12">
        <w:tab/>
        <w:t>L</w:t>
      </w:r>
      <w:r w:rsidR="00A03E91" w:rsidRPr="00B67A12">
        <w:t>’</w:t>
      </w:r>
      <w:r w:rsidRPr="00B67A12">
        <w:t>intégration des objectifs de développement durable dans le troisième cycle d</w:t>
      </w:r>
      <w:r w:rsidR="00A03E91" w:rsidRPr="00B67A12">
        <w:t>’</w:t>
      </w:r>
      <w:r w:rsidRPr="00B67A12">
        <w:t>études concernant l</w:t>
      </w:r>
      <w:r w:rsidR="00A03E91" w:rsidRPr="00B67A12">
        <w:t>’</w:t>
      </w:r>
      <w:r w:rsidRPr="00B67A12">
        <w:t>Albanie, la Bosnie-Herzégovine et le Kazakhstan et dans l</w:t>
      </w:r>
      <w:r w:rsidR="00A03E91" w:rsidRPr="00B67A12">
        <w:t>’</w:t>
      </w:r>
      <w:r w:rsidRPr="00B67A12">
        <w:t>étude consacrée à la Mongolie n</w:t>
      </w:r>
      <w:r w:rsidR="00A03E91" w:rsidRPr="00B67A12">
        <w:t>’</w:t>
      </w:r>
      <w:r w:rsidRPr="00B67A12">
        <w:t>a entraîné aucun coût supplémentaire.</w:t>
      </w:r>
    </w:p>
    <w:p w:rsidR="00113857" w:rsidRPr="00B67A12" w:rsidRDefault="00113857" w:rsidP="00113857">
      <w:pPr>
        <w:pStyle w:val="HChG"/>
      </w:pPr>
      <w:r w:rsidRPr="00B67A12">
        <w:tab/>
        <w:t>III.</w:t>
      </w:r>
      <w:r w:rsidRPr="00B67A12">
        <w:tab/>
        <w:t>Nouvelles mesures à prendre</w:t>
      </w:r>
    </w:p>
    <w:p w:rsidR="00113857" w:rsidRPr="00B67A12" w:rsidRDefault="00113857" w:rsidP="00113857">
      <w:pPr>
        <w:pStyle w:val="SingleTxtG"/>
      </w:pPr>
      <w:r w:rsidRPr="00B67A12">
        <w:t>46.</w:t>
      </w:r>
      <w:r w:rsidRPr="00B67A12">
        <w:tab/>
        <w:t>À l</w:t>
      </w:r>
      <w:r w:rsidR="00A03E91" w:rsidRPr="00B67A12">
        <w:t>’</w:t>
      </w:r>
      <w:r w:rsidRPr="00B67A12">
        <w:t>échéance de septembre 2018, plus de la moitié des pays remplissant les conditions requises ont fait ou font l</w:t>
      </w:r>
      <w:r w:rsidR="00A03E91" w:rsidRPr="00B67A12">
        <w:t>’</w:t>
      </w:r>
      <w:r w:rsidRPr="00B67A12">
        <w:t>objet d</w:t>
      </w:r>
      <w:r w:rsidR="00A03E91" w:rsidRPr="00B67A12">
        <w:t>’</w:t>
      </w:r>
      <w:r w:rsidRPr="00B67A12">
        <w:t>une troisième étude de leur performance environnementale. La troisième étude de l</w:t>
      </w:r>
      <w:r w:rsidR="00A03E91" w:rsidRPr="00B67A12">
        <w:t>’</w:t>
      </w:r>
      <w:r w:rsidRPr="00B67A12">
        <w:t>Ouzbékistan se poursuivra en 2019. Les nouvelles mesures à prendre incluent la poursuite du troisième cycle pour répondre aux demandes formulées par les pays remplissant les conditions requises. Des demandes dans ce sens ont été reçues de la Roumanie et de l</w:t>
      </w:r>
      <w:r w:rsidR="00A03E91" w:rsidRPr="00B67A12">
        <w:t>’</w:t>
      </w:r>
      <w:r w:rsidRPr="00B67A12">
        <w:t>Ukraine. En outre, pour d</w:t>
      </w:r>
      <w:r w:rsidR="00A03E91" w:rsidRPr="00B67A12">
        <w:t>’</w:t>
      </w:r>
      <w:r w:rsidRPr="00B67A12">
        <w:t>autres pays de la région qui ne sont pas membres de l</w:t>
      </w:r>
      <w:r w:rsidR="00A03E91" w:rsidRPr="00B67A12">
        <w:t>’</w:t>
      </w:r>
      <w:r w:rsidRPr="00B67A12">
        <w:t>OCDE, il pourrait être profitable d</w:t>
      </w:r>
      <w:r w:rsidR="00A03E91" w:rsidRPr="00B67A12">
        <w:t>’</w:t>
      </w:r>
      <w:r w:rsidRPr="00B67A12">
        <w:t>entreprendre une étude de la performance environnementale en réponse à l</w:t>
      </w:r>
      <w:r w:rsidR="00A03E91" w:rsidRPr="00B67A12">
        <w:t>’</w:t>
      </w:r>
      <w:r w:rsidR="00723379" w:rsidRPr="00B67A12">
        <w:t>appel lancé par les ministres à </w:t>
      </w:r>
      <w:r w:rsidRPr="00B67A12">
        <w:t>Batumi.</w:t>
      </w:r>
    </w:p>
    <w:p w:rsidR="00113857" w:rsidRPr="00B67A12" w:rsidRDefault="00113857" w:rsidP="00113857">
      <w:pPr>
        <w:pStyle w:val="SingleTxtG"/>
      </w:pPr>
      <w:r w:rsidRPr="00B67A12">
        <w:t>47.</w:t>
      </w:r>
      <w:r w:rsidRPr="00B67A12">
        <w:tab/>
        <w:t>À l</w:t>
      </w:r>
      <w:r w:rsidR="00A03E91" w:rsidRPr="00B67A12">
        <w:t>’</w:t>
      </w:r>
      <w:r w:rsidRPr="00B67A12">
        <w:t>avenir, les objectifs de développement durable pourraient être intégrés de façon plus poussée dans les études de la performance environnementale, à mesure que davantage de données et d</w:t>
      </w:r>
      <w:r w:rsidR="00A03E91" w:rsidRPr="00B67A12">
        <w:t>’</w:t>
      </w:r>
      <w:r w:rsidRPr="00B67A12">
        <w:t>informations deviennent disponibles, et la dimension intersectorielle des objectifs pourrait être mieux prise en compte lorsqu</w:t>
      </w:r>
      <w:r w:rsidR="00A03E91" w:rsidRPr="00B67A12">
        <w:t>’</w:t>
      </w:r>
      <w:r w:rsidRPr="00B67A12">
        <w:t>on aura acquis une expérience suffisante. Renforcer les liens entre la procédure d</w:t>
      </w:r>
      <w:r w:rsidR="00A03E91" w:rsidRPr="00B67A12">
        <w:t>’</w:t>
      </w:r>
      <w:r w:rsidRPr="00B67A12">
        <w:t>étude de la performance environnementale et l</w:t>
      </w:r>
      <w:r w:rsidR="00A03E91" w:rsidRPr="00B67A12">
        <w:t>’</w:t>
      </w:r>
      <w:r w:rsidRPr="00B67A12">
        <w:t>ensemble des processus et dispositifs nationaux de mise en œuvre et d</w:t>
      </w:r>
      <w:r w:rsidR="00A03E91" w:rsidRPr="00B67A12">
        <w:t>’</w:t>
      </w:r>
      <w:r w:rsidRPr="00B67A12">
        <w:t xml:space="preserve">examen du Programme </w:t>
      </w:r>
      <w:r w:rsidR="00214513">
        <w:t>2030</w:t>
      </w:r>
      <w:r w:rsidRPr="00B67A12">
        <w:t xml:space="preserve"> dans les pays étudiés est une démarche qu</w:t>
      </w:r>
      <w:r w:rsidR="00A03E91" w:rsidRPr="00B67A12">
        <w:t>’</w:t>
      </w:r>
      <w:r w:rsidRPr="00B67A12">
        <w:t xml:space="preserve">il importe de </w:t>
      </w:r>
      <w:r w:rsidRPr="00B67A12">
        <w:lastRenderedPageBreak/>
        <w:t>promouvoir car elle pourrait permettre d</w:t>
      </w:r>
      <w:r w:rsidR="00A03E91" w:rsidRPr="00B67A12">
        <w:t>’</w:t>
      </w:r>
      <w:r w:rsidRPr="00B67A12">
        <w:t>intégrer de façon plus pertinente les objectifs de développement durable dans les études. En outre, les études continueront d</w:t>
      </w:r>
      <w:r w:rsidR="00A03E91" w:rsidRPr="00B67A12">
        <w:t>’</w:t>
      </w:r>
      <w:r w:rsidRPr="00B67A12">
        <w:t>examiner les défis et les possibilités que représentent les grands projets d</w:t>
      </w:r>
      <w:r w:rsidR="00A03E91" w:rsidRPr="00B67A12">
        <w:t>’</w:t>
      </w:r>
      <w:r w:rsidRPr="00B67A12">
        <w:t xml:space="preserve">infrastructure tels que le gazoduc </w:t>
      </w:r>
      <w:proofErr w:type="spellStart"/>
      <w:r w:rsidRPr="00B67A12">
        <w:t>trans</w:t>
      </w:r>
      <w:proofErr w:type="spellEnd"/>
      <w:r w:rsidRPr="00B67A12">
        <w:t>-Adriatique et l</w:t>
      </w:r>
      <w:r w:rsidR="00A03E91" w:rsidRPr="00B67A12">
        <w:t>’</w:t>
      </w:r>
      <w:r w:rsidRPr="00B67A12">
        <w:t>initiative « Une ceinture et une route », lorsqu</w:t>
      </w:r>
      <w:r w:rsidR="00A03E91" w:rsidRPr="00B67A12">
        <w:t>’</w:t>
      </w:r>
      <w:r w:rsidRPr="00B67A12">
        <w:t>ils concernent les pays étudiés, et des recommandations seront formulées à cet égard.</w:t>
      </w:r>
    </w:p>
    <w:p w:rsidR="00113857" w:rsidRPr="00B67A12" w:rsidRDefault="00113857" w:rsidP="00113857">
      <w:pPr>
        <w:pStyle w:val="SingleTxtG"/>
      </w:pPr>
      <w:r w:rsidRPr="00B67A12">
        <w:t>48.</w:t>
      </w:r>
      <w:r w:rsidRPr="00B67A12">
        <w:tab/>
        <w:t>Dans le cadre du projet financé par le Compte de l</w:t>
      </w:r>
      <w:r w:rsidR="00A03E91" w:rsidRPr="00B67A12">
        <w:t>’</w:t>
      </w:r>
      <w:r w:rsidRPr="00B67A12">
        <w:t>ONU pour le développement, cinq pays de l</w:t>
      </w:r>
      <w:r w:rsidR="00A03E91" w:rsidRPr="00B67A12">
        <w:t>’</w:t>
      </w:r>
      <w:r w:rsidRPr="00B67A12">
        <w:t>Europe du Sud-Est bénéficieront d</w:t>
      </w:r>
      <w:r w:rsidR="00A03E91" w:rsidRPr="00B67A12">
        <w:t>’</w:t>
      </w:r>
      <w:r w:rsidRPr="00B67A12">
        <w:t>une aide pour élaborer des plans d</w:t>
      </w:r>
      <w:r w:rsidR="00A03E91" w:rsidRPr="00B67A12">
        <w:t>’</w:t>
      </w:r>
      <w:r w:rsidRPr="00B67A12">
        <w:t>action nationaux et/ou des dispositifs (documents d</w:t>
      </w:r>
      <w:r w:rsidR="00A03E91" w:rsidRPr="00B67A12">
        <w:t>’</w:t>
      </w:r>
      <w:r w:rsidRPr="00B67A12">
        <w:t>orientation, lois et règlements d</w:t>
      </w:r>
      <w:r w:rsidR="00A03E91" w:rsidRPr="00B67A12">
        <w:t>’</w:t>
      </w:r>
      <w:r w:rsidRPr="00B67A12">
        <w:t>application) afin de mettre en œuvre les recommandations issues de l</w:t>
      </w:r>
      <w:r w:rsidR="00A03E91" w:rsidRPr="00B67A12">
        <w:t>’</w:t>
      </w:r>
      <w:r w:rsidRPr="00B67A12">
        <w:t>étude les concernant en fonction des objectifs de développement durable. La réalisation de ce projet permettra, dans le cadre du Programme d</w:t>
      </w:r>
      <w:r w:rsidR="00A03E91" w:rsidRPr="00B67A12">
        <w:t>’</w:t>
      </w:r>
      <w:r w:rsidRPr="00B67A12">
        <w:t>études de la performance environnementale, d</w:t>
      </w:r>
      <w:r w:rsidR="00A03E91" w:rsidRPr="00B67A12">
        <w:t>’</w:t>
      </w:r>
      <w:r w:rsidRPr="00B67A12">
        <w:t>acquérir une expérience pratique pour aider les pays étudiés à appliquer les recommandations. Cette expérience pourrait également fournir des idées sur les moyens d</w:t>
      </w:r>
      <w:r w:rsidR="00A03E91" w:rsidRPr="00B67A12">
        <w:t>’</w:t>
      </w:r>
      <w:r w:rsidRPr="00B67A12">
        <w:t>améliorer la méthodologie des études à l</w:t>
      </w:r>
      <w:r w:rsidR="00A03E91" w:rsidRPr="00B67A12">
        <w:t>’</w:t>
      </w:r>
      <w:r w:rsidRPr="00B67A12">
        <w:t>avenir.</w:t>
      </w:r>
    </w:p>
    <w:p w:rsidR="00113857" w:rsidRPr="00B67A12" w:rsidRDefault="00113857" w:rsidP="00113857">
      <w:pPr>
        <w:pStyle w:val="SingleTxtG"/>
      </w:pPr>
      <w:r w:rsidRPr="00B67A12">
        <w:t>49.</w:t>
      </w:r>
      <w:r w:rsidRPr="00B67A12">
        <w:tab/>
        <w:t>En outre, les études de la performance environnementale offrent d</w:t>
      </w:r>
      <w:r w:rsidR="00A03E91" w:rsidRPr="00B67A12">
        <w:t>’</w:t>
      </w:r>
      <w:r w:rsidRPr="00B67A12">
        <w:t>importantes possibilités en matière d</w:t>
      </w:r>
      <w:r w:rsidR="00A03E91" w:rsidRPr="00B67A12">
        <w:t>’</w:t>
      </w:r>
      <w:r w:rsidRPr="00B67A12">
        <w:t>apprentissage par les pairs, de réseautage et de développement des capacités. Un atelier d</w:t>
      </w:r>
      <w:r w:rsidR="00A03E91" w:rsidRPr="00B67A12">
        <w:t>’</w:t>
      </w:r>
      <w:r w:rsidRPr="00B67A12">
        <w:t>apprentissage par les pairs intitulé « Politiques de mise en œuvre du Programme de développement durable à l</w:t>
      </w:r>
      <w:r w:rsidR="00A03E91" w:rsidRPr="00B67A12">
        <w:t>’</w:t>
      </w:r>
      <w:r w:rsidRPr="00B67A12">
        <w:t>horizon 2030 : échange de pratiques optimales sur la base des études de la performance environnementale de la CEE » est prévu à Minsk en novembre 2018. Des activités analogues de développement des capacités pourraient être organisées à l</w:t>
      </w:r>
      <w:r w:rsidR="00A03E91" w:rsidRPr="00B67A12">
        <w:t>’</w:t>
      </w:r>
      <w:r w:rsidRPr="00B67A12">
        <w:t>avenir, sous réserve que le secrétariat dispose du personnel suffisant pour entreprendre ces travaux.</w:t>
      </w:r>
    </w:p>
    <w:p w:rsidR="00446FE5" w:rsidRPr="00B67A12" w:rsidRDefault="00113857" w:rsidP="00113857">
      <w:pPr>
        <w:pStyle w:val="SingleTxtG"/>
        <w:spacing w:before="240" w:after="0"/>
        <w:jc w:val="center"/>
        <w:rPr>
          <w:u w:val="single"/>
        </w:rPr>
      </w:pPr>
      <w:r w:rsidRPr="00B67A12">
        <w:rPr>
          <w:u w:val="single"/>
        </w:rPr>
        <w:tab/>
      </w:r>
      <w:r w:rsidRPr="00B67A12">
        <w:rPr>
          <w:u w:val="single"/>
        </w:rPr>
        <w:tab/>
      </w:r>
      <w:r w:rsidRPr="00B67A12">
        <w:rPr>
          <w:u w:val="single"/>
        </w:rPr>
        <w:tab/>
      </w:r>
    </w:p>
    <w:sectPr w:rsidR="00446FE5" w:rsidRPr="00B67A12" w:rsidSect="00C26AAA">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F95C08">
      <w:pPr>
        <w:spacing w:line="240" w:lineRule="auto"/>
      </w:pPr>
    </w:p>
  </w:endnote>
  <w:endnote w:type="continuationSeparator" w:id="0">
    <w:p w:rsidR="00D66874" w:rsidRPr="00AC3823" w:rsidRDefault="00D66874" w:rsidP="00AC3823">
      <w:pPr>
        <w:pStyle w:val="Pieddepage"/>
      </w:pPr>
    </w:p>
  </w:endnote>
  <w:endnote w:type="continuationNotice" w:id="1">
    <w:p w:rsidR="00D66874" w:rsidRDefault="00D668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74" w:rsidRPr="00C26AAA" w:rsidRDefault="00D66874" w:rsidP="00C26AAA">
    <w:pPr>
      <w:pStyle w:val="Pieddepage"/>
      <w:tabs>
        <w:tab w:val="right" w:pos="9638"/>
      </w:tabs>
    </w:pPr>
    <w:r w:rsidRPr="00C26AAA">
      <w:rPr>
        <w:b/>
        <w:sz w:val="18"/>
      </w:rPr>
      <w:fldChar w:fldCharType="begin"/>
    </w:r>
    <w:r w:rsidRPr="00C26AAA">
      <w:rPr>
        <w:b/>
        <w:sz w:val="18"/>
      </w:rPr>
      <w:instrText xml:space="preserve"> PAGE  \* MERGEFORMAT </w:instrText>
    </w:r>
    <w:r w:rsidRPr="00C26AAA">
      <w:rPr>
        <w:b/>
        <w:sz w:val="18"/>
      </w:rPr>
      <w:fldChar w:fldCharType="separate"/>
    </w:r>
    <w:r w:rsidR="00020FE4">
      <w:rPr>
        <w:b/>
        <w:noProof/>
        <w:sz w:val="18"/>
      </w:rPr>
      <w:t>2</w:t>
    </w:r>
    <w:r w:rsidRPr="00C26AAA">
      <w:rPr>
        <w:b/>
        <w:sz w:val="18"/>
      </w:rPr>
      <w:fldChar w:fldCharType="end"/>
    </w:r>
    <w:r>
      <w:rPr>
        <w:b/>
        <w:sz w:val="18"/>
      </w:rPr>
      <w:tab/>
    </w:r>
    <w:r>
      <w:t>GE.18-18883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74" w:rsidRPr="00C26AAA" w:rsidRDefault="00D66874" w:rsidP="00C26AAA">
    <w:pPr>
      <w:pStyle w:val="Pieddepage"/>
      <w:tabs>
        <w:tab w:val="right" w:pos="9638"/>
      </w:tabs>
      <w:rPr>
        <w:b/>
        <w:sz w:val="18"/>
      </w:rPr>
    </w:pPr>
    <w:r>
      <w:t>GE.18-18883</w:t>
    </w:r>
    <w:r>
      <w:tab/>
    </w:r>
    <w:r w:rsidRPr="00C26AAA">
      <w:rPr>
        <w:b/>
        <w:sz w:val="18"/>
      </w:rPr>
      <w:fldChar w:fldCharType="begin"/>
    </w:r>
    <w:r w:rsidRPr="00C26AAA">
      <w:rPr>
        <w:b/>
        <w:sz w:val="18"/>
      </w:rPr>
      <w:instrText xml:space="preserve"> PAGE  \* MERGEFORMAT </w:instrText>
    </w:r>
    <w:r w:rsidRPr="00C26AAA">
      <w:rPr>
        <w:b/>
        <w:sz w:val="18"/>
      </w:rPr>
      <w:fldChar w:fldCharType="separate"/>
    </w:r>
    <w:r w:rsidR="008E7B01">
      <w:rPr>
        <w:b/>
        <w:noProof/>
        <w:sz w:val="18"/>
      </w:rPr>
      <w:t>13</w:t>
    </w:r>
    <w:r w:rsidRPr="00C26A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74" w:rsidRPr="00C26AAA" w:rsidRDefault="00D66874" w:rsidP="00C26AA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18-18883  (F)    141118    131218</w:t>
    </w:r>
    <w:r>
      <w:rPr>
        <w:sz w:val="20"/>
      </w:rPr>
      <w:br/>
    </w:r>
    <w:r w:rsidRPr="00C26AAA">
      <w:rPr>
        <w:rFonts w:ascii="C39T30Lfz" w:hAnsi="C39T30Lfz"/>
        <w:sz w:val="56"/>
      </w:rPr>
      <w:t></w:t>
    </w:r>
    <w:r w:rsidRPr="00C26AAA">
      <w:rPr>
        <w:rFonts w:ascii="C39T30Lfz" w:hAnsi="C39T30Lfz"/>
        <w:sz w:val="56"/>
      </w:rPr>
      <w:t></w:t>
    </w:r>
    <w:r w:rsidRPr="00C26AAA">
      <w:rPr>
        <w:rFonts w:ascii="C39T30Lfz" w:hAnsi="C39T30Lfz"/>
        <w:sz w:val="56"/>
      </w:rPr>
      <w:t></w:t>
    </w:r>
    <w:r w:rsidRPr="00C26AAA">
      <w:rPr>
        <w:rFonts w:ascii="C39T30Lfz" w:hAnsi="C39T30Lfz"/>
        <w:sz w:val="56"/>
      </w:rPr>
      <w:t></w:t>
    </w:r>
    <w:r w:rsidRPr="00C26AAA">
      <w:rPr>
        <w:rFonts w:ascii="C39T30Lfz" w:hAnsi="C39T30Lfz"/>
        <w:sz w:val="56"/>
      </w:rPr>
      <w:t></w:t>
    </w:r>
    <w:r w:rsidRPr="00C26AAA">
      <w:rPr>
        <w:rFonts w:ascii="C39T30Lfz" w:hAnsi="C39T30Lfz"/>
        <w:sz w:val="56"/>
      </w:rPr>
      <w:t></w:t>
    </w:r>
    <w:r w:rsidRPr="00C26AAA">
      <w:rPr>
        <w:rFonts w:ascii="C39T30Lfz" w:hAnsi="C39T30Lfz"/>
        <w:sz w:val="56"/>
      </w:rPr>
      <w:t></w:t>
    </w:r>
    <w:r w:rsidRPr="00C26AAA">
      <w:rPr>
        <w:rFonts w:ascii="C39T30Lfz" w:hAnsi="C39T30Lfz"/>
        <w:sz w:val="56"/>
      </w:rPr>
      <w:t></w:t>
    </w:r>
    <w:r w:rsidRPr="00C26AA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9/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Pr="00AC3823" w:rsidRDefault="00D66874" w:rsidP="00AC3823">
      <w:pPr>
        <w:pStyle w:val="Pieddepage"/>
        <w:tabs>
          <w:tab w:val="right" w:pos="2155"/>
        </w:tabs>
        <w:spacing w:after="80" w:line="240" w:lineRule="atLeast"/>
        <w:ind w:left="680"/>
        <w:rPr>
          <w:u w:val="single"/>
        </w:rPr>
      </w:pPr>
      <w:r>
        <w:rPr>
          <w:u w:val="single"/>
        </w:rPr>
        <w:tab/>
      </w:r>
    </w:p>
  </w:footnote>
  <w:footnote w:type="continuationSeparator" w:id="0">
    <w:p w:rsidR="00D66874" w:rsidRPr="00AC3823" w:rsidRDefault="00D66874" w:rsidP="00AC3823">
      <w:pPr>
        <w:pStyle w:val="Pieddepage"/>
        <w:tabs>
          <w:tab w:val="right" w:pos="2155"/>
        </w:tabs>
        <w:spacing w:after="80" w:line="240" w:lineRule="atLeast"/>
        <w:ind w:left="680"/>
        <w:rPr>
          <w:u w:val="single"/>
        </w:rPr>
      </w:pPr>
      <w:r>
        <w:rPr>
          <w:u w:val="single"/>
        </w:rPr>
        <w:tab/>
      </w:r>
    </w:p>
  </w:footnote>
  <w:footnote w:type="continuationNotice" w:id="1">
    <w:p w:rsidR="00D66874" w:rsidRPr="00AC3823" w:rsidRDefault="00D66874">
      <w:pPr>
        <w:spacing w:line="240" w:lineRule="auto"/>
        <w:rPr>
          <w:sz w:val="2"/>
          <w:szCs w:val="2"/>
        </w:rPr>
      </w:pPr>
    </w:p>
  </w:footnote>
  <w:footnote w:id="2">
    <w:p w:rsidR="00D66874" w:rsidRDefault="00D66874" w:rsidP="00113857">
      <w:pPr>
        <w:pStyle w:val="Notedebasdepage"/>
      </w:pPr>
      <w:r>
        <w:tab/>
      </w:r>
      <w:r w:rsidRPr="00343B98">
        <w:rPr>
          <w:rStyle w:val="Appelnotedebasdep"/>
        </w:rPr>
        <w:footnoteRef/>
      </w:r>
      <w:r>
        <w:tab/>
        <w:t>Toutes les dates mentionnées pour les études dans le présent document renvoient à l’année où les recommandations issues de l’étude considérée ont été adoptées par le Comité des politiques de l’environnement, sauf indication contraire.</w:t>
      </w:r>
    </w:p>
  </w:footnote>
  <w:footnote w:id="3">
    <w:p w:rsidR="00D66874" w:rsidRDefault="00D66874" w:rsidP="00113857">
      <w:pPr>
        <w:pStyle w:val="Notedebasdepage"/>
      </w:pPr>
      <w:r>
        <w:tab/>
      </w:r>
      <w:r w:rsidRPr="00343B98">
        <w:rPr>
          <w:rStyle w:val="Appelnotedebasdep"/>
        </w:rPr>
        <w:footnoteRef/>
      </w:r>
      <w:r>
        <w:tab/>
        <w:t xml:space="preserve">Voir </w:t>
      </w:r>
      <w:r w:rsidRPr="00764771">
        <w:t>United</w:t>
      </w:r>
      <w:r>
        <w:t xml:space="preserve"> </w:t>
      </w:r>
      <w:r w:rsidRPr="00764771">
        <w:t>Nations</w:t>
      </w:r>
      <w:r>
        <w:t xml:space="preserve"> </w:t>
      </w:r>
      <w:r w:rsidRPr="00764771">
        <w:t>in</w:t>
      </w:r>
      <w:r>
        <w:t xml:space="preserve"> </w:t>
      </w:r>
      <w:proofErr w:type="spellStart"/>
      <w:r w:rsidRPr="00764771">
        <w:t>Bosnia</w:t>
      </w:r>
      <w:proofErr w:type="spellEnd"/>
      <w:r>
        <w:t xml:space="preserve"> </w:t>
      </w:r>
      <w:r w:rsidRPr="00764771">
        <w:t>and</w:t>
      </w:r>
      <w:r>
        <w:t xml:space="preserve"> </w:t>
      </w:r>
      <w:proofErr w:type="spellStart"/>
      <w:r w:rsidRPr="00764771">
        <w:t>Herzegovina</w:t>
      </w:r>
      <w:proofErr w:type="spellEnd"/>
      <w:r>
        <w:t xml:space="preserve"> </w:t>
      </w:r>
      <w:r w:rsidRPr="00764771">
        <w:t>–</w:t>
      </w:r>
      <w:r>
        <w:t xml:space="preserve"> </w:t>
      </w:r>
      <w:proofErr w:type="spellStart"/>
      <w:r w:rsidRPr="00764771">
        <w:t>Sustainable</w:t>
      </w:r>
      <w:proofErr w:type="spellEnd"/>
      <w:r>
        <w:t xml:space="preserve"> </w:t>
      </w:r>
      <w:proofErr w:type="spellStart"/>
      <w:r w:rsidRPr="00764771">
        <w:t>Development</w:t>
      </w:r>
      <w:proofErr w:type="spellEnd"/>
      <w:r>
        <w:t xml:space="preserve"> </w:t>
      </w:r>
      <w:r w:rsidRPr="00764771">
        <w:t>Goals</w:t>
      </w:r>
      <w:r>
        <w:t xml:space="preserve"> </w:t>
      </w:r>
      <w:r w:rsidRPr="00764771">
        <w:t>consultation</w:t>
      </w:r>
      <w:r>
        <w:t xml:space="preserve"> </w:t>
      </w:r>
      <w:proofErr w:type="spellStart"/>
      <w:r w:rsidRPr="00764771">
        <w:t>tool</w:t>
      </w:r>
      <w:proofErr w:type="spellEnd"/>
      <w:r>
        <w:t xml:space="preserve"> </w:t>
      </w:r>
      <w:r w:rsidRPr="00764771">
        <w:t>https</w:t>
      </w:r>
      <w:r>
        <w:t>:</w:t>
      </w:r>
      <w:r w:rsidRPr="00764771">
        <w:t>//youtu.be/2zq891WnQ2c</w:t>
      </w:r>
      <w:r>
        <w:t>.</w:t>
      </w:r>
    </w:p>
  </w:footnote>
  <w:footnote w:id="4">
    <w:p w:rsidR="00D66874" w:rsidRDefault="00D66874" w:rsidP="00113857">
      <w:pPr>
        <w:pStyle w:val="Notedebasdepage"/>
      </w:pPr>
      <w:r>
        <w:tab/>
      </w:r>
      <w:r w:rsidRPr="00343B98">
        <w:rPr>
          <w:rStyle w:val="Appelnotedebasdep"/>
        </w:rPr>
        <w:footnoteRef/>
      </w:r>
      <w:r>
        <w:tab/>
        <w:t xml:space="preserve">Tous les pays ont choisi la quatrième option parmi celles exposées dans le document </w:t>
      </w:r>
      <w:r w:rsidRPr="00CF2285">
        <w:t>ECE/CEP/2017/11</w:t>
      </w:r>
      <w:r>
        <w:t xml:space="preserve"> : </w:t>
      </w:r>
      <w:r>
        <w:rPr>
          <w:rFonts w:eastAsia="Times New Roman"/>
        </w:rPr>
        <w:t>Dresser un bilan général de la mise en œuvre du Programme 2030 dans le chapitre consacré au cadre relatif aux questions juridiques et à l’élaboration des politiques et intégrer l’étude relative aux objectifs et/ou cibles pertinents dans les autres chapitres.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74" w:rsidRPr="00C26AAA" w:rsidRDefault="00D66874">
    <w:pPr>
      <w:pStyle w:val="En-tte"/>
    </w:pPr>
    <w:fldSimple w:instr=" TITLE  \* MERGEFORMAT ">
      <w:r>
        <w:t>ECE/CEP/2019/8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74" w:rsidRPr="00C26AAA" w:rsidRDefault="00D66874" w:rsidP="00C26AAA">
    <w:pPr>
      <w:pStyle w:val="En-tte"/>
      <w:jc w:val="right"/>
    </w:pPr>
    <w:fldSimple w:instr=" TITLE  \* MERGEFORMAT ">
      <w:r>
        <w:t>ECE/CEP/2019/8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C2"/>
    <w:rsid w:val="00017F94"/>
    <w:rsid w:val="00020FE4"/>
    <w:rsid w:val="00023842"/>
    <w:rsid w:val="000334F9"/>
    <w:rsid w:val="0007796D"/>
    <w:rsid w:val="000B7790"/>
    <w:rsid w:val="000D3EE9"/>
    <w:rsid w:val="00111F2F"/>
    <w:rsid w:val="00113857"/>
    <w:rsid w:val="001433FD"/>
    <w:rsid w:val="0014365E"/>
    <w:rsid w:val="001541D3"/>
    <w:rsid w:val="00176178"/>
    <w:rsid w:val="001B32F3"/>
    <w:rsid w:val="001F525A"/>
    <w:rsid w:val="00214513"/>
    <w:rsid w:val="00223272"/>
    <w:rsid w:val="0024779E"/>
    <w:rsid w:val="002832AC"/>
    <w:rsid w:val="00295CCA"/>
    <w:rsid w:val="002D7C93"/>
    <w:rsid w:val="003D614A"/>
    <w:rsid w:val="00441C3B"/>
    <w:rsid w:val="00446B0A"/>
    <w:rsid w:val="00446FE5"/>
    <w:rsid w:val="00452396"/>
    <w:rsid w:val="00457332"/>
    <w:rsid w:val="004B0010"/>
    <w:rsid w:val="004D62D4"/>
    <w:rsid w:val="004E468C"/>
    <w:rsid w:val="00506BE1"/>
    <w:rsid w:val="005316B0"/>
    <w:rsid w:val="005505B7"/>
    <w:rsid w:val="00573BE5"/>
    <w:rsid w:val="00586ED3"/>
    <w:rsid w:val="00596AA9"/>
    <w:rsid w:val="005C6D23"/>
    <w:rsid w:val="005F2353"/>
    <w:rsid w:val="00706363"/>
    <w:rsid w:val="0071601D"/>
    <w:rsid w:val="0071667D"/>
    <w:rsid w:val="00723379"/>
    <w:rsid w:val="0074674C"/>
    <w:rsid w:val="00773264"/>
    <w:rsid w:val="00781CC2"/>
    <w:rsid w:val="007A62E6"/>
    <w:rsid w:val="007D08FE"/>
    <w:rsid w:val="0080684C"/>
    <w:rsid w:val="00853E26"/>
    <w:rsid w:val="00871C75"/>
    <w:rsid w:val="008776DC"/>
    <w:rsid w:val="008C4EBD"/>
    <w:rsid w:val="008E7B01"/>
    <w:rsid w:val="008F288C"/>
    <w:rsid w:val="0094398C"/>
    <w:rsid w:val="009705C8"/>
    <w:rsid w:val="00984D02"/>
    <w:rsid w:val="0099589A"/>
    <w:rsid w:val="009C1CF4"/>
    <w:rsid w:val="00A03E91"/>
    <w:rsid w:val="00A30353"/>
    <w:rsid w:val="00A43597"/>
    <w:rsid w:val="00A53777"/>
    <w:rsid w:val="00A83DAF"/>
    <w:rsid w:val="00AA113A"/>
    <w:rsid w:val="00AC3823"/>
    <w:rsid w:val="00AE323C"/>
    <w:rsid w:val="00B00181"/>
    <w:rsid w:val="00B00B0D"/>
    <w:rsid w:val="00B67A12"/>
    <w:rsid w:val="00B765F7"/>
    <w:rsid w:val="00BA0CA9"/>
    <w:rsid w:val="00C02897"/>
    <w:rsid w:val="00C26AAA"/>
    <w:rsid w:val="00C3225E"/>
    <w:rsid w:val="00C6230E"/>
    <w:rsid w:val="00C8321C"/>
    <w:rsid w:val="00C87907"/>
    <w:rsid w:val="00D21DA7"/>
    <w:rsid w:val="00D3439C"/>
    <w:rsid w:val="00D57EA7"/>
    <w:rsid w:val="00D66874"/>
    <w:rsid w:val="00DB1831"/>
    <w:rsid w:val="00DD3BFD"/>
    <w:rsid w:val="00DF6678"/>
    <w:rsid w:val="00E03657"/>
    <w:rsid w:val="00E1105F"/>
    <w:rsid w:val="00EB195E"/>
    <w:rsid w:val="00ED6D16"/>
    <w:rsid w:val="00EF2E22"/>
    <w:rsid w:val="00F02516"/>
    <w:rsid w:val="00F2269B"/>
    <w:rsid w:val="00F660DF"/>
    <w:rsid w:val="00F84610"/>
    <w:rsid w:val="00F93EF0"/>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75527"/>
  <w15:docId w15:val="{1E1EBF2F-0352-431C-B1FD-CA54AC84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preferred">
    <w:name w:val="preferred"/>
    <w:basedOn w:val="Policepardfaut"/>
    <w:rsid w:val="00113857"/>
  </w:style>
  <w:style w:type="character" w:styleId="Accentuation">
    <w:name w:val="Emphasis"/>
    <w:basedOn w:val="Policepardfaut"/>
    <w:uiPriority w:val="20"/>
    <w:qFormat/>
    <w:rsid w:val="00113857"/>
    <w:rPr>
      <w:i/>
      <w:iCs/>
    </w:rPr>
  </w:style>
  <w:style w:type="character" w:customStyle="1" w:styleId="SingleTxtGChar">
    <w:name w:val="_ Single Txt_G Char"/>
    <w:link w:val="SingleTxtG"/>
    <w:rsid w:val="00113857"/>
    <w:rPr>
      <w:rFonts w:ascii="Times New Roman" w:eastAsiaTheme="minorHAnsi" w:hAnsi="Times New Roman" w:cs="Times New Roman"/>
      <w:sz w:val="20"/>
      <w:szCs w:val="20"/>
      <w:lang w:eastAsia="en-US"/>
    </w:rPr>
  </w:style>
  <w:style w:type="paragraph" w:styleId="NormalWeb">
    <w:name w:val="Normal (Web)"/>
    <w:basedOn w:val="Normal"/>
    <w:uiPriority w:val="99"/>
    <w:semiHidden/>
    <w:unhideWhenUsed/>
    <w:rsid w:val="00A83DA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diagramDrawing" Target="diagrams/drawing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182E8-E59B-4E2B-98F7-229E4BBBF532}" type="doc">
      <dgm:prSet loTypeId="urn:microsoft.com/office/officeart/2005/8/layout/venn1" loCatId="relationship" qsTypeId="urn:microsoft.com/office/officeart/2005/8/quickstyle/simple1" qsCatId="simple" csTypeId="urn:microsoft.com/office/officeart/2005/8/colors/colorful4" csCatId="colorful" phldr="1"/>
      <dgm:spPr/>
    </dgm:pt>
    <dgm:pt modelId="{0B411241-4A64-4BEF-A6EE-415CD6277DDC}">
      <dgm:prSet phldrT="[Text]"/>
      <dgm:spPr>
        <a:xfrm>
          <a:off x="1051561" y="-411478"/>
          <a:ext cx="2468876" cy="2468876"/>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 </a:t>
          </a:r>
          <a:endParaRPr lang="en-GB" dirty="0">
            <a:solidFill>
              <a:sysClr val="windowText" lastClr="000000">
                <a:hueOff val="0"/>
                <a:satOff val="0"/>
                <a:lumOff val="0"/>
                <a:alphaOff val="0"/>
              </a:sysClr>
            </a:solidFill>
            <a:latin typeface="Calibri" panose="020F0502020204030204"/>
            <a:ea typeface="+mn-ea"/>
            <a:cs typeface="+mn-cs"/>
          </a:endParaRPr>
        </a:p>
      </dgm:t>
    </dgm:pt>
    <dgm:pt modelId="{08FCD975-E191-48B6-87DE-29FC6D69BAFA}" type="parTrans" cxnId="{7053397E-C6BC-4C90-8437-BF3D3C3A58DB}">
      <dgm:prSet/>
      <dgm:spPr/>
      <dgm:t>
        <a:bodyPr/>
        <a:lstStyle/>
        <a:p>
          <a:endParaRPr lang="en-GB"/>
        </a:p>
      </dgm:t>
    </dgm:pt>
    <dgm:pt modelId="{9DB380B7-6076-4167-8983-75485AB9059F}" type="sibTrans" cxnId="{7053397E-C6BC-4C90-8437-BF3D3C3A58DB}">
      <dgm:prSet/>
      <dgm:spPr/>
      <dgm:t>
        <a:bodyPr/>
        <a:lstStyle/>
        <a:p>
          <a:endParaRPr lang="en-GB"/>
        </a:p>
      </dgm:t>
    </dgm:pt>
    <dgm:pt modelId="{AFF7E543-FB79-4923-87C0-56BCFAD080D4}">
      <dgm:prSet phldrT="[Text]"/>
      <dgm:spPr>
        <a:xfrm>
          <a:off x="1752601" y="289561"/>
          <a:ext cx="2468876" cy="2468876"/>
        </a:xfrm>
        <a:prstGeom prst="ellipse">
          <a:avLst/>
        </a:prstGeom>
        <a:solidFill>
          <a:srgbClr val="FFC000">
            <a:alpha val="50000"/>
            <a:hueOff val="3266964"/>
            <a:satOff val="-13592"/>
            <a:lumOff val="320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 </a:t>
          </a:r>
          <a:endParaRPr lang="en-GB" dirty="0">
            <a:solidFill>
              <a:sysClr val="windowText" lastClr="000000">
                <a:hueOff val="0"/>
                <a:satOff val="0"/>
                <a:lumOff val="0"/>
                <a:alphaOff val="0"/>
              </a:sysClr>
            </a:solidFill>
            <a:latin typeface="Calibri" panose="020F0502020204030204"/>
            <a:ea typeface="+mn-ea"/>
            <a:cs typeface="+mn-cs"/>
          </a:endParaRPr>
        </a:p>
      </dgm:t>
    </dgm:pt>
    <dgm:pt modelId="{B25111BA-B6F0-4622-B40D-40B03E834F7A}" type="parTrans" cxnId="{BD31B580-7829-4D35-A062-885730DFCAA5}">
      <dgm:prSet/>
      <dgm:spPr/>
      <dgm:t>
        <a:bodyPr/>
        <a:lstStyle/>
        <a:p>
          <a:endParaRPr lang="en-GB"/>
        </a:p>
      </dgm:t>
    </dgm:pt>
    <dgm:pt modelId="{E4290EEF-CC87-42FC-BAE8-50864EB595AB}" type="sibTrans" cxnId="{BD31B580-7829-4D35-A062-885730DFCAA5}">
      <dgm:prSet/>
      <dgm:spPr/>
      <dgm:t>
        <a:bodyPr/>
        <a:lstStyle/>
        <a:p>
          <a:endParaRPr lang="en-GB"/>
        </a:p>
      </dgm:t>
    </dgm:pt>
    <dgm:pt modelId="{9AE23D69-0F8F-402E-B584-11ED0D2E60A3}">
      <dgm:prSet phldrT="[Text]"/>
      <dgm:spPr>
        <a:xfrm>
          <a:off x="1051561" y="990601"/>
          <a:ext cx="2468876" cy="2468876"/>
        </a:xfrm>
        <a:prstGeom prst="ellipse">
          <a:avLst/>
        </a:prstGeom>
        <a:solidFill>
          <a:srgbClr val="FFC000">
            <a:alpha val="50000"/>
            <a:hueOff val="6533927"/>
            <a:satOff val="-27185"/>
            <a:lumOff val="640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 </a:t>
          </a:r>
          <a:endParaRPr lang="en-GB" dirty="0">
            <a:solidFill>
              <a:sysClr val="windowText" lastClr="000000">
                <a:hueOff val="0"/>
                <a:satOff val="0"/>
                <a:lumOff val="0"/>
                <a:alphaOff val="0"/>
              </a:sysClr>
            </a:solidFill>
            <a:latin typeface="Calibri" panose="020F0502020204030204"/>
            <a:ea typeface="+mn-ea"/>
            <a:cs typeface="+mn-cs"/>
          </a:endParaRPr>
        </a:p>
      </dgm:t>
    </dgm:pt>
    <dgm:pt modelId="{C6228CA5-612B-4E1A-BE03-DEE48DD97D8F}" type="parTrans" cxnId="{1C7BF762-5198-4A3B-B928-DDE319E9EFCE}">
      <dgm:prSet/>
      <dgm:spPr/>
      <dgm:t>
        <a:bodyPr/>
        <a:lstStyle/>
        <a:p>
          <a:endParaRPr lang="en-GB"/>
        </a:p>
      </dgm:t>
    </dgm:pt>
    <dgm:pt modelId="{C7E24A1B-B3D6-464F-88F4-ED9B64CE1826}" type="sibTrans" cxnId="{1C7BF762-5198-4A3B-B928-DDE319E9EFCE}">
      <dgm:prSet/>
      <dgm:spPr/>
      <dgm:t>
        <a:bodyPr/>
        <a:lstStyle/>
        <a:p>
          <a:endParaRPr lang="en-GB"/>
        </a:p>
      </dgm:t>
    </dgm:pt>
    <dgm:pt modelId="{383294AD-3BD8-486E-85AC-1559A8B0E6A2}">
      <dgm:prSet phldrT="[Text]"/>
      <dgm:spPr>
        <a:xfrm>
          <a:off x="350521" y="289561"/>
          <a:ext cx="2468876" cy="2468876"/>
        </a:xfrm>
        <a:prstGeom prst="ellipse">
          <a:avLst/>
        </a:prstGeom>
        <a:solidFill>
          <a:srgbClr val="FFC000">
            <a:alpha val="50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 </a:t>
          </a:r>
          <a:endParaRPr lang="en-GB" dirty="0">
            <a:solidFill>
              <a:sysClr val="windowText" lastClr="000000">
                <a:hueOff val="0"/>
                <a:satOff val="0"/>
                <a:lumOff val="0"/>
                <a:alphaOff val="0"/>
              </a:sysClr>
            </a:solidFill>
            <a:latin typeface="Calibri" panose="020F0502020204030204"/>
            <a:ea typeface="+mn-ea"/>
            <a:cs typeface="+mn-cs"/>
          </a:endParaRPr>
        </a:p>
      </dgm:t>
    </dgm:pt>
    <dgm:pt modelId="{59ABA760-73B5-49B7-B5FC-7994DC4C43E2}" type="parTrans" cxnId="{DA446DAA-ABB4-46FF-AE3B-2FAFF85668F5}">
      <dgm:prSet/>
      <dgm:spPr/>
      <dgm:t>
        <a:bodyPr/>
        <a:lstStyle/>
        <a:p>
          <a:endParaRPr lang="en-GB"/>
        </a:p>
      </dgm:t>
    </dgm:pt>
    <dgm:pt modelId="{61C7E1B3-1955-45FD-B11A-696E07A70810}" type="sibTrans" cxnId="{DA446DAA-ABB4-46FF-AE3B-2FAFF85668F5}">
      <dgm:prSet/>
      <dgm:spPr/>
      <dgm:t>
        <a:bodyPr/>
        <a:lstStyle/>
        <a:p>
          <a:endParaRPr lang="en-GB"/>
        </a:p>
      </dgm:t>
    </dgm:pt>
    <dgm:pt modelId="{232C73C0-7814-476E-8E66-5305294DAD56}" type="pres">
      <dgm:prSet presAssocID="{C7E182E8-E59B-4E2B-98F7-229E4BBBF532}" presName="compositeShape" presStyleCnt="0">
        <dgm:presLayoutVars>
          <dgm:chMax val="7"/>
          <dgm:dir/>
          <dgm:resizeHandles val="exact"/>
        </dgm:presLayoutVars>
      </dgm:prSet>
      <dgm:spPr/>
    </dgm:pt>
    <dgm:pt modelId="{91924007-CAD3-4D1A-8F78-F0C920D8C682}" type="pres">
      <dgm:prSet presAssocID="{0B411241-4A64-4BEF-A6EE-415CD6277DDC}" presName="circ1" presStyleLbl="vennNode1" presStyleIdx="0" presStyleCnt="4" custScaleX="155769" custScaleY="155769"/>
      <dgm:spPr/>
    </dgm:pt>
    <dgm:pt modelId="{1550BC5A-1605-48F6-AC12-6DCF25DDC1A7}" type="pres">
      <dgm:prSet presAssocID="{0B411241-4A64-4BEF-A6EE-415CD6277DDC}" presName="circ1Tx" presStyleLbl="revTx" presStyleIdx="0" presStyleCnt="0">
        <dgm:presLayoutVars>
          <dgm:chMax val="0"/>
          <dgm:chPref val="0"/>
          <dgm:bulletEnabled val="1"/>
        </dgm:presLayoutVars>
      </dgm:prSet>
      <dgm:spPr/>
    </dgm:pt>
    <dgm:pt modelId="{87D080BA-F0B2-49E1-8C0A-AD9760F925BD}" type="pres">
      <dgm:prSet presAssocID="{AFF7E543-FB79-4923-87C0-56BCFAD080D4}" presName="circ2" presStyleLbl="vennNode1" presStyleIdx="1" presStyleCnt="4" custScaleX="155769" custScaleY="155769"/>
      <dgm:spPr/>
    </dgm:pt>
    <dgm:pt modelId="{AD67C6CB-4B92-4809-B372-F24769179D18}" type="pres">
      <dgm:prSet presAssocID="{AFF7E543-FB79-4923-87C0-56BCFAD080D4}" presName="circ2Tx" presStyleLbl="revTx" presStyleIdx="0" presStyleCnt="0">
        <dgm:presLayoutVars>
          <dgm:chMax val="0"/>
          <dgm:chPref val="0"/>
          <dgm:bulletEnabled val="1"/>
        </dgm:presLayoutVars>
      </dgm:prSet>
      <dgm:spPr/>
    </dgm:pt>
    <dgm:pt modelId="{D5CDE56B-1647-47C1-A39D-5F79C468869B}" type="pres">
      <dgm:prSet presAssocID="{9AE23D69-0F8F-402E-B584-11ED0D2E60A3}" presName="circ3" presStyleLbl="vennNode1" presStyleIdx="2" presStyleCnt="4" custScaleX="155769" custScaleY="155769"/>
      <dgm:spPr/>
    </dgm:pt>
    <dgm:pt modelId="{1D1AC96F-3D22-4F83-A829-4C9D401C09D8}" type="pres">
      <dgm:prSet presAssocID="{9AE23D69-0F8F-402E-B584-11ED0D2E60A3}" presName="circ3Tx" presStyleLbl="revTx" presStyleIdx="0" presStyleCnt="0">
        <dgm:presLayoutVars>
          <dgm:chMax val="0"/>
          <dgm:chPref val="0"/>
          <dgm:bulletEnabled val="1"/>
        </dgm:presLayoutVars>
      </dgm:prSet>
      <dgm:spPr/>
    </dgm:pt>
    <dgm:pt modelId="{5B254A8D-DAAB-4A53-85F0-C8C886813AB9}" type="pres">
      <dgm:prSet presAssocID="{383294AD-3BD8-486E-85AC-1559A8B0E6A2}" presName="circ4" presStyleLbl="vennNode1" presStyleIdx="3" presStyleCnt="4" custScaleX="155769" custScaleY="155769"/>
      <dgm:spPr/>
    </dgm:pt>
    <dgm:pt modelId="{CC8CC696-2D14-415C-B612-82D14F147991}" type="pres">
      <dgm:prSet presAssocID="{383294AD-3BD8-486E-85AC-1559A8B0E6A2}" presName="circ4Tx" presStyleLbl="revTx" presStyleIdx="0" presStyleCnt="0">
        <dgm:presLayoutVars>
          <dgm:chMax val="0"/>
          <dgm:chPref val="0"/>
          <dgm:bulletEnabled val="1"/>
        </dgm:presLayoutVars>
      </dgm:prSet>
      <dgm:spPr/>
    </dgm:pt>
  </dgm:ptLst>
  <dgm:cxnLst>
    <dgm:cxn modelId="{42BB0506-096C-492A-8E60-CAF0EF1F1F9E}" type="presOf" srcId="{C7E182E8-E59B-4E2B-98F7-229E4BBBF532}" destId="{232C73C0-7814-476E-8E66-5305294DAD56}" srcOrd="0" destOrd="0" presId="urn:microsoft.com/office/officeart/2005/8/layout/venn1"/>
    <dgm:cxn modelId="{1C7BF762-5198-4A3B-B928-DDE319E9EFCE}" srcId="{C7E182E8-E59B-4E2B-98F7-229E4BBBF532}" destId="{9AE23D69-0F8F-402E-B584-11ED0D2E60A3}" srcOrd="2" destOrd="0" parTransId="{C6228CA5-612B-4E1A-BE03-DEE48DD97D8F}" sibTransId="{C7E24A1B-B3D6-464F-88F4-ED9B64CE1826}"/>
    <dgm:cxn modelId="{7053397E-C6BC-4C90-8437-BF3D3C3A58DB}" srcId="{C7E182E8-E59B-4E2B-98F7-229E4BBBF532}" destId="{0B411241-4A64-4BEF-A6EE-415CD6277DDC}" srcOrd="0" destOrd="0" parTransId="{08FCD975-E191-48B6-87DE-29FC6D69BAFA}" sibTransId="{9DB380B7-6076-4167-8983-75485AB9059F}"/>
    <dgm:cxn modelId="{225E8A39-F782-4DE4-B600-809E337F430C}" type="presOf" srcId="{9AE23D69-0F8F-402E-B584-11ED0D2E60A3}" destId="{D5CDE56B-1647-47C1-A39D-5F79C468869B}" srcOrd="0" destOrd="0" presId="urn:microsoft.com/office/officeart/2005/8/layout/venn1"/>
    <dgm:cxn modelId="{97AC1011-1C22-4ACA-BC6C-A7E6FAEE6BB7}" type="presOf" srcId="{0B411241-4A64-4BEF-A6EE-415CD6277DDC}" destId="{1550BC5A-1605-48F6-AC12-6DCF25DDC1A7}" srcOrd="1" destOrd="0" presId="urn:microsoft.com/office/officeart/2005/8/layout/venn1"/>
    <dgm:cxn modelId="{9769AFD9-F577-4B2F-9F31-072BCD37FDDD}" type="presOf" srcId="{383294AD-3BD8-486E-85AC-1559A8B0E6A2}" destId="{5B254A8D-DAAB-4A53-85F0-C8C886813AB9}" srcOrd="0" destOrd="0" presId="urn:microsoft.com/office/officeart/2005/8/layout/venn1"/>
    <dgm:cxn modelId="{DA446DAA-ABB4-46FF-AE3B-2FAFF85668F5}" srcId="{C7E182E8-E59B-4E2B-98F7-229E4BBBF532}" destId="{383294AD-3BD8-486E-85AC-1559A8B0E6A2}" srcOrd="3" destOrd="0" parTransId="{59ABA760-73B5-49B7-B5FC-7994DC4C43E2}" sibTransId="{61C7E1B3-1955-45FD-B11A-696E07A70810}"/>
    <dgm:cxn modelId="{1C5E31BD-E694-434B-AF10-EB5032B742A6}" type="presOf" srcId="{9AE23D69-0F8F-402E-B584-11ED0D2E60A3}" destId="{1D1AC96F-3D22-4F83-A829-4C9D401C09D8}" srcOrd="1" destOrd="0" presId="urn:microsoft.com/office/officeart/2005/8/layout/venn1"/>
    <dgm:cxn modelId="{72BC7A2E-91C7-45B1-8C41-1FEED5357871}" type="presOf" srcId="{AFF7E543-FB79-4923-87C0-56BCFAD080D4}" destId="{87D080BA-F0B2-49E1-8C0A-AD9760F925BD}" srcOrd="0" destOrd="0" presId="urn:microsoft.com/office/officeart/2005/8/layout/venn1"/>
    <dgm:cxn modelId="{48FF7A84-0341-45A9-8A87-9C67447FF408}" type="presOf" srcId="{383294AD-3BD8-486E-85AC-1559A8B0E6A2}" destId="{CC8CC696-2D14-415C-B612-82D14F147991}" srcOrd="1" destOrd="0" presId="urn:microsoft.com/office/officeart/2005/8/layout/venn1"/>
    <dgm:cxn modelId="{1BA1CC3C-C750-4DEE-9330-C332BFDF27D8}" type="presOf" srcId="{AFF7E543-FB79-4923-87C0-56BCFAD080D4}" destId="{AD67C6CB-4B92-4809-B372-F24769179D18}" srcOrd="1" destOrd="0" presId="urn:microsoft.com/office/officeart/2005/8/layout/venn1"/>
    <dgm:cxn modelId="{68F2D74A-E5D2-43E8-9128-9E37893C9536}" type="presOf" srcId="{0B411241-4A64-4BEF-A6EE-415CD6277DDC}" destId="{91924007-CAD3-4D1A-8F78-F0C920D8C682}" srcOrd="0" destOrd="0" presId="urn:microsoft.com/office/officeart/2005/8/layout/venn1"/>
    <dgm:cxn modelId="{BD31B580-7829-4D35-A062-885730DFCAA5}" srcId="{C7E182E8-E59B-4E2B-98F7-229E4BBBF532}" destId="{AFF7E543-FB79-4923-87C0-56BCFAD080D4}" srcOrd="1" destOrd="0" parTransId="{B25111BA-B6F0-4622-B40D-40B03E834F7A}" sibTransId="{E4290EEF-CC87-42FC-BAE8-50864EB595AB}"/>
    <dgm:cxn modelId="{00EF6E24-6B51-4731-859A-8484F07241B5}" type="presParOf" srcId="{232C73C0-7814-476E-8E66-5305294DAD56}" destId="{91924007-CAD3-4D1A-8F78-F0C920D8C682}" srcOrd="0" destOrd="0" presId="urn:microsoft.com/office/officeart/2005/8/layout/venn1"/>
    <dgm:cxn modelId="{D7BAD75B-BD51-4F11-8117-19DB99C8FCC4}" type="presParOf" srcId="{232C73C0-7814-476E-8E66-5305294DAD56}" destId="{1550BC5A-1605-48F6-AC12-6DCF25DDC1A7}" srcOrd="1" destOrd="0" presId="urn:microsoft.com/office/officeart/2005/8/layout/venn1"/>
    <dgm:cxn modelId="{4569A268-58A5-4556-9640-75DE8F77AE1D}" type="presParOf" srcId="{232C73C0-7814-476E-8E66-5305294DAD56}" destId="{87D080BA-F0B2-49E1-8C0A-AD9760F925BD}" srcOrd="2" destOrd="0" presId="urn:microsoft.com/office/officeart/2005/8/layout/venn1"/>
    <dgm:cxn modelId="{421B2CB2-B8D1-4B94-BD23-3C05F044DF6E}" type="presParOf" srcId="{232C73C0-7814-476E-8E66-5305294DAD56}" destId="{AD67C6CB-4B92-4809-B372-F24769179D18}" srcOrd="3" destOrd="0" presId="urn:microsoft.com/office/officeart/2005/8/layout/venn1"/>
    <dgm:cxn modelId="{4F0FE1E2-D225-4771-A850-0DD548A08DCE}" type="presParOf" srcId="{232C73C0-7814-476E-8E66-5305294DAD56}" destId="{D5CDE56B-1647-47C1-A39D-5F79C468869B}" srcOrd="4" destOrd="0" presId="urn:microsoft.com/office/officeart/2005/8/layout/venn1"/>
    <dgm:cxn modelId="{58F30E96-118C-405D-B9E3-67C32D788EE3}" type="presParOf" srcId="{232C73C0-7814-476E-8E66-5305294DAD56}" destId="{1D1AC96F-3D22-4F83-A829-4C9D401C09D8}" srcOrd="5" destOrd="0" presId="urn:microsoft.com/office/officeart/2005/8/layout/venn1"/>
    <dgm:cxn modelId="{D0D80A26-AF8D-45E1-BED8-49DB860FB05E}" type="presParOf" srcId="{232C73C0-7814-476E-8E66-5305294DAD56}" destId="{5B254A8D-DAAB-4A53-85F0-C8C886813AB9}" srcOrd="6" destOrd="0" presId="urn:microsoft.com/office/officeart/2005/8/layout/venn1"/>
    <dgm:cxn modelId="{0FAA3DC7-6A2F-4180-90C0-83D94C9D3AA4}" type="presParOf" srcId="{232C73C0-7814-476E-8E66-5305294DAD56}" destId="{CC8CC696-2D14-415C-B612-82D14F147991}" srcOrd="7"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924007-CAD3-4D1A-8F78-F0C920D8C682}">
      <dsp:nvSpPr>
        <dsp:cNvPr id="0" name=""/>
        <dsp:cNvSpPr/>
      </dsp:nvSpPr>
      <dsp:spPr>
        <a:xfrm>
          <a:off x="1051620" y="-411410"/>
          <a:ext cx="2468469" cy="2468469"/>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689100">
            <a:lnSpc>
              <a:spcPct val="90000"/>
            </a:lnSpc>
            <a:spcBef>
              <a:spcPct val="0"/>
            </a:spcBef>
            <a:spcAft>
              <a:spcPct val="35000"/>
            </a:spcAft>
            <a:buNone/>
          </a:pPr>
          <a:r>
            <a:rPr lang="en-US" sz="3800" kern="1200" dirty="0">
              <a:solidFill>
                <a:sysClr val="windowText" lastClr="000000">
                  <a:hueOff val="0"/>
                  <a:satOff val="0"/>
                  <a:lumOff val="0"/>
                  <a:alphaOff val="0"/>
                </a:sysClr>
              </a:solidFill>
              <a:latin typeface="Calibri" panose="020F0502020204030204"/>
              <a:ea typeface="+mn-ea"/>
              <a:cs typeface="+mn-cs"/>
            </a:rPr>
            <a:t> </a:t>
          </a:r>
          <a:endParaRPr lang="en-GB" sz="3800" kern="1200" dirty="0">
            <a:solidFill>
              <a:sysClr val="windowText" lastClr="000000">
                <a:hueOff val="0"/>
                <a:satOff val="0"/>
                <a:lumOff val="0"/>
                <a:alphaOff val="0"/>
              </a:sysClr>
            </a:solidFill>
            <a:latin typeface="Calibri" panose="020F0502020204030204"/>
            <a:ea typeface="+mn-ea"/>
            <a:cs typeface="+mn-cs"/>
          </a:endParaRPr>
        </a:p>
      </dsp:txBody>
      <dsp:txXfrm>
        <a:off x="1614519" y="35590"/>
        <a:ext cx="1342670" cy="553852"/>
      </dsp:txXfrm>
    </dsp:sp>
    <dsp:sp modelId="{87D080BA-F0B2-49E1-8C0A-AD9760F925BD}">
      <dsp:nvSpPr>
        <dsp:cNvPr id="0" name=""/>
        <dsp:cNvSpPr/>
      </dsp:nvSpPr>
      <dsp:spPr>
        <a:xfrm>
          <a:off x="1752544" y="289514"/>
          <a:ext cx="2468469" cy="2468469"/>
        </a:xfrm>
        <a:prstGeom prst="ellipse">
          <a:avLst/>
        </a:prstGeom>
        <a:solidFill>
          <a:srgbClr val="FFC000">
            <a:alpha val="50000"/>
            <a:hueOff val="3266964"/>
            <a:satOff val="-13592"/>
            <a:lumOff val="320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689100">
            <a:lnSpc>
              <a:spcPct val="90000"/>
            </a:lnSpc>
            <a:spcBef>
              <a:spcPct val="0"/>
            </a:spcBef>
            <a:spcAft>
              <a:spcPct val="35000"/>
            </a:spcAft>
            <a:buNone/>
          </a:pPr>
          <a:r>
            <a:rPr lang="en-US" sz="3800" kern="1200" dirty="0">
              <a:solidFill>
                <a:sysClr val="windowText" lastClr="000000">
                  <a:hueOff val="0"/>
                  <a:satOff val="0"/>
                  <a:lumOff val="0"/>
                  <a:alphaOff val="0"/>
                </a:sysClr>
              </a:solidFill>
              <a:latin typeface="Calibri" panose="020F0502020204030204"/>
              <a:ea typeface="+mn-ea"/>
              <a:cs typeface="+mn-cs"/>
            </a:rPr>
            <a:t> </a:t>
          </a:r>
          <a:endParaRPr lang="en-GB" sz="3800" kern="1200" dirty="0">
            <a:solidFill>
              <a:sysClr val="windowText" lastClr="000000">
                <a:hueOff val="0"/>
                <a:satOff val="0"/>
                <a:lumOff val="0"/>
                <a:alphaOff val="0"/>
              </a:sysClr>
            </a:solidFill>
            <a:latin typeface="Calibri" panose="020F0502020204030204"/>
            <a:ea typeface="+mn-ea"/>
            <a:cs typeface="+mn-cs"/>
          </a:endParaRPr>
        </a:p>
      </dsp:txBody>
      <dsp:txXfrm>
        <a:off x="3220758" y="852413"/>
        <a:ext cx="671335" cy="1342670"/>
      </dsp:txXfrm>
    </dsp:sp>
    <dsp:sp modelId="{D5CDE56B-1647-47C1-A39D-5F79C468869B}">
      <dsp:nvSpPr>
        <dsp:cNvPr id="0" name=""/>
        <dsp:cNvSpPr/>
      </dsp:nvSpPr>
      <dsp:spPr>
        <a:xfrm>
          <a:off x="1051620" y="990438"/>
          <a:ext cx="2468469" cy="2468469"/>
        </a:xfrm>
        <a:prstGeom prst="ellipse">
          <a:avLst/>
        </a:prstGeom>
        <a:solidFill>
          <a:srgbClr val="FFC000">
            <a:alpha val="50000"/>
            <a:hueOff val="6533927"/>
            <a:satOff val="-27185"/>
            <a:lumOff val="640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644650">
            <a:lnSpc>
              <a:spcPct val="90000"/>
            </a:lnSpc>
            <a:spcBef>
              <a:spcPct val="0"/>
            </a:spcBef>
            <a:spcAft>
              <a:spcPct val="35000"/>
            </a:spcAft>
            <a:buNone/>
          </a:pPr>
          <a:r>
            <a:rPr lang="en-US" sz="3700" kern="1200" dirty="0">
              <a:solidFill>
                <a:sysClr val="windowText" lastClr="000000">
                  <a:hueOff val="0"/>
                  <a:satOff val="0"/>
                  <a:lumOff val="0"/>
                  <a:alphaOff val="0"/>
                </a:sysClr>
              </a:solidFill>
              <a:latin typeface="Calibri" panose="020F0502020204030204"/>
              <a:ea typeface="+mn-ea"/>
              <a:cs typeface="+mn-cs"/>
            </a:rPr>
            <a:t> </a:t>
          </a:r>
          <a:endParaRPr lang="en-GB" sz="3700" kern="1200" dirty="0">
            <a:solidFill>
              <a:sysClr val="windowText" lastClr="000000">
                <a:hueOff val="0"/>
                <a:satOff val="0"/>
                <a:lumOff val="0"/>
                <a:alphaOff val="0"/>
              </a:sysClr>
            </a:solidFill>
            <a:latin typeface="Calibri" panose="020F0502020204030204"/>
            <a:ea typeface="+mn-ea"/>
            <a:cs typeface="+mn-cs"/>
          </a:endParaRPr>
        </a:p>
      </dsp:txBody>
      <dsp:txXfrm>
        <a:off x="1614519" y="2458055"/>
        <a:ext cx="1342670" cy="553852"/>
      </dsp:txXfrm>
    </dsp:sp>
    <dsp:sp modelId="{5B254A8D-DAAB-4A53-85F0-C8C886813AB9}">
      <dsp:nvSpPr>
        <dsp:cNvPr id="0" name=""/>
        <dsp:cNvSpPr/>
      </dsp:nvSpPr>
      <dsp:spPr>
        <a:xfrm>
          <a:off x="350695" y="289514"/>
          <a:ext cx="2468469" cy="2468469"/>
        </a:xfrm>
        <a:prstGeom prst="ellipse">
          <a:avLst/>
        </a:prstGeom>
        <a:solidFill>
          <a:srgbClr val="FFC000">
            <a:alpha val="50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644650">
            <a:lnSpc>
              <a:spcPct val="90000"/>
            </a:lnSpc>
            <a:spcBef>
              <a:spcPct val="0"/>
            </a:spcBef>
            <a:spcAft>
              <a:spcPct val="35000"/>
            </a:spcAft>
            <a:buNone/>
          </a:pPr>
          <a:r>
            <a:rPr lang="en-US" sz="3700" kern="1200" dirty="0">
              <a:solidFill>
                <a:sysClr val="windowText" lastClr="000000">
                  <a:hueOff val="0"/>
                  <a:satOff val="0"/>
                  <a:lumOff val="0"/>
                  <a:alphaOff val="0"/>
                </a:sysClr>
              </a:solidFill>
              <a:latin typeface="Calibri" panose="020F0502020204030204"/>
              <a:ea typeface="+mn-ea"/>
              <a:cs typeface="+mn-cs"/>
            </a:rPr>
            <a:t> </a:t>
          </a:r>
          <a:endParaRPr lang="en-GB" sz="3700" kern="1200" dirty="0">
            <a:solidFill>
              <a:sysClr val="windowText" lastClr="000000">
                <a:hueOff val="0"/>
                <a:satOff val="0"/>
                <a:lumOff val="0"/>
                <a:alphaOff val="0"/>
              </a:sysClr>
            </a:solidFill>
            <a:latin typeface="Calibri" panose="020F0502020204030204"/>
            <a:ea typeface="+mn-ea"/>
            <a:cs typeface="+mn-cs"/>
          </a:endParaRPr>
        </a:p>
      </dsp:txBody>
      <dsp:txXfrm>
        <a:off x="679615" y="852413"/>
        <a:ext cx="671335" cy="134267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13</Pages>
  <Words>4926</Words>
  <Characters>33996</Characters>
  <Application>Microsoft Office Word</Application>
  <DocSecurity>0</DocSecurity>
  <Lines>3777</Lines>
  <Paragraphs>1621</Paragraphs>
  <ScaleCrop>false</ScaleCrop>
  <HeadingPairs>
    <vt:vector size="2" baseType="variant">
      <vt:variant>
        <vt:lpstr>Titre</vt:lpstr>
      </vt:variant>
      <vt:variant>
        <vt:i4>1</vt:i4>
      </vt:variant>
    </vt:vector>
  </HeadingPairs>
  <TitlesOfParts>
    <vt:vector size="1" baseType="lpstr">
      <vt:lpstr>ECE/CEP/2019/8</vt:lpstr>
    </vt:vector>
  </TitlesOfParts>
  <Company>DCM</Company>
  <LinksUpToDate>false</LinksUpToDate>
  <CharactersWithSpaces>37301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ECE/CEP/2019/8</dc:title>
  <dc:subject/>
  <dc:creator>Nicolas MORIN</dc:creator>
  <cp:keywords/>
  <cp:lastModifiedBy>Nicolas Morin</cp:lastModifiedBy>
  <cp:revision>2</cp:revision>
  <cp:lastPrinted>2018-12-13T13:37:00Z</cp:lastPrinted>
  <dcterms:created xsi:type="dcterms:W3CDTF">2018-12-13T15:27:00Z</dcterms:created>
  <dcterms:modified xsi:type="dcterms:W3CDTF">2018-12-13T15:27:00Z</dcterms:modified>
</cp:coreProperties>
</file>