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B2A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B2A7E" w:rsidP="007B2A7E">
            <w:pPr>
              <w:jc w:val="right"/>
            </w:pPr>
            <w:r w:rsidRPr="007B2A7E">
              <w:rPr>
                <w:sz w:val="40"/>
              </w:rPr>
              <w:t>ECE</w:t>
            </w:r>
            <w:r>
              <w:t>/CEP/2019/5</w:t>
            </w:r>
          </w:p>
        </w:tc>
      </w:tr>
      <w:tr w:rsidR="002D5AAC" w:rsidRPr="00E36EB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2A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B2A7E" w:rsidRDefault="007B2A7E" w:rsidP="007B2A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2018</w:t>
            </w:r>
          </w:p>
          <w:p w:rsidR="007B2A7E" w:rsidRDefault="007B2A7E" w:rsidP="007B2A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B2A7E" w:rsidRPr="008D53B6" w:rsidRDefault="007B2A7E" w:rsidP="007B2A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B2A7E" w:rsidRPr="007B2A7E" w:rsidRDefault="007B2A7E" w:rsidP="007B2A7E">
      <w:pPr>
        <w:spacing w:before="120"/>
        <w:rPr>
          <w:b/>
          <w:sz w:val="28"/>
          <w:szCs w:val="28"/>
        </w:rPr>
      </w:pPr>
      <w:r w:rsidRPr="007B2A7E">
        <w:rPr>
          <w:b/>
          <w:sz w:val="28"/>
          <w:szCs w:val="28"/>
        </w:rPr>
        <w:t>Европейская экономическая комиссия</w:t>
      </w:r>
    </w:p>
    <w:p w:rsidR="007B2A7E" w:rsidRPr="007B2A7E" w:rsidRDefault="007B2A7E" w:rsidP="007B2A7E">
      <w:pPr>
        <w:spacing w:before="120"/>
        <w:rPr>
          <w:sz w:val="28"/>
          <w:szCs w:val="28"/>
        </w:rPr>
      </w:pPr>
      <w:r w:rsidRPr="007B2A7E">
        <w:rPr>
          <w:sz w:val="28"/>
          <w:szCs w:val="28"/>
        </w:rPr>
        <w:t>Комитет по экологической политике</w:t>
      </w:r>
    </w:p>
    <w:p w:rsidR="007B2A7E" w:rsidRPr="007B2A7E" w:rsidRDefault="007B2A7E" w:rsidP="007B2A7E">
      <w:pPr>
        <w:spacing w:before="120"/>
        <w:rPr>
          <w:b/>
        </w:rPr>
      </w:pPr>
      <w:r w:rsidRPr="007B2A7E">
        <w:rPr>
          <w:b/>
        </w:rPr>
        <w:t>Двадцать четвертая сессия</w:t>
      </w:r>
    </w:p>
    <w:p w:rsidR="007B2A7E" w:rsidRPr="007B2A7E" w:rsidRDefault="007B2A7E" w:rsidP="007B2A7E">
      <w:r w:rsidRPr="007B2A7E">
        <w:t>Женева, 29</w:t>
      </w:r>
      <w:r w:rsidRPr="0093245C">
        <w:t>–</w:t>
      </w:r>
      <w:r w:rsidRPr="007B2A7E">
        <w:t>31 января 2019 года</w:t>
      </w:r>
    </w:p>
    <w:p w:rsidR="007B2A7E" w:rsidRPr="007B2A7E" w:rsidRDefault="007B2A7E" w:rsidP="007B2A7E">
      <w:r w:rsidRPr="007B2A7E">
        <w:t>Пункт 4 а) предварительной повестки дня</w:t>
      </w:r>
    </w:p>
    <w:p w:rsidR="007B2A7E" w:rsidRPr="007B2A7E" w:rsidRDefault="007B2A7E" w:rsidP="007B2A7E">
      <w:pPr>
        <w:rPr>
          <w:b/>
        </w:rPr>
      </w:pPr>
      <w:r w:rsidRPr="007B2A7E">
        <w:rPr>
          <w:b/>
        </w:rPr>
        <w:t xml:space="preserve">Среднесрочный обзор основных итогов восьмой </w:t>
      </w:r>
      <w:r>
        <w:rPr>
          <w:b/>
        </w:rPr>
        <w:br/>
      </w:r>
      <w:r w:rsidRPr="007B2A7E">
        <w:rPr>
          <w:b/>
        </w:rPr>
        <w:t xml:space="preserve">Конференции министров </w:t>
      </w:r>
      <w:r w:rsidR="0093245C">
        <w:rPr>
          <w:b/>
        </w:rPr>
        <w:t>«</w:t>
      </w:r>
      <w:r w:rsidRPr="007B2A7E">
        <w:rPr>
          <w:b/>
        </w:rPr>
        <w:t xml:space="preserve">Окружающая среда </w:t>
      </w:r>
      <w:r>
        <w:rPr>
          <w:b/>
        </w:rPr>
        <w:br/>
      </w:r>
      <w:r w:rsidRPr="007B2A7E">
        <w:rPr>
          <w:b/>
        </w:rPr>
        <w:t>для Европы</w:t>
      </w:r>
      <w:r w:rsidR="0093245C">
        <w:rPr>
          <w:b/>
        </w:rPr>
        <w:t>»</w:t>
      </w:r>
      <w:r w:rsidRPr="007B2A7E">
        <w:rPr>
          <w:b/>
        </w:rPr>
        <w:t xml:space="preserve">: экологизация экономики и борьба </w:t>
      </w:r>
      <w:r>
        <w:rPr>
          <w:b/>
        </w:rPr>
        <w:br/>
      </w:r>
      <w:r w:rsidRPr="007B2A7E">
        <w:rPr>
          <w:b/>
        </w:rPr>
        <w:t xml:space="preserve">за чистый воздух, включая деятельность </w:t>
      </w:r>
      <w:r>
        <w:rPr>
          <w:b/>
        </w:rPr>
        <w:br/>
      </w:r>
      <w:r w:rsidRPr="007B2A7E">
        <w:rPr>
          <w:b/>
        </w:rPr>
        <w:t xml:space="preserve">Целевой группы Программы по </w:t>
      </w:r>
      <w:r w:rsidR="0093245C">
        <w:rPr>
          <w:b/>
        </w:rPr>
        <w:t>«</w:t>
      </w:r>
      <w:r w:rsidRPr="007B2A7E">
        <w:rPr>
          <w:b/>
        </w:rPr>
        <w:t>зеленой</w:t>
      </w:r>
      <w:r w:rsidR="0093245C">
        <w:rPr>
          <w:b/>
        </w:rPr>
        <w:t>»</w:t>
      </w:r>
      <w:r w:rsidRPr="007B2A7E">
        <w:rPr>
          <w:b/>
        </w:rPr>
        <w:t xml:space="preserve"> экономике </w:t>
      </w:r>
      <w:r>
        <w:rPr>
          <w:b/>
        </w:rPr>
        <w:br/>
      </w:r>
      <w:r w:rsidRPr="007B2A7E">
        <w:rPr>
          <w:b/>
        </w:rPr>
        <w:t xml:space="preserve">и охране окружающей среды и региональных </w:t>
      </w:r>
      <w:r>
        <w:rPr>
          <w:b/>
        </w:rPr>
        <w:br/>
      </w:r>
      <w:r w:rsidRPr="007B2A7E">
        <w:rPr>
          <w:b/>
        </w:rPr>
        <w:t>экологических центров</w:t>
      </w:r>
    </w:p>
    <w:p w:rsidR="007B2A7E" w:rsidRPr="007B2A7E" w:rsidRDefault="007B2A7E" w:rsidP="007B2A7E">
      <w:pPr>
        <w:pStyle w:val="HChG"/>
        <w:spacing w:before="240"/>
        <w:ind w:left="1138" w:right="1138" w:hanging="1138"/>
      </w:pPr>
      <w:r w:rsidRPr="007B2A7E">
        <w:tab/>
      </w:r>
      <w:r w:rsidRPr="007B2A7E">
        <w:tab/>
        <w:t xml:space="preserve">Деятельность по оказанию поддержки странам </w:t>
      </w:r>
      <w:r>
        <w:br/>
      </w:r>
      <w:r w:rsidRPr="007B2A7E">
        <w:t>в их усилиях по экологизации своей экономики и</w:t>
      </w:r>
      <w:r>
        <w:rPr>
          <w:lang w:val="en-US"/>
        </w:rPr>
        <w:t> </w:t>
      </w:r>
      <w:r w:rsidRPr="007B2A7E">
        <w:t>достижению устойчивого развития</w:t>
      </w:r>
      <w:bookmarkStart w:id="0" w:name="_Hlk529798134"/>
      <w:bookmarkEnd w:id="0"/>
    </w:p>
    <w:p w:rsidR="007B2A7E" w:rsidRPr="007B2A7E" w:rsidRDefault="007B2A7E" w:rsidP="007B2A7E">
      <w:pPr>
        <w:pStyle w:val="H1G"/>
        <w:spacing w:before="240"/>
        <w:ind w:left="1138" w:right="1138" w:hanging="1138"/>
        <w:rPr>
          <w:rFonts w:eastAsia="ヒラギノ角ゴ Pro W3"/>
        </w:rPr>
      </w:pPr>
      <w:r w:rsidRPr="007B2A7E">
        <w:tab/>
      </w:r>
      <w:r w:rsidRPr="007B2A7E">
        <w:tab/>
        <w:t>Записка секретариата</w:t>
      </w:r>
      <w:r w:rsidR="002B04CA" w:rsidRPr="002B04C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9629" w:type="dxa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7B2A7E" w:rsidRPr="00FC5CFF" w:rsidTr="007B2A7E">
        <w:trPr>
          <w:jc w:val="center"/>
        </w:trPr>
        <w:tc>
          <w:tcPr>
            <w:tcW w:w="9629" w:type="dxa"/>
            <w:shd w:val="clear" w:color="auto" w:fill="auto"/>
          </w:tcPr>
          <w:p w:rsidR="007B2A7E" w:rsidRPr="007B2A7E" w:rsidRDefault="007B2A7E" w:rsidP="007B2A7E">
            <w:pPr>
              <w:spacing w:before="200" w:line="360" w:lineRule="auto"/>
              <w:ind w:left="259"/>
              <w:rPr>
                <w:rFonts w:eastAsia="ヒラギノ角ゴ Pro W3"/>
                <w:b/>
                <w:i/>
                <w:sz w:val="24"/>
                <w:szCs w:val="24"/>
              </w:rPr>
            </w:pPr>
            <w:r w:rsidRPr="007B2A7E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7B2A7E" w:rsidRPr="007200E3" w:rsidTr="007B2A7E">
        <w:trPr>
          <w:jc w:val="center"/>
        </w:trPr>
        <w:tc>
          <w:tcPr>
            <w:tcW w:w="9629" w:type="dxa"/>
            <w:shd w:val="clear" w:color="auto" w:fill="auto"/>
          </w:tcPr>
          <w:p w:rsidR="007B2A7E" w:rsidRPr="006A2333" w:rsidRDefault="007B2A7E" w:rsidP="007B2A7E">
            <w:pPr>
              <w:pStyle w:val="SingleTxtG"/>
              <w:ind w:left="1138" w:right="1138"/>
              <w:rPr>
                <w:rFonts w:eastAsia="ヒラギノ角ゴ Pro W3"/>
              </w:rPr>
            </w:pPr>
            <w:r>
              <w:tab/>
              <w:t xml:space="preserve">На восьмой Конференции министров </w:t>
            </w:r>
            <w:r w:rsidR="0093245C">
              <w:t>«</w:t>
            </w:r>
            <w:r>
              <w:t>Окружающая среда для Европы</w:t>
            </w:r>
            <w:r w:rsidR="0093245C">
              <w:t>»</w:t>
            </w:r>
            <w:r>
              <w:t xml:space="preserve"> (Батуми, Грузия, 8</w:t>
            </w:r>
            <w:r w:rsidR="00A74D4C">
              <w:t>–</w:t>
            </w:r>
            <w:r>
              <w:t xml:space="preserve">10 июня 2016 года) министры предложили Европейской экономической комиссии Организации Объединенных Наций (ЕЭК) и Программе Организации Объединенных Наций по окружающей среде (ЮНЕП) в сотрудничестве с другими соответствующими международными организациями оказывать поддержку странам в их усилиях по экологизации своей экономики и достижению устойчивого развития в регионе (ECE/BATUMI.CONF/2016/2/Add.1, пункт 5). На своей двадцать третьей сессии Комитет по экологической политике предложил секретариату ЕЭК ООН подготовить среднесрочный обзор основных итогов Конференции (ECE/CEP/2017/5, пункт 46) в соответствии с предложением секретариата по его организации (ECE/CEP/2017/16), включая подготовку доклада о деятельности ЕЭК ООН, ЮНЕП и других международных организаций по оказанию поддержки странам в их усилиях по экологизации своей экономики и достижения устойчивого развития (там же, пункт 23). </w:t>
            </w:r>
          </w:p>
          <w:p w:rsidR="007B2A7E" w:rsidRPr="006A2333" w:rsidRDefault="007B2A7E" w:rsidP="007B2A7E">
            <w:pPr>
              <w:pStyle w:val="SingleTxtG"/>
              <w:spacing w:after="240"/>
              <w:ind w:left="1138" w:right="1138"/>
              <w:rPr>
                <w:rFonts w:eastAsia="ヒラギノ角ゴ Pro W3"/>
              </w:rPr>
            </w:pPr>
            <w:r>
              <w:tab/>
              <w:t xml:space="preserve">Настоящий документ призван облегчить обсуждение Комитетом в ходе среднесрочного обзора вопросов экологизации экономики в регионе ЕЭК путем представления обзора деятельности в регионе в целях экологизации экономики и достижения устойчивого развития. </w:t>
            </w:r>
          </w:p>
        </w:tc>
      </w:tr>
    </w:tbl>
    <w:p w:rsidR="007B2A7E" w:rsidRPr="00A74D4C" w:rsidRDefault="007B2A7E" w:rsidP="00A74D4C">
      <w:pPr>
        <w:pStyle w:val="HChG"/>
      </w:pPr>
      <w:r>
        <w:lastRenderedPageBreak/>
        <w:tab/>
      </w:r>
      <w:r>
        <w:tab/>
        <w:t>Введе</w:t>
      </w:r>
      <w:r w:rsidRPr="007B2A7E">
        <w:t>н</w:t>
      </w:r>
      <w:r>
        <w:t>ие</w:t>
      </w:r>
    </w:p>
    <w:p w:rsidR="007B2A7E" w:rsidRPr="007B2A7E" w:rsidRDefault="007B2A7E" w:rsidP="007B2A7E">
      <w:pPr>
        <w:pStyle w:val="SingleTxtG"/>
      </w:pPr>
      <w:r>
        <w:t>1.</w:t>
      </w:r>
      <w:r>
        <w:tab/>
        <w:t>В ию</w:t>
      </w:r>
      <w:r w:rsidRPr="007B2A7E">
        <w:t xml:space="preserve">не 2012 года правительства на Конференции Организации Объединенных Наций по устойчивому развитию согласовали руководящие принципы создания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экономики в качестве важного инструмента устойчивого развития – такого, который является всеобъемлющим и может стимулировать экономический рост, занятость и искоренение нищеты при сохранении здорового функционирования экосистем Земли. Переход к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экономике, основанный на большей согласованности между государственной политикой </w:t>
      </w:r>
      <w:r w:rsidR="00B62504">
        <w:t>–</w:t>
      </w:r>
      <w:r w:rsidRPr="007B2A7E">
        <w:t xml:space="preserve"> экономической, социальной и экологической, может способствовать осуществлению Повестки дня в области устойчивого развития на период до 2030 года.</w:t>
      </w:r>
    </w:p>
    <w:p w:rsidR="007B2A7E" w:rsidRPr="007B2A7E" w:rsidRDefault="007B2A7E" w:rsidP="007B2A7E">
      <w:pPr>
        <w:pStyle w:val="SingleTxtG"/>
      </w:pPr>
      <w:r w:rsidRPr="007B2A7E">
        <w:t>2.</w:t>
      </w:r>
      <w:r w:rsidRPr="007B2A7E">
        <w:tab/>
        <w:t xml:space="preserve">В декларации </w:t>
      </w:r>
      <w:r w:rsidR="0093245C">
        <w:t>«</w:t>
      </w:r>
      <w:r w:rsidRPr="007B2A7E">
        <w:t>Экологичнее, чище, умнее!</w:t>
      </w:r>
      <w:r w:rsidR="0093245C">
        <w:t>»</w:t>
      </w:r>
      <w:r w:rsidRPr="007B2A7E">
        <w:t>,</w:t>
      </w:r>
      <w:r w:rsidR="00A74D4C">
        <w:t xml:space="preserve"> </w:t>
      </w:r>
      <w:r w:rsidRPr="007B2A7E">
        <w:t xml:space="preserve">принятой на восьмой Конференции министров </w:t>
      </w:r>
      <w:r w:rsidR="0093245C">
        <w:t>«</w:t>
      </w:r>
      <w:r w:rsidRPr="007B2A7E">
        <w:t>Окружающая среда для Европы</w:t>
      </w:r>
      <w:r w:rsidR="0093245C">
        <w:t>»</w:t>
      </w:r>
      <w:r w:rsidRPr="007B2A7E">
        <w:t xml:space="preserve"> (Батуми, Грузия, 8</w:t>
      </w:r>
      <w:r w:rsidR="00A74D4C">
        <w:t>–</w:t>
      </w:r>
      <w:r w:rsidRPr="007B2A7E">
        <w:t xml:space="preserve">10 июня 2016 года), министры вновь подтвердили свою решимость играть ведущую роль в деле перехода к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экономике в регионе Европейской экономической комиссии Организации Объединенных Наций (ЕЭК) в качестве одного из ключевых путей к устойчивому развитию и искоренению нищеты и направлению инвестиций и торговли на оказание поддержки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и охватывающей всех экономике.</w:t>
      </w:r>
    </w:p>
    <w:p w:rsidR="007B2A7E" w:rsidRPr="007B2A7E" w:rsidRDefault="007B2A7E" w:rsidP="007B2A7E">
      <w:pPr>
        <w:pStyle w:val="SingleTxtG"/>
      </w:pPr>
      <w:r w:rsidRPr="007B2A7E">
        <w:t>3.</w:t>
      </w:r>
      <w:r w:rsidRPr="007B2A7E">
        <w:tab/>
        <w:t xml:space="preserve">Система Организации Объединенных Наций и другие международные организации оказывают помощь странам в их усилиях по экологизации их экономики и достижению устойчивого развития, предоставляя им нормы, стандарты, правовые документы, стратегические рекомендации и экспертные консультации, а также оказывая непосредственную поддержку. Они помогают странам в переходе к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экономике путем выявления потенциала и возможностей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экономики, содействия проведению консультаций с участием многих заинтересованных сторон и разработке долгосрочной концепции развития и стратегических рамок, инвестиционных пакетов и стратегических решений на основе оценки синергизма, стимулов и компромиссов, включая уделение особого внимания более уязвимым группам. Они также укрепляют технический и функциональный потенциал правительств и национальных партнеров по осуществлению, финансированию, мониторингу и оценке инклюзивных подходов к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экономике. Различные инструменты </w:t>
      </w:r>
      <w:r w:rsidR="00A74D4C">
        <w:t>–</w:t>
      </w:r>
      <w:r w:rsidRPr="007B2A7E">
        <w:t xml:space="preserve"> будь то рыночные или основанные на информации, правовые или добровольные </w:t>
      </w:r>
      <w:r w:rsidR="00A74D4C">
        <w:t>–</w:t>
      </w:r>
      <w:r w:rsidRPr="007B2A7E">
        <w:t xml:space="preserve"> все они находят применение в поддержке перехода к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экономике. В зависимости от поставленных целей эти инструменты могут быть общеэкономическими или отраслевыми.</w:t>
      </w:r>
    </w:p>
    <w:p w:rsidR="007B2A7E" w:rsidRPr="006A2333" w:rsidRDefault="007B2A7E" w:rsidP="007B2A7E">
      <w:pPr>
        <w:pStyle w:val="HChG"/>
      </w:pPr>
      <w:r>
        <w:tab/>
        <w:t>I.</w:t>
      </w:r>
      <w:r>
        <w:tab/>
      </w:r>
      <w:r>
        <w:tab/>
        <w:t>Обзор основных достижений и основных выводов</w:t>
      </w:r>
    </w:p>
    <w:p w:rsidR="007B2A7E" w:rsidRPr="006A2333" w:rsidRDefault="007B2A7E" w:rsidP="007B2A7E">
      <w:pPr>
        <w:pStyle w:val="SingleTxtG"/>
      </w:pPr>
      <w:r>
        <w:t>4.</w:t>
      </w:r>
      <w:r>
        <w:tab/>
        <w:t xml:space="preserve">В целях содействия переходу к </w:t>
      </w:r>
      <w:r w:rsidR="0093245C">
        <w:t>«</w:t>
      </w:r>
      <w:r>
        <w:t>зеленой</w:t>
      </w:r>
      <w:r w:rsidR="0093245C">
        <w:t>»</w:t>
      </w:r>
      <w:r>
        <w:t xml:space="preserve"> и более инклюзивной экономике международные организации провели исследования для оказания помощи странам в разработке вариантов политики, адаптированных к их национальным условиям. К</w:t>
      </w:r>
      <w:r w:rsidR="00A74D4C">
        <w:t> </w:t>
      </w:r>
      <w:r>
        <w:t>недавним исследовательским проектам и изысканиям в этой области, которые могут быть полезны панъевропейским странам, относятся следующие:</w:t>
      </w:r>
    </w:p>
    <w:p w:rsidR="007B2A7E" w:rsidRPr="006A2333" w:rsidRDefault="00A74D4C" w:rsidP="007B2A7E">
      <w:pPr>
        <w:pStyle w:val="SingleTxtG"/>
      </w:pPr>
      <w:r>
        <w:tab/>
      </w:r>
      <w:r>
        <w:tab/>
      </w:r>
      <w:r w:rsidR="007B2A7E">
        <w:t>а)</w:t>
      </w:r>
      <w:r w:rsidR="007B2A7E">
        <w:tab/>
      </w:r>
      <w:r>
        <w:t xml:space="preserve">В </w:t>
      </w:r>
      <w:r w:rsidR="007B2A7E">
        <w:t>период 2016</w:t>
      </w:r>
      <w:r>
        <w:t>–</w:t>
      </w:r>
      <w:r w:rsidR="007B2A7E">
        <w:t>2018 годов ЕЭК провела обзоры результативности природоохранной деятельности Албании, Болгарии, Боснии и Герцеговины, бывшей югославской Республики Македония, Казахстана и Таджикистана, в ходе которых, в</w:t>
      </w:r>
      <w:r>
        <w:t> </w:t>
      </w:r>
      <w:r w:rsidR="007B2A7E">
        <w:t xml:space="preserve">частности, была проведена оценка прогресса, достигнутого этими странами в экологизации своей экономики. С 2017 года в обзорах экологических показателей четко исследуются такие темы, как экологизация налоговой и тарифной системы; экологизация системы субсидий; инвестирование в охрану окружающей среды и </w:t>
      </w:r>
      <w:r w:rsidR="0093245C">
        <w:t>«</w:t>
      </w:r>
      <w:r w:rsidR="007B2A7E">
        <w:t>зеленую</w:t>
      </w:r>
      <w:r w:rsidR="0093245C">
        <w:t>»</w:t>
      </w:r>
      <w:r w:rsidR="007B2A7E">
        <w:t xml:space="preserve"> экономику; </w:t>
      </w:r>
      <w:r w:rsidR="0093245C">
        <w:t>«</w:t>
      </w:r>
      <w:r w:rsidR="007B2A7E">
        <w:t>зеленые</w:t>
      </w:r>
      <w:r w:rsidR="0093245C">
        <w:t>»</w:t>
      </w:r>
      <w:r w:rsidR="007B2A7E">
        <w:t xml:space="preserve"> рынки; </w:t>
      </w:r>
      <w:r w:rsidR="0093245C">
        <w:t>«</w:t>
      </w:r>
      <w:r w:rsidR="007B2A7E">
        <w:t>зеленые</w:t>
      </w:r>
      <w:r w:rsidR="0093245C">
        <w:t>»</w:t>
      </w:r>
      <w:r w:rsidR="007B2A7E">
        <w:t xml:space="preserve"> рабочие места; партнерские отношения между государственным и частным секторами в поддержку развития </w:t>
      </w:r>
      <w:r w:rsidR="0093245C">
        <w:t>«</w:t>
      </w:r>
      <w:r w:rsidR="007B2A7E">
        <w:t>зеленой</w:t>
      </w:r>
      <w:r w:rsidR="0093245C">
        <w:t>»</w:t>
      </w:r>
      <w:r w:rsidR="007B2A7E">
        <w:t xml:space="preserve"> экономики; и правовые и политическ</w:t>
      </w:r>
      <w:r>
        <w:t>ие рамки экологизации экономики.</w:t>
      </w:r>
      <w:r w:rsidR="007B2A7E">
        <w:t xml:space="preserve"> </w:t>
      </w:r>
    </w:p>
    <w:p w:rsidR="007B2A7E" w:rsidRPr="006A2333" w:rsidRDefault="00A74D4C" w:rsidP="007B2A7E">
      <w:pPr>
        <w:pStyle w:val="SingleTxtG"/>
      </w:pPr>
      <w:r>
        <w:tab/>
      </w:r>
      <w:r>
        <w:tab/>
      </w:r>
      <w:r w:rsidR="007B2A7E">
        <w:t>b)</w:t>
      </w:r>
      <w:r w:rsidR="007B2A7E">
        <w:tab/>
      </w:r>
      <w:r>
        <w:t xml:space="preserve">В </w:t>
      </w:r>
      <w:r w:rsidR="007B2A7E">
        <w:t>тот же период Организация экономического сотрудничества и развития (ОЭСР) провела обзоры результативности экологической деятельности</w:t>
      </w:r>
      <w:r w:rsidR="007B2A7E" w:rsidRPr="00D84E45">
        <w:rPr>
          <w:rFonts w:ascii="Segoe UI" w:hAnsi="Segoe UI" w:cs="Segoe UI"/>
        </w:rPr>
        <w:t xml:space="preserve"> </w:t>
      </w:r>
      <w:r w:rsidR="007B2A7E">
        <w:t xml:space="preserve">Венгрии, Канады, Франции, Чешской Республики, Швейцарии и Эстонии. В ходе обзоров была </w:t>
      </w:r>
      <w:bookmarkStart w:id="1" w:name="_GoBack"/>
      <w:bookmarkEnd w:id="1"/>
      <w:r w:rsidR="007B2A7E">
        <w:lastRenderedPageBreak/>
        <w:t xml:space="preserve">проведена оценка прогресса в деле обеспечения устойчивого развития и </w:t>
      </w:r>
      <w:r w:rsidR="0093245C">
        <w:t>«</w:t>
      </w:r>
      <w:r w:rsidR="007B2A7E">
        <w:t>зеленого</w:t>
      </w:r>
      <w:r w:rsidR="0093245C">
        <w:t>»</w:t>
      </w:r>
      <w:r>
        <w:t xml:space="preserve"> роста.</w:t>
      </w:r>
    </w:p>
    <w:p w:rsidR="007B2A7E" w:rsidRPr="006A2333" w:rsidRDefault="00A74D4C" w:rsidP="007B2A7E">
      <w:pPr>
        <w:pStyle w:val="SingleTxtG"/>
      </w:pPr>
      <w:r>
        <w:tab/>
      </w:r>
      <w:r>
        <w:tab/>
      </w:r>
      <w:r w:rsidR="007B2A7E">
        <w:t>c)</w:t>
      </w:r>
      <w:r w:rsidR="007B2A7E">
        <w:tab/>
        <w:t>В 2017 году ЕЭК провела обзор инноваций в интересах устойчивого развития Беларуси, оценивая национальные стратегии в области развития в свете текущих международных инициатив и обзоров, недавних эко-инновационных проектов в государственных программах и стратегиях в области развития.</w:t>
      </w:r>
    </w:p>
    <w:p w:rsidR="007B2A7E" w:rsidRPr="006A2333" w:rsidRDefault="007B2A7E" w:rsidP="007B2A7E">
      <w:pPr>
        <w:pStyle w:val="SingleTxtG"/>
      </w:pPr>
      <w:r>
        <w:t>5.</w:t>
      </w:r>
      <w:r>
        <w:tab/>
        <w:t>На своей двадцать третьей сессии в ноябре 2017 года Комитет по экологической политике рассмотрел вопрос о своей роли в поддержке осуществления Повестки дня на период до 2030 года (ECE/CEP/2017/15). При организации своей деятельности Комитет проводит работу по адаптации ее результатов для оказания эффективной поддержки усилий стран, направленных на достижение Целей в области устойчивого развития. Комитет предоставляет платформу для обмена опытом при определении практических путей и средств формирования подхода к осуществлению на национальном уровне Повестки дня на период до 2030 года и достижению соответствующих Целей в области устойчивого развития с экологической точки зрения и обмена передовой практикой в этой связи.</w:t>
      </w:r>
    </w:p>
    <w:p w:rsidR="007B2A7E" w:rsidRPr="006A2333" w:rsidRDefault="007B2A7E" w:rsidP="007B2A7E">
      <w:pPr>
        <w:pStyle w:val="SingleTxtG"/>
      </w:pPr>
      <w:r>
        <w:t>6.</w:t>
      </w:r>
      <w:r>
        <w:tab/>
        <w:t xml:space="preserve">Для обсуждения инициатив в области чистого воздуха и </w:t>
      </w:r>
      <w:r w:rsidR="0093245C">
        <w:t>«</w:t>
      </w:r>
      <w:r>
        <w:t>зеленой</w:t>
      </w:r>
      <w:r w:rsidR="0093245C">
        <w:t>»</w:t>
      </w:r>
      <w:r>
        <w:t xml:space="preserve"> экономики, принятых министрами в Батуми,</w:t>
      </w:r>
      <w:r w:rsidRPr="00DB4B1B">
        <w:t xml:space="preserve"> </w:t>
      </w:r>
      <w:r>
        <w:t>были организованы</w:t>
      </w:r>
      <w:r w:rsidRPr="00DB4B1B">
        <w:t xml:space="preserve"> </w:t>
      </w:r>
      <w:r>
        <w:t xml:space="preserve">три </w:t>
      </w:r>
      <w:r w:rsidR="0093245C">
        <w:t>«</w:t>
      </w:r>
      <w:r>
        <w:t>батумских ток-шоу</w:t>
      </w:r>
      <w:r w:rsidR="0093245C">
        <w:t>»</w:t>
      </w:r>
      <w:r>
        <w:t xml:space="preserve">: на полях шестьдесят седьмой сессии ЕЭК в Женеве, 27 апреля 2017 года; в ходе второго ежегодного совещания Целевой группы Программы по </w:t>
      </w:r>
      <w:r w:rsidR="0093245C">
        <w:t>«</w:t>
      </w:r>
      <w:r>
        <w:t>зеленой</w:t>
      </w:r>
      <w:r w:rsidR="0093245C">
        <w:t>»</w:t>
      </w:r>
      <w:r>
        <w:t xml:space="preserve"> экономике и охране окружающей среды</w:t>
      </w:r>
      <w:r w:rsidRPr="004515FB">
        <w:t xml:space="preserve"> </w:t>
      </w:r>
      <w:r>
        <w:t xml:space="preserve">ОЭСР в Алматы, Казахстан, 26 октября 2017 года; и в ходе двадцать третьей сессии Комитета по экологической политике в Женеве, 15 ноября 2017 года. Батумская инициатива по </w:t>
      </w:r>
      <w:r w:rsidR="0093245C">
        <w:t>«</w:t>
      </w:r>
      <w:r>
        <w:t>зеленой</w:t>
      </w:r>
      <w:r w:rsidR="0093245C">
        <w:t>»</w:t>
      </w:r>
      <w:r>
        <w:t xml:space="preserve"> экономике (БИЗ-Э) также получила поддержку на конференции министров Партнерства в интересах действий по </w:t>
      </w:r>
      <w:r w:rsidR="0093245C">
        <w:t>«</w:t>
      </w:r>
      <w:r>
        <w:t>зеленой</w:t>
      </w:r>
      <w:r w:rsidR="0093245C">
        <w:t>»</w:t>
      </w:r>
      <w:r>
        <w:t xml:space="preserve"> экономике в марте 2017 года; на специальном мероприятии в рамках Партнерской биржи в ходе шестой Конференции министров по окружающей среде и здравоохранению в июне 2017 года; в ходе политического форума высокого уровня по устойчивому развитию в июле 2017 года в Нью-Йорке; на Всемирном форуме по ресурсам в октябре 2017 года; и на нескольких других мероприятиях высокого уровня в 2017 году.</w:t>
      </w:r>
      <w:bookmarkStart w:id="2" w:name="_Hlk532391358"/>
      <w:bookmarkEnd w:id="2"/>
    </w:p>
    <w:p w:rsidR="007B2A7E" w:rsidRPr="006A2333" w:rsidRDefault="007B2A7E" w:rsidP="007B2A7E">
      <w:pPr>
        <w:pStyle w:val="SingleTxtG"/>
      </w:pPr>
      <w:r>
        <w:t>7.</w:t>
      </w:r>
      <w:r>
        <w:tab/>
        <w:t>В феврале 2017 года в ходе двадцать второй сессии Комитета по экологической политике</w:t>
      </w:r>
      <w:r w:rsidR="00621F73">
        <w:t xml:space="preserve"> ЕЭК</w:t>
      </w:r>
      <w:r>
        <w:t xml:space="preserve"> Программа Организации Объединенных Наций по окружающей среде (ЮНЕП) и Платформа знаний </w:t>
      </w:r>
      <w:r w:rsidR="0093245C">
        <w:t>«</w:t>
      </w:r>
      <w:r>
        <w:t>Зеленый рост</w:t>
      </w:r>
      <w:r w:rsidR="0093245C">
        <w:t>»</w:t>
      </w:r>
      <w:r>
        <w:t xml:space="preserve"> при поддержке Швейцарского федерального управления по охране окружающей среды организовали параллельное мероприятие </w:t>
      </w:r>
      <w:r w:rsidR="0093245C">
        <w:t>«</w:t>
      </w:r>
      <w:r>
        <w:t xml:space="preserve">Последующие действия в связи с Батумской инициативой по </w:t>
      </w:r>
      <w:r w:rsidR="00B9128A">
        <w:t>"</w:t>
      </w:r>
      <w:r>
        <w:t>зеленой</w:t>
      </w:r>
      <w:r w:rsidR="00B9128A">
        <w:t>"</w:t>
      </w:r>
      <w:r>
        <w:t xml:space="preserve"> экономике: обмен знаниями и информацией о надлежащей практике</w:t>
      </w:r>
      <w:r w:rsidR="0093245C">
        <w:t>»</w:t>
      </w:r>
      <w:r>
        <w:t>. На этом мероприятии был представлен обзор действий, предпринятых странами и организациями в рамках этой инициативы, и участники обсудили прогресс, достигнутый странами и организациями после Батумской конференции, в том числе возможности и проблемы, с которыми они столкнулись. Мероприятие завершилось обсуждением путей оказания поддержки странам в выполнении ими своих обязательств.</w:t>
      </w:r>
    </w:p>
    <w:p w:rsidR="007B2A7E" w:rsidRPr="006A2333" w:rsidRDefault="007B2A7E" w:rsidP="007B2A7E">
      <w:pPr>
        <w:pStyle w:val="SingleTxtG"/>
      </w:pPr>
      <w:r>
        <w:t>8.</w:t>
      </w:r>
      <w:r>
        <w:tab/>
        <w:t xml:space="preserve">В ноябре 2017 года в ходе двадцать третьей сессии Комитета состоялось параллельное мероприятие по итогам проекта </w:t>
      </w:r>
      <w:r w:rsidR="0093245C">
        <w:t>«</w:t>
      </w:r>
      <w:r>
        <w:t>Экологизация экономики в странах Восточного партнерства</w:t>
      </w:r>
      <w:r w:rsidR="0093245C">
        <w:t>»</w:t>
      </w:r>
      <w:r>
        <w:t xml:space="preserve"> (</w:t>
      </w:r>
      <w:r w:rsidR="0093245C">
        <w:t>«</w:t>
      </w:r>
      <w:r>
        <w:t>EaP GREEN</w:t>
      </w:r>
      <w:r w:rsidR="0093245C">
        <w:t>»</w:t>
      </w:r>
      <w:r>
        <w:t>), организованное ЕЭК, ОЭСР, ЮНЕП и Организацией Объединенных Наций по промышленному развитию (ЮНИДО). Этот проект, финансируемый Европейским союзом и другими донорами, стал важным механизмом оказания поддержки шести странам</w:t>
      </w:r>
      <w:r w:rsidR="00621F73">
        <w:t xml:space="preserve"> – </w:t>
      </w:r>
      <w:r>
        <w:t xml:space="preserve">участникам Восточного партнерства Европейского союза (Азербайджану, Армении, Беларуси, Грузии, Республике Молдова и Украине) в ускорении прогресса на пути к </w:t>
      </w:r>
      <w:r w:rsidR="0093245C">
        <w:t>«</w:t>
      </w:r>
      <w:r>
        <w:t>зеленой</w:t>
      </w:r>
      <w:r w:rsidR="0093245C">
        <w:t>»</w:t>
      </w:r>
      <w:r>
        <w:t xml:space="preserve"> экономике на основе более рационального использования природного капитала в контексте повышения экономической производительности и конкурентоспособности. </w:t>
      </w:r>
    </w:p>
    <w:p w:rsidR="007B2A7E" w:rsidRPr="006A2333" w:rsidRDefault="007B2A7E" w:rsidP="007B2A7E">
      <w:pPr>
        <w:pStyle w:val="SingleTxtG"/>
      </w:pPr>
      <w:r>
        <w:t>9.</w:t>
      </w:r>
      <w:r>
        <w:tab/>
        <w:t xml:space="preserve">В рамках проекта </w:t>
      </w:r>
      <w:r w:rsidR="0093245C">
        <w:t>«</w:t>
      </w:r>
      <w:r>
        <w:t>EaP GREEN</w:t>
      </w:r>
      <w:r w:rsidR="0093245C">
        <w:t>»</w:t>
      </w:r>
      <w:r>
        <w:t xml:space="preserve"> ОЭСР опубликовала в 2016 году подготовленный на региональном уровне анализ </w:t>
      </w:r>
      <w:r w:rsidRPr="00A66F91">
        <w:rPr>
          <w:i/>
        </w:rPr>
        <w:t>Измерение экомодернизации экономики: руководство для стран Восточного партнерства Европейского союза</w:t>
      </w:r>
      <w:r w:rsidR="007C23A3">
        <w:t xml:space="preserve"> в</w:t>
      </w:r>
      <w:r w:rsidR="007C23A3">
        <w:rPr>
          <w:lang w:val="en-US"/>
        </w:rPr>
        <w:t> </w:t>
      </w:r>
      <w:r>
        <w:t xml:space="preserve">целях оказания правительствам стран Партнерства помощи в создании </w:t>
      </w:r>
      <w:r>
        <w:lastRenderedPageBreak/>
        <w:t>национальных механизмов для мониторинга и анализа переход</w:t>
      </w:r>
      <w:r w:rsidR="00621F73">
        <w:t>а</w:t>
      </w:r>
      <w:r>
        <w:t xml:space="preserve"> к </w:t>
      </w:r>
      <w:r w:rsidR="0093245C">
        <w:t>«</w:t>
      </w:r>
      <w:r>
        <w:t>зеленому</w:t>
      </w:r>
      <w:r w:rsidR="0093245C">
        <w:t>»</w:t>
      </w:r>
      <w:r>
        <w:t xml:space="preserve"> росту и поддержки в разработке показателей </w:t>
      </w:r>
      <w:r w:rsidR="0093245C">
        <w:t>«</w:t>
      </w:r>
      <w:r>
        <w:t>зеленого</w:t>
      </w:r>
      <w:r w:rsidR="0093245C">
        <w:t>»</w:t>
      </w:r>
      <w:r>
        <w:t xml:space="preserve"> роста. В руководстве изложена концепция </w:t>
      </w:r>
      <w:r w:rsidR="0093245C">
        <w:t>«</w:t>
      </w:r>
      <w:r>
        <w:t>зеленого</w:t>
      </w:r>
      <w:r w:rsidR="0093245C">
        <w:t>»</w:t>
      </w:r>
      <w:r>
        <w:t xml:space="preserve"> роста, представлен практический опыт, накопленный передовыми специалистами в области измерения </w:t>
      </w:r>
      <w:r w:rsidR="0093245C">
        <w:t>«</w:t>
      </w:r>
      <w:r>
        <w:t>зеленого</w:t>
      </w:r>
      <w:r w:rsidR="0093245C">
        <w:t>»</w:t>
      </w:r>
      <w:r>
        <w:t xml:space="preserve"> роста, и дано обобщение этого опыта с опытом текущей деятельности стран Восточного партнерства и других стран с переходной экономикой Восточной Европы, Кавказа и Центральной Азии по разработке показателей </w:t>
      </w:r>
      <w:r w:rsidR="0093245C">
        <w:t>«</w:t>
      </w:r>
      <w:r>
        <w:t>зеленого роста</w:t>
      </w:r>
      <w:r w:rsidR="0093245C">
        <w:t>»</w:t>
      </w:r>
      <w:r>
        <w:t xml:space="preserve"> и экологических показателей. </w:t>
      </w:r>
    </w:p>
    <w:p w:rsidR="007B2A7E" w:rsidRPr="006A2333" w:rsidRDefault="007B2A7E" w:rsidP="007B2A7E">
      <w:pPr>
        <w:pStyle w:val="SingleTxtG"/>
      </w:pPr>
      <w:r>
        <w:t xml:space="preserve">10. </w:t>
      </w:r>
      <w:r>
        <w:tab/>
        <w:t xml:space="preserve">Еще одним результатом осуществления проекта </w:t>
      </w:r>
      <w:r w:rsidR="0093245C">
        <w:t>«</w:t>
      </w:r>
      <w:r>
        <w:t>aP GREEN</w:t>
      </w:r>
      <w:r w:rsidR="0093245C">
        <w:t>»</w:t>
      </w:r>
      <w:r>
        <w:t xml:space="preserve"> является подготовка набора инструментов экологической политики для экологизации малых и средних предприятий в странах Партнерства</w:t>
      </w:r>
      <w:r>
        <w:rPr>
          <w:rStyle w:val="aa"/>
        </w:rPr>
        <w:footnoteReference w:id="2"/>
      </w:r>
      <w:r w:rsidR="00621F73">
        <w:t>.</w:t>
      </w:r>
      <w:r>
        <w:t xml:space="preserve"> Этот набор инструментов, основанный на имеющейся передовой практике, призван помочь правительствам стран Партнерства в разработке и осуществлении ключевых инструментов для содействия соблюдению природоохранных норм и экологизации деловой практики среди малых и средних предприятий. Уменьшение воздействия на окружающую среду таких предприятий как в обрабатывающей промышленности, так и в сфере услуг является одним из ключевых факторов успеха в экологизации экономики. </w:t>
      </w:r>
    </w:p>
    <w:p w:rsidR="007B2A7E" w:rsidRPr="006A2333" w:rsidRDefault="007B2A7E" w:rsidP="007B2A7E">
      <w:pPr>
        <w:pStyle w:val="SingleTxtG"/>
      </w:pPr>
      <w:r>
        <w:t xml:space="preserve">11. </w:t>
      </w:r>
      <w:r>
        <w:tab/>
        <w:t xml:space="preserve">В рамках проекта </w:t>
      </w:r>
      <w:r w:rsidR="0093245C">
        <w:t>«</w:t>
      </w:r>
      <w:r>
        <w:t>EaP GREEN</w:t>
      </w:r>
      <w:r w:rsidR="0093245C">
        <w:t>»</w:t>
      </w:r>
      <w:r>
        <w:t xml:space="preserve"> ЮНЕП оказала поддержку четырем странам в проведении количественных отраслевых анализов, продемонстрировавших экологические, экономические и социальные выгоды перехода к </w:t>
      </w:r>
      <w:r w:rsidR="0093245C">
        <w:t>«</w:t>
      </w:r>
      <w:r>
        <w:t>зеленой</w:t>
      </w:r>
      <w:r w:rsidR="0093245C">
        <w:t>»</w:t>
      </w:r>
      <w:r>
        <w:t xml:space="preserve"> экономике. Беларуси и Молдове была оказана поддержка в разработке программы </w:t>
      </w:r>
      <w:r w:rsidR="0093245C">
        <w:t>«</w:t>
      </w:r>
      <w:r w:rsidR="007C23A3">
        <w:t>"</w:t>
      </w:r>
      <w:r>
        <w:t>Зеленая</w:t>
      </w:r>
      <w:r w:rsidR="007C23A3">
        <w:t>"</w:t>
      </w:r>
      <w:r>
        <w:t xml:space="preserve"> экономика</w:t>
      </w:r>
      <w:r w:rsidR="0093245C">
        <w:t>»</w:t>
      </w:r>
      <w:r>
        <w:t xml:space="preserve"> и планов действий, принятых их правительствами</w:t>
      </w:r>
      <w:r>
        <w:rPr>
          <w:rStyle w:val="aa"/>
        </w:rPr>
        <w:footnoteReference w:id="3"/>
      </w:r>
      <w:r w:rsidR="00A66F91">
        <w:t>.</w:t>
      </w:r>
      <w:r>
        <w:t xml:space="preserve"> </w:t>
      </w:r>
    </w:p>
    <w:p w:rsidR="007B2A7E" w:rsidRPr="006A2333" w:rsidRDefault="007B2A7E" w:rsidP="007B2A7E">
      <w:pPr>
        <w:pStyle w:val="SingleTxtG"/>
      </w:pPr>
      <w:r>
        <w:t xml:space="preserve">12. </w:t>
      </w:r>
      <w:r>
        <w:tab/>
        <w:t xml:space="preserve">Государственные закупки предоставляют практически неиспользованную возможность для того, чтобы подтолкнуть предприятия и внутренние рынки к инновациям и повышению устойчивости. Переориентация этих расходов на более устойчивые товары и услуги может дать положительные социальные, экологические и экономические результаты, такие как сокращение масштабов нищеты, укрепление равенства, сокращение выбросов ПГ и повышение эффективности использования энергии и ресурсов. В рамках проекта </w:t>
      </w:r>
      <w:r w:rsidR="0093245C">
        <w:t>«</w:t>
      </w:r>
      <w:r>
        <w:t>EaP GREEN</w:t>
      </w:r>
      <w:r w:rsidR="0093245C">
        <w:t>»</w:t>
      </w:r>
      <w:r>
        <w:t xml:space="preserve"> ЮНЕП оказала содействие Беларуси, Молдове и Украине в пересмотре нормативно-правовой базы и проведении рыночной оценки устойчивых государственных закупок. Молдова и Украина приняли национальную политику устойчивых закупок, а </w:t>
      </w:r>
      <w:r w:rsidR="007C23A3">
        <w:t>также начали пилотные закупки c </w:t>
      </w:r>
      <w:r>
        <w:t xml:space="preserve">учетом критериев устойчивости. </w:t>
      </w:r>
    </w:p>
    <w:p w:rsidR="007B2A7E" w:rsidRPr="006A2333" w:rsidRDefault="007B2A7E" w:rsidP="007B2A7E">
      <w:pPr>
        <w:pStyle w:val="SingleTxtG"/>
      </w:pPr>
      <w:r>
        <w:t xml:space="preserve">13. </w:t>
      </w:r>
      <w:r>
        <w:tab/>
        <w:t xml:space="preserve">В рамках проекта </w:t>
      </w:r>
      <w:r w:rsidR="0093245C">
        <w:t>«</w:t>
      </w:r>
      <w:r>
        <w:t>EaP GREEN</w:t>
      </w:r>
      <w:r w:rsidR="0093245C">
        <w:t>»</w:t>
      </w:r>
      <w:r>
        <w:t xml:space="preserve"> ЮНИДО оказала поддержку более чем 100</w:t>
      </w:r>
      <w:r w:rsidR="00A66F91">
        <w:t> </w:t>
      </w:r>
      <w:r>
        <w:t xml:space="preserve">МСП из секторов продовольствия, химии и строительных материалов в оценке их производственных процессов с использованием методологий ЮНИДО-ЮНЕП по экологически более чистому производству за счет эффективного использования ресурсов (ЧПЭР). В шести странах были начаты политические диалоги с целью адаптации ЧПЭР к национальным условиям. </w:t>
      </w:r>
    </w:p>
    <w:p w:rsidR="007B2A7E" w:rsidRPr="006A2333" w:rsidRDefault="007B2A7E" w:rsidP="007B2A7E">
      <w:pPr>
        <w:pStyle w:val="SingleTxtG"/>
      </w:pPr>
      <w:r>
        <w:t>14.</w:t>
      </w:r>
      <w:r>
        <w:tab/>
        <w:t>Поддержка стран в осуществлении их усилий по экологизации своей экономики и достижению Целей в области устойчивого развития является частью всех направлений деятельности в рамках Подпрограммы по окружающей среде, в том числе многочисленных направлений межотраслевой деятельности, которые успешно осуществляются в сотрудничестве с другими подпрограммами ЕЭК и организациями системы Организации Объединенных Наций, а также другими организациями, действующими в регионе.</w:t>
      </w:r>
    </w:p>
    <w:p w:rsidR="007B2A7E" w:rsidRPr="006A2333" w:rsidRDefault="007B2A7E" w:rsidP="007B2A7E">
      <w:pPr>
        <w:pStyle w:val="SingleTxtG"/>
      </w:pPr>
      <w:r>
        <w:t>15.</w:t>
      </w:r>
      <w:r>
        <w:tab/>
        <w:t>Многие другие секторальные комитеты ЕЭК также адаптировали свою работу и мероприятия в поддержку Повестки дня на период до 2030 года. В 2017 году Комитет по лесам и лесной промышленности принял Варшавскую комплексную программу работы на 2018</w:t>
      </w:r>
      <w:r w:rsidR="00A66F91">
        <w:t>–</w:t>
      </w:r>
      <w:r>
        <w:t xml:space="preserve">2021 годы в целях реорганизации своей работы и оказания прямой поддержки осуществлению Повестки дня на период до 2030 года и ее целей 15, 12, 7 </w:t>
      </w:r>
      <w:r>
        <w:lastRenderedPageBreak/>
        <w:t>и</w:t>
      </w:r>
      <w:r w:rsidR="00A66F91">
        <w:t> </w:t>
      </w:r>
      <w:r>
        <w:t xml:space="preserve">13. Комитет по устойчивой энергетике сосредоточил свою деятельность на оказании поддержки странам в их усилиях по достижению цели 7 с уделением повышенного внимания решению задач по снижению высокого уровня потребления энергии в регионе, 80% которой приходится на ископаемые виды топлива; модернизации энергетической инфраструктуры; разработке стандартов и норм, например по энергетической эффективности в жилищном секторе; и обеспечению платформы для диалога по вопросам политики. Комитет по инновационной деятельности, конкурентоспособности и государственно-частным партнерствам помогает странам в осуществлении Повестки дня на период до 2030 года, и в частности в достижении </w:t>
      </w:r>
      <w:r w:rsidR="00562537">
        <w:t>Цели </w:t>
      </w:r>
      <w:r>
        <w:t xml:space="preserve">12, на межсекторальной основе посредством стимулирования экономики замкнутого цикла, в том числе путем проведения национальных обзоров инновационной деятельности в интересах устойчивого развития для заинтересованных стран, а также поощрения государственно-частных партнерств на благо людей в интересах реализации инициативы </w:t>
      </w:r>
      <w:r w:rsidR="0093245C">
        <w:t>«</w:t>
      </w:r>
      <w:r>
        <w:t>Пояс и путь</w:t>
      </w:r>
      <w:r w:rsidR="0093245C">
        <w:t>»</w:t>
      </w:r>
      <w:r>
        <w:t xml:space="preserve"> и Целей в области устойчивого развития.</w:t>
      </w:r>
    </w:p>
    <w:p w:rsidR="007B2A7E" w:rsidRPr="006A2333" w:rsidRDefault="007B2A7E" w:rsidP="007B2A7E">
      <w:pPr>
        <w:pStyle w:val="SingleTxtG"/>
      </w:pPr>
      <w:r>
        <w:t>16.</w:t>
      </w:r>
      <w:r>
        <w:tab/>
        <w:t>В 2017 году ЕЭК и ЮНЕП совместно провели сравнительный обзор деятельности международных организаций в поддержку экологизации экономики в панъевропейском регионе.</w:t>
      </w:r>
    </w:p>
    <w:p w:rsidR="007B2A7E" w:rsidRPr="006A2333" w:rsidRDefault="007B2A7E" w:rsidP="007B2A7E">
      <w:pPr>
        <w:pStyle w:val="SingleTxtG"/>
      </w:pPr>
      <w:r>
        <w:t>17.</w:t>
      </w:r>
      <w:r>
        <w:tab/>
        <w:t xml:space="preserve">В 2018 году было начато осуществление проекта Счета развития Организации Объединенных Наций (СРООН) по повышению устойчивости государственных закупок в целях обеспечения регионального перехода к инклюзивной </w:t>
      </w:r>
      <w:r w:rsidR="0093245C">
        <w:t>«</w:t>
      </w:r>
      <w:r>
        <w:t>зеленой</w:t>
      </w:r>
      <w:r w:rsidR="0093245C">
        <w:t>»</w:t>
      </w:r>
      <w:r>
        <w:t xml:space="preserve"> экономике в Восточной Европе, на Кавказе и в Центральной Азии. Этот проект, осуществляемый под руководством ЮНЕП в сотрудничестве с ЕЭК и Платформой знаний </w:t>
      </w:r>
      <w:r w:rsidR="0093245C">
        <w:t>«</w:t>
      </w:r>
      <w:r>
        <w:t>Зеленый рост</w:t>
      </w:r>
      <w:r w:rsidR="0093245C">
        <w:t>»</w:t>
      </w:r>
      <w:r>
        <w:t xml:space="preserve">, направлен на укрепление потенциала отдельных стран региона в области устойчивых государственных закупок и расширение возможностей предприятий в плане участия в публичных торгах на основе критериев устойчивости. </w:t>
      </w:r>
      <w:bookmarkStart w:id="3" w:name="_Hlk529972834"/>
      <w:bookmarkEnd w:id="3"/>
    </w:p>
    <w:p w:rsidR="007B2A7E" w:rsidRPr="006A2333" w:rsidRDefault="007B2A7E" w:rsidP="007B2A7E">
      <w:pPr>
        <w:pStyle w:val="SingleTxtG"/>
      </w:pPr>
      <w:r>
        <w:t>18.</w:t>
      </w:r>
      <w:r>
        <w:tab/>
        <w:t xml:space="preserve">В настоящее время в регионе ЕЭК осуществляется принятый в 2013 году Рованиемийский план действий для лесного сектора в условиях развития </w:t>
      </w:r>
      <w:r w:rsidR="0093245C">
        <w:t>«</w:t>
      </w:r>
      <w:r>
        <w:t>зеленой</w:t>
      </w:r>
      <w:r w:rsidR="0093245C">
        <w:t>»</w:t>
      </w:r>
      <w:r>
        <w:t xml:space="preserve"> экономики. В этом плане описывается, каким образом лесной сектор может играть ведущую роль в формировании </w:t>
      </w:r>
      <w:r w:rsidR="0093245C">
        <w:t>«</w:t>
      </w:r>
      <w:r>
        <w:t>зеленой</w:t>
      </w:r>
      <w:r w:rsidR="0093245C">
        <w:t>»</w:t>
      </w:r>
      <w:r>
        <w:t xml:space="preserve"> экономики и вносить вклад в нее, и предусматриваются конкретные меры, направленные на поддержку и стимулирование национальных стратегий и мероприятий, способствующих увеличению вклада лесного сектора в </w:t>
      </w:r>
      <w:r w:rsidR="0093245C">
        <w:t>«</w:t>
      </w:r>
      <w:r>
        <w:t>зеленую</w:t>
      </w:r>
      <w:r w:rsidR="0093245C">
        <w:t>»</w:t>
      </w:r>
      <w:r>
        <w:t xml:space="preserve"> экономику. В нем предполагается до</w:t>
      </w:r>
      <w:r w:rsidR="007C23A3">
        <w:t>стичь его общую цель к </w:t>
      </w:r>
      <w:r>
        <w:t>2020</w:t>
      </w:r>
      <w:r w:rsidR="00562537">
        <w:t> </w:t>
      </w:r>
      <w:r>
        <w:t>году. Среднесрочный обзор Рованиемийског</w:t>
      </w:r>
      <w:r w:rsidR="007C23A3">
        <w:t>о плана действий был проведен в </w:t>
      </w:r>
      <w:r>
        <w:t>2017</w:t>
      </w:r>
      <w:r w:rsidR="00562537">
        <w:t>–</w:t>
      </w:r>
      <w:r>
        <w:t>2018 годах Секцией лесного хозяйства и лесоматериалов ЕЭК/</w:t>
      </w:r>
      <w:r w:rsidR="00562537">
        <w:br/>
      </w:r>
      <w:r>
        <w:t xml:space="preserve">Продовольственной и сельскохозяйственной организации Объединенных Наций (ФАО) (см. информационный документ № 2). </w:t>
      </w:r>
    </w:p>
    <w:p w:rsidR="007B2A7E" w:rsidRPr="006A2333" w:rsidRDefault="007B2A7E" w:rsidP="007B2A7E">
      <w:pPr>
        <w:pStyle w:val="SingleTxtG"/>
      </w:pPr>
      <w:r>
        <w:t>19.</w:t>
      </w:r>
      <w:r>
        <w:tab/>
        <w:t xml:space="preserve">Отдел устойчивой энергетики ЕЭК оказывает поддержку государствам-членам в экологизации их экономики и достижении связанных с энергетикой Целей в области устойчивого развития, в частности </w:t>
      </w:r>
      <w:r w:rsidR="00562537">
        <w:t xml:space="preserve">Цели </w:t>
      </w:r>
      <w:r>
        <w:t xml:space="preserve">7. Недавние </w:t>
      </w:r>
      <w:r w:rsidR="0093245C">
        <w:t>«</w:t>
      </w:r>
      <w:r>
        <w:t>откровенные разговоры</w:t>
      </w:r>
      <w:r w:rsidR="0093245C">
        <w:t>»</w:t>
      </w:r>
      <w:r>
        <w:t xml:space="preserve"> ЕЭК по возобновляемым источникам энергии в Азербайджане, Грузии, Казахстане и Украине послужили форумом для многостороннего диалога, в котором приняли участие представители государственного и частного секторов, для обмена мнениями, обсуждения препятствий, определения приоритетов и выработки стратегических рекомендаций по расширению использования возобновляемых источников энергии. По итогам каждого мероприятия были одобрены ориентированные на конкретные действия рекомендации по совершенствованию политики и нормативно-правовой базы в краткосрочной и среднесрочной перспективе.</w:t>
      </w:r>
    </w:p>
    <w:p w:rsidR="007B2A7E" w:rsidRPr="006A2333" w:rsidRDefault="007B2A7E" w:rsidP="007B2A7E">
      <w:pPr>
        <w:pStyle w:val="SingleTxtG"/>
      </w:pPr>
      <w:r>
        <w:t>20.</w:t>
      </w:r>
      <w:r>
        <w:tab/>
        <w:t>В 2017 году ЕЭК организовала два субрегиональных рабочих совещания по укреплению потенциала на основе потребностей, выявленных в ходе недавних обзоров результативности экологической деятельности: рабочее совещание для укрепления национального потенциала в Центральной Азии в процессе перехода к устойчивой энергетической политике и практике (Астана, ноябрь 2017 года); и рабочее совещание для Кавказа, Центральной Азии, Восточной и Юго-Восточной Европы, посвященное переходу к политике и практике устойчивого развития транспорта (Тбилиси, декабрь 2017 года).</w:t>
      </w:r>
    </w:p>
    <w:p w:rsidR="007B2A7E" w:rsidRPr="006A2333" w:rsidRDefault="007B2A7E" w:rsidP="007B2A7E">
      <w:pPr>
        <w:pStyle w:val="SingleTxtG"/>
      </w:pPr>
      <w:r>
        <w:lastRenderedPageBreak/>
        <w:t>21.</w:t>
      </w:r>
      <w:r>
        <w:tab/>
        <w:t>В 2018 году было начато осуществление проекта Счета развития Организации Объединенных Наций по укреплению национального потенциала в области основанного на фактических данных экологического руководства и устойчивой экологической политики в поддержку осуществления Повестки дня на период до 2030</w:t>
      </w:r>
      <w:r w:rsidR="00562537">
        <w:t> </w:t>
      </w:r>
      <w:r>
        <w:t>года. Этот проект реализуется в рамках Программы обзоров результативности экологической деятельности ЕЭК ООН.</w:t>
      </w:r>
    </w:p>
    <w:p w:rsidR="007B2A7E" w:rsidRPr="006A2333" w:rsidRDefault="007B2A7E" w:rsidP="007B2A7E">
      <w:pPr>
        <w:pStyle w:val="SingleTxtG"/>
      </w:pPr>
      <w:r>
        <w:t>22.</w:t>
      </w:r>
      <w:r>
        <w:tab/>
        <w:t>Многосторонние природоохранные соглашения ЕЭК продолжают оказывать поддержк</w:t>
      </w:r>
      <w:r w:rsidR="00562537">
        <w:t>у</w:t>
      </w:r>
      <w:r>
        <w:t xml:space="preserve"> странам в их усилиях по экологизации своей экономики и достижению устойчивого развития. За счет установления целевых показателей выбросов аммиака и оксидов азота Конвенция о трансграничном загрязнении воздуха на большие расстояния (Конвенция по воздуху) помогала странам в сокращении выбросов азота и поощрении устойчивого сельского хозяйства. Благодаря установлению предельных значений выбросов загрязняющих веществ в атмосферу Конвенция по воздуху также стимулировала инвестиции в чистые технологии, что ведет к экологизации наиболее загрязняющих секторов, таких как энергетика и промышленность.</w:t>
      </w:r>
    </w:p>
    <w:p w:rsidR="007B2A7E" w:rsidRPr="006A2333" w:rsidRDefault="007B2A7E" w:rsidP="007B2A7E">
      <w:pPr>
        <w:pStyle w:val="SingleTxtG"/>
      </w:pPr>
      <w:r>
        <w:t>23.</w:t>
      </w:r>
      <w:r>
        <w:tab/>
        <w:t>Конвенция об оценке воздействия на окружающую среду в трансграничном контексте (Конвенция Эспо) и Протокол по стратегической экологической оценке к ней поддерживали и поощряли скорейшую интеграцию экологических и медицинских соображений во все планы экономического и регионального развития. Кроме того, эти два договора предусматривают применение подхода, основанного на принципе предосторожности, что позволяет прогнозировать, предотвращать и смягчать ущерб окружающей среде. Оба договора способствовали экологизации экономики за счет снижения опасности для здоровья человека и окружающей среды в результате воздействия химических веществ и загрязнения воздуха, воды и почвы, обеспечивая проведение оценки этих воздействий и принятие упреждающих мер по их смягчению при планировании всех потенциально загрязняющих видов экономической деятельности.</w:t>
      </w:r>
    </w:p>
    <w:p w:rsidR="007B2A7E" w:rsidRPr="006A2333" w:rsidRDefault="007B2A7E" w:rsidP="007B2A7E">
      <w:pPr>
        <w:pStyle w:val="SingleTxtG"/>
      </w:pPr>
      <w:r>
        <w:t>24.</w:t>
      </w:r>
      <w:r>
        <w:tab/>
        <w:t>Протокол о регистрах выбросов и перен</w:t>
      </w:r>
      <w:r w:rsidR="007C23A3">
        <w:t>оса загрязнителей к Конвенции о </w:t>
      </w:r>
      <w:r>
        <w:t>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способствовал предотвращению и сокращению загрязнения посредством повышения транспарентности и содействия улучшению экологических показателей в областях производства и потребления. Он помогал странам осуществлять мониторинг выбросов и переноса загрязнителей в течение продолжительного периода времени; обеспечивал предоставление общественности информации о выбросах загрязнителей и перемещении отходов, заставляя тем самым государственные компании сокращать свои выбросы загрязнителей и содействуя выявлению более рациональных производственных методов; повышал полезность данных регистров выбросов и переноса загрязнителей путем их комбинирования с другими типами информации, такими как данные о состоянии здоровья и инфраструктуре и демографические и экономические данные; и предоставлял директивным органам онлайновый инструмент для определения и расширения возможных будущих действий.</w:t>
      </w:r>
    </w:p>
    <w:p w:rsidR="007B2A7E" w:rsidRPr="006A2333" w:rsidRDefault="007B2A7E" w:rsidP="007B2A7E">
      <w:pPr>
        <w:pStyle w:val="SingleTxtG"/>
      </w:pPr>
      <w:r>
        <w:t>25.</w:t>
      </w:r>
      <w:r>
        <w:tab/>
        <w:t xml:space="preserve">Промышленная безопасность и уменьшение опасности бедствий являются важными вопросами, которые странам следует учитывать при переходе к </w:t>
      </w:r>
      <w:r w:rsidR="0093245C">
        <w:t>«</w:t>
      </w:r>
      <w:r>
        <w:t>зеленой</w:t>
      </w:r>
      <w:r w:rsidR="0093245C">
        <w:t>»</w:t>
      </w:r>
      <w:r>
        <w:t xml:space="preserve"> экономике. Конвенция о трансграничном воздействии промышленных аварий (Конвенция о промышленных авариях) помогала странам обеспечивать эффективное снижение технологических рисков, связанных с работой промышленных объектов, а также снижение рисков аварий на них. В период 2015–2017 годов секретариат Конвенции организовал три субрегиональных рабочих совещания по вопросам предотвращения промышленных аварий в целях повышения промышленной безопасности</w:t>
      </w:r>
      <w:r w:rsidR="00562537">
        <w:t xml:space="preserve"> –</w:t>
      </w:r>
      <w:r>
        <w:t xml:space="preserve"> для стран Центральной Азии; для стран Юго-Восточной Европы; и для стран Восточной Европы и Кавказа. Кроме того, в рамках Конвенции осуществляется проект по укреплению промышленной безопасности в Центральной Азии </w:t>
      </w:r>
      <w:r w:rsidR="00562537">
        <w:br/>
      </w:r>
      <w:r>
        <w:t>(2016–2019 годы) и экспериментальный проект по укреплению безопасности горнодобывающих операций (2018–2019 годы)</w:t>
      </w:r>
      <w:r w:rsidR="007C23A3">
        <w:t>, в частности хвостохранилищ, в </w:t>
      </w:r>
      <w:r>
        <w:t>Казахстане и за его пределами в Центральной Азии.</w:t>
      </w:r>
    </w:p>
    <w:p w:rsidR="007B2A7E" w:rsidRPr="006A2333" w:rsidRDefault="007B2A7E" w:rsidP="007B2A7E">
      <w:pPr>
        <w:pStyle w:val="SingleTxtG"/>
      </w:pPr>
      <w:r>
        <w:lastRenderedPageBreak/>
        <w:t>26.</w:t>
      </w:r>
      <w:r>
        <w:tab/>
        <w:t xml:space="preserve">В рамках девятого совещания Конференции Сторон Конвенции (Любляна, </w:t>
      </w:r>
      <w:r w:rsidR="00562537">
        <w:br/>
      </w:r>
      <w:r>
        <w:t>28–30 ноября 2016 года) был проведен совместный семинар для демонстрации и изучения вопроса о том, каким образом работа ЕЭК и ОЭСР по предупреждению промышленных и химических аварий, обеспечению готовности к ним и реагированию на них способствует осуществлению Повестки дня на период до 2030 года и достижению Целей в области устойчивого развития, а также реализации приоритетных действий, изложенных в Сендайской рамочной программе по снижению риска бедствий на 2015</w:t>
      </w:r>
      <w:r w:rsidR="00562537">
        <w:t>–</w:t>
      </w:r>
      <w:r>
        <w:t>2030 годы.</w:t>
      </w:r>
    </w:p>
    <w:p w:rsidR="007B2A7E" w:rsidRPr="006A2333" w:rsidRDefault="007B2A7E" w:rsidP="007B2A7E">
      <w:pPr>
        <w:pStyle w:val="SingleTxtG"/>
      </w:pPr>
      <w:r>
        <w:t>27.</w:t>
      </w:r>
      <w:r>
        <w:tab/>
        <w:t>В 2018 году ЕЭК в рамках Конвенции по охране и использованию трансграничных водотоков и международ</w:t>
      </w:r>
      <w:r w:rsidR="007C23A3">
        <w:t>ных озер (Конвенция по водам) в </w:t>
      </w:r>
      <w:r>
        <w:t xml:space="preserve">сотрудничестве с Международной комиссией по бассейну реки Сава осуществила проект по экологизации экономического развития на Западных Балканах на основе применения нексусного подхода </w:t>
      </w:r>
      <w:r w:rsidR="0093245C">
        <w:t>«</w:t>
      </w:r>
      <w:r>
        <w:t>вода</w:t>
      </w:r>
      <w:r w:rsidR="00B9128A">
        <w:t>–</w:t>
      </w:r>
      <w:r>
        <w:t>продовольствие</w:t>
      </w:r>
      <w:r w:rsidR="00B9128A">
        <w:t>–</w:t>
      </w:r>
      <w:r>
        <w:t>энергетика</w:t>
      </w:r>
      <w:r w:rsidR="00B9128A">
        <w:t>–</w:t>
      </w:r>
      <w:r>
        <w:t>экосистемы</w:t>
      </w:r>
      <w:r w:rsidR="0093245C">
        <w:t>»</w:t>
      </w:r>
      <w:r w:rsidR="00B9128A">
        <w:t xml:space="preserve"> и </w:t>
      </w:r>
      <w:r>
        <w:t>выявлении выгод от трансграничного сотрудничества. Этот проект способствовал развитию трансграничного и межотраслевого сотрудничества в бассейне реки Дрина путем выявления возможностей для межсекторального взаимодействия и определения мер, которые могли бы смягчить напряженность, связанную с многочисленными потребностями стран бассейна в общих ресурсах. Оценка нексусных связей позволила выявить целый ряд возможностей и конкретные выгоды трансграничного сотрудничества между секторами, но также улучшить межсекторальную координацию на национальном уровне.</w:t>
      </w:r>
    </w:p>
    <w:p w:rsidR="007B2A7E" w:rsidRPr="006A2333" w:rsidRDefault="007B2A7E" w:rsidP="007B2A7E">
      <w:pPr>
        <w:pStyle w:val="SingleTxtG"/>
      </w:pPr>
      <w:r>
        <w:t>28.</w:t>
      </w:r>
      <w:r>
        <w:tab/>
        <w:t>В период 2015</w:t>
      </w:r>
      <w:r w:rsidR="0093245C">
        <w:t>–</w:t>
      </w:r>
      <w:r>
        <w:t xml:space="preserve">2018 годов Программа развития Организации Объединенных Наций (ПРООН) в партнерстве с ЕЭК осуществляет проект по оказанию помощи Казахстану в переходе к </w:t>
      </w:r>
      <w:r w:rsidR="0093245C">
        <w:t>«</w:t>
      </w:r>
      <w:r>
        <w:t>зеленой</w:t>
      </w:r>
      <w:r w:rsidR="0093245C">
        <w:t>»</w:t>
      </w:r>
      <w:r>
        <w:t xml:space="preserve"> экономике</w:t>
      </w:r>
      <w:r>
        <w:rPr>
          <w:rStyle w:val="aa"/>
        </w:rPr>
        <w:footnoteReference w:id="4"/>
      </w:r>
      <w:r w:rsidR="0093245C">
        <w:t>.</w:t>
      </w:r>
      <w:r>
        <w:t xml:space="preserve"> Деятельность в рамках этого проекта способствовала изменению парадигмы развития в стране на основе устойчивого использования природных ресурсов с уделением особого внимания водохозяйственному сектору. В рамках проекта было реализовано 15 технологических проектов в восьми регионах Казахстана, призванных продемонстрировать практическое применение </w:t>
      </w:r>
      <w:r w:rsidR="0093245C">
        <w:t>«</w:t>
      </w:r>
      <w:r>
        <w:t>зеленых</w:t>
      </w:r>
      <w:r w:rsidR="0093245C">
        <w:t>»</w:t>
      </w:r>
      <w:r>
        <w:t xml:space="preserve"> технологий.</w:t>
      </w:r>
    </w:p>
    <w:p w:rsidR="007B2A7E" w:rsidRPr="006A2333" w:rsidRDefault="007B2A7E" w:rsidP="007B2A7E">
      <w:pPr>
        <w:pStyle w:val="SingleTxtG"/>
      </w:pPr>
      <w:r>
        <w:t>29.</w:t>
      </w:r>
      <w:r>
        <w:tab/>
        <w:t>Национальные диалоги по вопросам политики в области комплексного управления водными ресурсами, проводимые ЕЭК в сотрудничестве с ОЭСР в рамках Инициативы Европейского союза по водным ресурсам, служат важной платформой для оказания поддержки странам в деле экологизации их экономики и содействия осуществлению Повестки дня на период до 2030 года. ОЭСР также провела и опубликовала различные исследования по экономическим инструментам управления водными ресурсами и многоцелевой водной инфраструктуре, водоснабжению и санитарии, среди прочего.</w:t>
      </w:r>
    </w:p>
    <w:p w:rsidR="007B2A7E" w:rsidRPr="006A2333" w:rsidRDefault="007B2A7E" w:rsidP="007B2A7E">
      <w:pPr>
        <w:pStyle w:val="SingleTxtG"/>
      </w:pPr>
      <w:r>
        <w:t>30.</w:t>
      </w:r>
      <w:r>
        <w:tab/>
        <w:t xml:space="preserve">С 2016 года для поддержки межведомственного обсуждения на высоком уровне приоритетных вопросов политики и политических мер, определенных в рамках различных инициатив по экологизации роста, ОЭСР организовала три политических диалога в Казахстане, два в Грузии (совместно с ЮНЕП) и один в Кыргызстане. </w:t>
      </w:r>
    </w:p>
    <w:p w:rsidR="007B2A7E" w:rsidRPr="006A2333" w:rsidRDefault="007B2A7E" w:rsidP="007B2A7E">
      <w:pPr>
        <w:pStyle w:val="SingleTxtG"/>
      </w:pPr>
      <w:r>
        <w:t>31.</w:t>
      </w:r>
      <w:r>
        <w:tab/>
        <w:t xml:space="preserve">ОЭСР проводит научные исследования и изыскания с целью разработки вариантов политики в области </w:t>
      </w:r>
      <w:r w:rsidR="0093245C">
        <w:t>«</w:t>
      </w:r>
      <w:r>
        <w:t>зеленых</w:t>
      </w:r>
      <w:r w:rsidR="0093245C">
        <w:t>»</w:t>
      </w:r>
      <w:r>
        <w:t xml:space="preserve"> инвестиций и финансирования, которые страны могут использовать для перехода к более инклюзивной и </w:t>
      </w:r>
      <w:r w:rsidR="0093245C">
        <w:t>«</w:t>
      </w:r>
      <w:r>
        <w:t>зеленой</w:t>
      </w:r>
      <w:r w:rsidR="0093245C">
        <w:t>»</w:t>
      </w:r>
      <w:r>
        <w:t xml:space="preserve"> экономике. Доклады ОЭСР</w:t>
      </w:r>
      <w:r>
        <w:rPr>
          <w:rStyle w:val="aa"/>
        </w:rPr>
        <w:footnoteReference w:id="5"/>
      </w:r>
      <w:r>
        <w:t xml:space="preserve"> в этой области затрагивают следующие темы: энергетические субсидии в странах Восточной Европы и Кавказа (Азербайджан, Армения, Беларусь, Грузия, Республика Молдова и Украина); доступность энергоресурсов и экологические последствия реформирования основных схем энергетического субсидирования в Республике Молдова; финансирование ресурсоэффективного и экологически чистого производства малых и средних предприятий в странах Восточной Европы и Кавказа; финансирование развития в Восточной Европе, на </w:t>
      </w:r>
      <w:r>
        <w:lastRenderedPageBreak/>
        <w:t>Кавказе и в Центральной Азии, связанное с изменением климата, и кредитование природоохранной деятельности в странах Восточной Европы и Кавказа.</w:t>
      </w:r>
    </w:p>
    <w:p w:rsidR="007B2A7E" w:rsidRPr="006A2333" w:rsidRDefault="007B2A7E" w:rsidP="007B2A7E">
      <w:pPr>
        <w:pStyle w:val="SingleTxtG"/>
      </w:pPr>
      <w:r>
        <w:t>32.</w:t>
      </w:r>
      <w:r>
        <w:tab/>
        <w:t xml:space="preserve">В 2017 году ОЭСР опубликовала доклад </w:t>
      </w:r>
      <w:r w:rsidRPr="0093245C">
        <w:rPr>
          <w:i/>
        </w:rPr>
        <w:t xml:space="preserve">Показатели </w:t>
      </w:r>
      <w:r w:rsidR="007C23A3">
        <w:rPr>
          <w:i/>
        </w:rPr>
        <w:t>«</w:t>
      </w:r>
      <w:r w:rsidRPr="0093245C">
        <w:rPr>
          <w:i/>
        </w:rPr>
        <w:t>зеленого</w:t>
      </w:r>
      <w:r w:rsidR="007C23A3">
        <w:rPr>
          <w:i/>
        </w:rPr>
        <w:t>»</w:t>
      </w:r>
      <w:r w:rsidRPr="0093245C">
        <w:rPr>
          <w:i/>
        </w:rPr>
        <w:t xml:space="preserve"> роста </w:t>
      </w:r>
      <w:r w:rsidR="0093245C">
        <w:rPr>
          <w:i/>
        </w:rPr>
        <w:t>–</w:t>
      </w:r>
      <w:r w:rsidRPr="0093245C">
        <w:rPr>
          <w:i/>
        </w:rPr>
        <w:t xml:space="preserve"> 2017</w:t>
      </w:r>
      <w:r w:rsidR="0093245C">
        <w:rPr>
          <w:i/>
        </w:rPr>
        <w:t> </w:t>
      </w:r>
      <w:r w:rsidRPr="0093245C">
        <w:rPr>
          <w:i/>
        </w:rPr>
        <w:t>год</w:t>
      </w:r>
      <w:r>
        <w:t xml:space="preserve">, в котором используется целый ряд показателей, охватывающих все </w:t>
      </w:r>
      <w:r w:rsidR="007C23A3">
        <w:t>аспекты </w:t>
      </w:r>
      <w:r w:rsidR="0093245C">
        <w:t>–</w:t>
      </w:r>
      <w:r w:rsidR="007C23A3">
        <w:t> </w:t>
      </w:r>
      <w:r>
        <w:t xml:space="preserve">от землепользования до воздействия диоксида углерода на производительность труда и инноваций, </w:t>
      </w:r>
      <w:r w:rsidR="0093245C">
        <w:t>–</w:t>
      </w:r>
      <w:r>
        <w:t xml:space="preserve"> с тем чтобы классифицировать 46 стран по их эффективности в обеспечении баланса между экономическим ростом и нагрузкой на окружающую среду в период 1990</w:t>
      </w:r>
      <w:r w:rsidR="00247D4C">
        <w:t>–</w:t>
      </w:r>
      <w:r>
        <w:t xml:space="preserve">2015 годов. В докладе указывается, что ни одна страна не демонстрирует хороших результатов по всем аспектам </w:t>
      </w:r>
      <w:r w:rsidR="0093245C">
        <w:t>«</w:t>
      </w:r>
      <w:r>
        <w:t>зеленого</w:t>
      </w:r>
      <w:r w:rsidR="0093245C">
        <w:t>»</w:t>
      </w:r>
      <w:r>
        <w:t xml:space="preserve"> роста и что большинство изученных стран еще не полностью отделили экономический рост от использования ископаемого топлива и выбросов загрязняющих веществ. Прогресс зачастую недостаточен для сохранения базы природных активов или ослабления нагрузки на экосистемы и обеспечиваемые ими природные экологические услуги, такие как очистка воды и регулирование климата. В докладе отмечается, что наибольшего прогресса в области </w:t>
      </w:r>
      <w:r w:rsidR="0093245C">
        <w:t>«</w:t>
      </w:r>
      <w:r>
        <w:t>зеленого</w:t>
      </w:r>
      <w:r w:rsidR="0093245C">
        <w:t>»</w:t>
      </w:r>
      <w:r>
        <w:t xml:space="preserve"> роста с 2000 года добились, в порядке снижения рейтинга, Дания, Эстония, Соединенное Королевство Великобритании и Северной Ирландии, Италия и Словакия.</w:t>
      </w:r>
    </w:p>
    <w:p w:rsidR="007B2A7E" w:rsidRPr="006A2333" w:rsidRDefault="007B2A7E" w:rsidP="007B2A7E">
      <w:pPr>
        <w:pStyle w:val="SingleTxtG"/>
      </w:pPr>
      <w:r>
        <w:t>33.</w:t>
      </w:r>
      <w:r>
        <w:tab/>
        <w:t xml:space="preserve">Партнерство в интересах действий по </w:t>
      </w:r>
      <w:r w:rsidR="0093245C">
        <w:t>«</w:t>
      </w:r>
      <w:r>
        <w:t>зеленой</w:t>
      </w:r>
      <w:r w:rsidR="0093245C">
        <w:t>»</w:t>
      </w:r>
      <w:r>
        <w:t xml:space="preserve"> экономике (ПДЗЭ) является механизмом для координации действий Организации Объединенных Наций по вопросам </w:t>
      </w:r>
      <w:r w:rsidR="0093245C">
        <w:t>«</w:t>
      </w:r>
      <w:r>
        <w:t>зеленой</w:t>
      </w:r>
      <w:r w:rsidR="0093245C">
        <w:t>»</w:t>
      </w:r>
      <w:r>
        <w:t xml:space="preserve"> экономики и оказания странам помощи в достижении и мониторинге прогресса на пути к осуществлению Целей в области устойчивого развития. Партнерство объединяет пять учреждений Организации Объединенных Наций – Международную организацию труда, ПРООН, ЮНЕП, ЮНИДО и Учебный и научно-исследовательский институт Организации Объединенных Наций. К</w:t>
      </w:r>
      <w:r w:rsidR="00247D4C">
        <w:t> </w:t>
      </w:r>
      <w:r>
        <w:t>последним направлениям деятельности относятся:</w:t>
      </w:r>
    </w:p>
    <w:p w:rsidR="007B2A7E" w:rsidRPr="006A2333" w:rsidRDefault="007B2A7E" w:rsidP="00247D4C">
      <w:pPr>
        <w:pStyle w:val="SingleTxtG"/>
        <w:ind w:firstLine="567"/>
      </w:pPr>
      <w:r>
        <w:t>а)</w:t>
      </w:r>
      <w:r>
        <w:tab/>
        <w:t xml:space="preserve">Рамочная программа комплексного моделирования </w:t>
      </w:r>
      <w:r w:rsidR="0093245C">
        <w:t>«</w:t>
      </w:r>
      <w:r>
        <w:t>зеленой</w:t>
      </w:r>
      <w:r w:rsidR="0093245C">
        <w:t>»</w:t>
      </w:r>
      <w:r>
        <w:t xml:space="preserve"> экономики, которая направлена на более эффективное удовлетворение потребностей стран с точки зрения анализа межсекторального воздействия стратегий </w:t>
      </w:r>
      <w:r w:rsidR="0093245C">
        <w:t>«</w:t>
      </w:r>
      <w:r>
        <w:t>зеленой</w:t>
      </w:r>
      <w:r w:rsidR="0093245C">
        <w:t>»</w:t>
      </w:r>
      <w:r>
        <w:t xml:space="preserve"> экономики;</w:t>
      </w:r>
    </w:p>
    <w:p w:rsidR="007B2A7E" w:rsidRPr="006A2333" w:rsidRDefault="007B2A7E" w:rsidP="00247D4C">
      <w:pPr>
        <w:pStyle w:val="SingleTxtG"/>
        <w:ind w:firstLine="567"/>
      </w:pPr>
      <w:r>
        <w:t>b)</w:t>
      </w:r>
      <w:r>
        <w:tab/>
        <w:t xml:space="preserve">Рамочная основа для оценки прогресса в области </w:t>
      </w:r>
      <w:r w:rsidR="0093245C">
        <w:t>«</w:t>
      </w:r>
      <w:r>
        <w:t>зеленой</w:t>
      </w:r>
      <w:r w:rsidR="0093245C">
        <w:t>»</w:t>
      </w:r>
      <w:r>
        <w:t xml:space="preserve"> экономики, которая помогает странам оценивать общий прогресс на пути к инклюзивной </w:t>
      </w:r>
      <w:r w:rsidR="0093245C">
        <w:t>«</w:t>
      </w:r>
      <w:r>
        <w:t>зеленой</w:t>
      </w:r>
      <w:r w:rsidR="0093245C">
        <w:t>»</w:t>
      </w:r>
      <w:r>
        <w:t xml:space="preserve"> экономике и позволяет проводить межстрановые сопоставления достигнутого прогресса;</w:t>
      </w:r>
    </w:p>
    <w:p w:rsidR="007B2A7E" w:rsidRPr="006A2333" w:rsidRDefault="007B2A7E" w:rsidP="00247D4C">
      <w:pPr>
        <w:pStyle w:val="SingleTxtG"/>
        <w:ind w:firstLine="567"/>
      </w:pPr>
      <w:r>
        <w:t>c)</w:t>
      </w:r>
      <w:r>
        <w:tab/>
        <w:t xml:space="preserve">Набор инструментов </w:t>
      </w:r>
      <w:r w:rsidR="0093245C">
        <w:t>«</w:t>
      </w:r>
      <w:r>
        <w:t>зеленой</w:t>
      </w:r>
      <w:r w:rsidR="0093245C">
        <w:t>»</w:t>
      </w:r>
      <w:r>
        <w:t xml:space="preserve"> экономики для директивных органов, который предоставляет странам практические рекомендации по разработке и оценке политики, измерению прогресса и моделированию будущих последствий перехода. Набор состоит из трех докладов </w:t>
      </w:r>
      <w:r w:rsidR="00247D4C">
        <w:t>–</w:t>
      </w:r>
      <w:r>
        <w:t xml:space="preserve"> </w:t>
      </w:r>
      <w:r w:rsidRPr="00247D4C">
        <w:rPr>
          <w:i/>
        </w:rPr>
        <w:t xml:space="preserve">Руководства по оценке политики в области </w:t>
      </w:r>
      <w:r w:rsidR="0093245C" w:rsidRPr="00247D4C">
        <w:rPr>
          <w:i/>
        </w:rPr>
        <w:t>«</w:t>
      </w:r>
      <w:r w:rsidRPr="00247D4C">
        <w:rPr>
          <w:i/>
        </w:rPr>
        <w:t>зеленой</w:t>
      </w:r>
      <w:r w:rsidR="0093245C" w:rsidRPr="00247D4C">
        <w:rPr>
          <w:i/>
        </w:rPr>
        <w:t>»</w:t>
      </w:r>
      <w:r w:rsidRPr="00247D4C">
        <w:rPr>
          <w:i/>
        </w:rPr>
        <w:t xml:space="preserve"> экономики, Руководства по показателям </w:t>
      </w:r>
      <w:r w:rsidR="0093245C" w:rsidRPr="00247D4C">
        <w:rPr>
          <w:i/>
        </w:rPr>
        <w:t>«</w:t>
      </w:r>
      <w:r w:rsidRPr="00247D4C">
        <w:rPr>
          <w:i/>
        </w:rPr>
        <w:t>зеленой</w:t>
      </w:r>
      <w:r w:rsidR="0093245C" w:rsidRPr="00247D4C">
        <w:rPr>
          <w:i/>
        </w:rPr>
        <w:t>»</w:t>
      </w:r>
      <w:r w:rsidRPr="00247D4C">
        <w:rPr>
          <w:i/>
        </w:rPr>
        <w:t xml:space="preserve"> экономики </w:t>
      </w:r>
      <w:r w:rsidRPr="00247D4C">
        <w:t>и</w:t>
      </w:r>
      <w:r w:rsidRPr="00247D4C">
        <w:rPr>
          <w:i/>
        </w:rPr>
        <w:t xml:space="preserve"> Руководства по использованию моделей для разработки политики </w:t>
      </w:r>
      <w:r w:rsidR="0093245C" w:rsidRPr="00247D4C">
        <w:rPr>
          <w:i/>
        </w:rPr>
        <w:t>«</w:t>
      </w:r>
      <w:r w:rsidRPr="00247D4C">
        <w:rPr>
          <w:i/>
        </w:rPr>
        <w:t>зеленой</w:t>
      </w:r>
      <w:r w:rsidR="0093245C" w:rsidRPr="00247D4C">
        <w:rPr>
          <w:i/>
        </w:rPr>
        <w:t>»</w:t>
      </w:r>
      <w:r w:rsidRPr="00247D4C">
        <w:rPr>
          <w:i/>
        </w:rPr>
        <w:t xml:space="preserve"> экономики</w:t>
      </w:r>
      <w:r w:rsidR="00247D4C">
        <w:t>;</w:t>
      </w:r>
    </w:p>
    <w:p w:rsidR="007B2A7E" w:rsidRPr="006A2333" w:rsidRDefault="007B2A7E" w:rsidP="00247D4C">
      <w:pPr>
        <w:pStyle w:val="SingleTxtG"/>
        <w:ind w:firstLine="567"/>
      </w:pPr>
      <w:r>
        <w:t>d)</w:t>
      </w:r>
      <w:r w:rsidR="00247D4C">
        <w:tab/>
      </w:r>
      <w:r>
        <w:t xml:space="preserve">Кыргызстан присоединился к ПДЗЭ в 2016 году, что позволило начать осуществление странового плана работы ПДЗЭ. Казахстан также присоединился к ПДЗЭ в 2018 году. </w:t>
      </w:r>
    </w:p>
    <w:p w:rsidR="007B2A7E" w:rsidRPr="006A2333" w:rsidRDefault="007B2A7E" w:rsidP="007B2A7E">
      <w:pPr>
        <w:pStyle w:val="SingleTxtG"/>
      </w:pPr>
      <w:r>
        <w:t>34.</w:t>
      </w:r>
      <w:r>
        <w:tab/>
        <w:t xml:space="preserve">В 2017 году ЮНЕП и Германский институт по вопросам развития выпустили публикацию </w:t>
      </w:r>
      <w:r w:rsidR="0093245C" w:rsidRPr="00247D4C">
        <w:rPr>
          <w:i/>
        </w:rPr>
        <w:t>«</w:t>
      </w:r>
      <w:r w:rsidRPr="00247D4C">
        <w:rPr>
          <w:i/>
        </w:rPr>
        <w:t>Зеленая</w:t>
      </w:r>
      <w:r w:rsidR="0093245C" w:rsidRPr="00247D4C">
        <w:rPr>
          <w:i/>
        </w:rPr>
        <w:t>»</w:t>
      </w:r>
      <w:r w:rsidRPr="00247D4C">
        <w:rPr>
          <w:i/>
        </w:rPr>
        <w:t xml:space="preserve"> промышленная политика: концепция, политика, опыт стран</w:t>
      </w:r>
      <w:r w:rsidRPr="00247D4C">
        <w:rPr>
          <w:rStyle w:val="aa"/>
          <w:iCs/>
        </w:rPr>
        <w:footnoteReference w:id="6"/>
      </w:r>
      <w:r w:rsidR="00247D4C">
        <w:t xml:space="preserve">. </w:t>
      </w:r>
      <w:r>
        <w:t xml:space="preserve">В публикации демонстрируется, как </w:t>
      </w:r>
      <w:r w:rsidR="0093245C">
        <w:t>«</w:t>
      </w:r>
      <w:r>
        <w:t>зеленая</w:t>
      </w:r>
      <w:r w:rsidR="0093245C">
        <w:t>»</w:t>
      </w:r>
      <w:r>
        <w:t xml:space="preserve"> промышленная политика может быть движущей силой преобразований в </w:t>
      </w:r>
      <w:r w:rsidR="0093245C">
        <w:t>«</w:t>
      </w:r>
      <w:r>
        <w:t>зеленой</w:t>
      </w:r>
      <w:r w:rsidR="0093245C">
        <w:t>»</w:t>
      </w:r>
      <w:r>
        <w:t xml:space="preserve"> экономике, и освещаются сопутствующие социальные, экологические и экономические выгоды </w:t>
      </w:r>
      <w:r w:rsidR="0093245C">
        <w:t>«</w:t>
      </w:r>
      <w:r>
        <w:t>зеленой</w:t>
      </w:r>
      <w:r w:rsidR="0093245C">
        <w:t>»</w:t>
      </w:r>
      <w:r>
        <w:t xml:space="preserve"> промышленной политики. В ней показано, что инструменты </w:t>
      </w:r>
      <w:r w:rsidR="0093245C">
        <w:t>«</w:t>
      </w:r>
      <w:r>
        <w:t>зеленой</w:t>
      </w:r>
      <w:r w:rsidR="0093245C">
        <w:t>»</w:t>
      </w:r>
      <w:r>
        <w:t xml:space="preserve"> промышленной политики могут способствовать переходу к экономическим структурам, которые обеспечат баланс между экологической устойчивостью и </w:t>
      </w:r>
      <w:r>
        <w:lastRenderedPageBreak/>
        <w:t>созданием богатства и помогут стимулировать необходимые изменения в интересах устойчивого будущего.</w:t>
      </w:r>
    </w:p>
    <w:p w:rsidR="007B2A7E" w:rsidRPr="006A2333" w:rsidRDefault="007B2A7E" w:rsidP="007B2A7E">
      <w:pPr>
        <w:pStyle w:val="SingleTxtG"/>
      </w:pPr>
      <w:r>
        <w:t>35.</w:t>
      </w:r>
      <w:r>
        <w:tab/>
        <w:t xml:space="preserve">С момента своего создания в рамках ЮНЕП в 2014 году платформа </w:t>
      </w:r>
      <w:r w:rsidR="0093245C">
        <w:t>«</w:t>
      </w:r>
      <w:r>
        <w:t>Исследование структуры устойчивой финансовой системы</w:t>
      </w:r>
      <w:r w:rsidR="0093245C">
        <w:t>»</w:t>
      </w:r>
      <w:r w:rsidR="00247D4C">
        <w:t>,</w:t>
      </w:r>
      <w:r>
        <w:t xml:space="preserve"> или </w:t>
      </w:r>
      <w:r w:rsidR="0093245C">
        <w:t>«</w:t>
      </w:r>
      <w:r>
        <w:t>Исследование</w:t>
      </w:r>
      <w:r w:rsidR="0093245C">
        <w:t>»</w:t>
      </w:r>
      <w:r w:rsidR="00247D4C">
        <w:t>,</w:t>
      </w:r>
      <w:r>
        <w:t xml:space="preserve"> является ведущей международной платформой для продвижения национальных и международных усилий по перенаправлению колоссальных финансовых ресурсов, необходимых для обеспечения всеохватывающей, </w:t>
      </w:r>
      <w:r w:rsidR="0093245C">
        <w:t>«</w:t>
      </w:r>
      <w:r>
        <w:t>зеленой</w:t>
      </w:r>
      <w:r w:rsidR="0093245C">
        <w:t>»</w:t>
      </w:r>
      <w:r>
        <w:t xml:space="preserve"> экономики посредством преобразования глобальной финансовой системы. Эта платформа проводила работу по национальным процессам с более чем 40 странами, </w:t>
      </w:r>
      <w:r w:rsidR="007C23A3">
        <w:t>включая 10 стран региона ЕЭК, а </w:t>
      </w:r>
      <w:r>
        <w:t xml:space="preserve">именно Германию, Италию, Казахстан, Канаду, Нидерланды, Российскую Федерацию, Соединенное Королевство, Соединенные Штаты Америки, Францию и Швейцарию. </w:t>
      </w:r>
    </w:p>
    <w:p w:rsidR="007B2A7E" w:rsidRPr="006A2333" w:rsidRDefault="007B2A7E" w:rsidP="007B2A7E">
      <w:pPr>
        <w:pStyle w:val="HChG"/>
      </w:pPr>
      <w:r>
        <w:tab/>
        <w:t>II.</w:t>
      </w:r>
      <w:r>
        <w:tab/>
      </w:r>
      <w:r>
        <w:tab/>
        <w:t>Извлеченные уроки и вызовы</w:t>
      </w:r>
      <w:bookmarkStart w:id="4" w:name="_Hlk518396275"/>
      <w:bookmarkEnd w:id="4"/>
    </w:p>
    <w:p w:rsidR="007B2A7E" w:rsidRPr="007B2A7E" w:rsidRDefault="007B2A7E" w:rsidP="007B2A7E">
      <w:pPr>
        <w:pStyle w:val="SingleTxtG"/>
      </w:pPr>
      <w:r>
        <w:t>36.</w:t>
      </w:r>
      <w:r>
        <w:tab/>
        <w:t>Эффективна</w:t>
      </w:r>
      <w:r w:rsidRPr="007B2A7E">
        <w:t>я интеграция целей в области охраны окружающей среды и здравоохранения в процесс экономического развития должна основываться на прочной законодательной базе. Однако успех необходимых правовых реформ зависит от политической приверженности на высоком уровне. Кроме того, важно не забывать о том, что гражданское общество играет ключевую роль в пропаганде экологических оценок и устойчивого развития.</w:t>
      </w:r>
    </w:p>
    <w:p w:rsidR="007B2A7E" w:rsidRPr="007B2A7E" w:rsidRDefault="007B2A7E" w:rsidP="007B2A7E">
      <w:pPr>
        <w:pStyle w:val="SingleTxtG"/>
      </w:pPr>
      <w:r w:rsidRPr="007B2A7E">
        <w:t>37.</w:t>
      </w:r>
      <w:r w:rsidRPr="007B2A7E">
        <w:tab/>
        <w:t xml:space="preserve">Как выводы </w:t>
      </w:r>
      <w:r w:rsidRPr="00247D4C">
        <w:rPr>
          <w:i/>
        </w:rPr>
        <w:t xml:space="preserve">Обобщающего доклада об осуществлении </w:t>
      </w:r>
      <w:r w:rsidR="00247D4C" w:rsidRPr="00247D4C">
        <w:rPr>
          <w:i/>
        </w:rPr>
        <w:t xml:space="preserve">Цели </w:t>
      </w:r>
      <w:r w:rsidRPr="00247D4C">
        <w:rPr>
          <w:i/>
        </w:rPr>
        <w:t>6 Целей в области устойчивого развития, касающейся водных ресурсов и санитарии, за 2018 год</w:t>
      </w:r>
      <w:r w:rsidRPr="007B2A7E">
        <w:t xml:space="preserve">, так и итоги Регионального форума по устойчивому развитию ЕЭК 2018 года свидетельствуют о том, что регион ЕЭК отстает в достижении </w:t>
      </w:r>
      <w:r w:rsidR="00247D4C" w:rsidRPr="007B2A7E">
        <w:t xml:space="preserve">Цели </w:t>
      </w:r>
      <w:r w:rsidRPr="007B2A7E">
        <w:t xml:space="preserve">6 и по-прежнему далек от обеспечения всеобщего и справедливого доступа к безопасной воде и санитарии для всех. Нехватка воды становится все более острой, что влечет за собой тяжелые экономические последствия для всех секторов и замедляет процесс перехода к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экономике. Поскольку бóльшая часть водных ресурсов в регионе ЕЭК находится в общем пользовании многих стран, это создает дополнительные проблемы для обеспечения баланса совместного водопользования, распределения водных ресурсов и устранения их дефицита.</w:t>
      </w:r>
    </w:p>
    <w:p w:rsidR="007B2A7E" w:rsidRPr="007B2A7E" w:rsidRDefault="007B2A7E" w:rsidP="007B2A7E">
      <w:pPr>
        <w:pStyle w:val="SingleTxtG"/>
      </w:pPr>
      <w:r w:rsidRPr="007B2A7E">
        <w:t>38.</w:t>
      </w:r>
      <w:r w:rsidRPr="007B2A7E">
        <w:tab/>
        <w:t>Один из уроков, извлеченных из работы в рамках Орхусской конвенции и Протокола к ней, заключается в том, что доступ к информации, участие общественности и доступ к правосудию по вопросам окружающей среды должны рассматриваться как универсальные принципы, определяющие действия в любом контексте, в частности в деле экологизации экономики и осуществления Повестки дня на период до 2030 года, и что осуществление этих принципов имеет побочные последствия для других секторов.</w:t>
      </w:r>
    </w:p>
    <w:p w:rsidR="007B2A7E" w:rsidRPr="006A2333" w:rsidRDefault="007B2A7E" w:rsidP="007B2A7E">
      <w:pPr>
        <w:pStyle w:val="SingleTxtG"/>
      </w:pPr>
      <w:r w:rsidRPr="007B2A7E">
        <w:t>39.</w:t>
      </w:r>
      <w:r w:rsidRPr="007B2A7E">
        <w:tab/>
        <w:t xml:space="preserve">В ходе деятельности Целевой группы Программы по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экономике и охране окружающей среды ОЭСР были выявлены некоторые нерешенные проблемы, стоящие на пути достижения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экономики в регионе. К ним относятся: необходимость разработки более всеобъемлющих и целенаправленных стратегий, способствующих переходу к </w:t>
      </w:r>
      <w:r w:rsidR="0093245C">
        <w:t>«</w:t>
      </w:r>
      <w:r w:rsidRPr="007B2A7E">
        <w:t>зеленой</w:t>
      </w:r>
      <w:r w:rsidR="0093245C">
        <w:t>»</w:t>
      </w:r>
      <w:r w:rsidRPr="007B2A7E">
        <w:t xml:space="preserve"> экономике, с четкими целями и задачами; необходимость повышения осведомленности о преимуществах экологизации экономического развития и издержках, связанных с бездействием; и потребность в большем числе примеров передовой практики и ссылок на </w:t>
      </w:r>
      <w:r w:rsidR="0093245C">
        <w:t>«</w:t>
      </w:r>
      <w:r w:rsidRPr="007B2A7E">
        <w:t>зеленые</w:t>
      </w:r>
      <w:r w:rsidR="0093245C">
        <w:t>»</w:t>
      </w:r>
      <w:r w:rsidRPr="007B2A7E">
        <w:t xml:space="preserve"> технологии, применимые в национальных условиях</w:t>
      </w:r>
      <w:r>
        <w:t>.</w:t>
      </w:r>
    </w:p>
    <w:p w:rsidR="007B2A7E" w:rsidRPr="006A2333" w:rsidRDefault="007B2A7E" w:rsidP="007B2A7E">
      <w:pPr>
        <w:pStyle w:val="HChG"/>
      </w:pPr>
      <w:r>
        <w:tab/>
        <w:t>III.</w:t>
      </w:r>
      <w:r>
        <w:tab/>
      </w:r>
      <w:r>
        <w:tab/>
        <w:t>Последующие шаги</w:t>
      </w:r>
    </w:p>
    <w:p w:rsidR="007B2A7E" w:rsidRPr="006A2333" w:rsidRDefault="007B2A7E" w:rsidP="007B2A7E">
      <w:pPr>
        <w:pStyle w:val="SingleTxtG"/>
      </w:pPr>
      <w:r>
        <w:t>40.</w:t>
      </w:r>
      <w:r>
        <w:tab/>
        <w:t xml:space="preserve">В рамках Конвенции по воздуху продолжится разработка технической и научной информации и будет оказываться содействие координации политики по борьбе с загрязнением воздуха азотными соединениями в контексте азотного цикла. Работа Целевой группы по реактивному азоту в рамках Конвенции поможет странам в выполнении их обязательств по сокращению выбросов оксидов азота и аммиака </w:t>
      </w:r>
      <w:r>
        <w:lastRenderedPageBreak/>
        <w:t>в</w:t>
      </w:r>
      <w:r w:rsidR="007C23A3">
        <w:t> </w:t>
      </w:r>
      <w:r>
        <w:t>соответствии с Протоколом о борьбе с подкислением, эвтрофикацией и приземным озоном и Протоколом об ограничении выбросов окислов азота или их трансграничных потоков. Целевая группа по технико-экономическим вопросам в рамках Конвенции будет продолжать разработку технико-экономической базы данных по технологиям борьбы с загрязнением воздуха и их стоимости, которая будет содействовать странам в выявлении технологий сокращения загрязнения воздуха.</w:t>
      </w:r>
    </w:p>
    <w:p w:rsidR="007B2A7E" w:rsidRPr="006A2333" w:rsidRDefault="007B2A7E" w:rsidP="007B2A7E">
      <w:pPr>
        <w:pStyle w:val="SingleTxtG"/>
      </w:pPr>
      <w:r>
        <w:t>41.</w:t>
      </w:r>
      <w:r>
        <w:tab/>
        <w:t>В рамках Конвенции Эспо и Протокола по стратегической экологической оценке к ней будет продолжена организация мероприятий по укреплению потенциала, таких как семинары по подготовке инструкторов</w:t>
      </w:r>
      <w:r w:rsidR="007C23A3">
        <w:t xml:space="preserve"> и экспериментальные проекты, в </w:t>
      </w:r>
      <w:r>
        <w:t>целях оказания странам помощи в эффективном проведении стратегической экологической оценки и оценки воздействия на окружающую среду не только в качестве природоохранных инструментов, но и в качестве инструментов управления ограниченными ресурсами, такими как энергия и продовольствие.</w:t>
      </w:r>
    </w:p>
    <w:p w:rsidR="007B2A7E" w:rsidRPr="006A2333" w:rsidRDefault="007B2A7E" w:rsidP="007B2A7E">
      <w:pPr>
        <w:pStyle w:val="SingleTxtG"/>
      </w:pPr>
      <w:r>
        <w:t>42.</w:t>
      </w:r>
      <w:r>
        <w:tab/>
        <w:t>Работа в рамках Конвенции по водам и Протокола по проблемам воды и здоровья к ней будет включать новую приоритетную область для решения финансовых проблем, стоящих перед Сторонами в деле содействия устойчивому развитию в трансграничных бассейнах, в частности для поддержки трансграничных бассейнов в финансировании мер по адаптации к изменению климата. Проблемы распределения водных ресурсов в трансграничных бассейнах в свете растущей нехватки воды будут решаться путем разработки руководства, основанного на существующей практике и охватывающего ключевые аспекты справедливого и устойчивого распределения водных ресурсов в трансграничном контексте.</w:t>
      </w:r>
    </w:p>
    <w:p w:rsidR="007B2A7E" w:rsidRPr="006A2333" w:rsidRDefault="007B2A7E" w:rsidP="007B2A7E">
      <w:pPr>
        <w:pStyle w:val="SingleTxtG"/>
      </w:pPr>
      <w:r>
        <w:t>43.</w:t>
      </w:r>
      <w:r>
        <w:tab/>
        <w:t>В рамках Конвенции о промышленных авариях будет продолжено рассмотрение связей с соответствующими Целями в области устойчивого развития и Сендайской рамочной программой в контексте будущих усилий по наращиванию потенциала. Будет продолжена информационно-просветительская рабо</w:t>
      </w:r>
      <w:r w:rsidR="00247D4C">
        <w:t>та со всеми Сторонами, например</w:t>
      </w:r>
      <w:r>
        <w:t xml:space="preserve"> на семинаре по методологиям оценки рисков, который состоится 4 декабря 2018 года в рамках десятого совещания Конференции Сторон.</w:t>
      </w:r>
    </w:p>
    <w:p w:rsidR="007B2A7E" w:rsidRPr="006A2333" w:rsidRDefault="007B2A7E" w:rsidP="007B2A7E">
      <w:pPr>
        <w:pStyle w:val="SingleTxtG"/>
      </w:pPr>
      <w:r>
        <w:t>44.</w:t>
      </w:r>
      <w:r>
        <w:tab/>
        <w:t xml:space="preserve">В рамках Орхусской конвенции и Протокола к ней будет и далее поощряться использование регистров выбросов и переноса загрязнителей для принятия странами основанных на фактах решений в контексте экологизации их экономики и достижения устойчивого развития. </w:t>
      </w:r>
    </w:p>
    <w:p w:rsidR="007B2A7E" w:rsidRPr="006A2333" w:rsidRDefault="007B2A7E" w:rsidP="007B2A7E">
      <w:pPr>
        <w:pStyle w:val="SingleTxtG"/>
      </w:pPr>
      <w:r>
        <w:t>45.</w:t>
      </w:r>
      <w:r>
        <w:tab/>
        <w:t xml:space="preserve">Деятельность Целевой группы Программы по </w:t>
      </w:r>
      <w:r w:rsidR="0093245C">
        <w:t>«</w:t>
      </w:r>
      <w:r>
        <w:t>зеленой</w:t>
      </w:r>
      <w:r w:rsidR="0093245C">
        <w:t>»</w:t>
      </w:r>
      <w:r>
        <w:t xml:space="preserve"> экономике и охране окружающей среды будет охватывать ряд тем, связанных с </w:t>
      </w:r>
      <w:r w:rsidR="0093245C">
        <w:t>«</w:t>
      </w:r>
      <w:r>
        <w:t>зеленой</w:t>
      </w:r>
      <w:r w:rsidR="0093245C">
        <w:t>»</w:t>
      </w:r>
      <w:r>
        <w:t xml:space="preserve"> экономикой и устойчивым развитием, включая </w:t>
      </w:r>
      <w:r w:rsidR="0093245C">
        <w:t>«</w:t>
      </w:r>
      <w:r>
        <w:t>более рациональные</w:t>
      </w:r>
      <w:r w:rsidR="0093245C">
        <w:t>»</w:t>
      </w:r>
      <w:r>
        <w:t xml:space="preserve"> экологические нормативные положения; политические инструменты для решения проблем загрязнения воздуха; экологизацию добывающих отраслей; обеспечение соблюдения природоохранных норм и экологической ответственности; и измерение </w:t>
      </w:r>
      <w:r w:rsidR="0093245C">
        <w:t>«</w:t>
      </w:r>
      <w:r>
        <w:t>зеленого</w:t>
      </w:r>
      <w:r w:rsidR="0093245C">
        <w:t>»</w:t>
      </w:r>
      <w:r>
        <w:t xml:space="preserve"> роста. Целевая группа будет поддерживать текущие диалоги на национальном уровне по вопросам политики в Грузии и Казахстане и инициировать диалоги в других странах по их просьбе. </w:t>
      </w:r>
    </w:p>
    <w:p w:rsidR="007B2A7E" w:rsidRPr="006A2333" w:rsidRDefault="007B2A7E" w:rsidP="007B2A7E">
      <w:pPr>
        <w:pStyle w:val="SingleTxtG"/>
      </w:pPr>
      <w:r>
        <w:t>46.</w:t>
      </w:r>
      <w:r>
        <w:tab/>
        <w:t xml:space="preserve">ЮНЕП в партнерстве с ЕЭК и ПЗЗР будет и далее играть ведущую роль в осуществлении финансируемого по линии СРООН проекта по повышению устойчивости государственных закупок в целях обеспечения перехода к инклюзивной </w:t>
      </w:r>
      <w:r w:rsidR="0093245C">
        <w:t>«</w:t>
      </w:r>
      <w:r>
        <w:t>зеленой</w:t>
      </w:r>
      <w:r w:rsidR="0093245C">
        <w:t>»</w:t>
      </w:r>
      <w:r>
        <w:t xml:space="preserve"> экономике в регионе Восточной Европы, Кавказа и Центральной Азии к июню 2021 года с участием Беларуси, Казахстана, Кыргызстана, Республики Молдова и Украины в качестве целевых стран. </w:t>
      </w:r>
    </w:p>
    <w:p w:rsidR="007B2A7E" w:rsidRPr="006A2333" w:rsidRDefault="007B2A7E" w:rsidP="007B2A7E">
      <w:pPr>
        <w:pStyle w:val="SingleTxtG"/>
      </w:pPr>
      <w:r>
        <w:t>47.</w:t>
      </w:r>
      <w:r w:rsidR="00247D4C">
        <w:tab/>
      </w:r>
      <w:r>
        <w:t>Финансируемый ЕС проект по окружающей среде ЕС-4, который будет осуществляться ОЭСР, ЕЭК ООН, ЮНЕП, ЮНИДО и Всемирным банком, как ожидается, начнет реализовываться в январе 2019 года и будет направлен на оказание поддержк</w:t>
      </w:r>
      <w:r w:rsidR="00247D4C">
        <w:t>и</w:t>
      </w:r>
      <w:r>
        <w:t xml:space="preserve"> шести странам Восточного партнерства Европейского союза (Азербайджан, Армения, Беларусь, Грузия, </w:t>
      </w:r>
      <w:r w:rsidR="007C23A3">
        <w:t>Республика Молдова и Украина) в </w:t>
      </w:r>
      <w:r>
        <w:t xml:space="preserve">сохранении их природного капитала и повышении экологического благосостояния населения путем содействия природоохранной деятельности, демонстрации и раскрытия возможностей для более экологически безопасного роста и создания механизмов для лучшего регулирования экологических рисков и воздействий.  </w:t>
      </w:r>
    </w:p>
    <w:p w:rsidR="007B2A7E" w:rsidRPr="006A2333" w:rsidRDefault="007B2A7E" w:rsidP="007B2A7E">
      <w:pPr>
        <w:pStyle w:val="SingleTxtG"/>
      </w:pPr>
      <w:r>
        <w:lastRenderedPageBreak/>
        <w:t>48.</w:t>
      </w:r>
      <w:r>
        <w:tab/>
        <w:t>Проект по укреплению национального потенциала для основанного на фактических данных экологического руководства и устойчивой экологической политики в поддержку осуществления Повестки дня на период до 2030 года будет осуществлен к декабрю 2021 года с участием Албании, Боснии и Герцеговины, бывшей югославской Республики Македония, Сербии и Черногории в качестве целевых стран.</w:t>
      </w:r>
    </w:p>
    <w:p w:rsidR="00E12C5F" w:rsidRDefault="007B2A7E" w:rsidP="007B2A7E">
      <w:pPr>
        <w:pStyle w:val="SingleTxtG"/>
      </w:pPr>
      <w:r>
        <w:t>49.</w:t>
      </w:r>
      <w:r>
        <w:tab/>
        <w:t xml:space="preserve">Между Боснией и Герцеговиной, Сербией и Черногорией планируется провести </w:t>
      </w:r>
      <w:r w:rsidR="0093245C">
        <w:t>«</w:t>
      </w:r>
      <w:r>
        <w:t>откровенные разговоры</w:t>
      </w:r>
      <w:r w:rsidR="0093245C">
        <w:t>»</w:t>
      </w:r>
      <w:r>
        <w:t xml:space="preserve"> по возобновляемым источникам энергии после успешного заключения соглашения между этими странами об управлении их общим бассейном реки Дрина. Данное соглашение явилось результатом последующего мероприятия в развитие проекта по экологизации экономического развития на Западных Балканах в рамках Конвенции по водам. В ходе этих </w:t>
      </w:r>
      <w:r w:rsidR="0093245C">
        <w:t>«</w:t>
      </w:r>
      <w:r>
        <w:t>откровенных разговоров</w:t>
      </w:r>
      <w:r w:rsidR="0093245C">
        <w:t>»</w:t>
      </w:r>
      <w:r>
        <w:t xml:space="preserve"> будут затронуты не только проблемы возобновляемой энергетики, но и возможности для синергизма с водохозяйственной деятельностью с использованием нексусного подхода </w:t>
      </w:r>
      <w:r w:rsidR="0093245C">
        <w:t>«</w:t>
      </w:r>
      <w:r w:rsidR="00A01F37">
        <w:t>энергия</w:t>
      </w:r>
      <w:r w:rsidR="00B9128A">
        <w:t>–</w:t>
      </w:r>
      <w:r>
        <w:t>вода</w:t>
      </w:r>
      <w:r w:rsidR="0093245C">
        <w:t>»</w:t>
      </w:r>
      <w:r>
        <w:t>.</w:t>
      </w:r>
    </w:p>
    <w:p w:rsidR="00A01F37" w:rsidRPr="00A01F37" w:rsidRDefault="00A01F37" w:rsidP="00A01F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1F37" w:rsidRPr="00A01F37" w:rsidSect="007B2A7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90" w:rsidRPr="00A312BC" w:rsidRDefault="00213A90" w:rsidP="00A312BC"/>
  </w:endnote>
  <w:endnote w:type="continuationSeparator" w:id="0">
    <w:p w:rsidR="00213A90" w:rsidRPr="00A312BC" w:rsidRDefault="00213A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E" w:rsidRPr="007B2A7E" w:rsidRDefault="007B2A7E">
    <w:pPr>
      <w:pStyle w:val="a8"/>
    </w:pPr>
    <w:r w:rsidRPr="007B2A7E">
      <w:rPr>
        <w:b/>
        <w:sz w:val="18"/>
      </w:rPr>
      <w:fldChar w:fldCharType="begin"/>
    </w:r>
    <w:r w:rsidRPr="007B2A7E">
      <w:rPr>
        <w:b/>
        <w:sz w:val="18"/>
      </w:rPr>
      <w:instrText xml:space="preserve"> PAGE  \* MERGEFORMAT </w:instrText>
    </w:r>
    <w:r w:rsidRPr="007B2A7E">
      <w:rPr>
        <w:b/>
        <w:sz w:val="18"/>
      </w:rPr>
      <w:fldChar w:fldCharType="separate"/>
    </w:r>
    <w:r w:rsidR="00C32359">
      <w:rPr>
        <w:b/>
        <w:noProof/>
        <w:sz w:val="18"/>
      </w:rPr>
      <w:t>10</w:t>
    </w:r>
    <w:r w:rsidRPr="007B2A7E">
      <w:rPr>
        <w:b/>
        <w:sz w:val="18"/>
      </w:rPr>
      <w:fldChar w:fldCharType="end"/>
    </w:r>
    <w:r>
      <w:rPr>
        <w:b/>
        <w:sz w:val="18"/>
      </w:rPr>
      <w:tab/>
    </w:r>
    <w:r>
      <w:t>GE.18-21664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E" w:rsidRPr="007B2A7E" w:rsidRDefault="007B2A7E" w:rsidP="007B2A7E">
    <w:pPr>
      <w:pStyle w:val="a8"/>
      <w:tabs>
        <w:tab w:val="clear" w:pos="9639"/>
        <w:tab w:val="right" w:pos="9638"/>
      </w:tabs>
      <w:rPr>
        <w:b/>
        <w:sz w:val="18"/>
      </w:rPr>
    </w:pPr>
    <w:r>
      <w:t>GE.18-21664</w:t>
    </w:r>
    <w:r>
      <w:tab/>
    </w:r>
    <w:r w:rsidRPr="007B2A7E">
      <w:rPr>
        <w:b/>
        <w:sz w:val="18"/>
      </w:rPr>
      <w:fldChar w:fldCharType="begin"/>
    </w:r>
    <w:r w:rsidRPr="007B2A7E">
      <w:rPr>
        <w:b/>
        <w:sz w:val="18"/>
      </w:rPr>
      <w:instrText xml:space="preserve"> PAGE  \* MERGEFORMAT </w:instrText>
    </w:r>
    <w:r w:rsidRPr="007B2A7E">
      <w:rPr>
        <w:b/>
        <w:sz w:val="18"/>
      </w:rPr>
      <w:fldChar w:fldCharType="separate"/>
    </w:r>
    <w:r w:rsidR="00C32359">
      <w:rPr>
        <w:b/>
        <w:noProof/>
        <w:sz w:val="18"/>
      </w:rPr>
      <w:t>11</w:t>
    </w:r>
    <w:r w:rsidRPr="007B2A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B2A7E" w:rsidRDefault="007B2A7E" w:rsidP="007B2A7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18-21664  (R)</w:t>
    </w:r>
    <w:r>
      <w:rPr>
        <w:lang w:val="en-US"/>
      </w:rPr>
      <w:t xml:space="preserve">  230119  2</w:t>
    </w:r>
    <w:r w:rsidR="007112CF">
      <w:rPr>
        <w:lang w:val="en-US"/>
      </w:rPr>
      <w:t>4</w:t>
    </w:r>
    <w:r>
      <w:rPr>
        <w:lang w:val="en-US"/>
      </w:rPr>
      <w:t>0119</w:t>
    </w:r>
    <w:r>
      <w:br/>
    </w:r>
    <w:r w:rsidRPr="007B2A7E">
      <w:rPr>
        <w:rFonts w:ascii="C39T30Lfz" w:hAnsi="C39T30Lfz"/>
        <w:kern w:val="14"/>
        <w:sz w:val="56"/>
      </w:rPr>
      <w:t></w:t>
    </w:r>
    <w:r w:rsidRPr="007B2A7E">
      <w:rPr>
        <w:rFonts w:ascii="C39T30Lfz" w:hAnsi="C39T30Lfz"/>
        <w:kern w:val="14"/>
        <w:sz w:val="56"/>
      </w:rPr>
      <w:t></w:t>
    </w:r>
    <w:r w:rsidRPr="007B2A7E">
      <w:rPr>
        <w:rFonts w:ascii="C39T30Lfz" w:hAnsi="C39T30Lfz"/>
        <w:kern w:val="14"/>
        <w:sz w:val="56"/>
      </w:rPr>
      <w:t></w:t>
    </w:r>
    <w:r w:rsidRPr="007B2A7E">
      <w:rPr>
        <w:rFonts w:ascii="C39T30Lfz" w:hAnsi="C39T30Lfz"/>
        <w:kern w:val="14"/>
        <w:sz w:val="56"/>
      </w:rPr>
      <w:t></w:t>
    </w:r>
    <w:r w:rsidRPr="007B2A7E">
      <w:rPr>
        <w:rFonts w:ascii="C39T30Lfz" w:hAnsi="C39T30Lfz"/>
        <w:kern w:val="14"/>
        <w:sz w:val="56"/>
      </w:rPr>
      <w:t></w:t>
    </w:r>
    <w:r w:rsidRPr="007B2A7E">
      <w:rPr>
        <w:rFonts w:ascii="C39T30Lfz" w:hAnsi="C39T30Lfz"/>
        <w:kern w:val="14"/>
        <w:sz w:val="56"/>
      </w:rPr>
      <w:t></w:t>
    </w:r>
    <w:r w:rsidRPr="007B2A7E">
      <w:rPr>
        <w:rFonts w:ascii="C39T30Lfz" w:hAnsi="C39T30Lfz"/>
        <w:kern w:val="14"/>
        <w:sz w:val="56"/>
      </w:rPr>
      <w:t></w:t>
    </w:r>
    <w:r w:rsidRPr="007B2A7E">
      <w:rPr>
        <w:rFonts w:ascii="C39T30Lfz" w:hAnsi="C39T30Lfz"/>
        <w:kern w:val="14"/>
        <w:sz w:val="56"/>
      </w:rPr>
      <w:t></w:t>
    </w:r>
    <w:r w:rsidRPr="007B2A7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Picture 5" descr="https://undocs.org/m2/QRCode.ashx?DS=ECE/CEP/2019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9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90" w:rsidRPr="001075E9" w:rsidRDefault="00213A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3A90" w:rsidRDefault="00213A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04CA" w:rsidRPr="002B04CA" w:rsidRDefault="002B04CA">
      <w:pPr>
        <w:pStyle w:val="ad"/>
        <w:rPr>
          <w:sz w:val="20"/>
        </w:rPr>
      </w:pPr>
      <w:r>
        <w:tab/>
      </w:r>
      <w:r w:rsidRPr="002B04CA">
        <w:rPr>
          <w:rStyle w:val="aa"/>
          <w:sz w:val="20"/>
          <w:vertAlign w:val="baseline"/>
        </w:rPr>
        <w:t>*</w:t>
      </w:r>
      <w:r w:rsidRPr="002B04CA">
        <w:rPr>
          <w:rStyle w:val="aa"/>
          <w:vertAlign w:val="baseline"/>
        </w:rPr>
        <w:tab/>
      </w:r>
      <w:r>
        <w:t>Настоящий документ был представлен с опозданием в связи с необходимостью проведения консультаций с партнерскими организациями.</w:t>
      </w:r>
    </w:p>
  </w:footnote>
  <w:footnote w:id="2">
    <w:p w:rsidR="007B2A7E" w:rsidRPr="00A66F91" w:rsidRDefault="007B2A7E" w:rsidP="007B2A7E">
      <w:pPr>
        <w:pStyle w:val="ad"/>
      </w:pPr>
      <w:r>
        <w:tab/>
      </w:r>
      <w:r>
        <w:rPr>
          <w:rStyle w:val="aa"/>
        </w:rPr>
        <w:footnoteRef/>
      </w:r>
      <w:r w:rsidRPr="006A2333">
        <w:rPr>
          <w:lang w:val="en-US"/>
        </w:rPr>
        <w:tab/>
        <w:t xml:space="preserve">OECD, Environmental </w:t>
      </w:r>
      <w:r w:rsidRPr="00A66F91">
        <w:rPr>
          <w:i/>
          <w:lang w:val="en-US"/>
        </w:rPr>
        <w:t>Policy Toolkit for SME Greening in EU Eastern Partnership Countries</w:t>
      </w:r>
      <w:r w:rsidRPr="006A2333">
        <w:rPr>
          <w:lang w:val="en-US"/>
        </w:rPr>
        <w:t xml:space="preserve">, OECD Green Growth Studies (Paris, 2018). </w:t>
      </w:r>
      <w:r>
        <w:t xml:space="preserve">Available from </w:t>
      </w:r>
      <w:hyperlink r:id="rId1" w:history="1">
        <w:r w:rsidR="00A66F91" w:rsidRPr="00A66F91">
          <w:rPr>
            <w:rStyle w:val="af1"/>
            <w:color w:val="auto"/>
          </w:rPr>
          <w:t>https://doi.org/10.1787/9789264293199-en</w:t>
        </w:r>
      </w:hyperlink>
      <w:r w:rsidRPr="00A66F91">
        <w:t xml:space="preserve">. </w:t>
      </w:r>
    </w:p>
  </w:footnote>
  <w:footnote w:id="3">
    <w:p w:rsidR="007B2A7E" w:rsidRPr="006A2333" w:rsidRDefault="007B2A7E" w:rsidP="007B2A7E">
      <w:pPr>
        <w:pStyle w:val="ad"/>
      </w:pPr>
      <w:r w:rsidRPr="00A66F91">
        <w:tab/>
      </w:r>
      <w:r w:rsidRPr="00A66F91">
        <w:rPr>
          <w:rStyle w:val="aa"/>
        </w:rPr>
        <w:footnoteRef/>
      </w:r>
      <w:r w:rsidRPr="00A66F91">
        <w:t xml:space="preserve"> </w:t>
      </w:r>
      <w:r w:rsidRPr="00A66F91">
        <w:tab/>
        <w:t>Более подробную инфо</w:t>
      </w:r>
      <w:r w:rsidR="00A66F91" w:rsidRPr="00A66F91">
        <w:t>рмацию можно получить по адресу</w:t>
      </w:r>
      <w:r w:rsidRPr="00A66F91">
        <w:t xml:space="preserve"> </w:t>
      </w:r>
      <w:hyperlink r:id="rId2" w:history="1">
        <w:r w:rsidR="00A66F91" w:rsidRPr="00A66F91">
          <w:rPr>
            <w:rStyle w:val="af1"/>
            <w:color w:val="auto"/>
          </w:rPr>
          <w:t>http://www.green-economies-eap.org/resources/EaP%20GREEN_From%20Commitments%20to%20Results.pdf</w:t>
        </w:r>
      </w:hyperlink>
      <w:r w:rsidR="00A66F91">
        <w:t>.</w:t>
      </w:r>
    </w:p>
  </w:footnote>
  <w:footnote w:id="4">
    <w:p w:rsidR="007B2A7E" w:rsidRPr="006A2333" w:rsidRDefault="007B2A7E" w:rsidP="007B2A7E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="0093245C">
        <w:t>«</w:t>
      </w:r>
      <w:r>
        <w:t xml:space="preserve">Оказание помощи Казахстану в процессе перехода к модели </w:t>
      </w:r>
      <w:r w:rsidR="0093245C">
        <w:t>"</w:t>
      </w:r>
      <w:r>
        <w:t>зеленой</w:t>
      </w:r>
      <w:r w:rsidR="0093245C">
        <w:t>"</w:t>
      </w:r>
      <w:r>
        <w:t xml:space="preserve"> экономики</w:t>
      </w:r>
      <w:r w:rsidR="0093245C">
        <w:t>»</w:t>
      </w:r>
      <w:r>
        <w:t>.</w:t>
      </w:r>
    </w:p>
  </w:footnote>
  <w:footnote w:id="5">
    <w:p w:rsidR="007B2A7E" w:rsidRPr="0093245C" w:rsidRDefault="007B2A7E" w:rsidP="007B2A7E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Информация о последних п</w:t>
      </w:r>
      <w:r w:rsidR="0093245C">
        <w:t xml:space="preserve">убликациях содержится по </w:t>
      </w:r>
      <w:r w:rsidR="0093245C" w:rsidRPr="0093245C">
        <w:t>адресу</w:t>
      </w:r>
      <w:r w:rsidRPr="0093245C">
        <w:t xml:space="preserve"> </w:t>
      </w:r>
      <w:hyperlink r:id="rId3" w:history="1">
        <w:r w:rsidR="0093245C" w:rsidRPr="0093245C">
          <w:rPr>
            <w:rStyle w:val="af1"/>
            <w:color w:val="auto"/>
          </w:rPr>
          <w:t>http://www.oecd.org/env/outreach/</w:t>
        </w:r>
        <w:r w:rsidR="0093245C" w:rsidRPr="0093245C">
          <w:rPr>
            <w:rStyle w:val="af1"/>
            <w:color w:val="auto"/>
          </w:rPr>
          <w:br/>
          <w:t>GATF%20pub%20cat%20web-3a.pdf</w:t>
        </w:r>
      </w:hyperlink>
      <w:r w:rsidR="0093245C" w:rsidRPr="0093245C">
        <w:t>.</w:t>
      </w:r>
    </w:p>
  </w:footnote>
  <w:footnote w:id="6">
    <w:p w:rsidR="007B2A7E" w:rsidRPr="006A2333" w:rsidRDefault="007B2A7E" w:rsidP="007B2A7E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hyperlink r:id="rId4" w:history="1">
        <w:r w:rsidR="00247D4C" w:rsidRPr="00247D4C">
          <w:rPr>
            <w:rStyle w:val="af1"/>
            <w:color w:val="auto"/>
          </w:rPr>
          <w:t>https://www.un-page.org/resources/green-industrial-policy-trade/green-industrial-policy-concept-policies-country-experiences</w:t>
        </w:r>
      </w:hyperlink>
      <w:r w:rsidR="00247D4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E" w:rsidRPr="007B2A7E" w:rsidRDefault="00BD5A98">
    <w:pPr>
      <w:pStyle w:val="a5"/>
    </w:pPr>
    <w:fldSimple w:instr=" TITLE  \* MERGEFORMAT ">
      <w:r w:rsidR="00C32359">
        <w:t>ECE/CEP/2019/5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E" w:rsidRPr="007B2A7E" w:rsidRDefault="00BD5A98" w:rsidP="007B2A7E">
    <w:pPr>
      <w:pStyle w:val="a5"/>
      <w:jc w:val="right"/>
    </w:pPr>
    <w:fldSimple w:instr=" TITLE  \* MERGEFORMAT ">
      <w:r w:rsidR="00C32359">
        <w:t>ECE/CEP/2019/5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563AD"/>
    <w:multiLevelType w:val="hybridMultilevel"/>
    <w:tmpl w:val="672E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0"/>
    <w:rsid w:val="00002CC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3A90"/>
    <w:rsid w:val="00247D4C"/>
    <w:rsid w:val="00255343"/>
    <w:rsid w:val="0027151D"/>
    <w:rsid w:val="002A2EFC"/>
    <w:rsid w:val="002B0106"/>
    <w:rsid w:val="002B04CA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A27"/>
    <w:rsid w:val="00381C24"/>
    <w:rsid w:val="00383078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3305"/>
    <w:rsid w:val="004E05B7"/>
    <w:rsid w:val="0050108D"/>
    <w:rsid w:val="00513081"/>
    <w:rsid w:val="00517901"/>
    <w:rsid w:val="00526683"/>
    <w:rsid w:val="0056253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1F7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2CF"/>
    <w:rsid w:val="00712895"/>
    <w:rsid w:val="00734ACB"/>
    <w:rsid w:val="00757357"/>
    <w:rsid w:val="00792497"/>
    <w:rsid w:val="007B2A7E"/>
    <w:rsid w:val="007C23A3"/>
    <w:rsid w:val="00806737"/>
    <w:rsid w:val="00825F8D"/>
    <w:rsid w:val="00834B71"/>
    <w:rsid w:val="0086445C"/>
    <w:rsid w:val="00865A30"/>
    <w:rsid w:val="00894693"/>
    <w:rsid w:val="008A08D7"/>
    <w:rsid w:val="008A0A1F"/>
    <w:rsid w:val="008A37C8"/>
    <w:rsid w:val="008B6909"/>
    <w:rsid w:val="008D53B6"/>
    <w:rsid w:val="008F7609"/>
    <w:rsid w:val="00906890"/>
    <w:rsid w:val="00911BE4"/>
    <w:rsid w:val="0093245C"/>
    <w:rsid w:val="00951972"/>
    <w:rsid w:val="009608F3"/>
    <w:rsid w:val="009A24AC"/>
    <w:rsid w:val="009C59D7"/>
    <w:rsid w:val="009C6FE6"/>
    <w:rsid w:val="009D7E7D"/>
    <w:rsid w:val="00A01F37"/>
    <w:rsid w:val="00A14DA8"/>
    <w:rsid w:val="00A312BC"/>
    <w:rsid w:val="00A66F91"/>
    <w:rsid w:val="00A74D4C"/>
    <w:rsid w:val="00A84021"/>
    <w:rsid w:val="00A84D35"/>
    <w:rsid w:val="00A917B3"/>
    <w:rsid w:val="00AB4B51"/>
    <w:rsid w:val="00AE1620"/>
    <w:rsid w:val="00B10CC7"/>
    <w:rsid w:val="00B36DF7"/>
    <w:rsid w:val="00B539E7"/>
    <w:rsid w:val="00B62458"/>
    <w:rsid w:val="00B62504"/>
    <w:rsid w:val="00B9128A"/>
    <w:rsid w:val="00B95491"/>
    <w:rsid w:val="00BC18B2"/>
    <w:rsid w:val="00BD33EE"/>
    <w:rsid w:val="00BD5A98"/>
    <w:rsid w:val="00BE1CC7"/>
    <w:rsid w:val="00C106D6"/>
    <w:rsid w:val="00C119AE"/>
    <w:rsid w:val="00C32359"/>
    <w:rsid w:val="00C60F0C"/>
    <w:rsid w:val="00C71E84"/>
    <w:rsid w:val="00C805C9"/>
    <w:rsid w:val="00C92939"/>
    <w:rsid w:val="00CA1679"/>
    <w:rsid w:val="00CB151C"/>
    <w:rsid w:val="00CE5A1A"/>
    <w:rsid w:val="00CF55F6"/>
    <w:rsid w:val="00D041E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EB8"/>
    <w:rsid w:val="00E437A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42A9D4A-FFF6-412D-A1F2-877AA80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ußnote,Footnote Text Char Char,single space,footnote text,Footnote text,Podrozdział,Footnote,Podrozdzia3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ußnote Знак,Footnote Text Char Char Знак,single space Знак,footnote text Знак,Footnote text Знак,Podrozdział Знак,Footnote Знак,Podrozdzia3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B2A7E"/>
    <w:rPr>
      <w:lang w:val="ru-RU" w:eastAsia="en-US"/>
    </w:rPr>
  </w:style>
  <w:style w:type="character" w:customStyle="1" w:styleId="H1GChar">
    <w:name w:val="_ H_1_G Char"/>
    <w:link w:val="H1G"/>
    <w:rsid w:val="007B2A7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env/outreach/GATF%20pub%20cat%20web-3a.pdf" TargetMode="External"/><Relationship Id="rId2" Type="http://schemas.openxmlformats.org/officeDocument/2006/relationships/hyperlink" Target="http://www.green-economies-eap.org/resources/EaP%20GREEN_From%20Commitments%20to%20Results.pdf" TargetMode="External"/><Relationship Id="rId1" Type="http://schemas.openxmlformats.org/officeDocument/2006/relationships/hyperlink" Target="https://doi.org/10.1787/9789264293199-en" TargetMode="External"/><Relationship Id="rId4" Type="http://schemas.openxmlformats.org/officeDocument/2006/relationships/hyperlink" Target="https://www.un-page.org/resources/green-industrial-policy-trade/green-industrial-policy-concept-policies-country-experien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FCF9-654E-49EA-9911-F4F1F55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11</Pages>
  <Words>4677</Words>
  <Characters>32369</Characters>
  <Application>Microsoft Office Word</Application>
  <DocSecurity>0</DocSecurity>
  <Lines>548</Lines>
  <Paragraphs>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ECE/CEP/2019/5</vt:lpstr>
      <vt:lpstr>A/</vt:lpstr>
      <vt:lpstr>A/</vt:lpstr>
    </vt:vector>
  </TitlesOfParts>
  <Company>DCM</Company>
  <LinksUpToDate>false</LinksUpToDate>
  <CharactersWithSpaces>36957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ECE/CEP/2019/5</dc:title>
  <dc:subject/>
  <dc:creator>Tatiana SHARKINA</dc:creator>
  <cp:keywords/>
  <cp:lastModifiedBy>Ioulia Goussarova</cp:lastModifiedBy>
  <cp:revision>3</cp:revision>
  <cp:lastPrinted>2019-01-24T08:22:00Z</cp:lastPrinted>
  <dcterms:created xsi:type="dcterms:W3CDTF">2019-01-24T08:22:00Z</dcterms:created>
  <dcterms:modified xsi:type="dcterms:W3CDTF">2019-01-24T08:24:00Z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