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6AC3" w:rsidRPr="00D50BBC" w14:paraId="2D9B2DE2" w14:textId="77777777" w:rsidTr="006C5D03">
        <w:trPr>
          <w:cantSplit/>
          <w:trHeight w:hRule="exact" w:val="851"/>
        </w:trPr>
        <w:tc>
          <w:tcPr>
            <w:tcW w:w="1276" w:type="dxa"/>
            <w:tcBorders>
              <w:bottom w:val="single" w:sz="4" w:space="0" w:color="auto"/>
            </w:tcBorders>
            <w:vAlign w:val="bottom"/>
          </w:tcPr>
          <w:p w14:paraId="7880025F" w14:textId="77777777" w:rsidR="00516AC3" w:rsidRPr="00D50BBC" w:rsidRDefault="00516AC3" w:rsidP="006C5D03">
            <w:pPr>
              <w:spacing w:after="80"/>
            </w:pPr>
          </w:p>
        </w:tc>
        <w:tc>
          <w:tcPr>
            <w:tcW w:w="2268" w:type="dxa"/>
            <w:tcBorders>
              <w:bottom w:val="single" w:sz="4" w:space="0" w:color="auto"/>
            </w:tcBorders>
            <w:vAlign w:val="bottom"/>
          </w:tcPr>
          <w:p w14:paraId="61E7ECE6" w14:textId="77777777" w:rsidR="00516AC3" w:rsidRPr="00D50BBC" w:rsidRDefault="00516AC3" w:rsidP="006C5D03">
            <w:pPr>
              <w:spacing w:after="80" w:line="300" w:lineRule="exact"/>
              <w:rPr>
                <w:b/>
                <w:sz w:val="24"/>
                <w:szCs w:val="24"/>
              </w:rPr>
            </w:pPr>
            <w:r w:rsidRPr="00D50BBC">
              <w:rPr>
                <w:sz w:val="28"/>
                <w:szCs w:val="28"/>
              </w:rPr>
              <w:t>United Nations</w:t>
            </w:r>
          </w:p>
        </w:tc>
        <w:tc>
          <w:tcPr>
            <w:tcW w:w="6095" w:type="dxa"/>
            <w:gridSpan w:val="2"/>
            <w:tcBorders>
              <w:bottom w:val="single" w:sz="4" w:space="0" w:color="auto"/>
            </w:tcBorders>
            <w:vAlign w:val="bottom"/>
          </w:tcPr>
          <w:p w14:paraId="19780D19" w14:textId="2FCEEAB8" w:rsidR="00516AC3" w:rsidRPr="00D50BBC" w:rsidRDefault="00516AC3" w:rsidP="006C5D03">
            <w:pPr>
              <w:jc w:val="right"/>
            </w:pPr>
            <w:r w:rsidRPr="00D50BBC">
              <w:rPr>
                <w:sz w:val="40"/>
              </w:rPr>
              <w:t>ECE</w:t>
            </w:r>
            <w:r w:rsidRPr="00D50BBC">
              <w:t>/CEP/201</w:t>
            </w:r>
            <w:r w:rsidR="00877D1A">
              <w:t>9</w:t>
            </w:r>
            <w:r w:rsidRPr="00D50BBC">
              <w:t>/</w:t>
            </w:r>
            <w:r w:rsidR="007931F4">
              <w:t>5</w:t>
            </w:r>
          </w:p>
        </w:tc>
      </w:tr>
      <w:tr w:rsidR="00516AC3" w:rsidRPr="00D50BBC" w14:paraId="1C0EA589" w14:textId="77777777" w:rsidTr="006C5D03">
        <w:trPr>
          <w:cantSplit/>
          <w:trHeight w:hRule="exact" w:val="2835"/>
        </w:trPr>
        <w:tc>
          <w:tcPr>
            <w:tcW w:w="1276" w:type="dxa"/>
            <w:tcBorders>
              <w:top w:val="single" w:sz="4" w:space="0" w:color="auto"/>
              <w:bottom w:val="single" w:sz="12" w:space="0" w:color="auto"/>
            </w:tcBorders>
          </w:tcPr>
          <w:p w14:paraId="353BFA9D" w14:textId="77777777" w:rsidR="00516AC3" w:rsidRPr="00D50BBC" w:rsidRDefault="00516AC3" w:rsidP="006C5D03">
            <w:pPr>
              <w:spacing w:before="120"/>
            </w:pPr>
            <w:r w:rsidRPr="00D50BBC">
              <w:rPr>
                <w:noProof/>
                <w:lang w:eastAsia="zh-CN"/>
              </w:rPr>
              <w:drawing>
                <wp:inline distT="0" distB="0" distL="0" distR="0" wp14:anchorId="564C3AD2" wp14:editId="4579759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0A25C3" w14:textId="77777777" w:rsidR="00516AC3" w:rsidRPr="00D50BBC" w:rsidRDefault="00516AC3" w:rsidP="006C5D03">
            <w:pPr>
              <w:spacing w:before="120" w:line="420" w:lineRule="exact"/>
              <w:rPr>
                <w:b/>
                <w:sz w:val="40"/>
                <w:szCs w:val="40"/>
              </w:rPr>
            </w:pPr>
            <w:r w:rsidRPr="00D50BBC">
              <w:rPr>
                <w:b/>
                <w:sz w:val="40"/>
                <w:szCs w:val="40"/>
              </w:rPr>
              <w:t>Economic and Social Council</w:t>
            </w:r>
          </w:p>
        </w:tc>
        <w:tc>
          <w:tcPr>
            <w:tcW w:w="2835" w:type="dxa"/>
            <w:tcBorders>
              <w:top w:val="single" w:sz="4" w:space="0" w:color="auto"/>
              <w:bottom w:val="single" w:sz="12" w:space="0" w:color="auto"/>
            </w:tcBorders>
          </w:tcPr>
          <w:p w14:paraId="755783AD" w14:textId="77777777" w:rsidR="00516AC3" w:rsidRPr="00D50BBC" w:rsidRDefault="00516AC3" w:rsidP="006C5D03">
            <w:pPr>
              <w:spacing w:before="240" w:line="240" w:lineRule="exact"/>
            </w:pPr>
            <w:r w:rsidRPr="00D50BBC">
              <w:t>Distr.: General</w:t>
            </w:r>
          </w:p>
          <w:p w14:paraId="39637BE2" w14:textId="0126392F" w:rsidR="00516AC3" w:rsidRPr="00D50BBC" w:rsidRDefault="001678D1" w:rsidP="00143715">
            <w:pPr>
              <w:spacing w:line="240" w:lineRule="exact"/>
            </w:pPr>
            <w:r>
              <w:t>12 December</w:t>
            </w:r>
            <w:r w:rsidR="000D111C" w:rsidRPr="00D50BBC">
              <w:t xml:space="preserve"> </w:t>
            </w:r>
            <w:r w:rsidR="00516AC3" w:rsidRPr="00D50BBC">
              <w:t>2018</w:t>
            </w:r>
          </w:p>
          <w:p w14:paraId="389466A4" w14:textId="77777777" w:rsidR="00516AC3" w:rsidRPr="00D50BBC" w:rsidRDefault="00516AC3" w:rsidP="006C5D03">
            <w:pPr>
              <w:spacing w:line="240" w:lineRule="exact"/>
            </w:pPr>
          </w:p>
          <w:p w14:paraId="30327DBE" w14:textId="77777777" w:rsidR="00516AC3" w:rsidRPr="00D50BBC" w:rsidRDefault="00516AC3" w:rsidP="006C5D03">
            <w:pPr>
              <w:spacing w:line="240" w:lineRule="exact"/>
            </w:pPr>
            <w:r w:rsidRPr="00D50BBC">
              <w:t>Original: English</w:t>
            </w:r>
          </w:p>
        </w:tc>
      </w:tr>
    </w:tbl>
    <w:p w14:paraId="78F1457E" w14:textId="77777777" w:rsidR="001C6663" w:rsidRPr="00D50BBC" w:rsidRDefault="0078636F" w:rsidP="0078636F">
      <w:pPr>
        <w:pStyle w:val="HChG"/>
        <w:spacing w:before="120" w:after="0"/>
        <w:ind w:left="1138" w:right="1138" w:hanging="1138"/>
      </w:pPr>
      <w:r w:rsidRPr="00D50BBC">
        <w:t>Economic Commission for Europe</w:t>
      </w:r>
    </w:p>
    <w:p w14:paraId="5B03F2F9" w14:textId="77777777" w:rsidR="00F507EC" w:rsidRPr="00D50BBC" w:rsidRDefault="0078636F" w:rsidP="0078636F">
      <w:pPr>
        <w:spacing w:before="120"/>
        <w:rPr>
          <w:sz w:val="28"/>
          <w:szCs w:val="28"/>
        </w:rPr>
      </w:pPr>
      <w:r w:rsidRPr="00D50BBC">
        <w:rPr>
          <w:sz w:val="28"/>
          <w:szCs w:val="28"/>
        </w:rPr>
        <w:t>Committee on Environmental Policy</w:t>
      </w:r>
    </w:p>
    <w:p w14:paraId="4549EF3B" w14:textId="69892876" w:rsidR="000D111C" w:rsidRPr="00FC5CFF" w:rsidRDefault="000D111C" w:rsidP="000D111C">
      <w:pPr>
        <w:spacing w:before="120" w:line="240" w:lineRule="auto"/>
        <w:rPr>
          <w:b/>
          <w:bCs/>
        </w:rPr>
      </w:pPr>
      <w:r w:rsidRPr="00FC5CFF">
        <w:rPr>
          <w:b/>
          <w:bCs/>
        </w:rPr>
        <w:t>Twent</w:t>
      </w:r>
      <w:r w:rsidR="00877D1A">
        <w:rPr>
          <w:b/>
          <w:bCs/>
        </w:rPr>
        <w:t>y-fo</w:t>
      </w:r>
      <w:r w:rsidR="00F90F3D">
        <w:rPr>
          <w:b/>
          <w:bCs/>
        </w:rPr>
        <w:t>u</w:t>
      </w:r>
      <w:r w:rsidR="00877D1A">
        <w:rPr>
          <w:b/>
          <w:bCs/>
        </w:rPr>
        <w:t xml:space="preserve">rth </w:t>
      </w:r>
      <w:r w:rsidRPr="00FC5CFF">
        <w:rPr>
          <w:b/>
          <w:bCs/>
        </w:rPr>
        <w:t>session</w:t>
      </w:r>
    </w:p>
    <w:p w14:paraId="406B8BC4" w14:textId="594D1786" w:rsidR="000D111C" w:rsidRPr="00FC5CFF" w:rsidRDefault="000D111C" w:rsidP="000D111C">
      <w:pPr>
        <w:spacing w:line="240" w:lineRule="auto"/>
      </w:pPr>
      <w:r w:rsidRPr="00FC5CFF">
        <w:t xml:space="preserve">Geneva, </w:t>
      </w:r>
      <w:r w:rsidR="00877D1A">
        <w:t>29</w:t>
      </w:r>
      <w:r w:rsidR="00FF4297">
        <w:t>–</w:t>
      </w:r>
      <w:r w:rsidR="00877D1A">
        <w:t>31 January</w:t>
      </w:r>
      <w:r w:rsidRPr="00FC5CFF">
        <w:t xml:space="preserve"> 201</w:t>
      </w:r>
      <w:r w:rsidR="00877D1A">
        <w:t>9</w:t>
      </w:r>
    </w:p>
    <w:p w14:paraId="78DDB62A" w14:textId="360BC72A" w:rsidR="000D111C" w:rsidRPr="00FC5CFF" w:rsidRDefault="000D111C" w:rsidP="000D111C">
      <w:pPr>
        <w:spacing w:line="240" w:lineRule="auto"/>
      </w:pPr>
      <w:r w:rsidRPr="00FC5CFF">
        <w:t xml:space="preserve">Item </w:t>
      </w:r>
      <w:r w:rsidR="00076D8B">
        <w:t>4</w:t>
      </w:r>
      <w:r w:rsidR="008B316B">
        <w:t xml:space="preserve"> (</w:t>
      </w:r>
      <w:r w:rsidR="007931F4">
        <w:t>a</w:t>
      </w:r>
      <w:r w:rsidR="008B316B">
        <w:t xml:space="preserve">) </w:t>
      </w:r>
      <w:r w:rsidRPr="00FC5CFF">
        <w:t>of the provisional agenda</w:t>
      </w:r>
    </w:p>
    <w:p w14:paraId="6CA272E6" w14:textId="5F06FC2D" w:rsidR="000D111C" w:rsidRPr="00FC5CFF" w:rsidRDefault="00076D8B" w:rsidP="000D111C">
      <w:pPr>
        <w:rPr>
          <w:b/>
          <w:bCs/>
        </w:rPr>
      </w:pPr>
      <w:r>
        <w:rPr>
          <w:b/>
        </w:rPr>
        <w:t>M</w:t>
      </w:r>
      <w:r w:rsidRPr="004C67EB">
        <w:rPr>
          <w:b/>
        </w:rPr>
        <w:t xml:space="preserve">id-term review of the </w:t>
      </w:r>
      <w:r>
        <w:rPr>
          <w:b/>
        </w:rPr>
        <w:t xml:space="preserve">main outcomes of the Eighth </w:t>
      </w:r>
      <w:r>
        <w:rPr>
          <w:b/>
        </w:rPr>
        <w:br/>
      </w:r>
      <w:r w:rsidRPr="009C71AD">
        <w:rPr>
          <w:b/>
          <w:bCs/>
        </w:rPr>
        <w:t xml:space="preserve">Environment for Europe Ministerial Conference: </w:t>
      </w:r>
      <w:r>
        <w:rPr>
          <w:b/>
          <w:bCs/>
        </w:rPr>
        <w:br/>
        <w:t>g</w:t>
      </w:r>
      <w:r w:rsidRPr="009C71AD">
        <w:rPr>
          <w:b/>
          <w:bCs/>
        </w:rPr>
        <w:t xml:space="preserve">reening the economy and cleaning the air, including </w:t>
      </w:r>
      <w:r>
        <w:rPr>
          <w:b/>
          <w:bCs/>
        </w:rPr>
        <w:br/>
      </w:r>
      <w:r w:rsidRPr="009C71AD">
        <w:rPr>
          <w:b/>
          <w:bCs/>
        </w:rPr>
        <w:t xml:space="preserve">the activities of the GREEN Action Task Force and </w:t>
      </w:r>
      <w:r>
        <w:rPr>
          <w:b/>
          <w:bCs/>
        </w:rPr>
        <w:br/>
      </w:r>
      <w:r w:rsidRPr="009C71AD">
        <w:rPr>
          <w:b/>
          <w:bCs/>
        </w:rPr>
        <w:t>the regional environmental centres</w:t>
      </w:r>
    </w:p>
    <w:p w14:paraId="2F1ED552" w14:textId="08F4A2C5" w:rsidR="000D111C" w:rsidRPr="00FC5CFF" w:rsidRDefault="000D111C" w:rsidP="002414F5">
      <w:pPr>
        <w:pStyle w:val="HChG"/>
        <w:spacing w:before="200"/>
      </w:pPr>
      <w:r w:rsidRPr="00FC5CFF">
        <w:tab/>
      </w:r>
      <w:r w:rsidRPr="00FC5CFF">
        <w:tab/>
      </w:r>
      <w:r w:rsidR="007931F4">
        <w:t xml:space="preserve">Activities </w:t>
      </w:r>
      <w:bookmarkStart w:id="0" w:name="_Hlk529798134"/>
      <w:r w:rsidR="007931F4">
        <w:t xml:space="preserve">to support countries in their efforts to green their </w:t>
      </w:r>
      <w:r w:rsidR="007931F4" w:rsidRPr="00A54901">
        <w:t>economies</w:t>
      </w:r>
      <w:r w:rsidR="007931F4">
        <w:t xml:space="preserve"> and achieve sustainable development</w:t>
      </w:r>
      <w:bookmarkEnd w:id="0"/>
    </w:p>
    <w:p w14:paraId="4CEA76B1" w14:textId="6D221E7E" w:rsidR="000D111C" w:rsidRPr="00FC5CFF" w:rsidRDefault="000D111C" w:rsidP="00A54901">
      <w:pPr>
        <w:pStyle w:val="H1G"/>
        <w:rPr>
          <w:rFonts w:eastAsia="ヒラギノ角ゴ Pro W3"/>
          <w:lang w:eastAsia="en-GB"/>
        </w:rPr>
      </w:pPr>
      <w:r w:rsidRPr="00FC5CFF">
        <w:tab/>
      </w:r>
      <w:r w:rsidRPr="00FC5CFF">
        <w:tab/>
      </w:r>
      <w:r w:rsidRPr="00FC5CFF">
        <w:rPr>
          <w:rFonts w:eastAsia="ヒラギノ角ゴ Pro W3"/>
          <w:lang w:eastAsia="en-GB"/>
        </w:rPr>
        <w:t xml:space="preserve">Note by the </w:t>
      </w:r>
      <w:r w:rsidRPr="00A54901">
        <w:rPr>
          <w:rFonts w:eastAsia="ヒラギノ角ゴ Pro W3"/>
        </w:rPr>
        <w:t>secretariat</w:t>
      </w:r>
      <w:r w:rsidR="00FF4297" w:rsidRPr="00B833C0">
        <w:rPr>
          <w:rStyle w:val="FootnoteReference"/>
          <w:rFonts w:eastAsia="ヒラギノ角ゴ Pro W3"/>
          <w:vertAlign w:val="baseline"/>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D111C" w:rsidRPr="00FC5CFF" w14:paraId="57D79C9F" w14:textId="77777777" w:rsidTr="00B833C0">
        <w:trPr>
          <w:jc w:val="center"/>
        </w:trPr>
        <w:tc>
          <w:tcPr>
            <w:tcW w:w="9629" w:type="dxa"/>
            <w:shd w:val="clear" w:color="auto" w:fill="auto"/>
          </w:tcPr>
          <w:p w14:paraId="59D83E37" w14:textId="77777777" w:rsidR="000D111C" w:rsidRPr="00FC5CFF" w:rsidRDefault="000D111C" w:rsidP="00B01B0A">
            <w:pPr>
              <w:spacing w:before="200" w:after="120"/>
              <w:ind w:left="255"/>
              <w:rPr>
                <w:rFonts w:eastAsia="ヒラギノ角ゴ Pro W3"/>
                <w:b/>
                <w:i/>
                <w:sz w:val="24"/>
                <w:lang w:eastAsia="en-GB"/>
              </w:rPr>
            </w:pPr>
            <w:r w:rsidRPr="00FC5CFF">
              <w:rPr>
                <w:rFonts w:eastAsia="ヒラギノ角ゴ Pro W3"/>
                <w:i/>
                <w:sz w:val="24"/>
                <w:lang w:eastAsia="en-GB"/>
              </w:rPr>
              <w:t>Summary</w:t>
            </w:r>
          </w:p>
        </w:tc>
      </w:tr>
      <w:tr w:rsidR="000D111C" w:rsidRPr="00FC5CFF" w14:paraId="010E2F3E" w14:textId="77777777" w:rsidTr="00B833C0">
        <w:trPr>
          <w:jc w:val="center"/>
        </w:trPr>
        <w:tc>
          <w:tcPr>
            <w:tcW w:w="9629" w:type="dxa"/>
            <w:shd w:val="clear" w:color="auto" w:fill="auto"/>
          </w:tcPr>
          <w:p w14:paraId="706271F0" w14:textId="420537F1" w:rsidR="000E3A3D" w:rsidRDefault="003762B0" w:rsidP="006E0260">
            <w:pPr>
              <w:pStyle w:val="SingleTxtG"/>
              <w:rPr>
                <w:rFonts w:eastAsia="ヒラギノ角ゴ Pro W3"/>
              </w:rPr>
            </w:pPr>
            <w:r>
              <w:rPr>
                <w:rFonts w:eastAsia="ヒラギノ角ゴ Pro W3"/>
              </w:rPr>
              <w:tab/>
            </w:r>
            <w:r w:rsidR="000D111C" w:rsidRPr="00FC5CFF">
              <w:rPr>
                <w:rFonts w:eastAsia="ヒラギノ角ゴ Pro W3"/>
              </w:rPr>
              <w:tab/>
            </w:r>
            <w:r w:rsidR="0015255D" w:rsidRPr="00B833C0">
              <w:rPr>
                <w:rFonts w:eastAsia="ヒラギノ角ゴ Pro W3"/>
                <w:spacing w:val="-2"/>
              </w:rPr>
              <w:t>A</w:t>
            </w:r>
            <w:r w:rsidR="000923FE" w:rsidRPr="00B833C0">
              <w:rPr>
                <w:rFonts w:eastAsia="ヒラギノ角ゴ Pro W3"/>
                <w:spacing w:val="-2"/>
              </w:rPr>
              <w:t xml:space="preserve">t </w:t>
            </w:r>
            <w:r w:rsidR="000D111C" w:rsidRPr="00B833C0">
              <w:rPr>
                <w:rFonts w:eastAsia="ヒラギノ角ゴ Pro W3"/>
                <w:spacing w:val="-2"/>
              </w:rPr>
              <w:t xml:space="preserve">the Eighth Environment for Europe Ministerial Conference (Batumi, Georgia, 8–10 June 2016), ministers </w:t>
            </w:r>
            <w:r w:rsidR="0015255D" w:rsidRPr="00B833C0">
              <w:rPr>
                <w:rFonts w:eastAsia="ヒラギノ角ゴ Pro W3"/>
                <w:spacing w:val="-2"/>
              </w:rPr>
              <w:t>invited the United Nations Economic Commission for Europe</w:t>
            </w:r>
            <w:r w:rsidR="006E1F38" w:rsidRPr="00B833C0">
              <w:rPr>
                <w:rFonts w:eastAsia="ヒラギノ角ゴ Pro W3"/>
                <w:spacing w:val="-2"/>
              </w:rPr>
              <w:t xml:space="preserve"> </w:t>
            </w:r>
            <w:r w:rsidR="0015255D" w:rsidRPr="00B833C0">
              <w:rPr>
                <w:rFonts w:eastAsia="ヒラギノ角ゴ Pro W3"/>
                <w:spacing w:val="-2"/>
              </w:rPr>
              <w:t xml:space="preserve">(ECE) </w:t>
            </w:r>
            <w:r w:rsidR="006E1F38" w:rsidRPr="00B833C0">
              <w:rPr>
                <w:rFonts w:eastAsia="ヒラギノ角ゴ Pro W3"/>
                <w:spacing w:val="-2"/>
              </w:rPr>
              <w:t>and the United Nations Environment Programme (UNEP), in cooperation with other relevant international organizations, to support countries in their efforts to green their economies and achieve sustainable development</w:t>
            </w:r>
            <w:r w:rsidR="00F45657" w:rsidRPr="00B833C0">
              <w:rPr>
                <w:rFonts w:eastAsia="ヒラギノ角ゴ Pro W3"/>
                <w:spacing w:val="-2"/>
              </w:rPr>
              <w:t xml:space="preserve"> </w:t>
            </w:r>
            <w:r w:rsidR="00656780" w:rsidRPr="00B833C0">
              <w:rPr>
                <w:rFonts w:eastAsia="ヒラギノ角ゴ Pro W3"/>
                <w:spacing w:val="-2"/>
              </w:rPr>
              <w:t>in the region</w:t>
            </w:r>
            <w:r w:rsidR="00656780">
              <w:rPr>
                <w:rFonts w:eastAsia="ヒラギノ角ゴ Pro W3"/>
              </w:rPr>
              <w:t xml:space="preserve"> </w:t>
            </w:r>
            <w:r w:rsidR="000D111C" w:rsidRPr="00AC0A34">
              <w:rPr>
                <w:rFonts w:eastAsia="ヒラギノ角ゴ Pro W3"/>
              </w:rPr>
              <w:t xml:space="preserve">(ECE/BATUMI.CONF/2016/2/Add.1, para. </w:t>
            </w:r>
            <w:r w:rsidR="006E1F38">
              <w:rPr>
                <w:rFonts w:eastAsia="ヒラギノ角ゴ Pro W3"/>
              </w:rPr>
              <w:t>5</w:t>
            </w:r>
            <w:r w:rsidR="000D111C" w:rsidRPr="00AC0A34">
              <w:rPr>
                <w:rFonts w:eastAsia="ヒラギノ角ゴ Pro W3"/>
              </w:rPr>
              <w:t xml:space="preserve">). </w:t>
            </w:r>
            <w:r w:rsidR="00CB77F9">
              <w:rPr>
                <w:rFonts w:eastAsia="ヒラギノ角ゴ Pro W3"/>
              </w:rPr>
              <w:t>A</w:t>
            </w:r>
            <w:r w:rsidR="008478BB" w:rsidRPr="008478BB">
              <w:rPr>
                <w:rFonts w:eastAsia="ヒラギノ角ゴ Pro W3"/>
              </w:rPr>
              <w:t>t its twenty-third session</w:t>
            </w:r>
            <w:r w:rsidR="00CB77F9">
              <w:rPr>
                <w:rFonts w:eastAsia="ヒラギノ角ゴ Pro W3"/>
              </w:rPr>
              <w:t xml:space="preserve">, the Committee on Environmental Policy invited the ECE secretariat </w:t>
            </w:r>
            <w:r w:rsidR="00FC17DB">
              <w:rPr>
                <w:rFonts w:eastAsia="ヒラギノ角ゴ Pro W3"/>
              </w:rPr>
              <w:t xml:space="preserve">to prepare </w:t>
            </w:r>
            <w:r w:rsidR="0077070B">
              <w:rPr>
                <w:rFonts w:eastAsia="ヒラギノ角ゴ Pro W3"/>
              </w:rPr>
              <w:t xml:space="preserve">the </w:t>
            </w:r>
            <w:r w:rsidR="00FC17DB">
              <w:rPr>
                <w:rFonts w:eastAsia="ヒラギノ角ゴ Pro W3"/>
              </w:rPr>
              <w:t>mid-term review of the Conference’s main outcomes</w:t>
            </w:r>
            <w:r w:rsidR="00CB77F9">
              <w:rPr>
                <w:rFonts w:eastAsia="ヒラギノ角ゴ Pro W3"/>
              </w:rPr>
              <w:t xml:space="preserve"> </w:t>
            </w:r>
            <w:r w:rsidR="00CB77F9" w:rsidRPr="008478BB">
              <w:rPr>
                <w:rFonts w:eastAsia="ヒラギノ角ゴ Pro W3"/>
              </w:rPr>
              <w:t>(ECE/CEP/2017/5, para. 46)</w:t>
            </w:r>
            <w:r w:rsidR="00CB77F9">
              <w:rPr>
                <w:rFonts w:eastAsia="ヒラギノ角ゴ Pro W3"/>
              </w:rPr>
              <w:t xml:space="preserve"> in accordance with the secretariat</w:t>
            </w:r>
            <w:r w:rsidR="004F3238">
              <w:rPr>
                <w:rFonts w:eastAsia="ヒラギノ角ゴ Pro W3"/>
              </w:rPr>
              <w:t>’s proposal</w:t>
            </w:r>
            <w:r w:rsidR="00CB77F9">
              <w:rPr>
                <w:rFonts w:eastAsia="ヒラギノ角ゴ Pro W3"/>
              </w:rPr>
              <w:t xml:space="preserve"> for </w:t>
            </w:r>
            <w:r w:rsidR="004F3238">
              <w:rPr>
                <w:rFonts w:eastAsia="ヒラギノ角ゴ Pro W3"/>
              </w:rPr>
              <w:t xml:space="preserve">its </w:t>
            </w:r>
            <w:r w:rsidR="00CB77F9">
              <w:rPr>
                <w:rFonts w:eastAsia="ヒラギノ角ゴ Pro W3"/>
              </w:rPr>
              <w:t>organization (ECE/CEP/2017/16)</w:t>
            </w:r>
            <w:r w:rsidR="004F3238">
              <w:rPr>
                <w:rFonts w:eastAsia="ヒラギノ角ゴ Pro W3"/>
              </w:rPr>
              <w:t xml:space="preserve">, including the </w:t>
            </w:r>
            <w:r w:rsidR="008478BB" w:rsidRPr="008478BB">
              <w:rPr>
                <w:rFonts w:eastAsia="ヒラギノ角ゴ Pro W3"/>
              </w:rPr>
              <w:t>prepar</w:t>
            </w:r>
            <w:r w:rsidR="004F3238">
              <w:rPr>
                <w:rFonts w:eastAsia="ヒラギノ角ゴ Pro W3"/>
              </w:rPr>
              <w:t>ation of</w:t>
            </w:r>
            <w:r w:rsidR="008478BB" w:rsidRPr="008478BB">
              <w:rPr>
                <w:rFonts w:eastAsia="ヒラギノ角ゴ Pro W3"/>
              </w:rPr>
              <w:t xml:space="preserve"> </w:t>
            </w:r>
            <w:r w:rsidR="00CB77F9">
              <w:rPr>
                <w:rFonts w:eastAsia="ヒラギノ角ゴ Pro W3"/>
              </w:rPr>
              <w:t xml:space="preserve">a report on </w:t>
            </w:r>
            <w:r w:rsidR="0015255D">
              <w:rPr>
                <w:rFonts w:eastAsia="ヒラギノ角ゴ Pro W3"/>
              </w:rPr>
              <w:t xml:space="preserve">the </w:t>
            </w:r>
            <w:r w:rsidR="008478BB">
              <w:rPr>
                <w:rFonts w:eastAsia="ヒラギノ角ゴ Pro W3"/>
              </w:rPr>
              <w:t>a</w:t>
            </w:r>
            <w:r w:rsidR="008478BB" w:rsidRPr="007931F4">
              <w:rPr>
                <w:rFonts w:eastAsia="ヒラギノ角ゴ Pro W3"/>
              </w:rPr>
              <w:t xml:space="preserve">ctivities </w:t>
            </w:r>
            <w:r w:rsidR="0015255D">
              <w:rPr>
                <w:rFonts w:eastAsia="ヒラギノ角ゴ Pro W3"/>
              </w:rPr>
              <w:t xml:space="preserve">of </w:t>
            </w:r>
            <w:r w:rsidR="008478BB">
              <w:rPr>
                <w:rFonts w:eastAsia="ヒラギノ角ゴ Pro W3"/>
              </w:rPr>
              <w:t xml:space="preserve">ECE, UNEP </w:t>
            </w:r>
            <w:r w:rsidR="008478BB" w:rsidRPr="008478BB">
              <w:rPr>
                <w:rFonts w:eastAsia="ヒラギノ角ゴ Pro W3"/>
              </w:rPr>
              <w:t xml:space="preserve">and other international organizations </w:t>
            </w:r>
            <w:r w:rsidR="008478BB" w:rsidRPr="007931F4">
              <w:rPr>
                <w:rFonts w:eastAsia="ヒラギノ角ゴ Pro W3"/>
              </w:rPr>
              <w:t>to support countries in their efforts to green their economies and achieve sustainable development</w:t>
            </w:r>
            <w:r w:rsidR="000E3A3D">
              <w:rPr>
                <w:rFonts w:eastAsia="ヒラギノ角ゴ Pro W3"/>
              </w:rPr>
              <w:t xml:space="preserve"> (ibid., para. 23)</w:t>
            </w:r>
            <w:r w:rsidR="008478BB" w:rsidRPr="00F45657">
              <w:rPr>
                <w:rFonts w:eastAsia="ヒラギノ角ゴ Pro W3"/>
              </w:rPr>
              <w:t>.</w:t>
            </w:r>
            <w:r w:rsidR="008478BB">
              <w:rPr>
                <w:rFonts w:eastAsia="ヒラギノ角ゴ Pro W3"/>
              </w:rPr>
              <w:t xml:space="preserve"> </w:t>
            </w:r>
          </w:p>
          <w:p w14:paraId="38005D75" w14:textId="756DD570" w:rsidR="000D111C" w:rsidRPr="00FC5CFF" w:rsidRDefault="000E3A3D" w:rsidP="006E0260">
            <w:pPr>
              <w:pStyle w:val="SingleTxtG"/>
              <w:rPr>
                <w:rFonts w:eastAsia="ヒラギノ角ゴ Pro W3"/>
              </w:rPr>
            </w:pPr>
            <w:r>
              <w:rPr>
                <w:rFonts w:eastAsia="ヒラギノ角ゴ Pro W3"/>
              </w:rPr>
              <w:tab/>
            </w:r>
            <w:r>
              <w:rPr>
                <w:rFonts w:eastAsia="ヒラギノ角ゴ Pro W3"/>
              </w:rPr>
              <w:tab/>
            </w:r>
            <w:r w:rsidR="008478BB" w:rsidRPr="008478BB">
              <w:rPr>
                <w:rFonts w:eastAsia="ヒラギノ角ゴ Pro W3"/>
              </w:rPr>
              <w:t xml:space="preserve">The </w:t>
            </w:r>
            <w:r w:rsidR="0015255D">
              <w:rPr>
                <w:rFonts w:eastAsia="ヒラギノ角ゴ Pro W3"/>
              </w:rPr>
              <w:t xml:space="preserve">present </w:t>
            </w:r>
            <w:r w:rsidR="008478BB" w:rsidRPr="008478BB">
              <w:rPr>
                <w:rFonts w:eastAsia="ヒラギノ角ゴ Pro W3"/>
              </w:rPr>
              <w:t>document aims to facilitate the discussion by Committee during the mid-term review</w:t>
            </w:r>
            <w:r w:rsidR="0015255D">
              <w:rPr>
                <w:rFonts w:eastAsia="ヒラギノ角ゴ Pro W3"/>
              </w:rPr>
              <w:t xml:space="preserve"> </w:t>
            </w:r>
            <w:r w:rsidR="00CB77F9">
              <w:rPr>
                <w:rFonts w:eastAsia="ヒラギノ角ゴ Pro W3"/>
              </w:rPr>
              <w:t xml:space="preserve">with regard to greening the economy in the ECE region, by presenting an overview of </w:t>
            </w:r>
            <w:r w:rsidR="00AB476E">
              <w:rPr>
                <w:rFonts w:eastAsia="ヒラギノ角ゴ Pro W3"/>
              </w:rPr>
              <w:t xml:space="preserve">the </w:t>
            </w:r>
            <w:r w:rsidR="00CB77F9">
              <w:rPr>
                <w:rFonts w:eastAsia="ヒラギノ角ゴ Pro W3"/>
              </w:rPr>
              <w:t>activities in the region to green the economy and achieve sustainable development</w:t>
            </w:r>
            <w:r w:rsidR="008478BB" w:rsidRPr="008478BB">
              <w:rPr>
                <w:rFonts w:eastAsia="ヒラギノ角ゴ Pro W3"/>
              </w:rPr>
              <w:t>.</w:t>
            </w:r>
            <w:r w:rsidR="00F45657" w:rsidRPr="00F45657">
              <w:rPr>
                <w:rFonts w:eastAsia="ヒラギノ角ゴ Pro W3"/>
              </w:rPr>
              <w:t xml:space="preserve"> </w:t>
            </w:r>
          </w:p>
        </w:tc>
      </w:tr>
      <w:tr w:rsidR="000D111C" w:rsidRPr="00FC5CFF" w14:paraId="14EA0F49" w14:textId="77777777" w:rsidTr="00B833C0">
        <w:trPr>
          <w:jc w:val="center"/>
        </w:trPr>
        <w:tc>
          <w:tcPr>
            <w:tcW w:w="9629" w:type="dxa"/>
            <w:shd w:val="clear" w:color="auto" w:fill="auto"/>
          </w:tcPr>
          <w:p w14:paraId="183719EB" w14:textId="77777777" w:rsidR="000D111C" w:rsidRPr="00FC5CFF" w:rsidRDefault="000D111C" w:rsidP="00B01B0A">
            <w:pPr>
              <w:spacing w:line="240" w:lineRule="auto"/>
              <w:ind w:left="1134" w:right="1134"/>
              <w:jc w:val="both"/>
              <w:rPr>
                <w:rFonts w:eastAsia="ヒラギノ角ゴ Pro W3"/>
                <w:lang w:eastAsia="en-GB"/>
              </w:rPr>
            </w:pPr>
          </w:p>
        </w:tc>
      </w:tr>
    </w:tbl>
    <w:p w14:paraId="2ED90F73" w14:textId="77777777" w:rsidR="00FC17DB" w:rsidRDefault="00FC17DB">
      <w:pPr>
        <w:sectPr w:rsidR="00FC17DB" w:rsidSect="00A54901">
          <w:headerReference w:type="even" r:id="rId9"/>
          <w:headerReference w:type="default" r:id="rId10"/>
          <w:footerReference w:type="even" r:id="rId11"/>
          <w:footerReference w:type="default" r:id="rId12"/>
          <w:footerReference w:type="first" r:id="rId13"/>
          <w:footnotePr>
            <w:numFmt w:val="chicago"/>
            <w:numRestart w:val="eachSect"/>
          </w:footnotePr>
          <w:endnotePr>
            <w:numFmt w:val="decimal"/>
          </w:endnotePr>
          <w:pgSz w:w="11907" w:h="16840" w:code="9"/>
          <w:pgMar w:top="1701" w:right="1134" w:bottom="2127" w:left="1134" w:header="1134" w:footer="1701" w:gutter="0"/>
          <w:cols w:space="720"/>
          <w:titlePg/>
          <w:docGrid w:linePitch="272"/>
        </w:sectPr>
      </w:pPr>
    </w:p>
    <w:p w14:paraId="757BBE9A" w14:textId="77777777" w:rsidR="00C857DB" w:rsidRDefault="000D111C" w:rsidP="00A54901">
      <w:pPr>
        <w:pStyle w:val="HChG"/>
      </w:pPr>
      <w:r>
        <w:lastRenderedPageBreak/>
        <w:tab/>
      </w:r>
      <w:r>
        <w:tab/>
      </w:r>
      <w:r w:rsidR="00C857DB" w:rsidRPr="00A54901">
        <w:t>Introduction</w:t>
      </w:r>
    </w:p>
    <w:p w14:paraId="1AF5653B" w14:textId="0795EEED" w:rsidR="00FA31E3" w:rsidRDefault="00A54901" w:rsidP="00A54901">
      <w:pPr>
        <w:pStyle w:val="SingleTxtG"/>
      </w:pPr>
      <w:r>
        <w:t>1.</w:t>
      </w:r>
      <w:r w:rsidR="00FA31E3">
        <w:tab/>
      </w:r>
      <w:r w:rsidR="00656780">
        <w:t xml:space="preserve">In June 2012, </w:t>
      </w:r>
      <w:r w:rsidR="00FA31E3">
        <w:t>Governments at t</w:t>
      </w:r>
      <w:r w:rsidR="00FA31E3" w:rsidRPr="003958EF">
        <w:t xml:space="preserve">he United Nations Conference on Sustainable Development agreed </w:t>
      </w:r>
      <w:r w:rsidR="00FC17DB">
        <w:t xml:space="preserve">on guidelines for </w:t>
      </w:r>
      <w:r w:rsidR="00FA31E3" w:rsidRPr="003958EF">
        <w:t>the green economy as an important tool for sustainable development</w:t>
      </w:r>
      <w:r w:rsidR="00656780">
        <w:t xml:space="preserve"> – </w:t>
      </w:r>
      <w:r w:rsidR="00FA31E3" w:rsidRPr="003958EF">
        <w:t>one that is inclusive and can drive economic growth, employment and poverty eradication whil</w:t>
      </w:r>
      <w:r w:rsidR="00FC17DB">
        <w:t>e</w:t>
      </w:r>
      <w:r w:rsidR="00FA31E3" w:rsidRPr="003958EF">
        <w:t xml:space="preserve"> maintaining the healthy functioning of the </w:t>
      </w:r>
      <w:r w:rsidR="00FC17DB">
        <w:t>e</w:t>
      </w:r>
      <w:r w:rsidR="00FA31E3" w:rsidRPr="003958EF">
        <w:t>arth’s ecosystems.</w:t>
      </w:r>
      <w:r w:rsidR="00FA31E3" w:rsidRPr="00E71462">
        <w:t xml:space="preserve"> </w:t>
      </w:r>
      <w:r w:rsidR="009D574A">
        <w:t>A s</w:t>
      </w:r>
      <w:r w:rsidR="00FA31E3" w:rsidRPr="00E71462">
        <w:t>hift towards a green economy</w:t>
      </w:r>
      <w:r w:rsidR="00656780">
        <w:t>,</w:t>
      </w:r>
      <w:r w:rsidR="00FA31E3">
        <w:t xml:space="preserve"> based on a g</w:t>
      </w:r>
      <w:r w:rsidR="00FA31E3" w:rsidRPr="00E71462">
        <w:t>reater coherence between public policies – economic, social and environmental</w:t>
      </w:r>
      <w:r w:rsidR="00656780">
        <w:t>,</w:t>
      </w:r>
      <w:r w:rsidR="00FA31E3" w:rsidRPr="00E71462">
        <w:t xml:space="preserve"> can</w:t>
      </w:r>
      <w:r w:rsidR="00656780">
        <w:t xml:space="preserve"> </w:t>
      </w:r>
      <w:r w:rsidR="00FA31E3" w:rsidRPr="00E71462">
        <w:t>contribute to the implementation of the 2030</w:t>
      </w:r>
      <w:r w:rsidR="00FA31E3">
        <w:t xml:space="preserve"> </w:t>
      </w:r>
      <w:r w:rsidR="00FA31E3" w:rsidRPr="00E71462">
        <w:t>Agenda for Sustainable Development.</w:t>
      </w:r>
    </w:p>
    <w:p w14:paraId="5B0A529A" w14:textId="542FF443" w:rsidR="00415BE9" w:rsidRDefault="00415BE9" w:rsidP="00A54901">
      <w:pPr>
        <w:pStyle w:val="SingleTxtG"/>
      </w:pPr>
      <w:r>
        <w:t>2.</w:t>
      </w:r>
      <w:r>
        <w:tab/>
      </w:r>
      <w:r w:rsidR="00B64EB2" w:rsidRPr="00B64EB2">
        <w:t xml:space="preserve">In the Declaration, “Greener, cleaner, smarter!”, adopted at the Eighth Environment for Europe Ministerial Conference (Batumi, Georgia, 8–10 June 2016), ministers </w:t>
      </w:r>
      <w:r w:rsidRPr="00415BE9">
        <w:t>reiterate</w:t>
      </w:r>
      <w:r w:rsidR="00B64EB2">
        <w:t>d</w:t>
      </w:r>
      <w:r w:rsidRPr="00415BE9">
        <w:t xml:space="preserve"> </w:t>
      </w:r>
      <w:r w:rsidR="00B64EB2">
        <w:t>their</w:t>
      </w:r>
      <w:r w:rsidRPr="00415BE9">
        <w:t xml:space="preserve"> commitment to take the lead in the transition to a green economy</w:t>
      </w:r>
      <w:r w:rsidR="009D574A">
        <w:t xml:space="preserve"> in the United Nations Economic Commission for Europe (ECE) region</w:t>
      </w:r>
      <w:r w:rsidRPr="00415BE9">
        <w:t>, as a key path to sustainable development and poverty eradication</w:t>
      </w:r>
      <w:r w:rsidR="009D574A">
        <w:t>,</w:t>
      </w:r>
      <w:r w:rsidRPr="00415BE9">
        <w:t xml:space="preserve"> and to direct investments and trade to support a green and inclusive economy.</w:t>
      </w:r>
    </w:p>
    <w:p w14:paraId="505993AB" w14:textId="2241B9F7" w:rsidR="00FA31E3" w:rsidRDefault="003F7B0E" w:rsidP="00A54901">
      <w:pPr>
        <w:pStyle w:val="SingleTxtG"/>
      </w:pPr>
      <w:r>
        <w:t>3</w:t>
      </w:r>
      <w:r w:rsidR="00FA31E3">
        <w:t>.</w:t>
      </w:r>
      <w:r w:rsidR="00FA31E3">
        <w:tab/>
      </w:r>
      <w:r w:rsidR="00FA31E3" w:rsidRPr="00F57C48">
        <w:t xml:space="preserve">The United Nations system </w:t>
      </w:r>
      <w:r w:rsidR="00FA31E3">
        <w:t xml:space="preserve">and other international organizations have been </w:t>
      </w:r>
      <w:r w:rsidR="00FA31E3" w:rsidRPr="00F57C48">
        <w:t>help</w:t>
      </w:r>
      <w:r w:rsidR="00FA31E3">
        <w:t>ing</w:t>
      </w:r>
      <w:r w:rsidR="00FA31E3" w:rsidRPr="00F57C48">
        <w:t xml:space="preserve"> countries’ efforts to green their economies and achieve sustainable development by providing norms, standards, legal instruments, policy recommendations and expert advice</w:t>
      </w:r>
      <w:r w:rsidR="009D574A">
        <w:t>,</w:t>
      </w:r>
      <w:r w:rsidR="00FA31E3" w:rsidRPr="00F57C48">
        <w:t xml:space="preserve"> </w:t>
      </w:r>
      <w:r w:rsidR="009D574A">
        <w:t xml:space="preserve">along with </w:t>
      </w:r>
      <w:r w:rsidR="00FA31E3" w:rsidRPr="00F57C48">
        <w:t>direct support to countries.</w:t>
      </w:r>
      <w:r w:rsidR="00FA31E3">
        <w:t xml:space="preserve"> They </w:t>
      </w:r>
      <w:r w:rsidR="00FA31E3" w:rsidRPr="00F57C48">
        <w:t>are assisting countries in the transition to greener economies by identifying green economy potentials and opportunities, facilitating multi-stakeholder consultations and long-term development vision and developing strategic frameworks, investment packages and policy solutions based on an assessment of synergies, incentives and trade-offs, including a focus on more vulnerable groups</w:t>
      </w:r>
      <w:r w:rsidR="00015E0F">
        <w:t>.</w:t>
      </w:r>
      <w:r w:rsidR="00FA31E3" w:rsidRPr="00F57C48">
        <w:t xml:space="preserve"> </w:t>
      </w:r>
      <w:r w:rsidR="00015E0F">
        <w:t xml:space="preserve">They are also </w:t>
      </w:r>
      <w:r w:rsidR="00FA31E3" w:rsidRPr="00F57C48">
        <w:t>strengthening the technical and functional capacities of governments and national partners to implement, finance, monitor and evaluate inclusive green economy approaches. Different instruments —</w:t>
      </w:r>
      <w:r w:rsidR="00656780">
        <w:t xml:space="preserve">be they </w:t>
      </w:r>
      <w:r w:rsidR="00FA31E3" w:rsidRPr="00F57C48">
        <w:t>market-based</w:t>
      </w:r>
      <w:r w:rsidR="00DF0631">
        <w:t xml:space="preserve"> or </w:t>
      </w:r>
      <w:r w:rsidR="00FA31E3" w:rsidRPr="00F57C48">
        <w:t>information-based</w:t>
      </w:r>
      <w:r w:rsidR="00DF0631">
        <w:t>, legal</w:t>
      </w:r>
      <w:r w:rsidR="00FA31E3" w:rsidRPr="00F57C48">
        <w:t xml:space="preserve"> </w:t>
      </w:r>
      <w:r w:rsidR="00DF0631">
        <w:t xml:space="preserve">or </w:t>
      </w:r>
      <w:r w:rsidR="00FA31E3" w:rsidRPr="00F57C48">
        <w:t>voluntary</w:t>
      </w:r>
      <w:r w:rsidR="00656780">
        <w:t xml:space="preserve"> </w:t>
      </w:r>
      <w:r w:rsidR="00FA31E3" w:rsidRPr="00F57C48">
        <w:t>— all find application in support of the transition to green economy. Depending on their objectives, the instruments can be economy-wide or sectoral.</w:t>
      </w:r>
    </w:p>
    <w:p w14:paraId="191D13E0" w14:textId="1CF422CA" w:rsidR="000D111C" w:rsidRDefault="00C857DB" w:rsidP="00A54901">
      <w:pPr>
        <w:pStyle w:val="HChG"/>
      </w:pPr>
      <w:r>
        <w:tab/>
        <w:t>I.</w:t>
      </w:r>
      <w:r>
        <w:tab/>
      </w:r>
      <w:r w:rsidRPr="00A54901">
        <w:t>Overview</w:t>
      </w:r>
      <w:r w:rsidRPr="009A1807">
        <w:t xml:space="preserve"> of main achievements and key findings</w:t>
      </w:r>
    </w:p>
    <w:p w14:paraId="2F3CB7E2" w14:textId="127AB2AF" w:rsidR="00F57C48" w:rsidRDefault="00AA35F6" w:rsidP="00DF0631">
      <w:pPr>
        <w:pStyle w:val="SingleTxtG"/>
      </w:pPr>
      <w:r>
        <w:t>4</w:t>
      </w:r>
      <w:r w:rsidR="00A54901">
        <w:t>.</w:t>
      </w:r>
      <w:r w:rsidR="00C857DB">
        <w:tab/>
      </w:r>
      <w:r w:rsidR="00A13F4A">
        <w:t xml:space="preserve">To foster </w:t>
      </w:r>
      <w:r w:rsidR="00DF0631">
        <w:t xml:space="preserve">the transition </w:t>
      </w:r>
      <w:r w:rsidR="00A13F4A">
        <w:t xml:space="preserve">to </w:t>
      </w:r>
      <w:r w:rsidR="00DF0631">
        <w:t xml:space="preserve">greener </w:t>
      </w:r>
      <w:r w:rsidR="00A13F4A">
        <w:t xml:space="preserve">and more inclusive </w:t>
      </w:r>
      <w:r w:rsidR="00DF0631">
        <w:t>economies, i</w:t>
      </w:r>
      <w:r w:rsidRPr="00AA35F6">
        <w:t xml:space="preserve">nternational organizations </w:t>
      </w:r>
      <w:r w:rsidR="000E3A3D">
        <w:t xml:space="preserve">have </w:t>
      </w:r>
      <w:r w:rsidRPr="00AA35F6">
        <w:t>carr</w:t>
      </w:r>
      <w:r w:rsidR="000E3A3D">
        <w:t>ied</w:t>
      </w:r>
      <w:r w:rsidRPr="00AA35F6">
        <w:t xml:space="preserve"> out studies </w:t>
      </w:r>
      <w:r w:rsidR="00A13F4A">
        <w:t xml:space="preserve">to assist countries in </w:t>
      </w:r>
      <w:r w:rsidR="000E3A3D">
        <w:t>developing policy options adapt</w:t>
      </w:r>
      <w:r w:rsidR="00DF0631">
        <w:t>ed</w:t>
      </w:r>
      <w:r w:rsidR="000E3A3D">
        <w:t xml:space="preserve"> to their </w:t>
      </w:r>
      <w:r w:rsidRPr="00AA35F6">
        <w:t>national circumstances. Recent research projects and studies in this area from which pan-European countries can benefit include:</w:t>
      </w:r>
    </w:p>
    <w:p w14:paraId="5E136C99" w14:textId="0224148C" w:rsidR="009D0D41" w:rsidRDefault="00AA35F6" w:rsidP="00A54901">
      <w:pPr>
        <w:pStyle w:val="SingleTxtG"/>
        <w:ind w:firstLine="567"/>
      </w:pPr>
      <w:r>
        <w:t>(a)</w:t>
      </w:r>
      <w:r>
        <w:tab/>
      </w:r>
      <w:r w:rsidR="00CA5651">
        <w:t xml:space="preserve">In </w:t>
      </w:r>
      <w:r w:rsidR="00015E0F">
        <w:t xml:space="preserve">the period </w:t>
      </w:r>
      <w:r w:rsidR="00CA5651">
        <w:t>2016</w:t>
      </w:r>
      <w:r w:rsidR="00015E0F">
        <w:t>–</w:t>
      </w:r>
      <w:r w:rsidR="00CA5651">
        <w:t>201</w:t>
      </w:r>
      <w:r w:rsidR="00C97615">
        <w:t>8</w:t>
      </w:r>
      <w:r w:rsidR="000E3A3D">
        <w:t>,</w:t>
      </w:r>
      <w:r w:rsidR="00CA5651">
        <w:t xml:space="preserve"> </w:t>
      </w:r>
      <w:r w:rsidR="000E3A3D">
        <w:t xml:space="preserve">ECE carried out environmental performance reviews of </w:t>
      </w:r>
      <w:r w:rsidR="00900E7C">
        <w:t>Albania, Bosnia and Herzegovina, Bulgaria</w:t>
      </w:r>
      <w:r w:rsidR="00C97615">
        <w:t xml:space="preserve">, </w:t>
      </w:r>
      <w:r w:rsidR="004C3913">
        <w:t xml:space="preserve">Kazakhstan, </w:t>
      </w:r>
      <w:r w:rsidR="004C3913" w:rsidRPr="00AA35F6">
        <w:t>Tajikistan</w:t>
      </w:r>
      <w:r w:rsidRPr="00AA35F6">
        <w:t xml:space="preserve"> </w:t>
      </w:r>
      <w:r w:rsidR="00C97615">
        <w:t xml:space="preserve">and </w:t>
      </w:r>
      <w:r w:rsidR="00C97615" w:rsidRPr="00CA5651">
        <w:t>the former Yugoslav Republic of Macedonia</w:t>
      </w:r>
      <w:r w:rsidRPr="00AA35F6">
        <w:t xml:space="preserve">, </w:t>
      </w:r>
      <w:r w:rsidR="000E3A3D">
        <w:t>assessing</w:t>
      </w:r>
      <w:r w:rsidRPr="00AA35F6">
        <w:t xml:space="preserve">, among others, the progress </w:t>
      </w:r>
      <w:r w:rsidR="000E3A3D">
        <w:t xml:space="preserve">made by these countries in </w:t>
      </w:r>
      <w:r w:rsidRPr="00AA35F6">
        <w:t>greening the</w:t>
      </w:r>
      <w:r w:rsidR="000E3A3D">
        <w:t>ir</w:t>
      </w:r>
      <w:r w:rsidRPr="00AA35F6">
        <w:t xml:space="preserve"> economies. </w:t>
      </w:r>
      <w:r w:rsidR="009D0D41">
        <w:t>Since 2017</w:t>
      </w:r>
      <w:r w:rsidR="000E3A3D">
        <w:t>,</w:t>
      </w:r>
      <w:r w:rsidR="009D0D41">
        <w:t xml:space="preserve"> environmental performance reviews </w:t>
      </w:r>
      <w:r w:rsidR="00CA5651">
        <w:t xml:space="preserve">explicitly </w:t>
      </w:r>
      <w:r w:rsidR="00C97615">
        <w:t>investigate</w:t>
      </w:r>
      <w:r w:rsidR="00CA5651">
        <w:t xml:space="preserve"> </w:t>
      </w:r>
      <w:r w:rsidR="009D0D41">
        <w:t>such topic</w:t>
      </w:r>
      <w:r w:rsidR="00CA5651">
        <w:t>s</w:t>
      </w:r>
      <w:r w:rsidR="009D0D41">
        <w:t xml:space="preserve"> as greening the tax and tariff system; greening the subsidies system; investing in environmental</w:t>
      </w:r>
      <w:r w:rsidR="009D0D41" w:rsidRPr="009D0D41">
        <w:t xml:space="preserve"> protection and green economy</w:t>
      </w:r>
      <w:r w:rsidR="009D0D41">
        <w:t>; green markets; green jobs; p</w:t>
      </w:r>
      <w:r w:rsidR="009D0D41" w:rsidRPr="009D0D41">
        <w:t>ublic</w:t>
      </w:r>
      <w:r w:rsidR="000E3A3D">
        <w:t>-</w:t>
      </w:r>
      <w:r w:rsidR="009D0D41" w:rsidRPr="009D0D41">
        <w:t>private partnerships in support of green economy</w:t>
      </w:r>
      <w:r w:rsidR="009D0D41">
        <w:t xml:space="preserve">; and </w:t>
      </w:r>
      <w:r w:rsidR="000E3A3D">
        <w:t xml:space="preserve">the </w:t>
      </w:r>
      <w:r w:rsidR="009D0D41">
        <w:t>l</w:t>
      </w:r>
      <w:r w:rsidR="009D0D41" w:rsidRPr="009D0D41">
        <w:t>egal and policy framework for greening the economy</w:t>
      </w:r>
      <w:r w:rsidR="000E3A3D">
        <w:t>;</w:t>
      </w:r>
      <w:r w:rsidR="00CA5651">
        <w:t xml:space="preserve"> </w:t>
      </w:r>
    </w:p>
    <w:p w14:paraId="1F6ED5A0" w14:textId="773DD1B3" w:rsidR="00AA35F6" w:rsidRDefault="00A54901" w:rsidP="00A54901">
      <w:pPr>
        <w:pStyle w:val="SingleTxtG"/>
        <w:ind w:firstLine="567"/>
      </w:pPr>
      <w:r>
        <w:t>(b)</w:t>
      </w:r>
      <w:r w:rsidR="00CA5651">
        <w:tab/>
      </w:r>
      <w:r w:rsidR="00EC5D43">
        <w:t>In the same period, the Organi</w:t>
      </w:r>
      <w:r w:rsidR="005B2CD8">
        <w:t>s</w:t>
      </w:r>
      <w:r w:rsidR="00EC5D43">
        <w:t>ation for Economic Co</w:t>
      </w:r>
      <w:r w:rsidR="005B2CD8">
        <w:t>-</w:t>
      </w:r>
      <w:r w:rsidR="00EC5D43">
        <w:t xml:space="preserve">operation and Development (OECD) reviewed the environmental performance of </w:t>
      </w:r>
      <w:r w:rsidR="00CA5651">
        <w:t xml:space="preserve">Canada, </w:t>
      </w:r>
      <w:r w:rsidR="00904E26">
        <w:t xml:space="preserve">the </w:t>
      </w:r>
      <w:r w:rsidR="00CA5651">
        <w:t>C</w:t>
      </w:r>
      <w:r w:rsidR="00B64EB2">
        <w:t>z</w:t>
      </w:r>
      <w:r w:rsidR="00CA5651">
        <w:t>ec</w:t>
      </w:r>
      <w:r w:rsidR="00B64EB2">
        <w:t>h</w:t>
      </w:r>
      <w:r w:rsidR="00904E26">
        <w:t xml:space="preserve"> Republic</w:t>
      </w:r>
      <w:r w:rsidR="00CA5651">
        <w:t>, Estonia, France, Hungary and Switzerland</w:t>
      </w:r>
      <w:r w:rsidR="00CA5651" w:rsidRPr="00CA5651">
        <w:t>. The reviews evaluate</w:t>
      </w:r>
      <w:r w:rsidR="00EC5D43">
        <w:t>d</w:t>
      </w:r>
      <w:r w:rsidR="00CA5651" w:rsidRPr="00CA5651">
        <w:t xml:space="preserve"> progress towards sustainable development and green growth</w:t>
      </w:r>
      <w:r w:rsidR="00CA5651">
        <w:t>;</w:t>
      </w:r>
    </w:p>
    <w:p w14:paraId="0262FCD1" w14:textId="5BBB9300" w:rsidR="00CA5651" w:rsidRDefault="00CA5651" w:rsidP="00A54901">
      <w:pPr>
        <w:pStyle w:val="SingleTxtG"/>
        <w:ind w:firstLine="567"/>
      </w:pPr>
      <w:r>
        <w:t>(c)</w:t>
      </w:r>
      <w:r>
        <w:tab/>
        <w:t>In 2017</w:t>
      </w:r>
      <w:r w:rsidR="00EC5D43">
        <w:t>,</w:t>
      </w:r>
      <w:r>
        <w:t xml:space="preserve"> </w:t>
      </w:r>
      <w:r w:rsidR="00331F94">
        <w:t xml:space="preserve">ECE carried out </w:t>
      </w:r>
      <w:r w:rsidR="00C97615" w:rsidRPr="00C97615">
        <w:t xml:space="preserve">an innovation </w:t>
      </w:r>
      <w:r w:rsidR="00C97615">
        <w:t xml:space="preserve">for sustainable development </w:t>
      </w:r>
      <w:r w:rsidR="00C97615" w:rsidRPr="00C97615">
        <w:t>review</w:t>
      </w:r>
      <w:r w:rsidR="00331F94">
        <w:t xml:space="preserve"> for Belarus, </w:t>
      </w:r>
      <w:r w:rsidR="00C97615">
        <w:t>assess</w:t>
      </w:r>
      <w:r w:rsidR="00331F94">
        <w:t>ing</w:t>
      </w:r>
      <w:r w:rsidR="00C97615" w:rsidRPr="00C97615">
        <w:t xml:space="preserve"> the country’s national development strategies in </w:t>
      </w:r>
      <w:r w:rsidR="00EC5D43">
        <w:t xml:space="preserve">the </w:t>
      </w:r>
      <w:r w:rsidR="00C97615" w:rsidRPr="00C97615">
        <w:t xml:space="preserve">light of ongoing </w:t>
      </w:r>
      <w:r w:rsidR="00C97615" w:rsidRPr="00C97615">
        <w:lastRenderedPageBreak/>
        <w:t>international initiatives and review</w:t>
      </w:r>
      <w:r w:rsidR="00C97615">
        <w:t>s</w:t>
      </w:r>
      <w:r w:rsidR="00331F94">
        <w:t>,</w:t>
      </w:r>
      <w:r w:rsidR="00C97615" w:rsidRPr="00C97615">
        <w:t xml:space="preserve"> recent eco-innovation projects in Government programmes and development strategies</w:t>
      </w:r>
      <w:r w:rsidR="00331F94">
        <w:t>.</w:t>
      </w:r>
    </w:p>
    <w:p w14:paraId="26408D45" w14:textId="471056AD" w:rsidR="00070762" w:rsidRDefault="00C97615" w:rsidP="00A54901">
      <w:pPr>
        <w:pStyle w:val="SingleTxtG"/>
      </w:pPr>
      <w:r>
        <w:t>5</w:t>
      </w:r>
      <w:r w:rsidR="00A54901">
        <w:t>.</w:t>
      </w:r>
      <w:r w:rsidR="00070762">
        <w:tab/>
      </w:r>
      <w:r w:rsidR="00A13F4A">
        <w:t xml:space="preserve">At </w:t>
      </w:r>
      <w:r w:rsidR="00070762">
        <w:t xml:space="preserve">its twenty-third session </w:t>
      </w:r>
      <w:r w:rsidR="00A13F4A">
        <w:t xml:space="preserve">in November 2017, </w:t>
      </w:r>
      <w:r w:rsidR="00070762" w:rsidRPr="00062957">
        <w:t xml:space="preserve">the Committee on Environmental Policy </w:t>
      </w:r>
      <w:r w:rsidR="00070762">
        <w:t xml:space="preserve">reflected on its role </w:t>
      </w:r>
      <w:r w:rsidR="00070762" w:rsidRPr="00062957">
        <w:t xml:space="preserve">in supporting the implementation of the 2030 Agenda </w:t>
      </w:r>
      <w:r w:rsidR="00070762">
        <w:t>(</w:t>
      </w:r>
      <w:r w:rsidR="00070762" w:rsidRPr="00062957">
        <w:t>ECE/CEP/2017/15</w:t>
      </w:r>
      <w:r w:rsidR="00070762">
        <w:t xml:space="preserve">). </w:t>
      </w:r>
      <w:r w:rsidR="00070762" w:rsidRPr="00466316">
        <w:t>In organizing its activities, the Committee is working on adapting its outputs to efficiently support country efforts in achieving the Sustainable Development Goals. The Committee provides a platform for sharing experience in identifying practical ways and means of approaching national implementation of the 2030 Agenda and relevant Sustainable Development Goals from an environmental perspective</w:t>
      </w:r>
      <w:r w:rsidR="006E0260">
        <w:t xml:space="preserve"> </w:t>
      </w:r>
      <w:r w:rsidR="006E0260" w:rsidRPr="00466316">
        <w:t>and exchanging good practice</w:t>
      </w:r>
      <w:r w:rsidR="006E0260">
        <w:t xml:space="preserve"> in that regard</w:t>
      </w:r>
      <w:r w:rsidR="00070762" w:rsidRPr="00466316">
        <w:t>.</w:t>
      </w:r>
    </w:p>
    <w:p w14:paraId="6EF94F65" w14:textId="2BE073BA" w:rsidR="00070762" w:rsidRDefault="00A54901" w:rsidP="006E0260">
      <w:pPr>
        <w:pStyle w:val="SingleTxtG"/>
      </w:pPr>
      <w:r>
        <w:t>6.</w:t>
      </w:r>
      <w:r w:rsidR="00070762">
        <w:tab/>
      </w:r>
      <w:r w:rsidR="006E0260">
        <w:t>Three “</w:t>
      </w:r>
      <w:r w:rsidR="00894456" w:rsidRPr="009E3622">
        <w:t>Batumi Talk Shows</w:t>
      </w:r>
      <w:r w:rsidR="006E0260">
        <w:t>”</w:t>
      </w:r>
      <w:r w:rsidR="00894456" w:rsidRPr="009E3622">
        <w:t xml:space="preserve"> </w:t>
      </w:r>
      <w:r w:rsidR="00A13F4A">
        <w:t xml:space="preserve">were organized </w:t>
      </w:r>
      <w:r w:rsidR="006E0260">
        <w:t xml:space="preserve">to discuss the </w:t>
      </w:r>
      <w:r w:rsidR="00A13F4A">
        <w:t xml:space="preserve">clean air and green economy </w:t>
      </w:r>
      <w:r w:rsidR="006E0260">
        <w:t xml:space="preserve">initiatives adopted by ministers </w:t>
      </w:r>
      <w:r w:rsidR="00A13F4A">
        <w:t>in Batumi</w:t>
      </w:r>
      <w:r w:rsidR="006E0260">
        <w:t>:</w:t>
      </w:r>
      <w:r w:rsidR="00894456">
        <w:t xml:space="preserve"> </w:t>
      </w:r>
      <w:r w:rsidR="00894456" w:rsidRPr="009E3622">
        <w:t>on the margins of the sixty-seventh session of ECE</w:t>
      </w:r>
      <w:r w:rsidR="00894456">
        <w:t>,</w:t>
      </w:r>
      <w:r w:rsidR="00894456" w:rsidRPr="009E3622">
        <w:t xml:space="preserve"> on 27 April 2017</w:t>
      </w:r>
      <w:r w:rsidR="00B64EB2">
        <w:t xml:space="preserve"> in Geneva</w:t>
      </w:r>
      <w:r w:rsidR="006E0260">
        <w:t>;</w:t>
      </w:r>
      <w:r w:rsidR="00894456" w:rsidRPr="009E3622">
        <w:t xml:space="preserve"> during the </w:t>
      </w:r>
      <w:r w:rsidR="005B2CD8">
        <w:t xml:space="preserve">second </w:t>
      </w:r>
      <w:r w:rsidR="00894456" w:rsidRPr="009E3622">
        <w:t xml:space="preserve">annual meeting of the </w:t>
      </w:r>
      <w:r w:rsidR="00894456">
        <w:t xml:space="preserve">OECD </w:t>
      </w:r>
      <w:r w:rsidR="00894456" w:rsidRPr="009E3622">
        <w:t>GREEN Action Task Force</w:t>
      </w:r>
      <w:r w:rsidR="00894456">
        <w:t>,</w:t>
      </w:r>
      <w:r w:rsidR="00894456" w:rsidRPr="009E3622">
        <w:t xml:space="preserve"> on 26 October 2017 in Almaty, Kazakhstan</w:t>
      </w:r>
      <w:r w:rsidR="006E0260">
        <w:t>; and</w:t>
      </w:r>
      <w:r w:rsidR="009E051F">
        <w:t xml:space="preserve"> during the twenty-third session of the </w:t>
      </w:r>
      <w:r w:rsidR="009E051F" w:rsidRPr="009E051F">
        <w:t>Committee on Environmental Policy</w:t>
      </w:r>
      <w:r w:rsidR="009E051F">
        <w:t>, on 15 November 2017 in Geneva</w:t>
      </w:r>
      <w:r w:rsidR="00894456" w:rsidRPr="009E3622">
        <w:t xml:space="preserve">. </w:t>
      </w:r>
      <w:r w:rsidR="00894456">
        <w:t>T</w:t>
      </w:r>
      <w:r w:rsidR="00894456" w:rsidRPr="009E3622">
        <w:t xml:space="preserve">he Batumi Initiative on Green Economy </w:t>
      </w:r>
      <w:r w:rsidR="006E0260">
        <w:t xml:space="preserve">(BIG-E) was also </w:t>
      </w:r>
      <w:r w:rsidR="00894456" w:rsidRPr="009E3622">
        <w:t>promoted at the Partnership for Action on Green Economy Ministerial Conference in March 2017</w:t>
      </w:r>
      <w:r w:rsidR="006E0260">
        <w:t>;</w:t>
      </w:r>
      <w:r w:rsidR="00894456" w:rsidRPr="009E3622">
        <w:t xml:space="preserve"> </w:t>
      </w:r>
      <w:r w:rsidR="00894456">
        <w:t xml:space="preserve">at </w:t>
      </w:r>
      <w:r w:rsidR="00894456" w:rsidRPr="009E3622">
        <w:t xml:space="preserve">the Partnership Exchange special event during </w:t>
      </w:r>
      <w:r w:rsidR="00B64EB2">
        <w:t xml:space="preserve">the Sixth Ministerial Conference on Environment </w:t>
      </w:r>
      <w:r w:rsidR="006E0260">
        <w:t xml:space="preserve">and </w:t>
      </w:r>
      <w:r w:rsidR="00B64EB2">
        <w:t>Health in June 2017</w:t>
      </w:r>
      <w:r w:rsidR="006E0260">
        <w:t>;</w:t>
      </w:r>
      <w:r w:rsidR="00B64EB2">
        <w:t xml:space="preserve"> during </w:t>
      </w:r>
      <w:r w:rsidR="00894456" w:rsidRPr="009E3622">
        <w:t xml:space="preserve">the high-level political forum on sustainable development </w:t>
      </w:r>
      <w:bookmarkStart w:id="1" w:name="_Hlk532391358"/>
      <w:r w:rsidR="003326A7" w:rsidRPr="009E3622">
        <w:t>in July 2017</w:t>
      </w:r>
      <w:r w:rsidR="003326A7">
        <w:t xml:space="preserve"> in New York; </w:t>
      </w:r>
      <w:bookmarkEnd w:id="1"/>
      <w:r w:rsidR="001B6EDE">
        <w:t xml:space="preserve">at the </w:t>
      </w:r>
      <w:r w:rsidR="001B6EDE" w:rsidRPr="001B6EDE">
        <w:t>World Resources Forum</w:t>
      </w:r>
      <w:r w:rsidR="001B6EDE">
        <w:t xml:space="preserve"> in </w:t>
      </w:r>
      <w:r w:rsidR="001B6EDE" w:rsidRPr="001B6EDE">
        <w:t xml:space="preserve">October </w:t>
      </w:r>
      <w:r w:rsidR="00D36281" w:rsidRPr="001B6EDE">
        <w:t>2017</w:t>
      </w:r>
      <w:r w:rsidR="006E0260">
        <w:t>;</w:t>
      </w:r>
      <w:r w:rsidR="00D36281">
        <w:t xml:space="preserve"> and</w:t>
      </w:r>
      <w:r w:rsidR="00894456">
        <w:t xml:space="preserve"> at </w:t>
      </w:r>
      <w:r w:rsidR="00894456" w:rsidRPr="009E3622">
        <w:t>several other high-level events in 2017.</w:t>
      </w:r>
    </w:p>
    <w:p w14:paraId="4FEB2BE2" w14:textId="01325A95" w:rsidR="009E051F" w:rsidRDefault="00A54901" w:rsidP="00A54901">
      <w:pPr>
        <w:pStyle w:val="SingleTxtG"/>
      </w:pPr>
      <w:r>
        <w:t>7.</w:t>
      </w:r>
      <w:r w:rsidR="00B42D95">
        <w:tab/>
        <w:t>In February 2017</w:t>
      </w:r>
      <w:r w:rsidR="006E0260">
        <w:t>,</w:t>
      </w:r>
      <w:r w:rsidR="00B42D95">
        <w:t xml:space="preserve"> d</w:t>
      </w:r>
      <w:r w:rsidR="009E051F">
        <w:t xml:space="preserve">uring the </w:t>
      </w:r>
      <w:r w:rsidR="009E051F" w:rsidRPr="009E051F">
        <w:t>twenty-</w:t>
      </w:r>
      <w:r w:rsidR="009E051F">
        <w:t>second</w:t>
      </w:r>
      <w:r w:rsidR="009E051F" w:rsidRPr="009E051F">
        <w:t xml:space="preserve"> session of the Committee on Environmental Policy</w:t>
      </w:r>
      <w:r w:rsidR="006E0260">
        <w:t>,</w:t>
      </w:r>
      <w:r w:rsidR="009E051F" w:rsidRPr="009E051F">
        <w:t xml:space="preserve"> </w:t>
      </w:r>
      <w:r w:rsidR="009E051F">
        <w:t>ECE</w:t>
      </w:r>
      <w:r w:rsidR="009E051F" w:rsidRPr="009E051F">
        <w:t xml:space="preserve">, </w:t>
      </w:r>
      <w:r w:rsidR="00C54C30">
        <w:t>the United Nations Environment Programme (</w:t>
      </w:r>
      <w:r w:rsidR="009E051F">
        <w:t>UNEP</w:t>
      </w:r>
      <w:r w:rsidR="00C54C30">
        <w:t>)</w:t>
      </w:r>
      <w:r w:rsidR="009E051F" w:rsidRPr="009E051F">
        <w:t xml:space="preserve"> and the Green Growth Knowledge Platform, with support from the Swiss Federal Office for the Environment</w:t>
      </w:r>
      <w:r w:rsidR="006E0260">
        <w:t>,</w:t>
      </w:r>
      <w:r w:rsidR="009E051F">
        <w:t xml:space="preserve"> organized a side event </w:t>
      </w:r>
      <w:r w:rsidR="00B42D95">
        <w:t>“</w:t>
      </w:r>
      <w:r w:rsidR="009E051F">
        <w:t>Following up on the Batumi Initiative on Green Economy: sharing knowledge and good practices</w:t>
      </w:r>
      <w:r w:rsidR="006E0260">
        <w:t>”</w:t>
      </w:r>
      <w:r w:rsidR="00B42D95">
        <w:t xml:space="preserve">. </w:t>
      </w:r>
      <w:r w:rsidR="00B4693C">
        <w:t>At t</w:t>
      </w:r>
      <w:r w:rsidR="00B42D95" w:rsidRPr="00B42D95">
        <w:t>h</w:t>
      </w:r>
      <w:r w:rsidR="00B42D95">
        <w:t>e</w:t>
      </w:r>
      <w:r w:rsidR="00B42D95" w:rsidRPr="00B42D95">
        <w:t xml:space="preserve"> event</w:t>
      </w:r>
      <w:r w:rsidR="00B4693C">
        <w:t>,</w:t>
      </w:r>
      <w:r w:rsidR="00B42D95" w:rsidRPr="00B42D95">
        <w:t xml:space="preserve"> an overview </w:t>
      </w:r>
      <w:r w:rsidR="00B4693C">
        <w:t xml:space="preserve">was given </w:t>
      </w:r>
      <w:r w:rsidR="00B42D95" w:rsidRPr="00B42D95">
        <w:t xml:space="preserve">of </w:t>
      </w:r>
      <w:r w:rsidR="00B4693C">
        <w:t xml:space="preserve">the </w:t>
      </w:r>
      <w:r w:rsidR="00B42D95" w:rsidRPr="00B42D95">
        <w:t xml:space="preserve">actions committed </w:t>
      </w:r>
      <w:r w:rsidR="00B4693C">
        <w:t xml:space="preserve">to </w:t>
      </w:r>
      <w:r w:rsidR="00B42D95" w:rsidRPr="00B42D95">
        <w:t xml:space="preserve">by countries and organizations under the </w:t>
      </w:r>
      <w:r w:rsidR="006E0260">
        <w:t xml:space="preserve">initiative </w:t>
      </w:r>
      <w:r w:rsidR="00B42D95" w:rsidRPr="00B42D95">
        <w:t xml:space="preserve">and </w:t>
      </w:r>
      <w:r w:rsidR="00B4693C">
        <w:t xml:space="preserve">participants </w:t>
      </w:r>
      <w:r w:rsidR="00B42D95" w:rsidRPr="00B42D95">
        <w:t>discuss</w:t>
      </w:r>
      <w:r w:rsidR="00B42D95">
        <w:t>ed</w:t>
      </w:r>
      <w:r w:rsidR="00B42D95" w:rsidRPr="00B42D95">
        <w:t xml:space="preserve"> the progress countries and organizations ha</w:t>
      </w:r>
      <w:r w:rsidR="006E0260">
        <w:t>d</w:t>
      </w:r>
      <w:r w:rsidR="00B42D95" w:rsidRPr="00B42D95">
        <w:t xml:space="preserve"> made since Batumi, including </w:t>
      </w:r>
      <w:r w:rsidR="006E0260">
        <w:t xml:space="preserve">the </w:t>
      </w:r>
      <w:r w:rsidR="00B42D95" w:rsidRPr="00B42D95">
        <w:t xml:space="preserve">opportunities and challenges they </w:t>
      </w:r>
      <w:r w:rsidR="006E0260">
        <w:t xml:space="preserve">had </w:t>
      </w:r>
      <w:r w:rsidR="00B42D95" w:rsidRPr="00B42D95">
        <w:t>encountered.</w:t>
      </w:r>
      <w:r w:rsidR="00B42D95">
        <w:t xml:space="preserve"> </w:t>
      </w:r>
      <w:r w:rsidR="00B42D95" w:rsidRPr="00B42D95">
        <w:t>The event conclude</w:t>
      </w:r>
      <w:r w:rsidR="00B42D95">
        <w:t>d</w:t>
      </w:r>
      <w:r w:rsidR="00B42D95" w:rsidRPr="00B42D95">
        <w:t xml:space="preserve"> with a discussion of how to support countries in achieving their commitments</w:t>
      </w:r>
      <w:r w:rsidR="00B42D95">
        <w:t>.</w:t>
      </w:r>
    </w:p>
    <w:p w14:paraId="32B6F396" w14:textId="5D2EA548" w:rsidR="009E051F" w:rsidRDefault="00B42D95" w:rsidP="00B4693C">
      <w:pPr>
        <w:pStyle w:val="SingleTxtG"/>
      </w:pPr>
      <w:r>
        <w:t>8.</w:t>
      </w:r>
      <w:r>
        <w:tab/>
        <w:t>In November 2017</w:t>
      </w:r>
      <w:r w:rsidR="00B4693C">
        <w:t>,</w:t>
      </w:r>
      <w:r>
        <w:t xml:space="preserve"> d</w:t>
      </w:r>
      <w:r w:rsidR="009E051F" w:rsidRPr="009E051F">
        <w:t xml:space="preserve">uring the </w:t>
      </w:r>
      <w:r w:rsidR="00A13F4A">
        <w:t xml:space="preserve">Committee’s </w:t>
      </w:r>
      <w:r w:rsidR="009E051F" w:rsidRPr="009E051F">
        <w:t>twenty-third session</w:t>
      </w:r>
      <w:r w:rsidR="00B4693C">
        <w:t>,</w:t>
      </w:r>
      <w:r w:rsidR="009E051F" w:rsidRPr="009E051F">
        <w:t xml:space="preserve"> </w:t>
      </w:r>
      <w:r w:rsidR="00B64EB2">
        <w:t>a</w:t>
      </w:r>
      <w:r w:rsidR="009E051F" w:rsidRPr="009E051F">
        <w:t xml:space="preserve"> </w:t>
      </w:r>
      <w:r w:rsidR="009E051F">
        <w:t>s</w:t>
      </w:r>
      <w:r w:rsidR="009E051F" w:rsidRPr="009E051F">
        <w:t>ide event on the outcomes of the Greening Economies in the Eastern Neighbourhood (EaP GREEN) project</w:t>
      </w:r>
      <w:r w:rsidR="00A13F4A">
        <w:t xml:space="preserve"> was held</w:t>
      </w:r>
      <w:r w:rsidR="009E051F" w:rsidRPr="009E051F">
        <w:t xml:space="preserve">, organized by </w:t>
      </w:r>
      <w:r w:rsidR="00B4693C">
        <w:t xml:space="preserve">ECE, </w:t>
      </w:r>
      <w:r w:rsidR="009E051F" w:rsidRPr="009E051F">
        <w:t>OECD, UN</w:t>
      </w:r>
      <w:r w:rsidR="00B4693C">
        <w:t>EP</w:t>
      </w:r>
      <w:r w:rsidR="009E051F" w:rsidRPr="009E051F">
        <w:t xml:space="preserve"> and </w:t>
      </w:r>
      <w:r w:rsidR="00B4693C">
        <w:t xml:space="preserve">the </w:t>
      </w:r>
      <w:r w:rsidR="00B4693C" w:rsidRPr="00B4693C">
        <w:t>United Nations Industrial Development Organization</w:t>
      </w:r>
      <w:r w:rsidR="00BB4E02">
        <w:t xml:space="preserve"> (UNIDO)</w:t>
      </w:r>
      <w:r w:rsidR="009E051F">
        <w:t xml:space="preserve">. </w:t>
      </w:r>
      <w:r w:rsidRPr="00B42D95">
        <w:t>The project</w:t>
      </w:r>
      <w:r w:rsidR="00A13F4A">
        <w:t xml:space="preserve">, funded by the </w:t>
      </w:r>
      <w:r w:rsidR="003326A7">
        <w:t>European Union and other donors,</w:t>
      </w:r>
      <w:r w:rsidR="003326A7" w:rsidRPr="00B42D95">
        <w:t xml:space="preserve"> </w:t>
      </w:r>
      <w:r w:rsidRPr="00B42D95">
        <w:t xml:space="preserve">has been an important means to support the six countries </w:t>
      </w:r>
      <w:r w:rsidR="00B4693C">
        <w:t xml:space="preserve">of the European Union Eastern Partnership </w:t>
      </w:r>
      <w:r w:rsidRPr="00B42D95">
        <w:t>(Armenia, Azerbaijan, Belarus, Georgia, the Republic of Moldova and Ukraine) to progress faster towards a green economy through better management of natural capital in a context of higher economic productivity and competitiveness.</w:t>
      </w:r>
      <w:r w:rsidR="00C25355">
        <w:t xml:space="preserve"> </w:t>
      </w:r>
    </w:p>
    <w:p w14:paraId="3B0AEEDF" w14:textId="3226FEF2" w:rsidR="00C25355" w:rsidRDefault="00A54901" w:rsidP="00A54901">
      <w:pPr>
        <w:pStyle w:val="SingleTxtG"/>
      </w:pPr>
      <w:r>
        <w:t>9.</w:t>
      </w:r>
      <w:r w:rsidR="006D6DFC">
        <w:tab/>
      </w:r>
      <w:r w:rsidR="00C25355">
        <w:t xml:space="preserve">As part of the </w:t>
      </w:r>
      <w:r w:rsidR="00904E26">
        <w:t xml:space="preserve">EaP GREEN </w:t>
      </w:r>
      <w:r w:rsidR="00C25355">
        <w:t>project</w:t>
      </w:r>
      <w:r w:rsidR="00F65BFC">
        <w:t>,</w:t>
      </w:r>
      <w:r w:rsidR="00C25355">
        <w:t xml:space="preserve"> </w:t>
      </w:r>
      <w:r w:rsidR="00F65BFC">
        <w:t xml:space="preserve">in 2016 </w:t>
      </w:r>
      <w:r w:rsidR="00C25355" w:rsidRPr="00C25355">
        <w:t>OECD published a regional-level analysis</w:t>
      </w:r>
      <w:r w:rsidR="00F65BFC">
        <w:t>,</w:t>
      </w:r>
      <w:r w:rsidR="00C25355" w:rsidRPr="00C25355">
        <w:t xml:space="preserve"> </w:t>
      </w:r>
      <w:r w:rsidR="00C25355" w:rsidRPr="00B833C0">
        <w:rPr>
          <w:i/>
          <w:iCs/>
        </w:rPr>
        <w:t>Measuring the Green Transformation of the Economy: A Guide for E</w:t>
      </w:r>
      <w:r w:rsidR="00F65BFC" w:rsidRPr="00B833C0">
        <w:rPr>
          <w:i/>
          <w:iCs/>
        </w:rPr>
        <w:t>uropean Union</w:t>
      </w:r>
      <w:r w:rsidR="00C25355" w:rsidRPr="00B833C0">
        <w:rPr>
          <w:i/>
          <w:iCs/>
        </w:rPr>
        <w:t xml:space="preserve"> Eastern Partnership Countries</w:t>
      </w:r>
      <w:r w:rsidR="00F65BFC">
        <w:t xml:space="preserve">, </w:t>
      </w:r>
      <w:r w:rsidR="00C25355" w:rsidRPr="00C25355">
        <w:t xml:space="preserve">to help </w:t>
      </w:r>
      <w:r w:rsidR="00F65BFC">
        <w:t>G</w:t>
      </w:r>
      <w:r w:rsidR="00C25355" w:rsidRPr="00C25355">
        <w:t xml:space="preserve">overnments in </w:t>
      </w:r>
      <w:r w:rsidR="00F65BFC">
        <w:t xml:space="preserve">Partnership </w:t>
      </w:r>
      <w:r w:rsidR="00C25355" w:rsidRPr="00C25355">
        <w:t xml:space="preserve">countries </w:t>
      </w:r>
      <w:r w:rsidR="00F65BFC">
        <w:t xml:space="preserve">to </w:t>
      </w:r>
      <w:r w:rsidR="00C25355" w:rsidRPr="00C25355">
        <w:t>establish national frameworks for monitoring and analysing the transition towards green growth and support them in producing green growth indicators</w:t>
      </w:r>
      <w:r w:rsidR="00C25355">
        <w:t xml:space="preserve">. </w:t>
      </w:r>
      <w:r w:rsidR="00C25355" w:rsidRPr="00C25355">
        <w:t xml:space="preserve">The </w:t>
      </w:r>
      <w:r w:rsidR="00F65BFC">
        <w:t>G</w:t>
      </w:r>
      <w:r w:rsidR="00C25355" w:rsidRPr="00C25355">
        <w:t>uide presents the concept of green growth, shares practical experience available from the front</w:t>
      </w:r>
      <w:r w:rsidR="00F65BFC">
        <w:t xml:space="preserve"> </w:t>
      </w:r>
      <w:r w:rsidR="00C25355" w:rsidRPr="00C25355">
        <w:t xml:space="preserve">runners of green growth measurement and combines </w:t>
      </w:r>
      <w:r w:rsidR="00F65BFC">
        <w:t xml:space="preserve">that experience </w:t>
      </w:r>
      <w:r w:rsidR="00C25355" w:rsidRPr="00C25355">
        <w:t xml:space="preserve">with experience from ongoing work of </w:t>
      </w:r>
      <w:r w:rsidR="00F65BFC">
        <w:t xml:space="preserve">Eastern Partnership </w:t>
      </w:r>
      <w:r w:rsidR="00C25355" w:rsidRPr="00C25355">
        <w:t xml:space="preserve">countries and other </w:t>
      </w:r>
      <w:r w:rsidR="00F65BFC">
        <w:t xml:space="preserve">countries with </w:t>
      </w:r>
      <w:r w:rsidR="00C25355" w:rsidRPr="00C25355">
        <w:t xml:space="preserve">economies </w:t>
      </w:r>
      <w:r w:rsidR="00F65BFC">
        <w:t xml:space="preserve">in transition </w:t>
      </w:r>
      <w:r w:rsidR="00C25355" w:rsidRPr="00C25355">
        <w:t xml:space="preserve">of Eastern Europe, the Caucasus and Central Asia in producing green growth and environmental indicators. </w:t>
      </w:r>
    </w:p>
    <w:p w14:paraId="4241788C" w14:textId="1D0F4BDA" w:rsidR="0022724F" w:rsidRDefault="0022724F" w:rsidP="00A54901">
      <w:pPr>
        <w:pStyle w:val="SingleTxtG"/>
      </w:pPr>
      <w:r>
        <w:lastRenderedPageBreak/>
        <w:t xml:space="preserve">10. </w:t>
      </w:r>
      <w:r w:rsidR="006D6DFC">
        <w:tab/>
      </w:r>
      <w:r w:rsidR="00AE5BE6">
        <w:t xml:space="preserve">Another outcome </w:t>
      </w:r>
      <w:r w:rsidR="00AE5BE6" w:rsidRPr="003B529F">
        <w:t xml:space="preserve">of the </w:t>
      </w:r>
      <w:r w:rsidR="00904E26">
        <w:t xml:space="preserve">EaP GREEN </w:t>
      </w:r>
      <w:r w:rsidR="00AE5BE6" w:rsidRPr="003B529F">
        <w:t>project</w:t>
      </w:r>
      <w:r w:rsidR="00AE5BE6">
        <w:t xml:space="preserve"> includes </w:t>
      </w:r>
      <w:r w:rsidR="00F65BFC">
        <w:t>an e</w:t>
      </w:r>
      <w:r w:rsidR="005D7016" w:rsidRPr="005D7016">
        <w:t xml:space="preserve">nvironmental </w:t>
      </w:r>
      <w:r w:rsidR="00F65BFC">
        <w:t>p</w:t>
      </w:r>
      <w:r w:rsidR="005D7016" w:rsidRPr="005D7016">
        <w:t xml:space="preserve">olicy </w:t>
      </w:r>
      <w:r w:rsidR="00F65BFC">
        <w:t>t</w:t>
      </w:r>
      <w:r w:rsidR="005D7016" w:rsidRPr="005D7016">
        <w:t xml:space="preserve">oolkit for </w:t>
      </w:r>
      <w:r w:rsidR="00F65BFC">
        <w:t xml:space="preserve">greening small and medium-sized enterprises </w:t>
      </w:r>
      <w:r w:rsidR="005D7016" w:rsidRPr="005D7016">
        <w:t>in Partnership Countries</w:t>
      </w:r>
      <w:r w:rsidR="00F65BFC">
        <w:t>.</w:t>
      </w:r>
      <w:r w:rsidR="00844471">
        <w:rPr>
          <w:rStyle w:val="FootnoteReference"/>
        </w:rPr>
        <w:footnoteReference w:id="3"/>
      </w:r>
      <w:r w:rsidR="00F65BFC">
        <w:t xml:space="preserve"> </w:t>
      </w:r>
      <w:r w:rsidR="003836F9" w:rsidRPr="003836F9">
        <w:t xml:space="preserve">This toolkit, based on existing good practice, aims to help </w:t>
      </w:r>
      <w:r w:rsidR="00F65BFC">
        <w:t>G</w:t>
      </w:r>
      <w:r w:rsidR="003836F9" w:rsidRPr="003836F9">
        <w:t xml:space="preserve">overnments in the Partnership countries to design and implement key instruments to promote environmental compliance and green business practices among small and medium-sized enterprises. Reducing the environmental impact of </w:t>
      </w:r>
      <w:r w:rsidR="00F65BFC">
        <w:t xml:space="preserve">such enterprises </w:t>
      </w:r>
      <w:r w:rsidR="003836F9" w:rsidRPr="003836F9">
        <w:t>in both manufacturing and services is a key success factor in greening the economy.</w:t>
      </w:r>
      <w:r w:rsidR="003B529F">
        <w:t xml:space="preserve"> </w:t>
      </w:r>
    </w:p>
    <w:p w14:paraId="18BCE041" w14:textId="61031367" w:rsidR="003326A7" w:rsidRDefault="003326A7" w:rsidP="003326A7">
      <w:pPr>
        <w:pStyle w:val="SingleTxtG"/>
      </w:pPr>
      <w:r>
        <w:t xml:space="preserve">11. </w:t>
      </w:r>
      <w:r w:rsidR="0084178E">
        <w:tab/>
      </w:r>
      <w:r>
        <w:t>As part of the EaP GREEN project, UNEP supported four countries to develop quantitative sectoral analyses that demonstrate environment, economic and social benefits of the transition to green Economy. Belarus and Moldova were supported to develop of Green Economy programme and action plans adopted by their government</w:t>
      </w:r>
      <w:r>
        <w:rPr>
          <w:rStyle w:val="FootnoteReference"/>
        </w:rPr>
        <w:footnoteReference w:id="4"/>
      </w:r>
      <w:r>
        <w:t xml:space="preserve">. </w:t>
      </w:r>
    </w:p>
    <w:p w14:paraId="20F3D9B5" w14:textId="7DFD2A69" w:rsidR="003326A7" w:rsidRDefault="003326A7" w:rsidP="003326A7">
      <w:pPr>
        <w:pStyle w:val="SingleTxtG"/>
      </w:pPr>
      <w:r>
        <w:t xml:space="preserve">12. </w:t>
      </w:r>
      <w:r>
        <w:tab/>
        <w:t>Public procurement</w:t>
      </w:r>
      <w:r w:rsidRPr="00AD6988">
        <w:t xml:space="preserve"> offers a </w:t>
      </w:r>
      <w:r>
        <w:t xml:space="preserve">largely untapped opportunity </w:t>
      </w:r>
      <w:r w:rsidRPr="00AD6988">
        <w:t xml:space="preserve">to drive </w:t>
      </w:r>
      <w:r>
        <w:t xml:space="preserve">businesses and domestic </w:t>
      </w:r>
      <w:r w:rsidRPr="00AD6988">
        <w:t xml:space="preserve">markets towards </w:t>
      </w:r>
      <w:r w:rsidRPr="00980D00">
        <w:t>innovation and</w:t>
      </w:r>
      <w:r>
        <w:t xml:space="preserve"> increased</w:t>
      </w:r>
      <w:r w:rsidRPr="00980D00">
        <w:t xml:space="preserve"> sustainability. </w:t>
      </w:r>
      <w:r>
        <w:rPr>
          <w:lang w:bidi="en-US"/>
        </w:rPr>
        <w:t>Shifting that spending towards more sustainable goods and services can generate p</w:t>
      </w:r>
      <w:r w:rsidRPr="00562071">
        <w:rPr>
          <w:lang w:bidi="en-US"/>
        </w:rPr>
        <w:t>ositive social</w:t>
      </w:r>
      <w:r>
        <w:rPr>
          <w:lang w:bidi="en-US"/>
        </w:rPr>
        <w:t>, environmental and economic</w:t>
      </w:r>
      <w:r w:rsidRPr="00562071">
        <w:rPr>
          <w:lang w:bidi="en-US"/>
        </w:rPr>
        <w:t xml:space="preserve"> results </w:t>
      </w:r>
      <w:r>
        <w:rPr>
          <w:lang w:bidi="en-US"/>
        </w:rPr>
        <w:t>such as</w:t>
      </w:r>
      <w:r w:rsidRPr="00562071">
        <w:rPr>
          <w:lang w:bidi="en-US"/>
        </w:rPr>
        <w:t xml:space="preserve"> poverty reduction, improved equity</w:t>
      </w:r>
      <w:r>
        <w:rPr>
          <w:lang w:bidi="en-US"/>
        </w:rPr>
        <w:t>,</w:t>
      </w:r>
      <w:r w:rsidRPr="00562071">
        <w:rPr>
          <w:lang w:bidi="en-US"/>
        </w:rPr>
        <w:t xml:space="preserve"> </w:t>
      </w:r>
      <w:r>
        <w:rPr>
          <w:lang w:bidi="en-US"/>
        </w:rPr>
        <w:t xml:space="preserve">reduced GHG emissions and increased energy and resource efficiency. Under EaP GREEN project </w:t>
      </w:r>
      <w:r>
        <w:t xml:space="preserve">UNEP assisted Belarus, Moldova and Ukraine to review legal and regulatory frameworks and conducted market assessment for sustainable pubic procurement. Moldova and Ukraine adopted national Sustainable Procurement Policy, and pilot procurements including sustainable criteria launched. </w:t>
      </w:r>
    </w:p>
    <w:p w14:paraId="336C445C" w14:textId="4E0C3E58" w:rsidR="003326A7" w:rsidRDefault="003326A7" w:rsidP="003326A7">
      <w:pPr>
        <w:pStyle w:val="SingleTxtG"/>
      </w:pPr>
      <w:r>
        <w:t xml:space="preserve">13. </w:t>
      </w:r>
      <w:r w:rsidR="0084178E">
        <w:tab/>
      </w:r>
      <w:r>
        <w:t xml:space="preserve">UNIDO, under EaP GREEN project, supported more than 100 SMEs from food, chemical and construction materials sectors to assess their production process using UNIDO-UNEP Resource Efficiency Cleaner Production (RECP) methodologies. Policy dialogues to adapt RECP to national conditions were initiated in six countries. </w:t>
      </w:r>
    </w:p>
    <w:p w14:paraId="4226127D" w14:textId="2D449615" w:rsidR="00070762" w:rsidRDefault="003F7B0E" w:rsidP="00A54901">
      <w:pPr>
        <w:pStyle w:val="SingleTxtG"/>
      </w:pPr>
      <w:r>
        <w:t>1</w:t>
      </w:r>
      <w:r w:rsidR="00577230">
        <w:t>4</w:t>
      </w:r>
      <w:r w:rsidR="00A54901">
        <w:t>.</w:t>
      </w:r>
      <w:r w:rsidR="00070762">
        <w:tab/>
      </w:r>
      <w:r w:rsidR="00C54C30">
        <w:t>S</w:t>
      </w:r>
      <w:r w:rsidR="00070762" w:rsidRPr="00070762">
        <w:t xml:space="preserve">upport </w:t>
      </w:r>
      <w:r w:rsidR="00C54C30">
        <w:t xml:space="preserve">for </w:t>
      </w:r>
      <w:r w:rsidR="00070762" w:rsidRPr="00070762">
        <w:t xml:space="preserve">countries’ efforts to </w:t>
      </w:r>
      <w:r w:rsidR="00070762">
        <w:t xml:space="preserve">green their economies and </w:t>
      </w:r>
      <w:r w:rsidR="00070762" w:rsidRPr="00070762">
        <w:t>achieve the Sustainable Development Goals is part of all the activities under the Environment subprogramme, including many cross-sectoral activities that are successfully implemented in cooperation with other ECE subprogrammes and organizations of the United Nations system and other organizations active in the region.</w:t>
      </w:r>
    </w:p>
    <w:p w14:paraId="2B1D8726" w14:textId="3B3E7620" w:rsidR="00C97615" w:rsidRDefault="003F7B0E" w:rsidP="00A54901">
      <w:pPr>
        <w:pStyle w:val="SingleTxtG"/>
      </w:pPr>
      <w:r>
        <w:t>1</w:t>
      </w:r>
      <w:r w:rsidR="00577230">
        <w:t>5</w:t>
      </w:r>
      <w:r w:rsidR="00A54901">
        <w:t>.</w:t>
      </w:r>
      <w:r w:rsidR="00C97615">
        <w:tab/>
      </w:r>
      <w:r w:rsidR="00A90506">
        <w:t xml:space="preserve">Many </w:t>
      </w:r>
      <w:r w:rsidR="008C026D">
        <w:t xml:space="preserve">other </w:t>
      </w:r>
      <w:r w:rsidR="00A90506">
        <w:t xml:space="preserve">ECE sectoral </w:t>
      </w:r>
      <w:r w:rsidR="00217CFF">
        <w:t xml:space="preserve">committees </w:t>
      </w:r>
      <w:r w:rsidR="00070762">
        <w:t xml:space="preserve">have also </w:t>
      </w:r>
      <w:r w:rsidR="00217CFF" w:rsidRPr="00C97615">
        <w:t>adapted</w:t>
      </w:r>
      <w:r w:rsidR="00C97615" w:rsidRPr="00C97615">
        <w:t xml:space="preserve"> their work and activities to support the 2030 Agenda. </w:t>
      </w:r>
      <w:r w:rsidR="00C54C30">
        <w:t>In 2017, t</w:t>
      </w:r>
      <w:r w:rsidR="00C97615" w:rsidRPr="00C97615">
        <w:t>he Committee on Forests and the Forest Industry adopted the Warsaw Integrated Programme of Work</w:t>
      </w:r>
      <w:r w:rsidR="00C54C30">
        <w:t>,</w:t>
      </w:r>
      <w:r w:rsidR="00C97615" w:rsidRPr="00C97615">
        <w:t xml:space="preserve"> 2018–2021 to realign its work and provide direct support to the implementation of the 2030 Agenda and its Goals 15, 12, 7 and 13. The Committee on Sustainable Energy </w:t>
      </w:r>
      <w:r w:rsidR="00C54C30">
        <w:t xml:space="preserve">has </w:t>
      </w:r>
      <w:r w:rsidR="00C97615" w:rsidRPr="00C97615">
        <w:t>concentrat</w:t>
      </w:r>
      <w:r w:rsidR="00C54C30">
        <w:t>ed</w:t>
      </w:r>
      <w:r w:rsidR="00C97615" w:rsidRPr="00C97615">
        <w:t xml:space="preserve"> its work on supporting countries’ efforts to achieve Goal 7, with a focus on addressing the high energy consumption in the region, 80 per cent of which </w:t>
      </w:r>
      <w:r w:rsidR="00C54C30">
        <w:t xml:space="preserve">comes </w:t>
      </w:r>
      <w:r w:rsidR="00C97615" w:rsidRPr="00C97615">
        <w:t xml:space="preserve">from fossil fuel; modernizing energy infrastructure; developing standards and norms, for instance on energy efficiency in the housing sector; and providing a platform for policy dialogue. The Committee on Innovation, Competitiveness and Public-Private Partnerships </w:t>
      </w:r>
      <w:r w:rsidR="00C54C30">
        <w:t xml:space="preserve">has been </w:t>
      </w:r>
      <w:r w:rsidR="00C97615" w:rsidRPr="00C97615">
        <w:t>help</w:t>
      </w:r>
      <w:r w:rsidR="00C54C30">
        <w:t>ing</w:t>
      </w:r>
      <w:r w:rsidR="00C97615" w:rsidRPr="00C97615">
        <w:t xml:space="preserve"> countries to implement the 2030 Agenda</w:t>
      </w:r>
      <w:r w:rsidR="00C54C30" w:rsidRPr="00C97615">
        <w:t xml:space="preserve">, and in particular Goal 12, </w:t>
      </w:r>
      <w:r w:rsidR="00C97615" w:rsidRPr="00C97615">
        <w:t>in a cross-cutting manner</w:t>
      </w:r>
      <w:r w:rsidR="00C54C30">
        <w:t xml:space="preserve"> </w:t>
      </w:r>
      <w:r w:rsidR="00C97615" w:rsidRPr="00C97615">
        <w:t>by fostering a circular economy, including by means of innovation for sustainable development reviews for interested countries, and promoting People-first Public-Private Partnerships for the Belt and Road Initiative and the Sustainable Development Goals.</w:t>
      </w:r>
    </w:p>
    <w:p w14:paraId="6194BD0E" w14:textId="664682F0" w:rsidR="00466316" w:rsidRDefault="003F7B0E" w:rsidP="00A54901">
      <w:pPr>
        <w:pStyle w:val="SingleTxtG"/>
      </w:pPr>
      <w:r>
        <w:lastRenderedPageBreak/>
        <w:t>1</w:t>
      </w:r>
      <w:r w:rsidR="00577230">
        <w:t>6</w:t>
      </w:r>
      <w:r w:rsidR="00A54901">
        <w:t>.</w:t>
      </w:r>
      <w:r w:rsidR="00466316">
        <w:tab/>
      </w:r>
      <w:r w:rsidR="004B510E">
        <w:t xml:space="preserve">In </w:t>
      </w:r>
      <w:r w:rsidR="004B510E" w:rsidRPr="004B510E">
        <w:t>2017</w:t>
      </w:r>
      <w:r w:rsidR="009E6AAA">
        <w:t>,</w:t>
      </w:r>
      <w:r w:rsidR="004B510E" w:rsidRPr="004B510E">
        <w:t xml:space="preserve"> ECE and UNEP jointly conducted a mapping of activities by international organizations in support of greening the economy in the pan-European region.</w:t>
      </w:r>
    </w:p>
    <w:p w14:paraId="52C3E3A5" w14:textId="3A1A1ECF" w:rsidR="0062603A" w:rsidRDefault="003F7B0E" w:rsidP="00A54901">
      <w:pPr>
        <w:pStyle w:val="SingleTxtG"/>
      </w:pPr>
      <w:r>
        <w:t>1</w:t>
      </w:r>
      <w:r w:rsidR="00577230">
        <w:t>7</w:t>
      </w:r>
      <w:r w:rsidR="00A54901">
        <w:t>.</w:t>
      </w:r>
      <w:r w:rsidR="004B510E">
        <w:tab/>
      </w:r>
      <w:bookmarkStart w:id="2" w:name="_Hlk529972834"/>
      <w:r w:rsidR="004B510E">
        <w:t xml:space="preserve">A </w:t>
      </w:r>
      <w:r w:rsidR="00FA5359" w:rsidRPr="00FA5359">
        <w:t xml:space="preserve">United Nations Development </w:t>
      </w:r>
      <w:r w:rsidR="003326A7" w:rsidRPr="00FA5359">
        <w:t xml:space="preserve">Account </w:t>
      </w:r>
      <w:r w:rsidR="003326A7">
        <w:t xml:space="preserve">(UNDA) </w:t>
      </w:r>
      <w:r w:rsidR="003326A7" w:rsidRPr="0062603A">
        <w:t xml:space="preserve">project </w:t>
      </w:r>
      <w:r w:rsidR="004B510E">
        <w:t>on e</w:t>
      </w:r>
      <w:r w:rsidR="0062603A" w:rsidRPr="0062603A">
        <w:t xml:space="preserve">nhancing sustainable public procurement for the regional transition to inclusive green economy in Eastern Europe, </w:t>
      </w:r>
      <w:r w:rsidR="005C76D1">
        <w:t xml:space="preserve">the </w:t>
      </w:r>
      <w:r w:rsidR="0062603A" w:rsidRPr="0062603A">
        <w:t>Caucasus and Central Asia</w:t>
      </w:r>
      <w:r w:rsidR="005C76D1">
        <w:t xml:space="preserve"> was launched in 2018</w:t>
      </w:r>
      <w:r w:rsidR="004B510E">
        <w:t xml:space="preserve">. </w:t>
      </w:r>
      <w:bookmarkEnd w:id="2"/>
      <w:r w:rsidR="004B510E" w:rsidRPr="004B510E">
        <w:t>The project</w:t>
      </w:r>
      <w:r w:rsidR="005C76D1">
        <w:t xml:space="preserve">, led by UNEP in cooperation with ECE and the </w:t>
      </w:r>
      <w:r w:rsidR="005C76D1" w:rsidRPr="00FA5359">
        <w:t>Green Growth Knowledge Platform</w:t>
      </w:r>
      <w:r w:rsidR="005C76D1">
        <w:t>,</w:t>
      </w:r>
      <w:r w:rsidR="004B510E">
        <w:t xml:space="preserve"> </w:t>
      </w:r>
      <w:r w:rsidR="004B510E" w:rsidRPr="004B510E">
        <w:t xml:space="preserve">aims to strengthen the capacity of selected countries in the region </w:t>
      </w:r>
      <w:r w:rsidR="005C76D1">
        <w:t xml:space="preserve">with regard to </w:t>
      </w:r>
      <w:r w:rsidR="004B510E" w:rsidRPr="004B510E">
        <w:t>sustainable public procurement</w:t>
      </w:r>
      <w:r w:rsidR="004B510E">
        <w:t xml:space="preserve"> </w:t>
      </w:r>
      <w:r w:rsidR="004B510E" w:rsidRPr="004B510E">
        <w:t>and strengthen the capacity of businesses to respond to public tenders with sustainability criteria</w:t>
      </w:r>
      <w:r w:rsidR="004B510E">
        <w:t xml:space="preserve">. </w:t>
      </w:r>
    </w:p>
    <w:p w14:paraId="6791E22A" w14:textId="43AF70B0" w:rsidR="004B510E" w:rsidRDefault="003F7B0E" w:rsidP="00A54901">
      <w:pPr>
        <w:pStyle w:val="SingleTxtG"/>
      </w:pPr>
      <w:r>
        <w:t>1</w:t>
      </w:r>
      <w:r w:rsidR="00577230">
        <w:t>8</w:t>
      </w:r>
      <w:r w:rsidR="00A54901">
        <w:t>.</w:t>
      </w:r>
      <w:r w:rsidR="00A85F89">
        <w:tab/>
      </w:r>
      <w:r w:rsidR="005C76D1">
        <w:t xml:space="preserve">The </w:t>
      </w:r>
      <w:r w:rsidR="004B510E">
        <w:t>Rovaniemi Action Plan for the Forest Sector in a Green Economy</w:t>
      </w:r>
      <w:r w:rsidR="008C026D">
        <w:t>, adopted in 2013,</w:t>
      </w:r>
      <w:r w:rsidR="004B510E">
        <w:t xml:space="preserve"> is </w:t>
      </w:r>
      <w:r w:rsidR="008C026D">
        <w:t xml:space="preserve">currently </w:t>
      </w:r>
      <w:r w:rsidR="004B510E">
        <w:t xml:space="preserve">being implemented in the ECE region. </w:t>
      </w:r>
      <w:r w:rsidR="004B510E" w:rsidRPr="004B510E">
        <w:t xml:space="preserve">The Plan describes how the forest sector can lead the way towards, and contribute to, a green economy </w:t>
      </w:r>
      <w:r w:rsidR="004B510E">
        <w:t>and</w:t>
      </w:r>
      <w:r w:rsidR="004B510E" w:rsidRPr="004B510E">
        <w:t xml:space="preserve"> provides concrete actions meant to support and inspire national strategies and activities that enhance the contribution of the forest sector to a green economy. It proposes to achieve its overall goal by 2020.</w:t>
      </w:r>
      <w:r w:rsidR="004B510E">
        <w:t xml:space="preserve"> </w:t>
      </w:r>
      <w:r w:rsidR="00A85F89" w:rsidRPr="00A85F89">
        <w:t xml:space="preserve">The mid-term review of the Rovaniemi Action Plan was conducted </w:t>
      </w:r>
      <w:r w:rsidR="00A85F89">
        <w:t xml:space="preserve">in </w:t>
      </w:r>
      <w:r w:rsidR="00A85F89" w:rsidRPr="00A85F89">
        <w:t>2017</w:t>
      </w:r>
      <w:r w:rsidR="005C76D1">
        <w:t>–</w:t>
      </w:r>
      <w:r w:rsidR="00A85F89">
        <w:t>2018</w:t>
      </w:r>
      <w:r w:rsidR="00A85F89" w:rsidRPr="00A85F89">
        <w:t xml:space="preserve"> by the ECE/</w:t>
      </w:r>
      <w:r w:rsidR="005C76D1" w:rsidRPr="005C76D1">
        <w:t xml:space="preserve">Food and Agriculture Organization of the United Nations </w:t>
      </w:r>
      <w:r w:rsidR="005C76D1">
        <w:t xml:space="preserve">(FAO) </w:t>
      </w:r>
      <w:r w:rsidR="00A85F89" w:rsidRPr="00A85F89">
        <w:t>Forestry and Timber Section</w:t>
      </w:r>
      <w:r w:rsidR="00A85F89">
        <w:t xml:space="preserve"> (</w:t>
      </w:r>
      <w:r w:rsidR="005C76D1">
        <w:t xml:space="preserve">see </w:t>
      </w:r>
      <w:r w:rsidR="00A85F89">
        <w:t>information paper No.</w:t>
      </w:r>
      <w:r w:rsidR="005C76D1">
        <w:t xml:space="preserve"> </w:t>
      </w:r>
      <w:r w:rsidR="00A85F89">
        <w:t>2)</w:t>
      </w:r>
      <w:r w:rsidR="00A85F89" w:rsidRPr="00A85F89">
        <w:t>.</w:t>
      </w:r>
      <w:r w:rsidR="00A85F89">
        <w:t xml:space="preserve"> </w:t>
      </w:r>
    </w:p>
    <w:p w14:paraId="2274BC2C" w14:textId="3C82EAD3" w:rsidR="00D70C33" w:rsidRDefault="00A85F89" w:rsidP="00A54901">
      <w:pPr>
        <w:pStyle w:val="SingleTxtG"/>
      </w:pPr>
      <w:r>
        <w:t>1</w:t>
      </w:r>
      <w:r w:rsidR="00577230">
        <w:t>9</w:t>
      </w:r>
      <w:r w:rsidR="00A54901">
        <w:t>.</w:t>
      </w:r>
      <w:r>
        <w:tab/>
      </w:r>
      <w:r w:rsidRPr="00A85F89">
        <w:t xml:space="preserve">The ECE Sustainable Energy Division supports member </w:t>
      </w:r>
      <w:r w:rsidR="005C76D1">
        <w:t>S</w:t>
      </w:r>
      <w:r w:rsidRPr="00A85F89">
        <w:t xml:space="preserve">tates in </w:t>
      </w:r>
      <w:r>
        <w:t>greening their econom</w:t>
      </w:r>
      <w:r w:rsidR="008C026D">
        <w:t>ies</w:t>
      </w:r>
      <w:r>
        <w:t xml:space="preserve"> and </w:t>
      </w:r>
      <w:r w:rsidRPr="00A85F89">
        <w:t>achiev</w:t>
      </w:r>
      <w:r>
        <w:t>ing</w:t>
      </w:r>
      <w:r w:rsidRPr="00A85F89">
        <w:t xml:space="preserve"> the energy-related Sustainable Development Goals, notably </w:t>
      </w:r>
      <w:r>
        <w:t>Goal</w:t>
      </w:r>
      <w:r w:rsidR="008C026D">
        <w:t> </w:t>
      </w:r>
      <w:r w:rsidRPr="00A85F89">
        <w:t>7</w:t>
      </w:r>
      <w:r>
        <w:t xml:space="preserve">. </w:t>
      </w:r>
      <w:r w:rsidR="00AA172B" w:rsidRPr="00AA172B">
        <w:t xml:space="preserve">The recent ECE </w:t>
      </w:r>
      <w:r w:rsidR="008C026D">
        <w:t>“R</w:t>
      </w:r>
      <w:r w:rsidR="00AA172B" w:rsidRPr="00AA172B">
        <w:t xml:space="preserve">enewable </w:t>
      </w:r>
      <w:r w:rsidR="008C026D">
        <w:t>E</w:t>
      </w:r>
      <w:r w:rsidR="00AA172B" w:rsidRPr="00AA172B">
        <w:t>nergy</w:t>
      </w:r>
      <w:r w:rsidR="00AA172B">
        <w:t xml:space="preserve"> </w:t>
      </w:r>
      <w:r w:rsidR="00AA172B" w:rsidRPr="00AA172B">
        <w:t xml:space="preserve">Hard Talks” in </w:t>
      </w:r>
      <w:r w:rsidR="005C76D1">
        <w:t xml:space="preserve">Azerbaijan, </w:t>
      </w:r>
      <w:r w:rsidR="00AA172B" w:rsidRPr="00AA172B">
        <w:t xml:space="preserve">Georgia, </w:t>
      </w:r>
      <w:r w:rsidR="005C76D1">
        <w:t xml:space="preserve">Kazakhstan and </w:t>
      </w:r>
      <w:r w:rsidR="00AA172B" w:rsidRPr="00AA172B">
        <w:t>Ukraine have provided a venue for multi-stakeholder dialogue</w:t>
      </w:r>
      <w:r w:rsidR="008C026D">
        <w:t>,</w:t>
      </w:r>
      <w:r w:rsidR="00AA172B" w:rsidRPr="00AA172B">
        <w:t xml:space="preserve"> bringing together public and private sector actors to exchange views, discuss barriers, identify priorities and propose policy recommendations for increased </w:t>
      </w:r>
      <w:r w:rsidR="00AA172B">
        <w:t>renewable energy</w:t>
      </w:r>
      <w:r w:rsidR="00AA172B" w:rsidRPr="00AA172B">
        <w:t xml:space="preserve"> uptake. Each event led to the endorsement of concrete action-oriented recommendations for the improvement of the policy and regulatory framework in the short to medium</w:t>
      </w:r>
      <w:r w:rsidR="005C76D1">
        <w:t xml:space="preserve"> </w:t>
      </w:r>
      <w:r w:rsidR="00AA172B" w:rsidRPr="00AA172B">
        <w:t>term.</w:t>
      </w:r>
    </w:p>
    <w:p w14:paraId="07F41BF2" w14:textId="5588CF97" w:rsidR="00A27BA9" w:rsidRDefault="00577230" w:rsidP="00A54901">
      <w:pPr>
        <w:pStyle w:val="SingleTxtG"/>
      </w:pPr>
      <w:r>
        <w:t>20</w:t>
      </w:r>
      <w:r w:rsidR="00A54901">
        <w:t>.</w:t>
      </w:r>
      <w:r w:rsidR="007C02C5">
        <w:tab/>
        <w:t>In 2017</w:t>
      </w:r>
      <w:r w:rsidR="001A46BE">
        <w:t>,</w:t>
      </w:r>
      <w:r w:rsidR="007C02C5">
        <w:t xml:space="preserve"> ECE organized </w:t>
      </w:r>
      <w:r w:rsidR="007C02C5" w:rsidRPr="007C02C5">
        <w:t xml:space="preserve">two subregional capacity-building workshops based on the needs identified in </w:t>
      </w:r>
      <w:r w:rsidR="00EB1C44">
        <w:t xml:space="preserve">recent </w:t>
      </w:r>
      <w:r w:rsidR="007C02C5" w:rsidRPr="007C02C5">
        <w:t>environmental performance reviews: one to strengthen national capacity in Central Asia in transitioning to sustainable energy policy and practices (Astana, November 2017); and a workshop for the Caucasus, Central Asia, Eastern and South-Eastern Europe focused on transitioning to sustainable transport policy and practice (Tbilisi, December 2017).</w:t>
      </w:r>
    </w:p>
    <w:p w14:paraId="75500FA5" w14:textId="54700254" w:rsidR="007C02C5" w:rsidRDefault="00577230" w:rsidP="00A54901">
      <w:pPr>
        <w:pStyle w:val="SingleTxtG"/>
      </w:pPr>
      <w:r>
        <w:t>21</w:t>
      </w:r>
      <w:r w:rsidR="00A54901">
        <w:t>.</w:t>
      </w:r>
      <w:r w:rsidR="007C02C5">
        <w:tab/>
      </w:r>
      <w:r w:rsidR="007C02C5" w:rsidRPr="007C02C5">
        <w:t>In 2018</w:t>
      </w:r>
      <w:r w:rsidR="001A46BE">
        <w:t>,</w:t>
      </w:r>
      <w:r w:rsidR="007C02C5" w:rsidRPr="007C02C5">
        <w:t xml:space="preserve"> a United Nations Development Account project </w:t>
      </w:r>
      <w:r w:rsidR="007C02C5">
        <w:t xml:space="preserve">was launched </w:t>
      </w:r>
      <w:r w:rsidR="007C02C5" w:rsidRPr="007C02C5">
        <w:t xml:space="preserve">to strengthen national capacities for evidence-based environmental governance and sustainable environmental policies </w:t>
      </w:r>
      <w:r w:rsidR="001A46BE">
        <w:t xml:space="preserve">to </w:t>
      </w:r>
      <w:r w:rsidR="007C02C5" w:rsidRPr="007C02C5">
        <w:t>support implementation of the 2030 Agenda</w:t>
      </w:r>
      <w:r w:rsidR="007C02C5">
        <w:t>. The project</w:t>
      </w:r>
      <w:r w:rsidR="007C02C5" w:rsidRPr="007C02C5">
        <w:t xml:space="preserve"> </w:t>
      </w:r>
      <w:r w:rsidR="0073688E">
        <w:t xml:space="preserve">is </w:t>
      </w:r>
      <w:r w:rsidR="001A46BE">
        <w:t xml:space="preserve">being </w:t>
      </w:r>
      <w:r w:rsidR="007C02C5" w:rsidRPr="007C02C5">
        <w:t xml:space="preserve">carried out </w:t>
      </w:r>
      <w:r w:rsidR="007C02C5">
        <w:t>by the ECE Environmental Performance Review Programme</w:t>
      </w:r>
      <w:r w:rsidR="007C02C5" w:rsidRPr="007C02C5">
        <w:t>.</w:t>
      </w:r>
    </w:p>
    <w:p w14:paraId="75861A51" w14:textId="3615EEB7" w:rsidR="007C02C5" w:rsidRDefault="00577230" w:rsidP="00A54901">
      <w:pPr>
        <w:pStyle w:val="SingleTxtG"/>
      </w:pPr>
      <w:r>
        <w:t>22</w:t>
      </w:r>
      <w:r w:rsidR="00A54901">
        <w:t>.</w:t>
      </w:r>
      <w:r w:rsidR="00076D8B">
        <w:tab/>
      </w:r>
      <w:r w:rsidR="00D706FC" w:rsidRPr="00D706FC">
        <w:t>ECE multilateral environmental agreements</w:t>
      </w:r>
      <w:r w:rsidR="00D706FC">
        <w:t xml:space="preserve"> continue </w:t>
      </w:r>
      <w:r w:rsidR="000E7731">
        <w:t xml:space="preserve">to </w:t>
      </w:r>
      <w:r w:rsidR="00D706FC" w:rsidRPr="00D706FC">
        <w:t>support countries in their efforts to green their economies and achieve sustainable development</w:t>
      </w:r>
      <w:r w:rsidR="00D706FC">
        <w:t xml:space="preserve">. </w:t>
      </w:r>
      <w:r w:rsidR="009C54E1">
        <w:t>B</w:t>
      </w:r>
      <w:r w:rsidR="009C54E1" w:rsidRPr="009C54E1">
        <w:t>y setting targets for ammonia and nitrogen oxides</w:t>
      </w:r>
      <w:r w:rsidR="000E7731">
        <w:t xml:space="preserve"> emissions,</w:t>
      </w:r>
      <w:r w:rsidR="009C54E1">
        <w:t xml:space="preserve"> t</w:t>
      </w:r>
      <w:r w:rsidR="009C54E1" w:rsidRPr="009C54E1">
        <w:t>he Convention on Long-range Transboundary Air Pollution (Air Convention)</w:t>
      </w:r>
      <w:r w:rsidR="009C54E1">
        <w:t xml:space="preserve"> </w:t>
      </w:r>
      <w:r w:rsidR="009C54E1" w:rsidRPr="009C54E1">
        <w:t>assisted countries in abating nitrogen emissions</w:t>
      </w:r>
      <w:r w:rsidR="009C54E1">
        <w:t xml:space="preserve"> and</w:t>
      </w:r>
      <w:r w:rsidR="009C54E1" w:rsidRPr="009C54E1">
        <w:t xml:space="preserve"> promoting sustainable agriculture</w:t>
      </w:r>
      <w:r w:rsidR="009C54E1">
        <w:t>. B</w:t>
      </w:r>
      <w:r w:rsidR="009C54E1" w:rsidRPr="009C54E1">
        <w:t>y setting emission limit values for air pollutants</w:t>
      </w:r>
      <w:r w:rsidR="00C474AE">
        <w:t>,</w:t>
      </w:r>
      <w:r w:rsidR="009C54E1" w:rsidRPr="009C54E1">
        <w:t xml:space="preserve"> </w:t>
      </w:r>
      <w:r w:rsidR="009C54E1">
        <w:t>t</w:t>
      </w:r>
      <w:r w:rsidR="009C54E1" w:rsidRPr="009C54E1">
        <w:t xml:space="preserve">he Air Convention </w:t>
      </w:r>
      <w:r w:rsidR="009C54E1">
        <w:t xml:space="preserve">also </w:t>
      </w:r>
      <w:r w:rsidR="009C54E1" w:rsidRPr="009C54E1">
        <w:t xml:space="preserve">stimulated investment in clean technologies, </w:t>
      </w:r>
      <w:r w:rsidR="009C54E1">
        <w:t xml:space="preserve">leading to greening </w:t>
      </w:r>
      <w:r w:rsidR="009C54E1" w:rsidRPr="009C54E1">
        <w:t xml:space="preserve">the </w:t>
      </w:r>
      <w:r w:rsidR="009C54E1">
        <w:t xml:space="preserve">most polluting sectors, such as </w:t>
      </w:r>
      <w:r w:rsidR="009C54E1" w:rsidRPr="009C54E1">
        <w:t>energy</w:t>
      </w:r>
      <w:r w:rsidR="009C54E1">
        <w:t xml:space="preserve"> and industry</w:t>
      </w:r>
      <w:r w:rsidR="009C54E1" w:rsidRPr="009C54E1">
        <w:t>.</w:t>
      </w:r>
    </w:p>
    <w:p w14:paraId="5DC6B33F" w14:textId="0273A28C" w:rsidR="00AA172B" w:rsidRDefault="003F7B0E" w:rsidP="00A54901">
      <w:pPr>
        <w:pStyle w:val="SingleTxtG"/>
      </w:pPr>
      <w:r>
        <w:t>2</w:t>
      </w:r>
      <w:r w:rsidR="00577230">
        <w:t>3</w:t>
      </w:r>
      <w:r w:rsidR="00A54901">
        <w:t>.</w:t>
      </w:r>
      <w:r w:rsidR="00076D8B">
        <w:tab/>
      </w:r>
      <w:r w:rsidR="009C54E1" w:rsidRPr="009C54E1">
        <w:t xml:space="preserve">The Convention on Environmental Impact Assessment in a Transboundary Context (Espoo Convention) and its Protocol on Strategic Environmental Assessment </w:t>
      </w:r>
      <w:r w:rsidR="00423BBC">
        <w:t xml:space="preserve">facilitated and promoted the </w:t>
      </w:r>
      <w:r w:rsidR="00855ED6" w:rsidRPr="00855ED6">
        <w:t>early integration of environmental and health considerations into all economic and regional development planning. Furthermore, the precautionary approach</w:t>
      </w:r>
      <w:r w:rsidR="00423BBC">
        <w:t xml:space="preserve"> enshrined in these two treaties</w:t>
      </w:r>
      <w:r w:rsidR="00855ED6" w:rsidRPr="00855ED6">
        <w:t xml:space="preserve"> made it possible to anticipate, prevent and mitigate environmental damage. </w:t>
      </w:r>
      <w:r w:rsidR="00857AC8" w:rsidRPr="00857AC8">
        <w:t xml:space="preserve">Both treaties contributed to </w:t>
      </w:r>
      <w:r w:rsidR="00857AC8">
        <w:t xml:space="preserve">greening the economy by </w:t>
      </w:r>
      <w:r w:rsidR="00857AC8" w:rsidRPr="00857AC8">
        <w:t>reducing environment and health hazards from chemicals and air, water and soil contamination and pollution by ensuring that such impacts are assessed and mitigated early in the planning of all potentially polluting economic activities.</w:t>
      </w:r>
    </w:p>
    <w:p w14:paraId="4C90E191" w14:textId="292F93F3" w:rsidR="00857AC8" w:rsidRDefault="003F7B0E" w:rsidP="00A54901">
      <w:pPr>
        <w:pStyle w:val="SingleTxtG"/>
      </w:pPr>
      <w:r>
        <w:lastRenderedPageBreak/>
        <w:t>2</w:t>
      </w:r>
      <w:r w:rsidR="00577230">
        <w:t>4</w:t>
      </w:r>
      <w:r w:rsidR="00A54901">
        <w:t>.</w:t>
      </w:r>
      <w:r w:rsidR="00076D8B">
        <w:tab/>
      </w:r>
      <w:r w:rsidR="008D4AA9">
        <w:t>T</w:t>
      </w:r>
      <w:r w:rsidR="008D4AA9" w:rsidRPr="008D4AA9">
        <w:t>he Protocol on Pollutant Release and Transfer Registers</w:t>
      </w:r>
      <w:r w:rsidR="008D4AA9">
        <w:t xml:space="preserve"> </w:t>
      </w:r>
      <w:r w:rsidR="00423BBC">
        <w:t xml:space="preserve">to the </w:t>
      </w:r>
      <w:r w:rsidR="00423BBC" w:rsidRPr="00423BBC">
        <w:t>Convention on Access to Information, Public Participation in Decision-Making and Access to Justice in Environmental Matters</w:t>
      </w:r>
      <w:r w:rsidR="00423BBC">
        <w:t xml:space="preserve"> (Aarhus Convention) </w:t>
      </w:r>
      <w:r w:rsidR="008D4AA9" w:rsidRPr="008D4AA9">
        <w:t>contribut</w:t>
      </w:r>
      <w:r w:rsidR="008D4AA9">
        <w:t>ed</w:t>
      </w:r>
      <w:r w:rsidR="008D4AA9" w:rsidRPr="008D4AA9">
        <w:t xml:space="preserve"> to the prevention and reduction of pollution by increasing transparency and by encouraging improvements in environmental performance in production and consumption. It helped countries to monitor pollutant releases and transfers over time; made information on pollution releases and waste transfers public, leading to companies reducing their pollution and identifying smarter production methods; made pollutant release and transfer register data more useful through </w:t>
      </w:r>
      <w:r w:rsidR="00423BBC">
        <w:t xml:space="preserve">their </w:t>
      </w:r>
      <w:r w:rsidR="008D4AA9" w:rsidRPr="008D4AA9">
        <w:t>combination with other types of information, such as health, infrastructure, demographic and economic data; and provided an online tool for decision makers to identify and scale-up possible future actions.</w:t>
      </w:r>
    </w:p>
    <w:p w14:paraId="0928CFF3" w14:textId="214BA8E0" w:rsidR="00767CC9" w:rsidRDefault="003F7B0E" w:rsidP="00A54901">
      <w:pPr>
        <w:pStyle w:val="SingleTxtG"/>
      </w:pPr>
      <w:r>
        <w:t>2</w:t>
      </w:r>
      <w:r w:rsidR="00577230">
        <w:t>5</w:t>
      </w:r>
      <w:r w:rsidR="00A54901">
        <w:t>.</w:t>
      </w:r>
      <w:r w:rsidR="00076D8B">
        <w:tab/>
      </w:r>
      <w:r w:rsidR="00767CC9">
        <w:t xml:space="preserve">Industrial safety and </w:t>
      </w:r>
      <w:r w:rsidR="00767CC9" w:rsidRPr="00767CC9">
        <w:t xml:space="preserve">disaster risk reduction </w:t>
      </w:r>
      <w:r w:rsidR="00767CC9">
        <w:t xml:space="preserve">are important issues to be considered by countries while transitioning to </w:t>
      </w:r>
      <w:r w:rsidR="00C474AE">
        <w:t xml:space="preserve">a </w:t>
      </w:r>
      <w:r w:rsidR="00767CC9">
        <w:t>green economy. T</w:t>
      </w:r>
      <w:r w:rsidR="00767CC9" w:rsidRPr="00767CC9">
        <w:t>he Convention on the Transboundary Effects of Industrial Accidents (Industrial Accidents Convention) supported countries in the safe management of technological hazards in the form of industrial installations and in the reduction of related disaster risks.</w:t>
      </w:r>
      <w:r w:rsidR="004A7EA0" w:rsidRPr="004A7EA0">
        <w:t xml:space="preserve"> During the period 2015–2017, the Convention secretariat organized three subregional workshops on industrial accident prevention </w:t>
      </w:r>
      <w:r w:rsidR="00CF0D34">
        <w:t xml:space="preserve">to enhance industrial safety – </w:t>
      </w:r>
      <w:r w:rsidR="004A7EA0" w:rsidRPr="004A7EA0">
        <w:t xml:space="preserve">for countries of Central Asia; </w:t>
      </w:r>
      <w:r w:rsidR="000F39DA">
        <w:t xml:space="preserve">for </w:t>
      </w:r>
      <w:r w:rsidR="00423BBC">
        <w:t xml:space="preserve">countries of </w:t>
      </w:r>
      <w:r w:rsidR="004A7EA0" w:rsidRPr="004A7EA0">
        <w:t>South-Eastern Europe</w:t>
      </w:r>
      <w:r w:rsidR="000F39DA">
        <w:t>; and for</w:t>
      </w:r>
      <w:r w:rsidR="004A7EA0" w:rsidRPr="004A7EA0">
        <w:t xml:space="preserve"> </w:t>
      </w:r>
      <w:r w:rsidR="00423BBC">
        <w:t xml:space="preserve">countries of </w:t>
      </w:r>
      <w:r w:rsidR="004A7EA0" w:rsidRPr="004A7EA0">
        <w:t>Eastern Europe and the Caucasus. Moreover, the Convention has been implementing a project on strengthening industrial safety in Central Asia (2016–2019) and a pilot project to strengthen the safety of mining operations (2018–2019), in particular tailings management facilities, in Kazakhstan and beyond in Central Asia.</w:t>
      </w:r>
    </w:p>
    <w:p w14:paraId="12ED4605" w14:textId="6E9A4A73" w:rsidR="00BC689E" w:rsidRDefault="00A54901" w:rsidP="00A54901">
      <w:pPr>
        <w:pStyle w:val="SingleTxtG"/>
      </w:pPr>
      <w:r>
        <w:t>2</w:t>
      </w:r>
      <w:r w:rsidR="00577230">
        <w:t>6</w:t>
      </w:r>
      <w:r>
        <w:t>.</w:t>
      </w:r>
      <w:r w:rsidR="006D6DFC">
        <w:tab/>
      </w:r>
      <w:r w:rsidR="00BC689E" w:rsidRPr="00BC689E">
        <w:t xml:space="preserve">In the framework of the ninth meeting of the Conference of the Parties </w:t>
      </w:r>
      <w:r w:rsidR="006D3659">
        <w:t xml:space="preserve">to the Convention </w:t>
      </w:r>
      <w:r w:rsidR="00BC689E" w:rsidRPr="00BC689E">
        <w:t xml:space="preserve">(Ljubljana, 28–30 November 2016), a joint seminar was held to showcase and examine how the work of ECE and OECD on industrial and chemical accidents prevention, preparedness and response contributes to achieving the 2030 Agenda and </w:t>
      </w:r>
      <w:r w:rsidR="00CD48A5">
        <w:t xml:space="preserve">its Sustainable Development Goals </w:t>
      </w:r>
      <w:r w:rsidR="00BC689E" w:rsidRPr="00BC689E">
        <w:t xml:space="preserve">and </w:t>
      </w:r>
      <w:r w:rsidR="00CD48A5">
        <w:t xml:space="preserve">the </w:t>
      </w:r>
      <w:r w:rsidR="00BC689E" w:rsidRPr="00BC689E">
        <w:t>priority actions set out in the Sendai Framework</w:t>
      </w:r>
      <w:r w:rsidR="006D3659">
        <w:t xml:space="preserve"> for Disaster Risk Reduction 2015–2030</w:t>
      </w:r>
      <w:r w:rsidR="00BC689E" w:rsidRPr="00BC689E">
        <w:t>.</w:t>
      </w:r>
    </w:p>
    <w:p w14:paraId="42811B9B" w14:textId="30271D02" w:rsidR="003F7B0E" w:rsidRDefault="003F7B0E" w:rsidP="00A54901">
      <w:pPr>
        <w:pStyle w:val="SingleTxtG"/>
      </w:pPr>
      <w:r>
        <w:t>2</w:t>
      </w:r>
      <w:r w:rsidR="00577230">
        <w:t>7</w:t>
      </w:r>
      <w:r w:rsidR="00A54901">
        <w:t>.</w:t>
      </w:r>
      <w:r>
        <w:tab/>
      </w:r>
      <w:r w:rsidR="00CD48A5">
        <w:t>In 2018, a</w:t>
      </w:r>
      <w:r w:rsidR="006D3659">
        <w:t xml:space="preserve"> </w:t>
      </w:r>
      <w:r w:rsidRPr="00AA172B">
        <w:t xml:space="preserve">project </w:t>
      </w:r>
      <w:r w:rsidR="006D3659">
        <w:t>on g</w:t>
      </w:r>
      <w:r w:rsidRPr="00AA172B">
        <w:t xml:space="preserve">reening economic development in </w:t>
      </w:r>
      <w:r w:rsidR="006D3659">
        <w:t xml:space="preserve">the </w:t>
      </w:r>
      <w:r w:rsidRPr="00AA172B">
        <w:t xml:space="preserve">Western Balkans </w:t>
      </w:r>
      <w:r w:rsidR="006D3659">
        <w:t xml:space="preserve">by </w:t>
      </w:r>
      <w:r w:rsidRPr="00AA172B">
        <w:t xml:space="preserve">applying a </w:t>
      </w:r>
      <w:r w:rsidR="00CD48A5">
        <w:t xml:space="preserve">water-food-energy-ecosystems </w:t>
      </w:r>
      <w:r w:rsidRPr="00AA172B">
        <w:t>nexus approach</w:t>
      </w:r>
      <w:r w:rsidR="003A2083">
        <w:t xml:space="preserve"> </w:t>
      </w:r>
      <w:r w:rsidRPr="00AA172B">
        <w:t>and identif</w:t>
      </w:r>
      <w:r w:rsidR="006D3659">
        <w:t>ying</w:t>
      </w:r>
      <w:r w:rsidRPr="00AA172B">
        <w:t xml:space="preserve"> </w:t>
      </w:r>
      <w:r w:rsidR="006D3659">
        <w:t xml:space="preserve">the </w:t>
      </w:r>
      <w:r w:rsidRPr="00AA172B">
        <w:t xml:space="preserve">benefits of transboundary cooperation was implemented by ECE </w:t>
      </w:r>
      <w:r w:rsidR="006D3659">
        <w:t xml:space="preserve">under the </w:t>
      </w:r>
      <w:r w:rsidRPr="00AA172B">
        <w:t xml:space="preserve">Convention on the Protection and Use of Transboundary Watercourses and International Lakes (Water Convention), in cooperation with the International Sava River Basin Commission. The project fostered cooperation across sectors and borders in the Drina River basin by identifying intersectoral synergies and determining measures that could alleviate tensions related to the multiple needs of basin countries for common resources. The nexus assessment identified a broad range of opportunities and concrete benefits of transboundary cooperation across sectors but also </w:t>
      </w:r>
      <w:r w:rsidR="006D3659">
        <w:t xml:space="preserve">for </w:t>
      </w:r>
      <w:r w:rsidRPr="00AA172B">
        <w:t>improved intersectoral coordination nationally.</w:t>
      </w:r>
    </w:p>
    <w:p w14:paraId="542042DF" w14:textId="679099AF" w:rsidR="006D6DFC" w:rsidRDefault="00A54901" w:rsidP="003A2083">
      <w:pPr>
        <w:pStyle w:val="SingleTxtG"/>
      </w:pPr>
      <w:r>
        <w:t>2</w:t>
      </w:r>
      <w:r w:rsidR="00577230">
        <w:t>8</w:t>
      </w:r>
      <w:r>
        <w:t>.</w:t>
      </w:r>
      <w:r>
        <w:tab/>
      </w:r>
      <w:r w:rsidR="00DA13E9">
        <w:t xml:space="preserve">In </w:t>
      </w:r>
      <w:r w:rsidR="003A2083">
        <w:t xml:space="preserve">the period </w:t>
      </w:r>
      <w:r w:rsidR="00DA13E9">
        <w:t>2015</w:t>
      </w:r>
      <w:r w:rsidR="00EB610A">
        <w:t>–</w:t>
      </w:r>
      <w:r w:rsidR="00DA13E9">
        <w:t>2018</w:t>
      </w:r>
      <w:r w:rsidR="003A2083">
        <w:t>,</w:t>
      </w:r>
      <w:r w:rsidR="00DA13E9">
        <w:t xml:space="preserve"> </w:t>
      </w:r>
      <w:r w:rsidR="003A2083">
        <w:t xml:space="preserve">the United Nations Development Programme (UNDP) </w:t>
      </w:r>
      <w:r w:rsidR="003A2083" w:rsidRPr="00DA13E9">
        <w:t>in partnership with ECE</w:t>
      </w:r>
      <w:r w:rsidR="003A2083">
        <w:t xml:space="preserve"> has been implementing a </w:t>
      </w:r>
      <w:r w:rsidR="00DA13E9" w:rsidRPr="00DA13E9">
        <w:t xml:space="preserve">project </w:t>
      </w:r>
      <w:r w:rsidR="003A2083">
        <w:t xml:space="preserve">to assist </w:t>
      </w:r>
      <w:r w:rsidR="00DA13E9" w:rsidRPr="00DA13E9">
        <w:t>Kazakhstan</w:t>
      </w:r>
      <w:r w:rsidR="003A2083">
        <w:t xml:space="preserve"> in the t</w:t>
      </w:r>
      <w:r w:rsidR="00DA13E9" w:rsidRPr="00DA13E9">
        <w:t xml:space="preserve">ransition to </w:t>
      </w:r>
      <w:r w:rsidR="000835AA">
        <w:t xml:space="preserve">a </w:t>
      </w:r>
      <w:r w:rsidR="003A2083">
        <w:t>g</w:t>
      </w:r>
      <w:r w:rsidR="00DA13E9" w:rsidRPr="00DA13E9">
        <w:t xml:space="preserve">reen </w:t>
      </w:r>
      <w:r w:rsidR="003A2083">
        <w:t>e</w:t>
      </w:r>
      <w:r w:rsidR="00DA13E9" w:rsidRPr="00DA13E9">
        <w:t>conomy.</w:t>
      </w:r>
      <w:r w:rsidR="003A2083">
        <w:rPr>
          <w:rStyle w:val="FootnoteReference"/>
        </w:rPr>
        <w:footnoteReference w:id="5"/>
      </w:r>
      <w:r w:rsidR="00DA13E9">
        <w:t xml:space="preserve"> </w:t>
      </w:r>
      <w:r w:rsidR="007B73D6">
        <w:t>T</w:t>
      </w:r>
      <w:r w:rsidR="007B73D6" w:rsidRPr="007B73D6">
        <w:t xml:space="preserve">he </w:t>
      </w:r>
      <w:r w:rsidR="007B73D6">
        <w:t>activities under the p</w:t>
      </w:r>
      <w:r w:rsidR="007B73D6" w:rsidRPr="007B73D6">
        <w:t xml:space="preserve">roject </w:t>
      </w:r>
      <w:r w:rsidR="003A2083">
        <w:t xml:space="preserve">have </w:t>
      </w:r>
      <w:r w:rsidR="007B73D6" w:rsidRPr="007B73D6">
        <w:t>support</w:t>
      </w:r>
      <w:r w:rsidR="007B73D6">
        <w:t>ed</w:t>
      </w:r>
      <w:r w:rsidR="007B73D6" w:rsidRPr="007B73D6">
        <w:t xml:space="preserve"> </w:t>
      </w:r>
      <w:r w:rsidR="003A2083">
        <w:t xml:space="preserve">a </w:t>
      </w:r>
      <w:r w:rsidR="007B73D6" w:rsidRPr="007B73D6">
        <w:t>development paradigm shift</w:t>
      </w:r>
      <w:r w:rsidR="003A2083">
        <w:t xml:space="preserve"> in the country</w:t>
      </w:r>
      <w:r w:rsidR="007B73D6" w:rsidRPr="007B73D6">
        <w:t xml:space="preserve">, based on the sustainable use of natural resources with </w:t>
      </w:r>
      <w:r w:rsidR="000835AA">
        <w:t xml:space="preserve">a </w:t>
      </w:r>
      <w:r w:rsidR="007B73D6" w:rsidRPr="007B73D6">
        <w:t xml:space="preserve">focus on </w:t>
      </w:r>
      <w:r w:rsidR="000835AA">
        <w:t xml:space="preserve">the </w:t>
      </w:r>
      <w:r w:rsidR="007B73D6" w:rsidRPr="007B73D6">
        <w:t>water sector.</w:t>
      </w:r>
      <w:r w:rsidR="007B73D6">
        <w:t xml:space="preserve"> </w:t>
      </w:r>
      <w:r w:rsidR="003A2083">
        <w:t>The project include</w:t>
      </w:r>
      <w:r w:rsidR="008F4D77">
        <w:t>d</w:t>
      </w:r>
      <w:r w:rsidR="003A2083">
        <w:t xml:space="preserve"> </w:t>
      </w:r>
      <w:r w:rsidR="007B73D6" w:rsidRPr="007B73D6">
        <w:t xml:space="preserve">15 technological projects, implemented in eight regions of Kazakhstan, </w:t>
      </w:r>
      <w:r w:rsidR="003A2083">
        <w:t xml:space="preserve">to </w:t>
      </w:r>
      <w:r w:rsidR="007B73D6" w:rsidRPr="007B73D6">
        <w:t>demonstrat</w:t>
      </w:r>
      <w:r w:rsidR="003A2083">
        <w:t>e the</w:t>
      </w:r>
      <w:r w:rsidR="007B73D6" w:rsidRPr="007B73D6">
        <w:t xml:space="preserve"> practical use of green technologies.</w:t>
      </w:r>
    </w:p>
    <w:p w14:paraId="6E0CD5F5" w14:textId="3164C51D" w:rsidR="003F7B0E" w:rsidRDefault="003F7B0E" w:rsidP="00A54901">
      <w:pPr>
        <w:pStyle w:val="SingleTxtG"/>
      </w:pPr>
      <w:r>
        <w:t>2</w:t>
      </w:r>
      <w:r w:rsidR="00577230">
        <w:t>9</w:t>
      </w:r>
      <w:r w:rsidR="00A54901">
        <w:t>.</w:t>
      </w:r>
      <w:r>
        <w:tab/>
      </w:r>
      <w:r w:rsidRPr="008D4AA9">
        <w:t xml:space="preserve">The national policy dialogues on integrated water resources management, carried out by ECE in cooperation with OECD within the framework of the European Union Water Initiative, serve as an important platform to </w:t>
      </w:r>
      <w:r w:rsidRPr="00767CC9">
        <w:t xml:space="preserve">support countries to green their economies and </w:t>
      </w:r>
      <w:r w:rsidRPr="008D4AA9">
        <w:t>promote the implementation of the 2030 Agenda.</w:t>
      </w:r>
      <w:r w:rsidR="000B7C8F">
        <w:t xml:space="preserve"> The OECD also conducted and published </w:t>
      </w:r>
      <w:r w:rsidR="000B7C8F">
        <w:lastRenderedPageBreak/>
        <w:t>various studies on economic instruments for water management and multi-purpose water infrastructure, water supply and sanitation, among others.</w:t>
      </w:r>
    </w:p>
    <w:p w14:paraId="4FB57D5E" w14:textId="22A1763A" w:rsidR="00FC5C1E" w:rsidRDefault="00577230" w:rsidP="00A54901">
      <w:pPr>
        <w:pStyle w:val="SingleTxtG"/>
      </w:pPr>
      <w:r>
        <w:t>30</w:t>
      </w:r>
      <w:r w:rsidR="00A54901">
        <w:t>.</w:t>
      </w:r>
      <w:r w:rsidR="006D6DFC">
        <w:tab/>
      </w:r>
      <w:r w:rsidR="00FC5C1E">
        <w:t>Since 2016</w:t>
      </w:r>
      <w:r w:rsidR="00EB610A">
        <w:t>,</w:t>
      </w:r>
      <w:r w:rsidR="00FC5C1E">
        <w:t xml:space="preserve"> </w:t>
      </w:r>
      <w:r w:rsidR="00FC5C1E" w:rsidRPr="00FC5C1E">
        <w:t>to support high-level cross-ministerial policy discussion on priority issues and political action identified by various initiatives on green growth</w:t>
      </w:r>
      <w:r w:rsidR="00EB610A">
        <w:t>,</w:t>
      </w:r>
      <w:r w:rsidR="00FC5C1E">
        <w:t xml:space="preserve"> </w:t>
      </w:r>
      <w:r w:rsidR="00FC5C1E" w:rsidRPr="00FC5C1E">
        <w:t>OECD has organi</w:t>
      </w:r>
      <w:r w:rsidR="00EB610A">
        <w:t>z</w:t>
      </w:r>
      <w:r w:rsidR="00FC5C1E" w:rsidRPr="00FC5C1E">
        <w:t>ed</w:t>
      </w:r>
      <w:r w:rsidR="00FC5C1E">
        <w:t xml:space="preserve"> t</w:t>
      </w:r>
      <w:r w:rsidR="00FC5C1E" w:rsidRPr="00FC5C1E">
        <w:t xml:space="preserve">hree </w:t>
      </w:r>
      <w:r w:rsidR="00FC5C1E">
        <w:t>p</w:t>
      </w:r>
      <w:r w:rsidR="00FC5C1E" w:rsidRPr="00FC5C1E">
        <w:t xml:space="preserve">olicy </w:t>
      </w:r>
      <w:r w:rsidR="00FC5C1E">
        <w:t>d</w:t>
      </w:r>
      <w:r w:rsidR="00FC5C1E" w:rsidRPr="00FC5C1E">
        <w:t>ialogues in Kazakhstan</w:t>
      </w:r>
      <w:r w:rsidR="00FC5C1E">
        <w:t xml:space="preserve">, two in </w:t>
      </w:r>
      <w:r w:rsidR="003326A7">
        <w:t xml:space="preserve">Georgia (jointly with UNEP) and </w:t>
      </w:r>
      <w:r w:rsidR="00FC5C1E">
        <w:t xml:space="preserve">one in Kyrgyzstan. </w:t>
      </w:r>
    </w:p>
    <w:p w14:paraId="4B6E49A9" w14:textId="1026C092" w:rsidR="00C25355" w:rsidRDefault="00577230" w:rsidP="00A54901">
      <w:pPr>
        <w:pStyle w:val="SingleTxtG"/>
      </w:pPr>
      <w:r>
        <w:t>31</w:t>
      </w:r>
      <w:r w:rsidR="00A54901">
        <w:t>.</w:t>
      </w:r>
      <w:r w:rsidR="006D6DFC">
        <w:tab/>
      </w:r>
      <w:r w:rsidR="003B529F">
        <w:t xml:space="preserve">OECD </w:t>
      </w:r>
      <w:r w:rsidR="00EB610A">
        <w:t xml:space="preserve">has been </w:t>
      </w:r>
      <w:r w:rsidR="003B529F">
        <w:t>carr</w:t>
      </w:r>
      <w:r w:rsidR="00EB610A">
        <w:t>ying</w:t>
      </w:r>
      <w:r w:rsidR="003B529F">
        <w:t xml:space="preserve"> out research and studies with the objective of developing policy options on green investment and finance that countries can apply </w:t>
      </w:r>
      <w:r w:rsidR="00E50AD9">
        <w:t>to</w:t>
      </w:r>
      <w:r w:rsidR="003B529F">
        <w:t xml:space="preserve"> transition to more inclusive and greener economies.</w:t>
      </w:r>
      <w:r w:rsidR="00E50AD9">
        <w:t xml:space="preserve"> </w:t>
      </w:r>
      <w:r w:rsidR="002645D8">
        <w:t>OECD reports</w:t>
      </w:r>
      <w:r w:rsidR="000B7C8F">
        <w:rPr>
          <w:rStyle w:val="FootnoteReference"/>
        </w:rPr>
        <w:footnoteReference w:id="6"/>
      </w:r>
      <w:r w:rsidR="002645D8">
        <w:t xml:space="preserve"> in this area </w:t>
      </w:r>
      <w:r w:rsidR="00EB610A">
        <w:t xml:space="preserve">have </w:t>
      </w:r>
      <w:r w:rsidR="002645D8">
        <w:t xml:space="preserve">touched </w:t>
      </w:r>
      <w:r w:rsidR="00EB610A">
        <w:t xml:space="preserve">on </w:t>
      </w:r>
      <w:r w:rsidR="002645D8">
        <w:t xml:space="preserve">the following topics: </w:t>
      </w:r>
      <w:r w:rsidR="002645D8" w:rsidRPr="002645D8">
        <w:t xml:space="preserve">energy subsidies in the </w:t>
      </w:r>
      <w:r w:rsidR="00EB610A">
        <w:t xml:space="preserve">countries of </w:t>
      </w:r>
      <w:r w:rsidR="002645D8" w:rsidRPr="002645D8">
        <w:t xml:space="preserve">Eastern Europe and </w:t>
      </w:r>
      <w:r w:rsidR="00EB610A">
        <w:t xml:space="preserve">the </w:t>
      </w:r>
      <w:r w:rsidR="002645D8" w:rsidRPr="002645D8">
        <w:t xml:space="preserve">Caucasus (Armenia, Azerbaijan, Belarus, Georgia, </w:t>
      </w:r>
      <w:r w:rsidR="00EB610A">
        <w:t xml:space="preserve">the Republic of </w:t>
      </w:r>
      <w:r w:rsidR="002645D8" w:rsidRPr="002645D8">
        <w:t>Moldova and Ukraine)</w:t>
      </w:r>
      <w:r w:rsidR="002645D8">
        <w:t xml:space="preserve">; </w:t>
      </w:r>
      <w:r w:rsidR="002645D8" w:rsidRPr="002645D8">
        <w:t xml:space="preserve">energy affordability and </w:t>
      </w:r>
      <w:r w:rsidR="00EB610A">
        <w:t xml:space="preserve">the </w:t>
      </w:r>
      <w:r w:rsidR="002645D8" w:rsidRPr="002645D8">
        <w:t xml:space="preserve">environmental impacts of reforming major energy subsidy schemes in </w:t>
      </w:r>
      <w:r w:rsidR="00EB610A">
        <w:t xml:space="preserve">the Republic of </w:t>
      </w:r>
      <w:r w:rsidR="002645D8" w:rsidRPr="002645D8">
        <w:t>Moldova</w:t>
      </w:r>
      <w:r w:rsidR="002645D8">
        <w:t>; f</w:t>
      </w:r>
      <w:r w:rsidR="002645D8" w:rsidRPr="002645D8">
        <w:t xml:space="preserve">inancing </w:t>
      </w:r>
      <w:r w:rsidR="002645D8">
        <w:t>r</w:t>
      </w:r>
      <w:r w:rsidR="002645D8" w:rsidRPr="002645D8">
        <w:t>esource</w:t>
      </w:r>
      <w:r w:rsidR="00EB610A">
        <w:t>-</w:t>
      </w:r>
      <w:r w:rsidR="002645D8">
        <w:t>e</w:t>
      </w:r>
      <w:r w:rsidR="002645D8" w:rsidRPr="002645D8">
        <w:t xml:space="preserve">fficient and </w:t>
      </w:r>
      <w:r w:rsidR="002645D8">
        <w:t>c</w:t>
      </w:r>
      <w:r w:rsidR="002645D8" w:rsidRPr="002645D8">
        <w:t xml:space="preserve">leaner </w:t>
      </w:r>
      <w:r w:rsidR="002645D8">
        <w:t>p</w:t>
      </w:r>
      <w:r w:rsidR="002645D8" w:rsidRPr="002645D8">
        <w:t xml:space="preserve">roduction by </w:t>
      </w:r>
      <w:r w:rsidR="00EB610A">
        <w:t xml:space="preserve">small and medium-sized enterprises </w:t>
      </w:r>
      <w:r w:rsidR="002645D8" w:rsidRPr="002645D8">
        <w:t xml:space="preserve">in the </w:t>
      </w:r>
      <w:r w:rsidR="00EB610A">
        <w:t xml:space="preserve">countries of </w:t>
      </w:r>
      <w:r w:rsidR="002645D8" w:rsidRPr="002645D8">
        <w:t xml:space="preserve">Eastern Europe and </w:t>
      </w:r>
      <w:r w:rsidR="00EB610A">
        <w:t xml:space="preserve">the </w:t>
      </w:r>
      <w:r w:rsidR="002645D8" w:rsidRPr="002645D8">
        <w:t>Caucasus</w:t>
      </w:r>
      <w:r w:rsidR="002645D8">
        <w:t xml:space="preserve">; </w:t>
      </w:r>
      <w:r w:rsidR="005B2CD8">
        <w:t xml:space="preserve">climate-related development finance in Eastern Europe, the Caucasus and Central Asia, </w:t>
      </w:r>
      <w:r w:rsidR="00EB610A">
        <w:t xml:space="preserve">and </w:t>
      </w:r>
      <w:r w:rsidR="002645D8" w:rsidRPr="002645D8">
        <w:t>environmental lending in the countries</w:t>
      </w:r>
      <w:r w:rsidR="00EB610A">
        <w:t xml:space="preserve"> of </w:t>
      </w:r>
      <w:r w:rsidR="00EB610A" w:rsidRPr="002645D8">
        <w:t xml:space="preserve">Eastern Europe and </w:t>
      </w:r>
      <w:r w:rsidR="00EB610A">
        <w:t xml:space="preserve">the </w:t>
      </w:r>
      <w:r w:rsidR="00EB610A" w:rsidRPr="002645D8">
        <w:t>Caucasus</w:t>
      </w:r>
      <w:r w:rsidR="002645D8">
        <w:t>.</w:t>
      </w:r>
    </w:p>
    <w:p w14:paraId="49C3F779" w14:textId="39B6489A" w:rsidR="003F7B0E" w:rsidRDefault="000928C0" w:rsidP="00EB610A">
      <w:pPr>
        <w:pStyle w:val="SingleTxtG"/>
      </w:pPr>
      <w:r>
        <w:t>3</w:t>
      </w:r>
      <w:r w:rsidR="00577230">
        <w:t>2</w:t>
      </w:r>
      <w:r w:rsidR="00A54901">
        <w:t>.</w:t>
      </w:r>
      <w:r w:rsidR="006D6DFC">
        <w:tab/>
      </w:r>
      <w:r w:rsidR="003F7B0E">
        <w:t>In 2017</w:t>
      </w:r>
      <w:r w:rsidR="00EB610A">
        <w:t>,</w:t>
      </w:r>
      <w:r w:rsidR="003F7B0E">
        <w:t xml:space="preserve"> OECD published </w:t>
      </w:r>
      <w:r w:rsidR="003F7B0E" w:rsidRPr="00B833C0">
        <w:rPr>
          <w:i/>
          <w:iCs/>
        </w:rPr>
        <w:t>Green Growth Indicators 2017</w:t>
      </w:r>
      <w:r w:rsidR="003F7B0E">
        <w:t>, which</w:t>
      </w:r>
      <w:r w:rsidR="003F7B0E" w:rsidRPr="000E5931">
        <w:t xml:space="preserve"> uses a range of indicators </w:t>
      </w:r>
      <w:r w:rsidR="00EB610A">
        <w:t xml:space="preserve">– </w:t>
      </w:r>
      <w:r w:rsidR="003F7B0E" w:rsidRPr="000E5931">
        <w:t xml:space="preserve">covering everything from land use to </w:t>
      </w:r>
      <w:r w:rsidR="00EB610A">
        <w:t xml:space="preserve">carbon dioxide </w:t>
      </w:r>
      <w:r w:rsidR="003F7B0E" w:rsidRPr="000E5931">
        <w:t>productivity and innovation</w:t>
      </w:r>
      <w:r w:rsidR="00EB610A">
        <w:t xml:space="preserve"> – </w:t>
      </w:r>
      <w:r w:rsidR="003F7B0E" w:rsidRPr="000E5931">
        <w:t xml:space="preserve">to </w:t>
      </w:r>
      <w:r w:rsidR="00EB610A">
        <w:t xml:space="preserve">rank </w:t>
      </w:r>
      <w:r w:rsidR="003F7B0E" w:rsidRPr="000E5931">
        <w:t xml:space="preserve">46 countries on </w:t>
      </w:r>
      <w:r w:rsidR="00EB610A">
        <w:t xml:space="preserve">their performance in </w:t>
      </w:r>
      <w:r w:rsidR="003F7B0E" w:rsidRPr="000E5931">
        <w:t xml:space="preserve">balancing economic growth with environmental pressures </w:t>
      </w:r>
      <w:r w:rsidR="00EB610A">
        <w:t xml:space="preserve">during the period </w:t>
      </w:r>
      <w:r w:rsidR="003F7B0E" w:rsidRPr="000E5931">
        <w:t>1990</w:t>
      </w:r>
      <w:r w:rsidR="00EB610A">
        <w:t>–</w:t>
      </w:r>
      <w:r w:rsidR="003F7B0E" w:rsidRPr="000E5931">
        <w:t>2015.</w:t>
      </w:r>
      <w:r w:rsidR="003F7B0E">
        <w:t xml:space="preserve"> </w:t>
      </w:r>
      <w:r w:rsidR="003F7B0E" w:rsidRPr="000E5931">
        <w:t xml:space="preserve">The report shows that no country is performing well on all green growth dimensions and most of the countries studied have yet to fully disconnect economic growth from fossil fuel use and pollutant emissions. Progress has often been insufficient to preserve the natural asset base or relieve pressure on ecosystems and </w:t>
      </w:r>
      <w:r w:rsidR="00EB610A">
        <w:t xml:space="preserve">the </w:t>
      </w:r>
      <w:r w:rsidR="003F7B0E" w:rsidRPr="000E5931">
        <w:t>natural environmental services</w:t>
      </w:r>
      <w:r w:rsidR="00EB610A">
        <w:t xml:space="preserve"> they provide,</w:t>
      </w:r>
      <w:r w:rsidR="003F7B0E" w:rsidRPr="000E5931">
        <w:t xml:space="preserve"> such as water purification and climate regulation.</w:t>
      </w:r>
      <w:r w:rsidR="003F7B0E">
        <w:t xml:space="preserve"> The report</w:t>
      </w:r>
      <w:r w:rsidR="003F7B0E" w:rsidRPr="000E5931">
        <w:t xml:space="preserve"> finds that</w:t>
      </w:r>
      <w:r w:rsidR="00EB610A">
        <w:t>, by order of ranking,</w:t>
      </w:r>
      <w:r w:rsidR="003F7B0E" w:rsidRPr="000E5931">
        <w:t xml:space="preserve"> Denmark, Estonia, the United Kingdom</w:t>
      </w:r>
      <w:r w:rsidR="00EB610A">
        <w:t xml:space="preserve"> of Great Britain and Northern Ireland</w:t>
      </w:r>
      <w:r w:rsidR="003F7B0E" w:rsidRPr="000E5931">
        <w:t>, Italy and Slovak</w:t>
      </w:r>
      <w:r w:rsidR="00EB610A">
        <w:t xml:space="preserve">ia </w:t>
      </w:r>
      <w:r w:rsidR="003F7B0E" w:rsidRPr="000E5931">
        <w:t>have made the most progress on green growth since 2000.</w:t>
      </w:r>
    </w:p>
    <w:p w14:paraId="2060C576" w14:textId="210C1231" w:rsidR="00724FB7" w:rsidRDefault="003F7B0E" w:rsidP="00A54901">
      <w:pPr>
        <w:pStyle w:val="SingleTxtG"/>
      </w:pPr>
      <w:r>
        <w:t>3</w:t>
      </w:r>
      <w:r w:rsidR="00577230">
        <w:t>3</w:t>
      </w:r>
      <w:r w:rsidR="00A54901">
        <w:t>.</w:t>
      </w:r>
      <w:r w:rsidR="006D6DFC">
        <w:tab/>
      </w:r>
      <w:r w:rsidR="000A7A0B" w:rsidRPr="000A7A0B">
        <w:t>The Partnership for Action on Green Economy (PAGE)</w:t>
      </w:r>
      <w:r w:rsidR="000A7A0B">
        <w:t xml:space="preserve"> </w:t>
      </w:r>
      <w:r w:rsidR="00BB4E02">
        <w:t xml:space="preserve">is </w:t>
      </w:r>
      <w:r w:rsidR="000A7A0B" w:rsidRPr="000A7A0B">
        <w:t xml:space="preserve">a mechanism to coordinate </w:t>
      </w:r>
      <w:r w:rsidR="00BB4E02">
        <w:t>United Nations</w:t>
      </w:r>
      <w:r w:rsidR="000A7A0B" w:rsidRPr="000A7A0B">
        <w:t xml:space="preserve"> action on green economy and to assist countries in achieving and monitoring </w:t>
      </w:r>
      <w:r w:rsidR="00BB4E02">
        <w:t xml:space="preserve">progress towards </w:t>
      </w:r>
      <w:r w:rsidR="000A7A0B" w:rsidRPr="000A7A0B">
        <w:t>the Sustainable Development Goals</w:t>
      </w:r>
      <w:r w:rsidR="000A7A0B">
        <w:t xml:space="preserve">. </w:t>
      </w:r>
      <w:r w:rsidR="00BB4E02">
        <w:t xml:space="preserve">The Partnership </w:t>
      </w:r>
      <w:r w:rsidR="000A7A0B" w:rsidRPr="000A7A0B">
        <w:t xml:space="preserve">brings together five </w:t>
      </w:r>
      <w:r w:rsidR="00BB4E02">
        <w:t>United Nations</w:t>
      </w:r>
      <w:r w:rsidR="000A7A0B" w:rsidRPr="000A7A0B">
        <w:t xml:space="preserve"> agencies – </w:t>
      </w:r>
      <w:r w:rsidR="00BB4E02">
        <w:t xml:space="preserve">the </w:t>
      </w:r>
      <w:r w:rsidR="000A7A0B" w:rsidRPr="000A7A0B">
        <w:t xml:space="preserve">International Labour Organization, </w:t>
      </w:r>
      <w:r w:rsidR="00BB4E02">
        <w:t>UNDP</w:t>
      </w:r>
      <w:r w:rsidR="000A7A0B" w:rsidRPr="000A7A0B">
        <w:t xml:space="preserve">, </w:t>
      </w:r>
      <w:r w:rsidR="00BB4E02">
        <w:t>UNEP, UNIDO</w:t>
      </w:r>
      <w:r w:rsidR="000A7A0B" w:rsidRPr="000A7A0B">
        <w:t xml:space="preserve">, and </w:t>
      </w:r>
      <w:r w:rsidR="008C248B">
        <w:t xml:space="preserve">the </w:t>
      </w:r>
      <w:r w:rsidR="000A7A0B" w:rsidRPr="000A7A0B">
        <w:t>U</w:t>
      </w:r>
      <w:r w:rsidR="000A7A0B">
        <w:t xml:space="preserve">nited </w:t>
      </w:r>
      <w:r w:rsidR="000A7A0B" w:rsidRPr="000A7A0B">
        <w:t>N</w:t>
      </w:r>
      <w:r w:rsidR="000A7A0B">
        <w:t>ations</w:t>
      </w:r>
      <w:r w:rsidR="000A7A0B" w:rsidRPr="000A7A0B">
        <w:t xml:space="preserve"> Institute for Training and Research</w:t>
      </w:r>
      <w:r w:rsidR="000A7A0B">
        <w:t xml:space="preserve">. </w:t>
      </w:r>
      <w:r w:rsidR="00724FB7">
        <w:t>Recent activities include:</w:t>
      </w:r>
    </w:p>
    <w:p w14:paraId="711F08CC" w14:textId="2E4502C8" w:rsidR="000A7A0B" w:rsidRDefault="00A54901" w:rsidP="00A54901">
      <w:pPr>
        <w:pStyle w:val="SingleTxtG"/>
        <w:ind w:firstLine="567"/>
      </w:pPr>
      <w:r>
        <w:t>(a)</w:t>
      </w:r>
      <w:r>
        <w:tab/>
      </w:r>
      <w:r w:rsidR="00724FB7">
        <w:t>T</w:t>
      </w:r>
      <w:r w:rsidR="00D30792" w:rsidRPr="00D30792">
        <w:t xml:space="preserve">he Integrated Green Economy Modelling </w:t>
      </w:r>
      <w:r w:rsidR="008C248B">
        <w:t>F</w:t>
      </w:r>
      <w:r w:rsidR="00D30792" w:rsidRPr="00D30792">
        <w:t>ramework</w:t>
      </w:r>
      <w:r w:rsidR="00485FA1">
        <w:t>,</w:t>
      </w:r>
      <w:r w:rsidR="00D30792" w:rsidRPr="00D30792">
        <w:t xml:space="preserve"> </w:t>
      </w:r>
      <w:r w:rsidR="00485FA1">
        <w:t xml:space="preserve">which </w:t>
      </w:r>
      <w:r w:rsidR="00D30792" w:rsidRPr="00D30792">
        <w:t>aims to better respond to countries’ needs in terms of analysing the cross-sectoral impacts</w:t>
      </w:r>
      <w:r w:rsidR="00724FB7">
        <w:t xml:space="preserve"> of green economy policies;</w:t>
      </w:r>
    </w:p>
    <w:p w14:paraId="5A322C47" w14:textId="49464F67" w:rsidR="00724FB7" w:rsidRDefault="00A54901" w:rsidP="00A54901">
      <w:pPr>
        <w:pStyle w:val="SingleTxtG"/>
        <w:ind w:firstLine="567"/>
      </w:pPr>
      <w:r>
        <w:t>(b)</w:t>
      </w:r>
      <w:r>
        <w:tab/>
      </w:r>
      <w:r w:rsidR="00724FB7" w:rsidRPr="00724FB7">
        <w:t>The Green Economy Progress Measurement Framework</w:t>
      </w:r>
      <w:r w:rsidR="00485FA1">
        <w:t>, which</w:t>
      </w:r>
      <w:r w:rsidR="00724FB7" w:rsidRPr="00724FB7">
        <w:t xml:space="preserve"> help</w:t>
      </w:r>
      <w:r w:rsidR="00724FB7">
        <w:t>s</w:t>
      </w:r>
      <w:r w:rsidR="00724FB7" w:rsidRPr="00724FB7">
        <w:t xml:space="preserve"> countries evaluate their overall progress towards an </w:t>
      </w:r>
      <w:r w:rsidR="00724FB7">
        <w:t>i</w:t>
      </w:r>
      <w:r w:rsidR="00724FB7" w:rsidRPr="00724FB7">
        <w:t xml:space="preserve">nclusive </w:t>
      </w:r>
      <w:r w:rsidR="00724FB7">
        <w:t>g</w:t>
      </w:r>
      <w:r w:rsidR="00724FB7" w:rsidRPr="00724FB7">
        <w:t xml:space="preserve">reen </w:t>
      </w:r>
      <w:r w:rsidR="00724FB7">
        <w:t>e</w:t>
      </w:r>
      <w:r w:rsidR="00724FB7" w:rsidRPr="00724FB7">
        <w:t>conomy and enable</w:t>
      </w:r>
      <w:r w:rsidR="00485FA1">
        <w:t>s</w:t>
      </w:r>
      <w:r w:rsidR="00724FB7" w:rsidRPr="00724FB7">
        <w:t xml:space="preserve"> a cross</w:t>
      </w:r>
      <w:r w:rsidR="00724FB7">
        <w:t>-country comparison of progress;</w:t>
      </w:r>
    </w:p>
    <w:p w14:paraId="52E0399B" w14:textId="7710C2ED" w:rsidR="00724FB7" w:rsidRDefault="00A54901" w:rsidP="00A54901">
      <w:pPr>
        <w:pStyle w:val="SingleTxtG"/>
        <w:ind w:firstLine="567"/>
      </w:pPr>
      <w:r>
        <w:t>(c)</w:t>
      </w:r>
      <w:r>
        <w:tab/>
      </w:r>
      <w:r w:rsidR="00724FB7" w:rsidRPr="00724FB7">
        <w:t>The Green Economy Toolkit for Policymakers</w:t>
      </w:r>
      <w:r w:rsidR="00485FA1">
        <w:t>, which</w:t>
      </w:r>
      <w:r w:rsidR="00724FB7" w:rsidRPr="00724FB7">
        <w:t xml:space="preserve"> provides countries with practical guidance on how to formulate and assess policies, measure progress and model future effects of the transition. The toolkit consists of three reports</w:t>
      </w:r>
      <w:r w:rsidR="00485FA1">
        <w:t xml:space="preserve"> –</w:t>
      </w:r>
      <w:r w:rsidR="00724FB7" w:rsidRPr="00724FB7">
        <w:t xml:space="preserve"> </w:t>
      </w:r>
      <w:r w:rsidR="007E1E32" w:rsidRPr="00B833C0">
        <w:rPr>
          <w:i/>
          <w:iCs/>
        </w:rPr>
        <w:t xml:space="preserve">A Guidance Manual </w:t>
      </w:r>
      <w:r w:rsidR="00724FB7" w:rsidRPr="00B833C0">
        <w:rPr>
          <w:i/>
          <w:iCs/>
        </w:rPr>
        <w:t xml:space="preserve">for </w:t>
      </w:r>
      <w:r w:rsidR="007E1E32" w:rsidRPr="00B833C0">
        <w:rPr>
          <w:i/>
          <w:iCs/>
        </w:rPr>
        <w:t>G</w:t>
      </w:r>
      <w:r w:rsidR="00724FB7" w:rsidRPr="00B833C0">
        <w:rPr>
          <w:i/>
          <w:iCs/>
        </w:rPr>
        <w:t xml:space="preserve">reen </w:t>
      </w:r>
      <w:r w:rsidR="007E1E32" w:rsidRPr="00B833C0">
        <w:rPr>
          <w:i/>
          <w:iCs/>
        </w:rPr>
        <w:t>E</w:t>
      </w:r>
      <w:r w:rsidR="00724FB7" w:rsidRPr="00B833C0">
        <w:rPr>
          <w:i/>
          <w:iCs/>
        </w:rPr>
        <w:t xml:space="preserve">conomy </w:t>
      </w:r>
      <w:r w:rsidR="007E1E32" w:rsidRPr="00B833C0">
        <w:rPr>
          <w:i/>
          <w:iCs/>
        </w:rPr>
        <w:t>P</w:t>
      </w:r>
      <w:r w:rsidR="00724FB7" w:rsidRPr="00B833C0">
        <w:rPr>
          <w:i/>
          <w:iCs/>
        </w:rPr>
        <w:t xml:space="preserve">olicy </w:t>
      </w:r>
      <w:r w:rsidR="007E1E32" w:rsidRPr="00B833C0">
        <w:rPr>
          <w:i/>
          <w:iCs/>
        </w:rPr>
        <w:t>A</w:t>
      </w:r>
      <w:r w:rsidR="00724FB7" w:rsidRPr="00B833C0">
        <w:rPr>
          <w:i/>
          <w:iCs/>
        </w:rPr>
        <w:t>ssessment</w:t>
      </w:r>
      <w:r w:rsidR="00724FB7" w:rsidRPr="00724FB7">
        <w:t xml:space="preserve">, </w:t>
      </w:r>
      <w:r w:rsidR="007E1E32" w:rsidRPr="00B833C0">
        <w:rPr>
          <w:i/>
          <w:iCs/>
        </w:rPr>
        <w:t>A G</w:t>
      </w:r>
      <w:r w:rsidR="00724FB7" w:rsidRPr="00B833C0">
        <w:rPr>
          <w:i/>
          <w:iCs/>
        </w:rPr>
        <w:t xml:space="preserve">uidance </w:t>
      </w:r>
      <w:r w:rsidR="007E1E32" w:rsidRPr="00B833C0">
        <w:rPr>
          <w:i/>
          <w:iCs/>
        </w:rPr>
        <w:t>M</w:t>
      </w:r>
      <w:r w:rsidR="00724FB7" w:rsidRPr="00B833C0">
        <w:rPr>
          <w:i/>
          <w:iCs/>
        </w:rPr>
        <w:t xml:space="preserve">anual for </w:t>
      </w:r>
      <w:r w:rsidR="007E1E32" w:rsidRPr="00B833C0">
        <w:rPr>
          <w:i/>
          <w:iCs/>
        </w:rPr>
        <w:t>G</w:t>
      </w:r>
      <w:r w:rsidR="00724FB7" w:rsidRPr="00B833C0">
        <w:rPr>
          <w:i/>
          <w:iCs/>
        </w:rPr>
        <w:t xml:space="preserve">reen </w:t>
      </w:r>
      <w:r w:rsidR="007E1E32" w:rsidRPr="00B833C0">
        <w:rPr>
          <w:i/>
          <w:iCs/>
        </w:rPr>
        <w:t>E</w:t>
      </w:r>
      <w:r w:rsidR="00724FB7" w:rsidRPr="00B833C0">
        <w:rPr>
          <w:i/>
          <w:iCs/>
        </w:rPr>
        <w:t xml:space="preserve">conomy </w:t>
      </w:r>
      <w:r w:rsidR="007E1E32" w:rsidRPr="00B833C0">
        <w:rPr>
          <w:i/>
          <w:iCs/>
        </w:rPr>
        <w:t>I</w:t>
      </w:r>
      <w:r w:rsidR="00724FB7" w:rsidRPr="00B833C0">
        <w:rPr>
          <w:i/>
          <w:iCs/>
        </w:rPr>
        <w:t>ndicators</w:t>
      </w:r>
      <w:r w:rsidR="00724FB7" w:rsidRPr="00724FB7">
        <w:t xml:space="preserve"> and </w:t>
      </w:r>
      <w:r w:rsidR="007E1E32" w:rsidRPr="00B833C0">
        <w:rPr>
          <w:i/>
          <w:iCs/>
        </w:rPr>
        <w:t>U</w:t>
      </w:r>
      <w:r w:rsidR="00724FB7" w:rsidRPr="00B833C0">
        <w:rPr>
          <w:i/>
          <w:iCs/>
        </w:rPr>
        <w:t xml:space="preserve">sing </w:t>
      </w:r>
      <w:r w:rsidR="007E1E32" w:rsidRPr="00B833C0">
        <w:rPr>
          <w:i/>
          <w:iCs/>
        </w:rPr>
        <w:t>M</w:t>
      </w:r>
      <w:r w:rsidR="00724FB7" w:rsidRPr="00B833C0">
        <w:rPr>
          <w:i/>
          <w:iCs/>
        </w:rPr>
        <w:t xml:space="preserve">odels for </w:t>
      </w:r>
      <w:r w:rsidR="007E1E32" w:rsidRPr="00B833C0">
        <w:rPr>
          <w:i/>
          <w:iCs/>
        </w:rPr>
        <w:t>G</w:t>
      </w:r>
      <w:r w:rsidR="00724FB7" w:rsidRPr="00B833C0">
        <w:rPr>
          <w:i/>
          <w:iCs/>
        </w:rPr>
        <w:t xml:space="preserve">reen </w:t>
      </w:r>
      <w:r w:rsidR="007E1E32" w:rsidRPr="00B833C0">
        <w:rPr>
          <w:i/>
          <w:iCs/>
        </w:rPr>
        <w:t>E</w:t>
      </w:r>
      <w:r w:rsidR="00724FB7" w:rsidRPr="00B833C0">
        <w:rPr>
          <w:i/>
          <w:iCs/>
        </w:rPr>
        <w:t xml:space="preserve">conomy </w:t>
      </w:r>
      <w:r w:rsidR="007E1E32" w:rsidRPr="00B833C0">
        <w:rPr>
          <w:i/>
          <w:iCs/>
        </w:rPr>
        <w:t>P</w:t>
      </w:r>
      <w:r w:rsidR="00724FB7" w:rsidRPr="00B833C0">
        <w:rPr>
          <w:i/>
          <w:iCs/>
        </w:rPr>
        <w:t>olicymaking</w:t>
      </w:r>
      <w:r w:rsidR="00724FB7" w:rsidRPr="00724FB7">
        <w:t>.</w:t>
      </w:r>
    </w:p>
    <w:p w14:paraId="1CA65DA9" w14:textId="7F771FC2" w:rsidR="003326A7" w:rsidRDefault="003326A7" w:rsidP="003326A7">
      <w:pPr>
        <w:pStyle w:val="SingleTxtG"/>
        <w:ind w:firstLine="567"/>
      </w:pPr>
      <w:r>
        <w:t xml:space="preserve">(d) Kyrgyzstan joined PAGE in 2016, and the implementation of the PAGE country work plan started. Kazakhstan also joined the PAGE in 2018. </w:t>
      </w:r>
    </w:p>
    <w:p w14:paraId="51A1F3E4" w14:textId="672297E6" w:rsidR="004B34DC" w:rsidRDefault="003F7B0E" w:rsidP="00A54901">
      <w:pPr>
        <w:pStyle w:val="SingleTxtG"/>
      </w:pPr>
      <w:r>
        <w:lastRenderedPageBreak/>
        <w:t>3</w:t>
      </w:r>
      <w:r w:rsidR="00577230">
        <w:t>4</w:t>
      </w:r>
      <w:r w:rsidR="004B34DC">
        <w:t>.</w:t>
      </w:r>
      <w:r w:rsidR="00A54901">
        <w:tab/>
      </w:r>
      <w:r w:rsidR="00540A60">
        <w:t>In 2017</w:t>
      </w:r>
      <w:r w:rsidR="007E1E32">
        <w:t>,</w:t>
      </w:r>
      <w:r w:rsidR="00540A60">
        <w:t xml:space="preserve"> UNEP and </w:t>
      </w:r>
      <w:r w:rsidR="00540A60" w:rsidRPr="00540A60">
        <w:t xml:space="preserve">the German Development Institute </w:t>
      </w:r>
      <w:r w:rsidR="00540A60">
        <w:t xml:space="preserve">published </w:t>
      </w:r>
      <w:r w:rsidR="00540A60" w:rsidRPr="00B833C0">
        <w:rPr>
          <w:i/>
          <w:iCs/>
        </w:rPr>
        <w:t xml:space="preserve">Green </w:t>
      </w:r>
      <w:r w:rsidR="007E1E32" w:rsidRPr="00B833C0">
        <w:rPr>
          <w:i/>
          <w:iCs/>
        </w:rPr>
        <w:t>I</w:t>
      </w:r>
      <w:r w:rsidR="00540A60" w:rsidRPr="00B833C0">
        <w:rPr>
          <w:i/>
          <w:iCs/>
        </w:rPr>
        <w:t xml:space="preserve">ndustrial </w:t>
      </w:r>
      <w:r w:rsidR="007E1E32" w:rsidRPr="00B833C0">
        <w:rPr>
          <w:i/>
          <w:iCs/>
        </w:rPr>
        <w:t>P</w:t>
      </w:r>
      <w:r w:rsidR="00540A60" w:rsidRPr="00B833C0">
        <w:rPr>
          <w:i/>
          <w:iCs/>
        </w:rPr>
        <w:t xml:space="preserve">olicy: Concept, </w:t>
      </w:r>
      <w:r w:rsidR="007E1E32" w:rsidRPr="00B833C0">
        <w:rPr>
          <w:i/>
          <w:iCs/>
        </w:rPr>
        <w:t>P</w:t>
      </w:r>
      <w:r w:rsidR="00540A60" w:rsidRPr="00B833C0">
        <w:rPr>
          <w:i/>
          <w:iCs/>
        </w:rPr>
        <w:t xml:space="preserve">olicies, </w:t>
      </w:r>
      <w:r w:rsidR="007E1E32" w:rsidRPr="00B833C0">
        <w:rPr>
          <w:i/>
          <w:iCs/>
        </w:rPr>
        <w:t>C</w:t>
      </w:r>
      <w:r w:rsidR="00540A60" w:rsidRPr="00B833C0">
        <w:rPr>
          <w:i/>
          <w:iCs/>
        </w:rPr>
        <w:t>ountry Experiences</w:t>
      </w:r>
      <w:r w:rsidR="003326A7">
        <w:rPr>
          <w:rStyle w:val="FootnoteReference"/>
          <w:i/>
          <w:iCs/>
        </w:rPr>
        <w:footnoteReference w:id="7"/>
      </w:r>
      <w:r w:rsidR="00540A60">
        <w:t>.</w:t>
      </w:r>
      <w:r w:rsidR="00540A60" w:rsidRPr="00540A60">
        <w:t xml:space="preserve"> </w:t>
      </w:r>
      <w:r w:rsidR="007E1E32">
        <w:t xml:space="preserve">The publication </w:t>
      </w:r>
      <w:r w:rsidR="00540A60" w:rsidRPr="00540A60">
        <w:t xml:space="preserve">illustrates how green industrial policy can be a driver for a green economy transformation and highlights the social, environmental and economic co-benefits of green industrial policy. </w:t>
      </w:r>
      <w:r w:rsidR="00D13666">
        <w:t>It shows that g</w:t>
      </w:r>
      <w:r w:rsidR="00540A60" w:rsidRPr="00540A60">
        <w:t>reen industrial policy instruments can support the transition to economic structures that balance environmental sustainability and wealth creation and help catalyse the needed change towards a sustainable future.</w:t>
      </w:r>
    </w:p>
    <w:p w14:paraId="6CEBD8A7" w14:textId="352A31F0" w:rsidR="00C03A91" w:rsidRDefault="003F7B0E" w:rsidP="00A54901">
      <w:pPr>
        <w:pStyle w:val="SingleTxtG"/>
      </w:pPr>
      <w:r>
        <w:t>3</w:t>
      </w:r>
      <w:r w:rsidR="00577230">
        <w:t>5</w:t>
      </w:r>
      <w:r w:rsidR="00A54901">
        <w:t>.</w:t>
      </w:r>
      <w:r w:rsidR="006D6DFC">
        <w:tab/>
      </w:r>
      <w:r w:rsidR="00540A60" w:rsidRPr="00540A60">
        <w:t xml:space="preserve">Since </w:t>
      </w:r>
      <w:r w:rsidR="00D13666">
        <w:t xml:space="preserve">its </w:t>
      </w:r>
      <w:r w:rsidR="00540A60" w:rsidRPr="00540A60">
        <w:t>launch in 2014</w:t>
      </w:r>
      <w:r w:rsidR="00540A60">
        <w:t xml:space="preserve"> by UNEP</w:t>
      </w:r>
      <w:r w:rsidR="00D13666">
        <w:t>,</w:t>
      </w:r>
      <w:r w:rsidR="00540A60">
        <w:t xml:space="preserve"> t</w:t>
      </w:r>
      <w:r w:rsidR="00540A60" w:rsidRPr="00540A60">
        <w:t>he Inquiry</w:t>
      </w:r>
      <w:r w:rsidR="00D13666" w:rsidRPr="00D13666">
        <w:t xml:space="preserve"> into the Design of a Sustainable Financial System</w:t>
      </w:r>
      <w:r w:rsidR="00D13666">
        <w:t xml:space="preserve">, or </w:t>
      </w:r>
      <w:r w:rsidR="008C248B">
        <w:t>“</w:t>
      </w:r>
      <w:r w:rsidR="00D13666">
        <w:t>Inquiry</w:t>
      </w:r>
      <w:r w:rsidR="008C248B">
        <w:t>”</w:t>
      </w:r>
      <w:r w:rsidR="00D13666">
        <w:t>,</w:t>
      </w:r>
      <w:r w:rsidR="00540A60" w:rsidRPr="00540A60">
        <w:t xml:space="preserve"> </w:t>
      </w:r>
      <w:r w:rsidR="00540A60">
        <w:t>has been</w:t>
      </w:r>
      <w:r w:rsidR="00540A60" w:rsidRPr="00540A60">
        <w:t xml:space="preserve"> a leading international platform for advancing national and international efforts to shift the </w:t>
      </w:r>
      <w:r w:rsidR="008C248B">
        <w:t xml:space="preserve">monumental financial resources </w:t>
      </w:r>
      <w:r w:rsidR="00540A60" w:rsidRPr="00540A60">
        <w:t xml:space="preserve">required </w:t>
      </w:r>
      <w:r w:rsidR="008C248B">
        <w:t xml:space="preserve">to </w:t>
      </w:r>
      <w:r w:rsidR="00540A60" w:rsidRPr="00540A60">
        <w:t xml:space="preserve">deliver an inclusive, green economy through the transformation of the global financial system. </w:t>
      </w:r>
      <w:r w:rsidR="00540A60">
        <w:t>T</w:t>
      </w:r>
      <w:r w:rsidR="00540A60" w:rsidRPr="00540A60">
        <w:t xml:space="preserve">he Inquiry has worked with more than </w:t>
      </w:r>
      <w:r w:rsidR="00D13666">
        <w:t xml:space="preserve">40 </w:t>
      </w:r>
      <w:r w:rsidR="00540A60" w:rsidRPr="00540A60">
        <w:t>countries on national processes</w:t>
      </w:r>
      <w:r w:rsidR="002A6791">
        <w:t xml:space="preserve">, including </w:t>
      </w:r>
      <w:r w:rsidR="00D13666">
        <w:t xml:space="preserve">10 </w:t>
      </w:r>
      <w:r w:rsidR="002A6791">
        <w:t>from the ECE region, namely Canada, France, Germany, Italy, Kazakhstan, the Netherlands, the Russian Federation, Switzerland, the United Kingdom</w:t>
      </w:r>
      <w:r w:rsidR="00D13666">
        <w:t xml:space="preserve"> and</w:t>
      </w:r>
      <w:r w:rsidR="002A6791">
        <w:t xml:space="preserve"> the United States of America. </w:t>
      </w:r>
    </w:p>
    <w:p w14:paraId="3498032B" w14:textId="51579427" w:rsidR="00C03A91" w:rsidRDefault="00C03A91" w:rsidP="00A54901">
      <w:pPr>
        <w:pStyle w:val="HChG"/>
      </w:pPr>
      <w:r>
        <w:tab/>
      </w:r>
      <w:bookmarkStart w:id="3" w:name="_Hlk518396275"/>
      <w:r>
        <w:t>II.</w:t>
      </w:r>
      <w:r>
        <w:tab/>
      </w:r>
      <w:bookmarkEnd w:id="3"/>
      <w:r w:rsidR="00B71C7C" w:rsidRPr="00A54901">
        <w:t>Lessons</w:t>
      </w:r>
      <w:r w:rsidR="00B71C7C" w:rsidRPr="009A1807">
        <w:t xml:space="preserve"> learned and challenges</w:t>
      </w:r>
    </w:p>
    <w:p w14:paraId="469D63B1" w14:textId="2ECAA6CB" w:rsidR="00C115F2" w:rsidRDefault="00C115F2" w:rsidP="00A54901">
      <w:pPr>
        <w:pStyle w:val="SingleTxtG"/>
      </w:pPr>
      <w:r>
        <w:t>3</w:t>
      </w:r>
      <w:r w:rsidR="00577230">
        <w:t>6</w:t>
      </w:r>
      <w:r w:rsidR="00A54901">
        <w:t>.</w:t>
      </w:r>
      <w:r>
        <w:tab/>
      </w:r>
      <w:r w:rsidR="00D13666">
        <w:t>The e</w:t>
      </w:r>
      <w:r w:rsidR="0023688D" w:rsidRPr="0023688D">
        <w:t>ffective integration of environmental and health targets into economic development should build on a solid legislative basis</w:t>
      </w:r>
      <w:r w:rsidR="00DE7D70">
        <w:t>. H</w:t>
      </w:r>
      <w:r w:rsidR="00B87CB2">
        <w:t>owever,</w:t>
      </w:r>
      <w:r w:rsidR="0023688D" w:rsidRPr="0023688D">
        <w:t xml:space="preserve"> the success of </w:t>
      </w:r>
      <w:r w:rsidR="00D13666">
        <w:t xml:space="preserve">the necessary </w:t>
      </w:r>
      <w:r w:rsidR="0023688D" w:rsidRPr="0023688D">
        <w:t>legal reforms is dependent on high-level political commitment. It is also important not to forget civil society, which plays a key role in advocating for environmental assessments and sustainable development.</w:t>
      </w:r>
    </w:p>
    <w:p w14:paraId="02568AE7" w14:textId="2F6D9516" w:rsidR="0023688D" w:rsidRDefault="0023688D" w:rsidP="00A54901">
      <w:pPr>
        <w:pStyle w:val="SingleTxtG"/>
      </w:pPr>
      <w:r>
        <w:t>3</w:t>
      </w:r>
      <w:r w:rsidR="00577230">
        <w:t>7</w:t>
      </w:r>
      <w:r w:rsidR="00A54901">
        <w:t>.</w:t>
      </w:r>
      <w:r>
        <w:tab/>
      </w:r>
      <w:r w:rsidRPr="0023688D">
        <w:t xml:space="preserve">Both the findings of the </w:t>
      </w:r>
      <w:r w:rsidR="00B708E5" w:rsidRPr="00B833C0">
        <w:rPr>
          <w:i/>
          <w:iCs/>
        </w:rPr>
        <w:t xml:space="preserve">Sustainable Development Goal 6 </w:t>
      </w:r>
      <w:r w:rsidRPr="00B833C0">
        <w:rPr>
          <w:i/>
          <w:iCs/>
        </w:rPr>
        <w:t xml:space="preserve">Synthesis Report </w:t>
      </w:r>
      <w:r w:rsidR="00B87CB2" w:rsidRPr="00B833C0">
        <w:rPr>
          <w:i/>
          <w:iCs/>
        </w:rPr>
        <w:t xml:space="preserve">2018 </w:t>
      </w:r>
      <w:r w:rsidR="00B708E5" w:rsidRPr="00B833C0">
        <w:rPr>
          <w:i/>
          <w:iCs/>
        </w:rPr>
        <w:t>on Water and Sanitation</w:t>
      </w:r>
      <w:r w:rsidR="00B708E5">
        <w:t xml:space="preserve"> </w:t>
      </w:r>
      <w:r w:rsidRPr="0023688D">
        <w:t xml:space="preserve">and the outcomes of the </w:t>
      </w:r>
      <w:r w:rsidR="00B87CB2">
        <w:t xml:space="preserve">2018 </w:t>
      </w:r>
      <w:r w:rsidRPr="0023688D">
        <w:t>ECE Regional Forum on Sustainable Development indicate that the ECE region is not on track to achieve Goal 6</w:t>
      </w:r>
      <w:r>
        <w:t xml:space="preserve"> and </w:t>
      </w:r>
      <w:r w:rsidRPr="0023688D">
        <w:t xml:space="preserve">is still far from reaching universal and equitable access to safe water and sanitation for all. Water scarcity is becoming more acute, </w:t>
      </w:r>
      <w:r>
        <w:t>which</w:t>
      </w:r>
      <w:r w:rsidRPr="0023688D">
        <w:t xml:space="preserve"> entails heavy economic impacts on all sectors</w:t>
      </w:r>
      <w:r w:rsidR="007B6898">
        <w:t xml:space="preserve"> and slows down the shift towards a green economy. </w:t>
      </w:r>
      <w:r w:rsidR="007B6898" w:rsidRPr="007B6898">
        <w:t>The fact that most water resources in the ECE region are shared across borders creates additional challenges in balancing water uses, allocating water and addressing water scarcity.</w:t>
      </w:r>
    </w:p>
    <w:p w14:paraId="387FBEC7" w14:textId="19FD3095" w:rsidR="007B6898" w:rsidRDefault="007B6898" w:rsidP="00A54901">
      <w:pPr>
        <w:pStyle w:val="SingleTxtG"/>
      </w:pPr>
      <w:r>
        <w:t>3</w:t>
      </w:r>
      <w:r w:rsidR="00577230">
        <w:t>8</w:t>
      </w:r>
      <w:r w:rsidR="00A54901">
        <w:t>.</w:t>
      </w:r>
      <w:r w:rsidR="006D6DFC">
        <w:tab/>
      </w:r>
      <w:r w:rsidR="00BB3AB5">
        <w:t>One of the</w:t>
      </w:r>
      <w:r w:rsidR="00BB3AB5" w:rsidRPr="00BB3AB5">
        <w:t xml:space="preserve"> lessons learned from the work under the Aarhus Convention and its Protocol</w:t>
      </w:r>
      <w:r w:rsidR="00BB3AB5">
        <w:t xml:space="preserve"> </w:t>
      </w:r>
      <w:r w:rsidR="00B87CB2">
        <w:t xml:space="preserve">is </w:t>
      </w:r>
      <w:r w:rsidR="00BB3AB5">
        <w:t xml:space="preserve">that </w:t>
      </w:r>
      <w:r w:rsidR="00BB3AB5" w:rsidRPr="00BB3AB5">
        <w:t>access to information, public participation and access to justice in environmental matters should be seen as universal principles guiding action in every context</w:t>
      </w:r>
      <w:r w:rsidR="00B87CB2">
        <w:t>, in particular in greening the economy and in implementing the 2030 Agenda,</w:t>
      </w:r>
      <w:r w:rsidR="00BB3AB5" w:rsidRPr="00BB3AB5">
        <w:t xml:space="preserve"> and </w:t>
      </w:r>
      <w:r w:rsidR="00B87CB2">
        <w:t>that implementing these principles has</w:t>
      </w:r>
      <w:r w:rsidR="00BB3AB5" w:rsidRPr="00BB3AB5">
        <w:t xml:space="preserve"> spillover effects on other sectors</w:t>
      </w:r>
      <w:r w:rsidR="00BB3AB5">
        <w:t>.</w:t>
      </w:r>
    </w:p>
    <w:p w14:paraId="567449A2" w14:textId="16E319B8" w:rsidR="0023688D" w:rsidRDefault="00CC0625" w:rsidP="00A54901">
      <w:pPr>
        <w:pStyle w:val="SingleTxtG"/>
      </w:pPr>
      <w:r>
        <w:t>3</w:t>
      </w:r>
      <w:r w:rsidR="00577230">
        <w:t>9</w:t>
      </w:r>
      <w:r w:rsidR="00A54901">
        <w:t>.</w:t>
      </w:r>
      <w:r w:rsidR="006D6DFC">
        <w:tab/>
      </w:r>
      <w:r w:rsidR="00B87CB2">
        <w:t xml:space="preserve">OECD </w:t>
      </w:r>
      <w:r w:rsidR="00986B20">
        <w:t xml:space="preserve">GREEN Action Task Force activities revealed a number of </w:t>
      </w:r>
      <w:r w:rsidR="00377D3A">
        <w:t xml:space="preserve">remaining </w:t>
      </w:r>
      <w:r w:rsidR="00986B20">
        <w:t>challenges</w:t>
      </w:r>
      <w:r w:rsidR="00B87CB2">
        <w:t xml:space="preserve"> facing the implementation</w:t>
      </w:r>
      <w:r w:rsidR="008578D1">
        <w:t xml:space="preserve"> of green economy in the region</w:t>
      </w:r>
      <w:r w:rsidR="00377D3A">
        <w:t>. These include the need for</w:t>
      </w:r>
      <w:r w:rsidR="008578D1">
        <w:t>:</w:t>
      </w:r>
      <w:r w:rsidR="00B87CB2">
        <w:t xml:space="preserve"> </w:t>
      </w:r>
      <w:r w:rsidR="00377D3A">
        <w:t>more</w:t>
      </w:r>
      <w:r w:rsidR="00986B20" w:rsidRPr="00986B20">
        <w:t xml:space="preserve"> overarching and targeted policies fostering the green economy transition, with clear goals and targets</w:t>
      </w:r>
      <w:r w:rsidR="00986B20">
        <w:t xml:space="preserve">; </w:t>
      </w:r>
      <w:r w:rsidR="00377D3A">
        <w:t>improved</w:t>
      </w:r>
      <w:r w:rsidR="00377D3A" w:rsidRPr="00986B20">
        <w:t xml:space="preserve"> </w:t>
      </w:r>
      <w:r w:rsidR="00986B20" w:rsidRPr="00986B20">
        <w:t xml:space="preserve">awareness of the benefits of greening economic development and </w:t>
      </w:r>
      <w:r w:rsidR="00B87CB2">
        <w:t xml:space="preserve">the </w:t>
      </w:r>
      <w:r w:rsidR="00986B20" w:rsidRPr="00986B20">
        <w:t>costs of inaction</w:t>
      </w:r>
      <w:r w:rsidR="00986B20">
        <w:t xml:space="preserve">; and </w:t>
      </w:r>
      <w:r w:rsidR="00377D3A">
        <w:t>more</w:t>
      </w:r>
      <w:r w:rsidR="00986B20" w:rsidRPr="00986B20">
        <w:t xml:space="preserve"> best practices and references to green technologies applicable in national conditions</w:t>
      </w:r>
      <w:r w:rsidR="00CF2E1C">
        <w:t>.</w:t>
      </w:r>
    </w:p>
    <w:p w14:paraId="244753A3" w14:textId="5B1F87F8" w:rsidR="00C03A91" w:rsidRDefault="00C03A91" w:rsidP="00A54901">
      <w:pPr>
        <w:pStyle w:val="HChG"/>
      </w:pPr>
      <w:r>
        <w:tab/>
        <w:t>III.</w:t>
      </w:r>
      <w:r>
        <w:tab/>
      </w:r>
      <w:r w:rsidR="00B71C7C" w:rsidRPr="00A54901">
        <w:t>Further</w:t>
      </w:r>
      <w:r w:rsidR="00B71C7C" w:rsidRPr="009A1807">
        <w:t xml:space="preserve"> steps</w:t>
      </w:r>
    </w:p>
    <w:p w14:paraId="63B00DBB" w14:textId="3EBF297C" w:rsidR="00C115F2" w:rsidRDefault="00577230" w:rsidP="00A54901">
      <w:pPr>
        <w:pStyle w:val="SingleTxtG"/>
      </w:pPr>
      <w:r>
        <w:t>40</w:t>
      </w:r>
      <w:r w:rsidR="00A54901">
        <w:t>.</w:t>
      </w:r>
      <w:r w:rsidR="00C115F2">
        <w:tab/>
      </w:r>
      <w:r w:rsidR="00C115F2" w:rsidRPr="00C115F2">
        <w:t xml:space="preserve">The Air Convention will continue to develop technical and scientific information and encourage coordination of air pollution policies on nitrogen in the context of the nitrogen </w:t>
      </w:r>
      <w:r w:rsidR="00C115F2" w:rsidRPr="00C115F2">
        <w:lastRenderedPageBreak/>
        <w:t xml:space="preserve">cycle. The work of the </w:t>
      </w:r>
      <w:bookmarkStart w:id="4" w:name="_GoBack"/>
      <w:bookmarkEnd w:id="4"/>
      <w:r w:rsidR="00C115F2" w:rsidRPr="00C115F2">
        <w:t xml:space="preserve">Task Force </w:t>
      </w:r>
      <w:r w:rsidR="00B16A46" w:rsidRPr="00B16A46">
        <w:t xml:space="preserve">on Reactive Nitrogen under the Convention </w:t>
      </w:r>
      <w:r w:rsidR="00C115F2" w:rsidRPr="00C115F2">
        <w:t xml:space="preserve">will help countries in fulfilling their obligations to reduce nitrogen oxides and ammonia emissions under the Protocol </w:t>
      </w:r>
      <w:r w:rsidR="000B2CBF" w:rsidRPr="000B2CBF">
        <w:t xml:space="preserve">to Abate Acidification, Eutrophication and Ground-level Ozone </w:t>
      </w:r>
      <w:r w:rsidR="00C115F2" w:rsidRPr="00C115F2">
        <w:t>and the Protocol concerning the Control of Emissions of Nitrogen Oxides or their Transboundary Fluxes.</w:t>
      </w:r>
      <w:r w:rsidR="0023688D" w:rsidRPr="0023688D">
        <w:t xml:space="preserve"> The Task Force on Techno-</w:t>
      </w:r>
      <w:r w:rsidR="000B2CBF">
        <w:t>e</w:t>
      </w:r>
      <w:r w:rsidR="0023688D" w:rsidRPr="0023688D">
        <w:t>conomic Issues under the Convention will continue to develop a techno-economic database of information on control technologies for air pollution abatement and their costs</w:t>
      </w:r>
      <w:r w:rsidR="0023688D">
        <w:t xml:space="preserve">, which </w:t>
      </w:r>
      <w:r w:rsidR="0023688D" w:rsidRPr="0023688D">
        <w:t>will assist countries in identifying technologies to reduce air pollution.</w:t>
      </w:r>
    </w:p>
    <w:p w14:paraId="74BC2C88" w14:textId="46A74460" w:rsidR="0023688D" w:rsidRDefault="00577230" w:rsidP="00A54901">
      <w:pPr>
        <w:pStyle w:val="SingleTxtG"/>
      </w:pPr>
      <w:r>
        <w:t>41</w:t>
      </w:r>
      <w:r w:rsidR="00A54901">
        <w:t>.</w:t>
      </w:r>
      <w:r w:rsidR="006D6DFC">
        <w:tab/>
      </w:r>
      <w:r w:rsidR="0023688D" w:rsidRPr="0023688D">
        <w:t>The Espoo Convention and its Protocol on Strategic Environmental Assessment</w:t>
      </w:r>
      <w:r w:rsidR="0023688D">
        <w:t xml:space="preserve"> </w:t>
      </w:r>
      <w:r w:rsidR="0023688D" w:rsidRPr="0023688D">
        <w:t>will continue to organize</w:t>
      </w:r>
      <w:r w:rsidR="0023688D">
        <w:t xml:space="preserve"> </w:t>
      </w:r>
      <w:r w:rsidR="0023688D" w:rsidRPr="0023688D">
        <w:t>capacity development activities</w:t>
      </w:r>
      <w:r w:rsidR="000B2CBF">
        <w:t>,</w:t>
      </w:r>
      <w:r w:rsidR="0023688D" w:rsidRPr="0023688D">
        <w:t xml:space="preserve"> such as training-of-trainers workshops and pilot projects</w:t>
      </w:r>
      <w:r w:rsidR="000B2CBF">
        <w:t>,</w:t>
      </w:r>
      <w:r w:rsidR="0023688D" w:rsidRPr="0023688D">
        <w:t xml:space="preserve"> to assist countries to effectively implement strategic environmental assessment</w:t>
      </w:r>
      <w:r w:rsidR="0023688D">
        <w:t xml:space="preserve"> </w:t>
      </w:r>
      <w:r w:rsidR="0023688D" w:rsidRPr="0023688D">
        <w:t xml:space="preserve">and environmental impact assessment </w:t>
      </w:r>
      <w:r w:rsidR="0023688D">
        <w:t xml:space="preserve">not only as </w:t>
      </w:r>
      <w:r w:rsidR="0023688D" w:rsidRPr="0023688D">
        <w:t xml:space="preserve">environmental tools </w:t>
      </w:r>
      <w:r w:rsidR="0023688D">
        <w:t xml:space="preserve">but also as </w:t>
      </w:r>
      <w:r w:rsidR="0023688D" w:rsidRPr="0023688D">
        <w:t>tools to manage scarce resources, such as energy and food.</w:t>
      </w:r>
    </w:p>
    <w:p w14:paraId="4746A1E8" w14:textId="19F6F7E9" w:rsidR="0023688D" w:rsidRDefault="000928C0" w:rsidP="00A54901">
      <w:pPr>
        <w:pStyle w:val="SingleTxtG"/>
      </w:pPr>
      <w:r>
        <w:t>4</w:t>
      </w:r>
      <w:r w:rsidR="00577230">
        <w:t>2</w:t>
      </w:r>
      <w:r w:rsidR="00A54901">
        <w:t>.</w:t>
      </w:r>
      <w:r w:rsidR="00A54901">
        <w:tab/>
      </w:r>
      <w:r w:rsidR="007B6898" w:rsidRPr="007B6898">
        <w:t xml:space="preserve">Work under the Water Convention and </w:t>
      </w:r>
      <w:r w:rsidR="000B2CBF">
        <w:t xml:space="preserve">its </w:t>
      </w:r>
      <w:r w:rsidR="007B6898" w:rsidRPr="007B6898">
        <w:t>Protocol on Water and Health</w:t>
      </w:r>
      <w:r w:rsidR="007B6898">
        <w:t xml:space="preserve"> will include a new focus area to </w:t>
      </w:r>
      <w:r w:rsidR="00922E7B">
        <w:t xml:space="preserve">address </w:t>
      </w:r>
      <w:r w:rsidR="007B6898" w:rsidRPr="007B6898">
        <w:t>the financi</w:t>
      </w:r>
      <w:r w:rsidR="00922E7B">
        <w:t>al</w:t>
      </w:r>
      <w:r w:rsidR="007B6898" w:rsidRPr="007B6898">
        <w:t xml:space="preserve"> challenges </w:t>
      </w:r>
      <w:r w:rsidR="00922E7B">
        <w:t xml:space="preserve">faced by Parties in </w:t>
      </w:r>
      <w:r w:rsidR="007B6898" w:rsidRPr="007B6898">
        <w:t>promot</w:t>
      </w:r>
      <w:r w:rsidR="00922E7B">
        <w:t>ing</w:t>
      </w:r>
      <w:r w:rsidR="007B6898" w:rsidRPr="007B6898">
        <w:t xml:space="preserve"> sustainable development in transboundary basins</w:t>
      </w:r>
      <w:r w:rsidR="00922E7B">
        <w:t>, in particular to support transboundary basins in financing climate change adaptation measures</w:t>
      </w:r>
      <w:r w:rsidR="007B6898">
        <w:t>. T</w:t>
      </w:r>
      <w:r w:rsidR="007B6898" w:rsidRPr="007B6898">
        <w:t>he challenges of water allocation in transboundary basins in the light of growing water scarcity will be addressed through the development of a handbook based on existing practices, covering the key aspects of equitable and sustainable allocation of water in the transboundary context.</w:t>
      </w:r>
    </w:p>
    <w:p w14:paraId="3F8C5766" w14:textId="329161BD" w:rsidR="00BC689E" w:rsidRDefault="003C2953" w:rsidP="00A54901">
      <w:pPr>
        <w:pStyle w:val="SingleTxtG"/>
      </w:pPr>
      <w:r>
        <w:t>4</w:t>
      </w:r>
      <w:r w:rsidR="00577230">
        <w:t>3</w:t>
      </w:r>
      <w:r w:rsidR="00BC689E">
        <w:t>.</w:t>
      </w:r>
      <w:r w:rsidR="00A54901">
        <w:tab/>
      </w:r>
      <w:r w:rsidR="00BC689E" w:rsidRPr="00BC689E">
        <w:t>The I</w:t>
      </w:r>
      <w:r w:rsidR="00BC689E">
        <w:t>ndustrial Accident</w:t>
      </w:r>
      <w:r w:rsidR="004422EC">
        <w:t>s</w:t>
      </w:r>
      <w:r w:rsidR="00BC689E">
        <w:t xml:space="preserve"> Convention </w:t>
      </w:r>
      <w:r w:rsidR="00BC689E" w:rsidRPr="00BC689E">
        <w:t>will continue to address the linkages with the relevant Sustainable Development Goals and the Sendai Framework through future capacity-building efforts.</w:t>
      </w:r>
      <w:r w:rsidR="00BB3AB5" w:rsidRPr="00BB3AB5">
        <w:t xml:space="preserve"> Awareness-raising for all Parties will continue, for example through a seminar on risk assessment methodologies to be held on 4 December 2018 as part of the tenth meeting o</w:t>
      </w:r>
      <w:r w:rsidR="00BB3AB5">
        <w:t>f the Conference of the Parties.</w:t>
      </w:r>
    </w:p>
    <w:p w14:paraId="49FE5B35" w14:textId="0E5F5D10" w:rsidR="00BB3AB5" w:rsidRDefault="003C2953" w:rsidP="00A54901">
      <w:pPr>
        <w:pStyle w:val="SingleTxtG"/>
      </w:pPr>
      <w:r>
        <w:t>4</w:t>
      </w:r>
      <w:r w:rsidR="00577230">
        <w:t>4</w:t>
      </w:r>
      <w:r w:rsidR="00A54901">
        <w:t>.</w:t>
      </w:r>
      <w:r w:rsidR="00A54901">
        <w:tab/>
      </w:r>
      <w:r w:rsidR="00BB3AB5">
        <w:t>T</w:t>
      </w:r>
      <w:r w:rsidR="00BB3AB5" w:rsidRPr="00BB3AB5">
        <w:t>he Aarhus Convention and its Protocol</w:t>
      </w:r>
      <w:r w:rsidR="00BB3AB5">
        <w:t xml:space="preserve"> </w:t>
      </w:r>
      <w:r w:rsidR="006B7633">
        <w:t>will further promote t</w:t>
      </w:r>
      <w:r w:rsidR="006B7633" w:rsidRPr="006B7633">
        <w:t xml:space="preserve">he use of pollutant release and transfer registers for fact-based decision-making </w:t>
      </w:r>
      <w:r w:rsidR="006B7633">
        <w:t xml:space="preserve">by countries </w:t>
      </w:r>
      <w:r w:rsidR="006B7633" w:rsidRPr="006B7633">
        <w:t xml:space="preserve">in the context of </w:t>
      </w:r>
      <w:r w:rsidR="006B7633">
        <w:t xml:space="preserve">greening their economies and </w:t>
      </w:r>
      <w:r w:rsidR="006B7633" w:rsidRPr="006B7633">
        <w:t xml:space="preserve">achieving </w:t>
      </w:r>
      <w:r w:rsidR="006B7633">
        <w:t>s</w:t>
      </w:r>
      <w:r w:rsidR="006B7633" w:rsidRPr="006B7633">
        <w:t xml:space="preserve">ustainable </w:t>
      </w:r>
      <w:r w:rsidR="006B7633">
        <w:t>d</w:t>
      </w:r>
      <w:r w:rsidR="006B7633" w:rsidRPr="006B7633">
        <w:t>evelopment</w:t>
      </w:r>
      <w:r w:rsidR="006B7633">
        <w:t xml:space="preserve">. </w:t>
      </w:r>
    </w:p>
    <w:p w14:paraId="5ACF075E" w14:textId="7B81FAA3" w:rsidR="006E0B70" w:rsidRDefault="003C2953" w:rsidP="00A54901">
      <w:pPr>
        <w:pStyle w:val="SingleTxtG"/>
      </w:pPr>
      <w:r>
        <w:t>4</w:t>
      </w:r>
      <w:r w:rsidR="00577230">
        <w:t>5</w:t>
      </w:r>
      <w:r w:rsidR="00A54901">
        <w:t>.</w:t>
      </w:r>
      <w:r w:rsidR="006D6DFC">
        <w:tab/>
      </w:r>
      <w:r w:rsidR="0055548E">
        <w:t>A</w:t>
      </w:r>
      <w:r w:rsidR="006E0B70">
        <w:t xml:space="preserve">ctivities </w:t>
      </w:r>
      <w:r w:rsidR="0055548E">
        <w:t xml:space="preserve">of </w:t>
      </w:r>
      <w:r w:rsidR="006E0B70">
        <w:t>t</w:t>
      </w:r>
      <w:r w:rsidR="006E0B70" w:rsidRPr="006E0B70">
        <w:t>he GREEN Action Task Force</w:t>
      </w:r>
      <w:r w:rsidR="006E0B70">
        <w:t xml:space="preserve"> </w:t>
      </w:r>
      <w:r w:rsidR="006E0B70" w:rsidRPr="006E0B70">
        <w:t>will</w:t>
      </w:r>
      <w:r w:rsidR="006E0B70">
        <w:t xml:space="preserve"> </w:t>
      </w:r>
      <w:r w:rsidR="0055548E">
        <w:t xml:space="preserve">cover a number of topics linked to green economy and sustainable development, including </w:t>
      </w:r>
      <w:r w:rsidR="0055548E" w:rsidRPr="0055548E">
        <w:t>“smarter” environmental regulations</w:t>
      </w:r>
      <w:r w:rsidR="00F103D6">
        <w:t>;</w:t>
      </w:r>
      <w:r w:rsidR="0055548E" w:rsidRPr="0055548E">
        <w:t xml:space="preserve"> policy instruments to address </w:t>
      </w:r>
      <w:r w:rsidR="00F103D6">
        <w:t xml:space="preserve">the </w:t>
      </w:r>
      <w:r w:rsidR="0055548E" w:rsidRPr="0055548E">
        <w:t>challenges of air pollution</w:t>
      </w:r>
      <w:r w:rsidR="00F103D6">
        <w:t>;</w:t>
      </w:r>
      <w:r w:rsidR="0055548E" w:rsidRPr="0055548E">
        <w:t xml:space="preserve"> greening the extractive industries</w:t>
      </w:r>
      <w:r w:rsidR="00F103D6">
        <w:t>;</w:t>
      </w:r>
      <w:r w:rsidR="0055548E" w:rsidRPr="0055548E">
        <w:t xml:space="preserve"> environmental compliance assurance and environmental liability</w:t>
      </w:r>
      <w:r w:rsidR="00F103D6">
        <w:t>; and</w:t>
      </w:r>
      <w:r w:rsidR="0055548E">
        <w:t xml:space="preserve"> </w:t>
      </w:r>
      <w:r w:rsidR="0055548E" w:rsidRPr="0055548E">
        <w:t>green growth measurement.</w:t>
      </w:r>
      <w:r w:rsidR="0055548E">
        <w:t xml:space="preserve"> The Task Force will </w:t>
      </w:r>
      <w:r w:rsidR="006E0B70" w:rsidRPr="006E0B70">
        <w:t>support the ongoing national</w:t>
      </w:r>
      <w:r w:rsidR="00922E7B">
        <w:t xml:space="preserve"> </w:t>
      </w:r>
      <w:r w:rsidR="006E0B70" w:rsidRPr="006E0B70">
        <w:t xml:space="preserve">level policy dialogues in Georgia and Kazakhstan and the launching of dialogues </w:t>
      </w:r>
      <w:r w:rsidR="0055548E">
        <w:t xml:space="preserve">in other countries upon request. </w:t>
      </w:r>
    </w:p>
    <w:p w14:paraId="3A208C2A" w14:textId="636328D0" w:rsidR="003326A7" w:rsidRDefault="003326A7" w:rsidP="001678D1">
      <w:pPr>
        <w:pStyle w:val="SingleTxtG"/>
      </w:pPr>
      <w:r w:rsidRPr="00186641">
        <w:t>4</w:t>
      </w:r>
      <w:r w:rsidR="00577230">
        <w:t>6</w:t>
      </w:r>
      <w:r w:rsidRPr="003326A7">
        <w:t>.</w:t>
      </w:r>
      <w:r w:rsidRPr="003326A7">
        <w:tab/>
      </w:r>
      <w:r w:rsidRPr="00186641">
        <w:t xml:space="preserve">UNEP, in partnership with ECE and GGKP, will continue to lead the implementation of the UNDA funded project on enhancing </w:t>
      </w:r>
      <w:r w:rsidRPr="003326A7">
        <w:t>sustainable public procurement for the regional transition to inclusive green economy in Eastern Europe, the Caucasus and Central Asia</w:t>
      </w:r>
      <w:r w:rsidRPr="00186641">
        <w:t xml:space="preserve">, by June 2021 with Belarus, Kazakhstan, Kyrgyzstan, </w:t>
      </w:r>
      <w:r w:rsidRPr="003326A7">
        <w:t>the Republic of Moldova and Ukraine as target countries.</w:t>
      </w:r>
      <w:r w:rsidRPr="004A730A">
        <w:t xml:space="preserve"> </w:t>
      </w:r>
    </w:p>
    <w:p w14:paraId="0DAE07EB" w14:textId="6E21A813" w:rsidR="003326A7" w:rsidRPr="00FE051D" w:rsidRDefault="003326A7" w:rsidP="001678D1">
      <w:pPr>
        <w:pStyle w:val="SingleTxtG"/>
      </w:pPr>
      <w:r w:rsidRPr="001678D1">
        <w:rPr>
          <w:lang w:val="en-US"/>
        </w:rPr>
        <w:t>4</w:t>
      </w:r>
      <w:r w:rsidR="00577230">
        <w:rPr>
          <w:lang w:val="en-US"/>
        </w:rPr>
        <w:t>7</w:t>
      </w:r>
      <w:r w:rsidRPr="001678D1">
        <w:rPr>
          <w:lang w:val="en-US"/>
        </w:rPr>
        <w:t>.  EU funded EU4Environment project</w:t>
      </w:r>
      <w:r>
        <w:rPr>
          <w:lang w:val="en-US"/>
        </w:rPr>
        <w:t>, to be implemented by OECD, UNECE, UNEP, UNIDO, World Bank, is expected to start in January 2019, and will support</w:t>
      </w:r>
      <w:r w:rsidRPr="00FE051D">
        <w:t xml:space="preserve"> </w:t>
      </w:r>
      <w:r>
        <w:t xml:space="preserve">six </w:t>
      </w:r>
      <w:r w:rsidRPr="00B42D95">
        <w:t xml:space="preserve">six countries </w:t>
      </w:r>
      <w:r>
        <w:t xml:space="preserve">of the European Union Eastern Partnership </w:t>
      </w:r>
      <w:r w:rsidRPr="00B42D95">
        <w:t xml:space="preserve">(Armenia, Azerbaijan, Belarus, Georgia, the Republic of Moldova and Ukraine) </w:t>
      </w:r>
      <w:r>
        <w:t xml:space="preserve">to </w:t>
      </w:r>
      <w:r w:rsidRPr="00FE051D">
        <w:t>preserve their natural capital and increase people's environmental well-being by supporting environment-related action, demonstrating and unlocking opportunities for greener growth, and setting mechanisms to better manage environmental risks and impacts</w:t>
      </w:r>
      <w:r>
        <w:t>.</w:t>
      </w:r>
      <w:r w:rsidRPr="00FE051D">
        <w:t xml:space="preserve">  </w:t>
      </w:r>
    </w:p>
    <w:p w14:paraId="68CF6C66" w14:textId="1C39CC0D" w:rsidR="004A730A" w:rsidRDefault="004A730A" w:rsidP="00A54901">
      <w:pPr>
        <w:pStyle w:val="SingleTxtG"/>
      </w:pPr>
      <w:r>
        <w:t>4</w:t>
      </w:r>
      <w:r w:rsidR="00577230">
        <w:t>8</w:t>
      </w:r>
      <w:r>
        <w:t>.</w:t>
      </w:r>
      <w:r w:rsidR="00A54901">
        <w:tab/>
      </w:r>
      <w:r w:rsidR="005B038F">
        <w:t xml:space="preserve">The </w:t>
      </w:r>
      <w:r w:rsidR="005B038F" w:rsidRPr="005B038F">
        <w:t xml:space="preserve">project to strengthen national capacities for evidence-based environmental governance and sustainable environmental policies in support of implementation of the 2030 </w:t>
      </w:r>
      <w:r w:rsidR="005B038F" w:rsidRPr="005B038F">
        <w:lastRenderedPageBreak/>
        <w:t>Agenda</w:t>
      </w:r>
      <w:r w:rsidR="005B038F">
        <w:t xml:space="preserve"> will be implemented by December 2021 with </w:t>
      </w:r>
      <w:r w:rsidR="005B038F" w:rsidRPr="005B038F">
        <w:t xml:space="preserve">Albania, Bosnia and Herzegovina, Montenegro, Serbia and the former Yugoslav Republic of Macedonia </w:t>
      </w:r>
      <w:r w:rsidR="005B038F">
        <w:t>as target countries</w:t>
      </w:r>
      <w:r w:rsidR="005B038F" w:rsidRPr="005B038F">
        <w:t>.</w:t>
      </w:r>
    </w:p>
    <w:p w14:paraId="63DA3462" w14:textId="7055DEF8" w:rsidR="00C551E7" w:rsidRDefault="00C551E7" w:rsidP="00A54901">
      <w:pPr>
        <w:pStyle w:val="SingleTxtG"/>
      </w:pPr>
      <w:r>
        <w:t>4</w:t>
      </w:r>
      <w:r w:rsidR="00577230">
        <w:t>9</w:t>
      </w:r>
      <w:r w:rsidR="00A54901">
        <w:t>.</w:t>
      </w:r>
      <w:r>
        <w:tab/>
      </w:r>
      <w:r w:rsidRPr="00C551E7">
        <w:t>R</w:t>
      </w:r>
      <w:r>
        <w:t xml:space="preserve">enewable </w:t>
      </w:r>
      <w:r w:rsidRPr="00C551E7">
        <w:t>E</w:t>
      </w:r>
      <w:r>
        <w:t>nergy</w:t>
      </w:r>
      <w:r w:rsidRPr="00C551E7">
        <w:t xml:space="preserve"> Hard Talks are being planned for Bosnia</w:t>
      </w:r>
      <w:r w:rsidR="00F103D6">
        <w:t xml:space="preserve"> and </w:t>
      </w:r>
      <w:r w:rsidRPr="00C551E7">
        <w:t xml:space="preserve">Herzegovina, </w:t>
      </w:r>
      <w:r w:rsidR="00F103D6">
        <w:t xml:space="preserve">Montenegro and </w:t>
      </w:r>
      <w:r w:rsidRPr="00C551E7">
        <w:t>Serbia</w:t>
      </w:r>
      <w:r w:rsidR="00F103D6">
        <w:t>,</w:t>
      </w:r>
      <w:r w:rsidRPr="00C551E7">
        <w:t xml:space="preserve"> </w:t>
      </w:r>
      <w:r w:rsidR="00F103D6">
        <w:t xml:space="preserve">following </w:t>
      </w:r>
      <w:r w:rsidRPr="00C551E7">
        <w:t xml:space="preserve">a successful agreement between these countries regarding the management of their shared Drina River </w:t>
      </w:r>
      <w:r w:rsidR="00F103D6">
        <w:t>b</w:t>
      </w:r>
      <w:r w:rsidRPr="00C551E7">
        <w:t xml:space="preserve">asin. This agreement was the result of a follow-up event to the project </w:t>
      </w:r>
      <w:r w:rsidR="00F103D6">
        <w:t>on g</w:t>
      </w:r>
      <w:r w:rsidRPr="00C551E7">
        <w:t xml:space="preserve">reening economic development in </w:t>
      </w:r>
      <w:r w:rsidR="00F103D6">
        <w:t xml:space="preserve">the </w:t>
      </w:r>
      <w:r w:rsidRPr="00C551E7">
        <w:t xml:space="preserve">Western Balkans within the framework of the Water Convention. These Hard Talks will focus not only on renewable energy but </w:t>
      </w:r>
      <w:r w:rsidR="00F103D6">
        <w:t xml:space="preserve">also </w:t>
      </w:r>
      <w:r w:rsidRPr="00C551E7">
        <w:t>on the potential for synergies with water management using an energy-water nexus approach.</w:t>
      </w:r>
    </w:p>
    <w:p w14:paraId="0DA81235" w14:textId="4C8286CD" w:rsidR="00C551E7" w:rsidRPr="00A54901" w:rsidRDefault="00A54901" w:rsidP="00A54901">
      <w:pPr>
        <w:spacing w:before="240"/>
        <w:ind w:left="1134" w:right="1134"/>
        <w:jc w:val="center"/>
        <w:rPr>
          <w:u w:val="single"/>
        </w:rPr>
      </w:pPr>
      <w:r>
        <w:rPr>
          <w:u w:val="single"/>
        </w:rPr>
        <w:tab/>
      </w:r>
      <w:r>
        <w:rPr>
          <w:u w:val="single"/>
        </w:rPr>
        <w:tab/>
      </w:r>
      <w:r w:rsidR="00C00790">
        <w:rPr>
          <w:u w:val="single"/>
        </w:rPr>
        <w:tab/>
      </w:r>
      <w:r>
        <w:rPr>
          <w:u w:val="single"/>
        </w:rPr>
        <w:tab/>
      </w:r>
    </w:p>
    <w:sectPr w:rsidR="00C551E7" w:rsidRPr="00A54901" w:rsidSect="002414F5">
      <w:headerReference w:type="first" r:id="rId14"/>
      <w:footerReference w:type="first" r:id="rId15"/>
      <w:endnotePr>
        <w:numFmt w:val="decimal"/>
      </w:endnotePr>
      <w:type w:val="continuous"/>
      <w:pgSz w:w="11907" w:h="16840" w:code="9"/>
      <w:pgMar w:top="1701" w:right="1134" w:bottom="2127"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FF7B" w14:textId="77777777" w:rsidR="00F13087" w:rsidRDefault="00F13087"/>
  </w:endnote>
  <w:endnote w:type="continuationSeparator" w:id="0">
    <w:p w14:paraId="1B16FBBA" w14:textId="77777777" w:rsidR="00F13087" w:rsidRDefault="00F13087"/>
  </w:endnote>
  <w:endnote w:type="continuationNotice" w:id="1">
    <w:p w14:paraId="03425225" w14:textId="77777777" w:rsidR="00F13087" w:rsidRDefault="00F13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17C0" w14:textId="659C9CDA" w:rsidR="00177DE1" w:rsidRPr="00C02C85" w:rsidRDefault="00177DE1" w:rsidP="00C02C85">
    <w:pPr>
      <w:pStyle w:val="Footer"/>
      <w:tabs>
        <w:tab w:val="right" w:pos="9638"/>
      </w:tabs>
      <w:rPr>
        <w:sz w:val="18"/>
      </w:rPr>
    </w:pPr>
    <w:r w:rsidRPr="00C02C85">
      <w:rPr>
        <w:b/>
        <w:sz w:val="18"/>
      </w:rPr>
      <w:fldChar w:fldCharType="begin"/>
    </w:r>
    <w:r w:rsidRPr="00C02C85">
      <w:rPr>
        <w:b/>
        <w:sz w:val="18"/>
      </w:rPr>
      <w:instrText xml:space="preserve"> PAGE  \* MERGEFORMAT </w:instrText>
    </w:r>
    <w:r w:rsidRPr="00C02C85">
      <w:rPr>
        <w:b/>
        <w:sz w:val="18"/>
      </w:rPr>
      <w:fldChar w:fldCharType="separate"/>
    </w:r>
    <w:r w:rsidR="002414F5">
      <w:rPr>
        <w:b/>
        <w:noProof/>
        <w:sz w:val="18"/>
      </w:rPr>
      <w:t>8</w:t>
    </w:r>
    <w:r w:rsidRPr="00C02C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5830" w14:textId="04079706" w:rsidR="00177DE1" w:rsidRPr="00C02C85" w:rsidRDefault="00177DE1" w:rsidP="00C02C85">
    <w:pPr>
      <w:pStyle w:val="Footer"/>
      <w:tabs>
        <w:tab w:val="right" w:pos="9638"/>
      </w:tabs>
      <w:rPr>
        <w:sz w:val="20"/>
      </w:rPr>
    </w:pPr>
    <w:r>
      <w:rPr>
        <w:sz w:val="20"/>
      </w:rPr>
      <w:tab/>
    </w:r>
    <w:r w:rsidRPr="00C02C85">
      <w:rPr>
        <w:b/>
        <w:sz w:val="18"/>
      </w:rPr>
      <w:fldChar w:fldCharType="begin"/>
    </w:r>
    <w:r w:rsidRPr="00C02C85">
      <w:rPr>
        <w:b/>
        <w:sz w:val="18"/>
      </w:rPr>
      <w:instrText xml:space="preserve"> PAGE  \* MERGEFORMAT </w:instrText>
    </w:r>
    <w:r w:rsidRPr="00C02C85">
      <w:rPr>
        <w:b/>
        <w:sz w:val="18"/>
      </w:rPr>
      <w:fldChar w:fldCharType="separate"/>
    </w:r>
    <w:r w:rsidR="002414F5">
      <w:rPr>
        <w:b/>
        <w:noProof/>
        <w:sz w:val="18"/>
      </w:rPr>
      <w:t>9</w:t>
    </w:r>
    <w:r w:rsidRPr="00C02C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40EA" w14:textId="4EB7DD90" w:rsidR="002414F5" w:rsidRDefault="002414F5" w:rsidP="002414F5">
    <w:pPr>
      <w:pStyle w:val="Footer"/>
    </w:pPr>
    <w:r>
      <w:rPr>
        <w:rFonts w:ascii="C39T30Lfz" w:hAnsi="C39T30Lfz"/>
        <w:noProof/>
        <w:sz w:val="56"/>
      </w:rPr>
      <w:drawing>
        <wp:anchor distT="0" distB="0" distL="114300" distR="114300" simplePos="0" relativeHeight="251660288" behindDoc="0" locked="0" layoutInCell="1" allowOverlap="1" wp14:anchorId="7AB7B0F8" wp14:editId="39EBDCF9">
          <wp:simplePos x="0" y="0"/>
          <wp:positionH relativeFrom="margin">
            <wp:posOffset>5520983</wp:posOffset>
          </wp:positionH>
          <wp:positionV relativeFrom="margin">
            <wp:posOffset>7922553</wp:posOffset>
          </wp:positionV>
          <wp:extent cx="638175" cy="638175"/>
          <wp:effectExtent l="0" t="0" r="9525" b="9525"/>
          <wp:wrapNone/>
          <wp:docPr id="2" name="Picture 2" descr="https://undocs.org/m2/QRCode.ashx?DS=ECE/CEP/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057D1E4" wp14:editId="2BDBEDCB">
          <wp:simplePos x="0" y="0"/>
          <wp:positionH relativeFrom="margin">
            <wp:posOffset>4362450</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F1400D0" w14:textId="77777777" w:rsidR="002414F5" w:rsidRDefault="002414F5" w:rsidP="002414F5">
    <w:pPr>
      <w:pStyle w:val="Footer"/>
      <w:ind w:right="1134"/>
      <w:rPr>
        <w:sz w:val="20"/>
      </w:rPr>
    </w:pPr>
    <w:r>
      <w:rPr>
        <w:sz w:val="20"/>
      </w:rPr>
      <w:t>GE.18-21664(E)</w:t>
    </w:r>
  </w:p>
  <w:p w14:paraId="6D70180E" w14:textId="41CE371A" w:rsidR="002414F5" w:rsidRPr="00BA7250" w:rsidRDefault="002414F5" w:rsidP="002414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457D" w14:textId="18378F5C" w:rsidR="002414F5" w:rsidRPr="002414F5" w:rsidRDefault="002414F5" w:rsidP="0024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9C7D0" w14:textId="77777777" w:rsidR="00F13087" w:rsidRPr="000B175B" w:rsidRDefault="00F13087" w:rsidP="000B175B">
      <w:pPr>
        <w:tabs>
          <w:tab w:val="right" w:pos="2155"/>
        </w:tabs>
        <w:spacing w:after="80"/>
        <w:ind w:left="680"/>
        <w:rPr>
          <w:u w:val="single"/>
        </w:rPr>
      </w:pPr>
      <w:r>
        <w:rPr>
          <w:u w:val="single"/>
        </w:rPr>
        <w:tab/>
      </w:r>
    </w:p>
  </w:footnote>
  <w:footnote w:type="continuationSeparator" w:id="0">
    <w:p w14:paraId="0002FF4E" w14:textId="77777777" w:rsidR="00F13087" w:rsidRPr="00FC68B7" w:rsidRDefault="00F13087" w:rsidP="00FC68B7">
      <w:pPr>
        <w:tabs>
          <w:tab w:val="left" w:pos="2155"/>
        </w:tabs>
        <w:spacing w:after="80"/>
        <w:ind w:left="680"/>
        <w:rPr>
          <w:u w:val="single"/>
        </w:rPr>
      </w:pPr>
      <w:r>
        <w:rPr>
          <w:u w:val="single"/>
        </w:rPr>
        <w:tab/>
      </w:r>
    </w:p>
  </w:footnote>
  <w:footnote w:type="continuationNotice" w:id="1">
    <w:p w14:paraId="0937E3AF" w14:textId="77777777" w:rsidR="00F13087" w:rsidRDefault="00F13087"/>
  </w:footnote>
  <w:footnote w:id="2">
    <w:p w14:paraId="50F8C919" w14:textId="377A85EB" w:rsidR="00177DE1" w:rsidRDefault="00177DE1">
      <w:pPr>
        <w:pStyle w:val="FootnoteText"/>
      </w:pPr>
      <w:r>
        <w:tab/>
      </w:r>
      <w:r w:rsidRPr="00B833C0">
        <w:rPr>
          <w:rStyle w:val="FootnoteReference"/>
          <w:vertAlign w:val="baseline"/>
        </w:rPr>
        <w:footnoteRef/>
      </w:r>
      <w:r>
        <w:tab/>
        <w:t xml:space="preserve">The present document was submitted late owing to </w:t>
      </w:r>
      <w:r w:rsidR="00564574">
        <w:t>the need to consult with partner organizations</w:t>
      </w:r>
      <w:r>
        <w:t>.</w:t>
      </w:r>
    </w:p>
  </w:footnote>
  <w:footnote w:id="3">
    <w:p w14:paraId="57BC48E7" w14:textId="684A39D8" w:rsidR="00177DE1" w:rsidRPr="00844471" w:rsidRDefault="0084178E" w:rsidP="00D809EC">
      <w:pPr>
        <w:pStyle w:val="FootnoteText"/>
        <w:rPr>
          <w:lang w:val="en-US"/>
        </w:rPr>
      </w:pPr>
      <w:r>
        <w:tab/>
      </w:r>
      <w:r w:rsidR="00177DE1">
        <w:rPr>
          <w:rStyle w:val="FootnoteReference"/>
        </w:rPr>
        <w:footnoteRef/>
      </w:r>
      <w:r w:rsidR="00177DE1">
        <w:tab/>
      </w:r>
      <w:r w:rsidR="00177DE1" w:rsidRPr="00F65BFC">
        <w:t xml:space="preserve">OECD, </w:t>
      </w:r>
      <w:r w:rsidR="00177DE1" w:rsidRPr="00D809EC">
        <w:t>Environmental</w:t>
      </w:r>
      <w:r w:rsidR="00177DE1" w:rsidRPr="00B833C0">
        <w:rPr>
          <w:i/>
          <w:iCs/>
        </w:rPr>
        <w:t xml:space="preserve"> Policy Toolkit for SME Greening in EU Eastern Partnership Countries</w:t>
      </w:r>
      <w:r w:rsidR="00177DE1">
        <w:t>, OECD Green Growth Studies</w:t>
      </w:r>
      <w:r w:rsidR="00177DE1" w:rsidRPr="00F65BFC">
        <w:t xml:space="preserve"> </w:t>
      </w:r>
      <w:r w:rsidR="00177DE1">
        <w:t>(</w:t>
      </w:r>
      <w:r w:rsidR="00177DE1" w:rsidRPr="00F65BFC">
        <w:t xml:space="preserve">Paris, </w:t>
      </w:r>
      <w:r w:rsidR="00177DE1">
        <w:t xml:space="preserve">2018). Available from </w:t>
      </w:r>
      <w:r w:rsidR="00177DE1" w:rsidRPr="00F65BFC">
        <w:t>https://doi.org/10.1787/9789264293199-en.</w:t>
      </w:r>
      <w:r w:rsidR="00177DE1" w:rsidRPr="00F65BFC" w:rsidDel="00F65BFC">
        <w:t xml:space="preserve"> </w:t>
      </w:r>
    </w:p>
  </w:footnote>
  <w:footnote w:id="4">
    <w:p w14:paraId="5B87505E" w14:textId="699B9A0E" w:rsidR="003326A7" w:rsidRPr="00577230" w:rsidRDefault="0084178E" w:rsidP="00D809EC">
      <w:pPr>
        <w:pStyle w:val="FootnoteText"/>
      </w:pPr>
      <w:r>
        <w:tab/>
      </w:r>
      <w:r w:rsidR="003326A7">
        <w:rPr>
          <w:rStyle w:val="FootnoteReference"/>
        </w:rPr>
        <w:footnoteRef/>
      </w:r>
      <w:r w:rsidR="003326A7">
        <w:t xml:space="preserve"> </w:t>
      </w:r>
      <w:r w:rsidR="00D809EC">
        <w:tab/>
      </w:r>
      <w:r w:rsidR="003326A7">
        <w:t xml:space="preserve">For more detailed information, please consult: </w:t>
      </w:r>
      <w:r w:rsidR="003326A7" w:rsidRPr="00FF7895">
        <w:t>http://www.green-economies-eap.org/resources/EaP%20GREEN_From%20Commitments%20to%20Results.pdf</w:t>
      </w:r>
    </w:p>
  </w:footnote>
  <w:footnote w:id="5">
    <w:p w14:paraId="7EBCD4A0" w14:textId="3073EBAC" w:rsidR="00177DE1" w:rsidRDefault="00177DE1">
      <w:pPr>
        <w:pStyle w:val="FootnoteText"/>
      </w:pPr>
      <w:r>
        <w:tab/>
      </w:r>
      <w:r>
        <w:rPr>
          <w:rStyle w:val="FootnoteReference"/>
        </w:rPr>
        <w:footnoteRef/>
      </w:r>
      <w:r>
        <w:tab/>
      </w:r>
      <w:r w:rsidRPr="00DA13E9">
        <w:t>Supporting Kazakhstan’s Transition to a Green Economy Model</w:t>
      </w:r>
      <w:r>
        <w:t>.</w:t>
      </w:r>
    </w:p>
  </w:footnote>
  <w:footnote w:id="6">
    <w:p w14:paraId="192F5BD4" w14:textId="5B50EAC9" w:rsidR="000B7C8F" w:rsidRPr="000B7C8F" w:rsidRDefault="00D809EC" w:rsidP="00D809EC">
      <w:pPr>
        <w:pStyle w:val="FootnoteText"/>
        <w:rPr>
          <w:lang w:val="en-US"/>
        </w:rPr>
      </w:pPr>
      <w:r>
        <w:tab/>
      </w:r>
      <w:r w:rsidR="000B7C8F">
        <w:rPr>
          <w:rStyle w:val="FootnoteReference"/>
        </w:rPr>
        <w:footnoteRef/>
      </w:r>
      <w:r w:rsidR="000B7C8F">
        <w:t xml:space="preserve"> </w:t>
      </w:r>
      <w:r>
        <w:tab/>
      </w:r>
      <w:r w:rsidR="000B7C8F">
        <w:t xml:space="preserve">Information on the recent publications can be found: </w:t>
      </w:r>
      <w:hyperlink r:id="rId1" w:history="1">
        <w:r w:rsidR="000B7C8F" w:rsidRPr="000B7C8F">
          <w:rPr>
            <w:rStyle w:val="Hyperlink"/>
            <w:sz w:val="12"/>
          </w:rPr>
          <w:t>http://www.oecd.org/env/outreach/GATF%20pub%20cat%20web-3a.pdf</w:t>
        </w:r>
      </w:hyperlink>
      <w:r w:rsidR="000B7C8F">
        <w:rPr>
          <w:sz w:val="12"/>
        </w:rPr>
        <w:t xml:space="preserve"> </w:t>
      </w:r>
    </w:p>
  </w:footnote>
  <w:footnote w:id="7">
    <w:p w14:paraId="4DB59FA7" w14:textId="62B51B22" w:rsidR="003326A7" w:rsidRPr="003326A7" w:rsidRDefault="0084178E" w:rsidP="00D809EC">
      <w:pPr>
        <w:pStyle w:val="FootnoteText"/>
        <w:rPr>
          <w:lang w:val="en-US"/>
        </w:rPr>
      </w:pPr>
      <w:r>
        <w:tab/>
      </w:r>
      <w:r w:rsidR="003326A7">
        <w:rPr>
          <w:rStyle w:val="FootnoteReference"/>
        </w:rPr>
        <w:footnoteRef/>
      </w:r>
      <w:r w:rsidR="003326A7">
        <w:t xml:space="preserve"> </w:t>
      </w:r>
      <w:r w:rsidR="00D809EC">
        <w:tab/>
      </w:r>
      <w:hyperlink r:id="rId2" w:history="1">
        <w:r w:rsidR="003326A7">
          <w:rPr>
            <w:rStyle w:val="Hyperlink"/>
          </w:rPr>
          <w:t>https://www.un-page.org/resources/green-industrial-policy-trade/green-industrial-policy-concept-policies-country-experiences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4BE8" w14:textId="3817579B" w:rsidR="00177DE1" w:rsidRPr="00C02C85" w:rsidRDefault="00177DE1">
    <w:pPr>
      <w:pStyle w:val="Header"/>
    </w:pPr>
    <w:r>
      <w:t>ECE/CEP/2019/5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B156" w14:textId="67D86426" w:rsidR="00177DE1" w:rsidRPr="00C02C85" w:rsidRDefault="00177DE1" w:rsidP="00C02C85">
    <w:pPr>
      <w:pStyle w:val="Header"/>
      <w:jc w:val="right"/>
    </w:pPr>
    <w:r>
      <w:t>ECE/CEP/2019/5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C229" w14:textId="48C20436" w:rsidR="00D809EC" w:rsidRPr="00D809EC" w:rsidRDefault="00D809EC" w:rsidP="00D809EC">
    <w:pPr>
      <w:pStyle w:val="Header"/>
    </w:pPr>
    <w:r>
      <w:t>ECE/CEP/2019/5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3BB2"/>
    <w:multiLevelType w:val="hybridMultilevel"/>
    <w:tmpl w:val="DA98B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563AD"/>
    <w:multiLevelType w:val="hybridMultilevel"/>
    <w:tmpl w:val="672E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4" w15:restartNumberingAfterBreak="0">
    <w:nsid w:val="18E12D26"/>
    <w:multiLevelType w:val="hybridMultilevel"/>
    <w:tmpl w:val="E946BF7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B2628AF"/>
    <w:multiLevelType w:val="hybridMultilevel"/>
    <w:tmpl w:val="D3E6BBD0"/>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E208CE"/>
    <w:multiLevelType w:val="hybridMultilevel"/>
    <w:tmpl w:val="1ED66D6A"/>
    <w:lvl w:ilvl="0" w:tplc="A49A107A">
      <w:start w:val="1"/>
      <w:numFmt w:val="decimal"/>
      <w:lvlText w:val="%1."/>
      <w:lvlJc w:val="left"/>
      <w:pPr>
        <w:ind w:left="1689" w:hanging="555"/>
      </w:pPr>
      <w:rPr>
        <w:rFonts w:eastAsia="Times New Roman" w:hint="default"/>
        <w:i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2BE229AA"/>
    <w:multiLevelType w:val="hybridMultilevel"/>
    <w:tmpl w:val="218EAEB2"/>
    <w:lvl w:ilvl="0" w:tplc="8F44AFD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43E17"/>
    <w:multiLevelType w:val="hybridMultilevel"/>
    <w:tmpl w:val="0E46D3FC"/>
    <w:lvl w:ilvl="0" w:tplc="04090001">
      <w:start w:val="1"/>
      <w:numFmt w:val="bullet"/>
      <w:lvlText w:val=""/>
      <w:lvlJc w:val="left"/>
      <w:pPr>
        <w:ind w:left="1291" w:hanging="360"/>
      </w:pPr>
      <w:rPr>
        <w:rFonts w:ascii="Symbol" w:hAnsi="Symbol" w:hint="default"/>
      </w:rPr>
    </w:lvl>
    <w:lvl w:ilvl="1" w:tplc="04090003">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A606C"/>
    <w:multiLevelType w:val="hybridMultilevel"/>
    <w:tmpl w:val="CEF653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40BA5F77"/>
    <w:multiLevelType w:val="hybridMultilevel"/>
    <w:tmpl w:val="DAC695FC"/>
    <w:lvl w:ilvl="0" w:tplc="2CAC156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3C7A66"/>
    <w:multiLevelType w:val="hybridMultilevel"/>
    <w:tmpl w:val="DF3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A4C7C"/>
    <w:multiLevelType w:val="hybridMultilevel"/>
    <w:tmpl w:val="E946BF7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532E53D8"/>
    <w:multiLevelType w:val="hybridMultilevel"/>
    <w:tmpl w:val="E946BF7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3F3B9E"/>
    <w:multiLevelType w:val="hybridMultilevel"/>
    <w:tmpl w:val="8C82C75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1" w15:restartNumberingAfterBreak="0">
    <w:nsid w:val="5DB40751"/>
    <w:multiLevelType w:val="hybridMultilevel"/>
    <w:tmpl w:val="1B6E9E3C"/>
    <w:lvl w:ilvl="0" w:tplc="7DF0DAB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4381C"/>
    <w:multiLevelType w:val="hybridMultilevel"/>
    <w:tmpl w:val="E946BF7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45F4CF5"/>
    <w:multiLevelType w:val="multilevel"/>
    <w:tmpl w:val="194E3A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4731C"/>
    <w:multiLevelType w:val="hybridMultilevel"/>
    <w:tmpl w:val="8920385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6" w15:restartNumberingAfterBreak="0">
    <w:nsid w:val="66CA1CBD"/>
    <w:multiLevelType w:val="hybridMultilevel"/>
    <w:tmpl w:val="B8D8D882"/>
    <w:lvl w:ilvl="0" w:tplc="DE26FE06">
      <w:start w:val="9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0221DC0"/>
    <w:multiLevelType w:val="hybridMultilevel"/>
    <w:tmpl w:val="2536F5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1"/>
  </w:num>
  <w:num w:numId="14">
    <w:abstractNumId w:val="16"/>
  </w:num>
  <w:num w:numId="15">
    <w:abstractNumId w:val="23"/>
  </w:num>
  <w:num w:numId="16">
    <w:abstractNumId w:val="17"/>
  </w:num>
  <w:num w:numId="17">
    <w:abstractNumId w:val="34"/>
  </w:num>
  <w:num w:numId="18">
    <w:abstractNumId w:val="38"/>
  </w:num>
  <w:num w:numId="19">
    <w:abstractNumId w:val="25"/>
  </w:num>
  <w:num w:numId="20">
    <w:abstractNumId w:val="12"/>
  </w:num>
  <w:num w:numId="21">
    <w:abstractNumId w:val="20"/>
  </w:num>
  <w:num w:numId="22">
    <w:abstractNumId w:val="26"/>
  </w:num>
  <w:num w:numId="23">
    <w:abstractNumId w:val="19"/>
  </w:num>
  <w:num w:numId="24">
    <w:abstractNumId w:val="10"/>
  </w:num>
  <w:num w:numId="25">
    <w:abstractNumId w:val="31"/>
  </w:num>
  <w:num w:numId="26">
    <w:abstractNumId w:val="14"/>
  </w:num>
  <w:num w:numId="27">
    <w:abstractNumId w:val="27"/>
  </w:num>
  <w:num w:numId="28">
    <w:abstractNumId w:val="29"/>
  </w:num>
  <w:num w:numId="29">
    <w:abstractNumId w:val="32"/>
  </w:num>
  <w:num w:numId="30">
    <w:abstractNumId w:val="37"/>
  </w:num>
  <w:num w:numId="31">
    <w:abstractNumId w:val="24"/>
  </w:num>
  <w:num w:numId="32">
    <w:abstractNumId w:val="30"/>
  </w:num>
  <w:num w:numId="33">
    <w:abstractNumId w:val="15"/>
  </w:num>
  <w:num w:numId="34">
    <w:abstractNumId w:val="36"/>
  </w:num>
  <w:num w:numId="35">
    <w:abstractNumId w:val="21"/>
  </w:num>
  <w:num w:numId="36">
    <w:abstractNumId w:val="13"/>
  </w:num>
  <w:num w:numId="37">
    <w:abstractNumId w:val="13"/>
  </w:num>
  <w:num w:numId="38">
    <w:abstractNumId w:val="13"/>
  </w:num>
  <w:num w:numId="39">
    <w:abstractNumId w:val="13"/>
  </w:num>
  <w:num w:numId="40">
    <w:abstractNumId w:val="28"/>
  </w:num>
  <w:num w:numId="41">
    <w:abstractNumId w:val="35"/>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6F"/>
    <w:rsid w:val="00002A7D"/>
    <w:rsid w:val="000038A8"/>
    <w:rsid w:val="00006790"/>
    <w:rsid w:val="00006E03"/>
    <w:rsid w:val="000107C3"/>
    <w:rsid w:val="00011119"/>
    <w:rsid w:val="00012F1E"/>
    <w:rsid w:val="000151BB"/>
    <w:rsid w:val="00015E0F"/>
    <w:rsid w:val="000220F7"/>
    <w:rsid w:val="000232D5"/>
    <w:rsid w:val="00023C43"/>
    <w:rsid w:val="00025173"/>
    <w:rsid w:val="00026798"/>
    <w:rsid w:val="00027624"/>
    <w:rsid w:val="000302F9"/>
    <w:rsid w:val="0003654E"/>
    <w:rsid w:val="00040384"/>
    <w:rsid w:val="000428AF"/>
    <w:rsid w:val="00050F6B"/>
    <w:rsid w:val="000520C5"/>
    <w:rsid w:val="00062957"/>
    <w:rsid w:val="000678CD"/>
    <w:rsid w:val="00070762"/>
    <w:rsid w:val="00072C8C"/>
    <w:rsid w:val="00076D8B"/>
    <w:rsid w:val="000804F9"/>
    <w:rsid w:val="00081CE0"/>
    <w:rsid w:val="000835AA"/>
    <w:rsid w:val="00084D30"/>
    <w:rsid w:val="00085E3E"/>
    <w:rsid w:val="00090320"/>
    <w:rsid w:val="0009125B"/>
    <w:rsid w:val="000923FE"/>
    <w:rsid w:val="000928C0"/>
    <w:rsid w:val="000931C0"/>
    <w:rsid w:val="000A29D0"/>
    <w:rsid w:val="000A2E09"/>
    <w:rsid w:val="000A48E2"/>
    <w:rsid w:val="000A4F13"/>
    <w:rsid w:val="000A7A0B"/>
    <w:rsid w:val="000B175B"/>
    <w:rsid w:val="000B2CBF"/>
    <w:rsid w:val="000B3A0F"/>
    <w:rsid w:val="000B6DD9"/>
    <w:rsid w:val="000B7C8F"/>
    <w:rsid w:val="000D111C"/>
    <w:rsid w:val="000D1BA3"/>
    <w:rsid w:val="000D1C13"/>
    <w:rsid w:val="000D3484"/>
    <w:rsid w:val="000E0415"/>
    <w:rsid w:val="000E2B3D"/>
    <w:rsid w:val="000E2E5C"/>
    <w:rsid w:val="000E3A3D"/>
    <w:rsid w:val="000E5931"/>
    <w:rsid w:val="000E6BA8"/>
    <w:rsid w:val="000E7731"/>
    <w:rsid w:val="000F39DA"/>
    <w:rsid w:val="000F7715"/>
    <w:rsid w:val="00101B77"/>
    <w:rsid w:val="00105C42"/>
    <w:rsid w:val="001074CB"/>
    <w:rsid w:val="00125034"/>
    <w:rsid w:val="00127622"/>
    <w:rsid w:val="00132C68"/>
    <w:rsid w:val="00142A41"/>
    <w:rsid w:val="00143715"/>
    <w:rsid w:val="0014592F"/>
    <w:rsid w:val="001469AB"/>
    <w:rsid w:val="00150D39"/>
    <w:rsid w:val="0015255D"/>
    <w:rsid w:val="00152783"/>
    <w:rsid w:val="001531F5"/>
    <w:rsid w:val="00156B99"/>
    <w:rsid w:val="001643D1"/>
    <w:rsid w:val="00166124"/>
    <w:rsid w:val="001678D1"/>
    <w:rsid w:val="0017024E"/>
    <w:rsid w:val="00177DE1"/>
    <w:rsid w:val="00184DDA"/>
    <w:rsid w:val="0018553A"/>
    <w:rsid w:val="00187CAF"/>
    <w:rsid w:val="001900CD"/>
    <w:rsid w:val="0019357E"/>
    <w:rsid w:val="001A01CB"/>
    <w:rsid w:val="001A0452"/>
    <w:rsid w:val="001A46BE"/>
    <w:rsid w:val="001A5C0A"/>
    <w:rsid w:val="001A7108"/>
    <w:rsid w:val="001B407F"/>
    <w:rsid w:val="001B4B04"/>
    <w:rsid w:val="001B5875"/>
    <w:rsid w:val="001B6EDE"/>
    <w:rsid w:val="001C4B9C"/>
    <w:rsid w:val="001C6663"/>
    <w:rsid w:val="001C7895"/>
    <w:rsid w:val="001D0035"/>
    <w:rsid w:val="001D1652"/>
    <w:rsid w:val="001D26DF"/>
    <w:rsid w:val="001E1B01"/>
    <w:rsid w:val="001E5B15"/>
    <w:rsid w:val="001F1440"/>
    <w:rsid w:val="001F1599"/>
    <w:rsid w:val="001F19C4"/>
    <w:rsid w:val="001F3D16"/>
    <w:rsid w:val="001F5FB9"/>
    <w:rsid w:val="002043F0"/>
    <w:rsid w:val="00206861"/>
    <w:rsid w:val="0021152B"/>
    <w:rsid w:val="00211E0B"/>
    <w:rsid w:val="00213C6E"/>
    <w:rsid w:val="00217CFF"/>
    <w:rsid w:val="0022724F"/>
    <w:rsid w:val="00232575"/>
    <w:rsid w:val="00233B25"/>
    <w:rsid w:val="0023688D"/>
    <w:rsid w:val="002414F5"/>
    <w:rsid w:val="002415AD"/>
    <w:rsid w:val="00245EF8"/>
    <w:rsid w:val="00247258"/>
    <w:rsid w:val="00252E4C"/>
    <w:rsid w:val="002543E1"/>
    <w:rsid w:val="00255A85"/>
    <w:rsid w:val="00257CAC"/>
    <w:rsid w:val="002614F7"/>
    <w:rsid w:val="0026429C"/>
    <w:rsid w:val="002645D8"/>
    <w:rsid w:val="00265776"/>
    <w:rsid w:val="00265A0C"/>
    <w:rsid w:val="00271240"/>
    <w:rsid w:val="0027237A"/>
    <w:rsid w:val="00272418"/>
    <w:rsid w:val="00272891"/>
    <w:rsid w:val="00273C22"/>
    <w:rsid w:val="0028057B"/>
    <w:rsid w:val="002806CC"/>
    <w:rsid w:val="002856A1"/>
    <w:rsid w:val="002915C2"/>
    <w:rsid w:val="002974E9"/>
    <w:rsid w:val="002A6791"/>
    <w:rsid w:val="002A7A41"/>
    <w:rsid w:val="002A7F94"/>
    <w:rsid w:val="002B03FC"/>
    <w:rsid w:val="002B109A"/>
    <w:rsid w:val="002B2B67"/>
    <w:rsid w:val="002B41CC"/>
    <w:rsid w:val="002B620F"/>
    <w:rsid w:val="002B7755"/>
    <w:rsid w:val="002C040E"/>
    <w:rsid w:val="002C6D45"/>
    <w:rsid w:val="002D6E53"/>
    <w:rsid w:val="002E33BB"/>
    <w:rsid w:val="002E6A1C"/>
    <w:rsid w:val="002F046D"/>
    <w:rsid w:val="002F07B7"/>
    <w:rsid w:val="002F0A87"/>
    <w:rsid w:val="002F0E88"/>
    <w:rsid w:val="002F57E9"/>
    <w:rsid w:val="00301764"/>
    <w:rsid w:val="00302562"/>
    <w:rsid w:val="00302997"/>
    <w:rsid w:val="00306ECD"/>
    <w:rsid w:val="00311834"/>
    <w:rsid w:val="003229D8"/>
    <w:rsid w:val="00324D6B"/>
    <w:rsid w:val="00331F94"/>
    <w:rsid w:val="003326A7"/>
    <w:rsid w:val="00336C97"/>
    <w:rsid w:val="00336E49"/>
    <w:rsid w:val="00337F88"/>
    <w:rsid w:val="00342432"/>
    <w:rsid w:val="00343512"/>
    <w:rsid w:val="003442A0"/>
    <w:rsid w:val="0035223F"/>
    <w:rsid w:val="00352D4B"/>
    <w:rsid w:val="0035638C"/>
    <w:rsid w:val="00360925"/>
    <w:rsid w:val="00363D89"/>
    <w:rsid w:val="003651F7"/>
    <w:rsid w:val="003672C4"/>
    <w:rsid w:val="003706CF"/>
    <w:rsid w:val="00373289"/>
    <w:rsid w:val="003762B0"/>
    <w:rsid w:val="00377D3A"/>
    <w:rsid w:val="003836F9"/>
    <w:rsid w:val="00385580"/>
    <w:rsid w:val="00386CE2"/>
    <w:rsid w:val="00393AAA"/>
    <w:rsid w:val="00394625"/>
    <w:rsid w:val="003958EF"/>
    <w:rsid w:val="003A1EDF"/>
    <w:rsid w:val="003A2083"/>
    <w:rsid w:val="003A46BB"/>
    <w:rsid w:val="003A4ADD"/>
    <w:rsid w:val="003A4EC7"/>
    <w:rsid w:val="003A7295"/>
    <w:rsid w:val="003B1F60"/>
    <w:rsid w:val="003B4FE7"/>
    <w:rsid w:val="003B529F"/>
    <w:rsid w:val="003C2953"/>
    <w:rsid w:val="003C2CC4"/>
    <w:rsid w:val="003D0428"/>
    <w:rsid w:val="003D07BD"/>
    <w:rsid w:val="003D12C6"/>
    <w:rsid w:val="003D4B23"/>
    <w:rsid w:val="003E278A"/>
    <w:rsid w:val="003E6B45"/>
    <w:rsid w:val="003F2A43"/>
    <w:rsid w:val="003F524B"/>
    <w:rsid w:val="003F7B0E"/>
    <w:rsid w:val="00400D72"/>
    <w:rsid w:val="004028BE"/>
    <w:rsid w:val="0040665F"/>
    <w:rsid w:val="00413520"/>
    <w:rsid w:val="0041365D"/>
    <w:rsid w:val="00415BE9"/>
    <w:rsid w:val="00420727"/>
    <w:rsid w:val="00423BBC"/>
    <w:rsid w:val="0042519E"/>
    <w:rsid w:val="00427F07"/>
    <w:rsid w:val="004320B6"/>
    <w:rsid w:val="004325CB"/>
    <w:rsid w:val="00434C0D"/>
    <w:rsid w:val="00435E57"/>
    <w:rsid w:val="00437530"/>
    <w:rsid w:val="00440A07"/>
    <w:rsid w:val="00441B8C"/>
    <w:rsid w:val="004422EC"/>
    <w:rsid w:val="00443A24"/>
    <w:rsid w:val="004548EC"/>
    <w:rsid w:val="00462880"/>
    <w:rsid w:val="0046296C"/>
    <w:rsid w:val="00466316"/>
    <w:rsid w:val="00470E20"/>
    <w:rsid w:val="004736FB"/>
    <w:rsid w:val="00476F24"/>
    <w:rsid w:val="0048262A"/>
    <w:rsid w:val="00485FA1"/>
    <w:rsid w:val="004955B7"/>
    <w:rsid w:val="004A730A"/>
    <w:rsid w:val="004A7EA0"/>
    <w:rsid w:val="004B34DC"/>
    <w:rsid w:val="004B3589"/>
    <w:rsid w:val="004B510E"/>
    <w:rsid w:val="004C0C6E"/>
    <w:rsid w:val="004C3913"/>
    <w:rsid w:val="004C55B0"/>
    <w:rsid w:val="004C57C0"/>
    <w:rsid w:val="004D3A24"/>
    <w:rsid w:val="004E4AA2"/>
    <w:rsid w:val="004F3238"/>
    <w:rsid w:val="004F6BA0"/>
    <w:rsid w:val="00503BEA"/>
    <w:rsid w:val="005107FD"/>
    <w:rsid w:val="00511975"/>
    <w:rsid w:val="00514583"/>
    <w:rsid w:val="00515A2F"/>
    <w:rsid w:val="00516AC3"/>
    <w:rsid w:val="00521782"/>
    <w:rsid w:val="00523FB7"/>
    <w:rsid w:val="00524AF7"/>
    <w:rsid w:val="005258F1"/>
    <w:rsid w:val="005271F1"/>
    <w:rsid w:val="00530FC6"/>
    <w:rsid w:val="00531163"/>
    <w:rsid w:val="00533616"/>
    <w:rsid w:val="00534432"/>
    <w:rsid w:val="00535ABA"/>
    <w:rsid w:val="0053768B"/>
    <w:rsid w:val="00540A60"/>
    <w:rsid w:val="00541580"/>
    <w:rsid w:val="005420F2"/>
    <w:rsid w:val="0054285C"/>
    <w:rsid w:val="00550220"/>
    <w:rsid w:val="0055171D"/>
    <w:rsid w:val="00552770"/>
    <w:rsid w:val="00553946"/>
    <w:rsid w:val="0055548E"/>
    <w:rsid w:val="00557B07"/>
    <w:rsid w:val="005637A5"/>
    <w:rsid w:val="00564574"/>
    <w:rsid w:val="00570999"/>
    <w:rsid w:val="005731B2"/>
    <w:rsid w:val="00575F90"/>
    <w:rsid w:val="00577230"/>
    <w:rsid w:val="0057770A"/>
    <w:rsid w:val="005815D8"/>
    <w:rsid w:val="00584173"/>
    <w:rsid w:val="00595520"/>
    <w:rsid w:val="00597F3A"/>
    <w:rsid w:val="005A11F2"/>
    <w:rsid w:val="005A44B9"/>
    <w:rsid w:val="005A5CA3"/>
    <w:rsid w:val="005A6954"/>
    <w:rsid w:val="005A77EC"/>
    <w:rsid w:val="005B038F"/>
    <w:rsid w:val="005B1BA0"/>
    <w:rsid w:val="005B1BA9"/>
    <w:rsid w:val="005B2CD8"/>
    <w:rsid w:val="005B3DB3"/>
    <w:rsid w:val="005B4E44"/>
    <w:rsid w:val="005B6001"/>
    <w:rsid w:val="005C3C33"/>
    <w:rsid w:val="005C3CA9"/>
    <w:rsid w:val="005C4601"/>
    <w:rsid w:val="005C76D1"/>
    <w:rsid w:val="005D15CA"/>
    <w:rsid w:val="005D7016"/>
    <w:rsid w:val="005E51E3"/>
    <w:rsid w:val="005F0A96"/>
    <w:rsid w:val="005F143F"/>
    <w:rsid w:val="005F194F"/>
    <w:rsid w:val="005F2A66"/>
    <w:rsid w:val="005F3066"/>
    <w:rsid w:val="005F3E61"/>
    <w:rsid w:val="005F59B9"/>
    <w:rsid w:val="005F6F91"/>
    <w:rsid w:val="00603B51"/>
    <w:rsid w:val="0060445E"/>
    <w:rsid w:val="00604DDD"/>
    <w:rsid w:val="006115CC"/>
    <w:rsid w:val="00611A78"/>
    <w:rsid w:val="00611FC4"/>
    <w:rsid w:val="00615E84"/>
    <w:rsid w:val="006176FB"/>
    <w:rsid w:val="0062603A"/>
    <w:rsid w:val="006262B5"/>
    <w:rsid w:val="00626343"/>
    <w:rsid w:val="00626B21"/>
    <w:rsid w:val="006301FA"/>
    <w:rsid w:val="00630FCB"/>
    <w:rsid w:val="00631A08"/>
    <w:rsid w:val="00632DCB"/>
    <w:rsid w:val="00633C3E"/>
    <w:rsid w:val="00640B26"/>
    <w:rsid w:val="00645949"/>
    <w:rsid w:val="00656780"/>
    <w:rsid w:val="00656D14"/>
    <w:rsid w:val="00661823"/>
    <w:rsid w:val="00661CA1"/>
    <w:rsid w:val="00665D3C"/>
    <w:rsid w:val="00670055"/>
    <w:rsid w:val="00676F16"/>
    <w:rsid w:val="006770B2"/>
    <w:rsid w:val="00684D84"/>
    <w:rsid w:val="006919BF"/>
    <w:rsid w:val="00691C86"/>
    <w:rsid w:val="00692D14"/>
    <w:rsid w:val="006940E1"/>
    <w:rsid w:val="006A14ED"/>
    <w:rsid w:val="006A3C72"/>
    <w:rsid w:val="006A7392"/>
    <w:rsid w:val="006B03A1"/>
    <w:rsid w:val="006B1F0D"/>
    <w:rsid w:val="006B2BE8"/>
    <w:rsid w:val="006B65EC"/>
    <w:rsid w:val="006B67D9"/>
    <w:rsid w:val="006B68FC"/>
    <w:rsid w:val="006B7633"/>
    <w:rsid w:val="006C28A7"/>
    <w:rsid w:val="006C3522"/>
    <w:rsid w:val="006C5535"/>
    <w:rsid w:val="006C5759"/>
    <w:rsid w:val="006C58DE"/>
    <w:rsid w:val="006C5D03"/>
    <w:rsid w:val="006D0589"/>
    <w:rsid w:val="006D3659"/>
    <w:rsid w:val="006D4B30"/>
    <w:rsid w:val="006D6DFC"/>
    <w:rsid w:val="006E0260"/>
    <w:rsid w:val="006E0B70"/>
    <w:rsid w:val="006E1F38"/>
    <w:rsid w:val="006E564B"/>
    <w:rsid w:val="006E7154"/>
    <w:rsid w:val="006F5205"/>
    <w:rsid w:val="006F52ED"/>
    <w:rsid w:val="007003CD"/>
    <w:rsid w:val="00700E30"/>
    <w:rsid w:val="00702B36"/>
    <w:rsid w:val="00704CC9"/>
    <w:rsid w:val="007063C0"/>
    <w:rsid w:val="0070701E"/>
    <w:rsid w:val="00720364"/>
    <w:rsid w:val="00721A2D"/>
    <w:rsid w:val="00724FB7"/>
    <w:rsid w:val="0072632A"/>
    <w:rsid w:val="00730D4A"/>
    <w:rsid w:val="00732655"/>
    <w:rsid w:val="007358E8"/>
    <w:rsid w:val="0073688E"/>
    <w:rsid w:val="00736ECE"/>
    <w:rsid w:val="007401A8"/>
    <w:rsid w:val="0074533B"/>
    <w:rsid w:val="007515AA"/>
    <w:rsid w:val="00752BAC"/>
    <w:rsid w:val="007568A1"/>
    <w:rsid w:val="007638DE"/>
    <w:rsid w:val="00763F09"/>
    <w:rsid w:val="007643BC"/>
    <w:rsid w:val="00765B12"/>
    <w:rsid w:val="00767CC9"/>
    <w:rsid w:val="007702C7"/>
    <w:rsid w:val="0077070B"/>
    <w:rsid w:val="00772048"/>
    <w:rsid w:val="00776179"/>
    <w:rsid w:val="007804A7"/>
    <w:rsid w:val="0078636F"/>
    <w:rsid w:val="0078654E"/>
    <w:rsid w:val="007874B2"/>
    <w:rsid w:val="007931F4"/>
    <w:rsid w:val="007941CB"/>
    <w:rsid w:val="007959FE"/>
    <w:rsid w:val="007A0CF1"/>
    <w:rsid w:val="007A72C4"/>
    <w:rsid w:val="007B430E"/>
    <w:rsid w:val="007B6898"/>
    <w:rsid w:val="007B68EA"/>
    <w:rsid w:val="007B6BA5"/>
    <w:rsid w:val="007B73D6"/>
    <w:rsid w:val="007C02C5"/>
    <w:rsid w:val="007C3390"/>
    <w:rsid w:val="007C42D8"/>
    <w:rsid w:val="007C4F4B"/>
    <w:rsid w:val="007C7352"/>
    <w:rsid w:val="007D0029"/>
    <w:rsid w:val="007D68A4"/>
    <w:rsid w:val="007D68AB"/>
    <w:rsid w:val="007D7362"/>
    <w:rsid w:val="007E1E32"/>
    <w:rsid w:val="007E1E7C"/>
    <w:rsid w:val="007E202C"/>
    <w:rsid w:val="007F5CE2"/>
    <w:rsid w:val="007F6611"/>
    <w:rsid w:val="00806375"/>
    <w:rsid w:val="008073DE"/>
    <w:rsid w:val="008108B2"/>
    <w:rsid w:val="00810BAC"/>
    <w:rsid w:val="00811F4A"/>
    <w:rsid w:val="008175E9"/>
    <w:rsid w:val="00820B09"/>
    <w:rsid w:val="008242D7"/>
    <w:rsid w:val="0082508D"/>
    <w:rsid w:val="0082577B"/>
    <w:rsid w:val="00826DFD"/>
    <w:rsid w:val="00832879"/>
    <w:rsid w:val="008330C3"/>
    <w:rsid w:val="008411BE"/>
    <w:rsid w:val="0084178E"/>
    <w:rsid w:val="00841F15"/>
    <w:rsid w:val="00843800"/>
    <w:rsid w:val="00844471"/>
    <w:rsid w:val="008478BB"/>
    <w:rsid w:val="00855ED6"/>
    <w:rsid w:val="00856319"/>
    <w:rsid w:val="008578D1"/>
    <w:rsid w:val="00857AC8"/>
    <w:rsid w:val="00861423"/>
    <w:rsid w:val="0086168F"/>
    <w:rsid w:val="008655DF"/>
    <w:rsid w:val="00866893"/>
    <w:rsid w:val="00866F02"/>
    <w:rsid w:val="00867D18"/>
    <w:rsid w:val="00871F9A"/>
    <w:rsid w:val="00871FD5"/>
    <w:rsid w:val="00873467"/>
    <w:rsid w:val="00875D1D"/>
    <w:rsid w:val="00877D1A"/>
    <w:rsid w:val="0088172E"/>
    <w:rsid w:val="00881EFA"/>
    <w:rsid w:val="008853D5"/>
    <w:rsid w:val="00886744"/>
    <w:rsid w:val="008879CB"/>
    <w:rsid w:val="0089388C"/>
    <w:rsid w:val="00894456"/>
    <w:rsid w:val="008979B1"/>
    <w:rsid w:val="008A3B74"/>
    <w:rsid w:val="008A6B25"/>
    <w:rsid w:val="008A6C4F"/>
    <w:rsid w:val="008B19CB"/>
    <w:rsid w:val="008B316B"/>
    <w:rsid w:val="008B389E"/>
    <w:rsid w:val="008B54D6"/>
    <w:rsid w:val="008C026D"/>
    <w:rsid w:val="008C1B46"/>
    <w:rsid w:val="008C1FCE"/>
    <w:rsid w:val="008C248B"/>
    <w:rsid w:val="008C560D"/>
    <w:rsid w:val="008D045E"/>
    <w:rsid w:val="008D23B4"/>
    <w:rsid w:val="008D3F25"/>
    <w:rsid w:val="008D4AA9"/>
    <w:rsid w:val="008D4D82"/>
    <w:rsid w:val="008E0005"/>
    <w:rsid w:val="008E0E46"/>
    <w:rsid w:val="008E1658"/>
    <w:rsid w:val="008E36B8"/>
    <w:rsid w:val="008E55FE"/>
    <w:rsid w:val="008E69BE"/>
    <w:rsid w:val="008E7116"/>
    <w:rsid w:val="008F143B"/>
    <w:rsid w:val="008F1CDE"/>
    <w:rsid w:val="008F2486"/>
    <w:rsid w:val="008F3882"/>
    <w:rsid w:val="008F4B7C"/>
    <w:rsid w:val="008F4D77"/>
    <w:rsid w:val="008F784C"/>
    <w:rsid w:val="00900E7C"/>
    <w:rsid w:val="00904C0B"/>
    <w:rsid w:val="00904E26"/>
    <w:rsid w:val="00905D1B"/>
    <w:rsid w:val="009103AF"/>
    <w:rsid w:val="0091123F"/>
    <w:rsid w:val="00914F23"/>
    <w:rsid w:val="00922E7B"/>
    <w:rsid w:val="00926E47"/>
    <w:rsid w:val="009329C5"/>
    <w:rsid w:val="00933578"/>
    <w:rsid w:val="00941F0D"/>
    <w:rsid w:val="00942697"/>
    <w:rsid w:val="00945A29"/>
    <w:rsid w:val="00947162"/>
    <w:rsid w:val="009542B3"/>
    <w:rsid w:val="009551BC"/>
    <w:rsid w:val="009610D0"/>
    <w:rsid w:val="0096375C"/>
    <w:rsid w:val="0096398C"/>
    <w:rsid w:val="009662E6"/>
    <w:rsid w:val="0097018C"/>
    <w:rsid w:val="0097095E"/>
    <w:rsid w:val="009736F3"/>
    <w:rsid w:val="0098592B"/>
    <w:rsid w:val="00985FC4"/>
    <w:rsid w:val="00986B20"/>
    <w:rsid w:val="00987D54"/>
    <w:rsid w:val="00990766"/>
    <w:rsid w:val="00991261"/>
    <w:rsid w:val="0099137E"/>
    <w:rsid w:val="00991395"/>
    <w:rsid w:val="009964C4"/>
    <w:rsid w:val="00996858"/>
    <w:rsid w:val="009A1807"/>
    <w:rsid w:val="009A1B24"/>
    <w:rsid w:val="009A3767"/>
    <w:rsid w:val="009A446C"/>
    <w:rsid w:val="009A7B81"/>
    <w:rsid w:val="009C26AE"/>
    <w:rsid w:val="009C2C3E"/>
    <w:rsid w:val="009C54E1"/>
    <w:rsid w:val="009D01C0"/>
    <w:rsid w:val="009D0D41"/>
    <w:rsid w:val="009D5629"/>
    <w:rsid w:val="009D574A"/>
    <w:rsid w:val="009D6A08"/>
    <w:rsid w:val="009E051F"/>
    <w:rsid w:val="009E0A16"/>
    <w:rsid w:val="009E55C4"/>
    <w:rsid w:val="009E6AAA"/>
    <w:rsid w:val="009E6CB7"/>
    <w:rsid w:val="009E7970"/>
    <w:rsid w:val="009F2E47"/>
    <w:rsid w:val="009F2EAC"/>
    <w:rsid w:val="009F2FD6"/>
    <w:rsid w:val="009F57E3"/>
    <w:rsid w:val="00A073EC"/>
    <w:rsid w:val="00A07922"/>
    <w:rsid w:val="00A108D6"/>
    <w:rsid w:val="00A10F4F"/>
    <w:rsid w:val="00A11067"/>
    <w:rsid w:val="00A12234"/>
    <w:rsid w:val="00A13F4A"/>
    <w:rsid w:val="00A14135"/>
    <w:rsid w:val="00A1704A"/>
    <w:rsid w:val="00A23140"/>
    <w:rsid w:val="00A271BC"/>
    <w:rsid w:val="00A27BA9"/>
    <w:rsid w:val="00A30C22"/>
    <w:rsid w:val="00A33E55"/>
    <w:rsid w:val="00A425EB"/>
    <w:rsid w:val="00A43290"/>
    <w:rsid w:val="00A44FCF"/>
    <w:rsid w:val="00A46336"/>
    <w:rsid w:val="00A47C5B"/>
    <w:rsid w:val="00A54901"/>
    <w:rsid w:val="00A54A44"/>
    <w:rsid w:val="00A6172B"/>
    <w:rsid w:val="00A65ABB"/>
    <w:rsid w:val="00A66373"/>
    <w:rsid w:val="00A70C0A"/>
    <w:rsid w:val="00A72F22"/>
    <w:rsid w:val="00A733BC"/>
    <w:rsid w:val="00A748A6"/>
    <w:rsid w:val="00A76A69"/>
    <w:rsid w:val="00A7789A"/>
    <w:rsid w:val="00A83F46"/>
    <w:rsid w:val="00A849B3"/>
    <w:rsid w:val="00A85F89"/>
    <w:rsid w:val="00A879A4"/>
    <w:rsid w:val="00A90506"/>
    <w:rsid w:val="00A927D9"/>
    <w:rsid w:val="00A95D56"/>
    <w:rsid w:val="00AA0FF8"/>
    <w:rsid w:val="00AA172B"/>
    <w:rsid w:val="00AA35F6"/>
    <w:rsid w:val="00AA5537"/>
    <w:rsid w:val="00AA703A"/>
    <w:rsid w:val="00AB476E"/>
    <w:rsid w:val="00AC0F2C"/>
    <w:rsid w:val="00AC502A"/>
    <w:rsid w:val="00AC56E3"/>
    <w:rsid w:val="00AE308D"/>
    <w:rsid w:val="00AE5BE6"/>
    <w:rsid w:val="00AF30A2"/>
    <w:rsid w:val="00AF58C1"/>
    <w:rsid w:val="00AF68FC"/>
    <w:rsid w:val="00AF7BAD"/>
    <w:rsid w:val="00B01B0A"/>
    <w:rsid w:val="00B03CA2"/>
    <w:rsid w:val="00B04A3F"/>
    <w:rsid w:val="00B0623E"/>
    <w:rsid w:val="00B06643"/>
    <w:rsid w:val="00B10C68"/>
    <w:rsid w:val="00B1287C"/>
    <w:rsid w:val="00B15055"/>
    <w:rsid w:val="00B16A46"/>
    <w:rsid w:val="00B16C03"/>
    <w:rsid w:val="00B17438"/>
    <w:rsid w:val="00B259DB"/>
    <w:rsid w:val="00B25C00"/>
    <w:rsid w:val="00B26357"/>
    <w:rsid w:val="00B26A50"/>
    <w:rsid w:val="00B30179"/>
    <w:rsid w:val="00B3335E"/>
    <w:rsid w:val="00B37B15"/>
    <w:rsid w:val="00B42D95"/>
    <w:rsid w:val="00B43D3E"/>
    <w:rsid w:val="00B44E98"/>
    <w:rsid w:val="00B45C02"/>
    <w:rsid w:val="00B4693C"/>
    <w:rsid w:val="00B50D5F"/>
    <w:rsid w:val="00B60A96"/>
    <w:rsid w:val="00B64EB2"/>
    <w:rsid w:val="00B708E5"/>
    <w:rsid w:val="00B71C7C"/>
    <w:rsid w:val="00B72A1E"/>
    <w:rsid w:val="00B73CC8"/>
    <w:rsid w:val="00B81E12"/>
    <w:rsid w:val="00B833C0"/>
    <w:rsid w:val="00B86522"/>
    <w:rsid w:val="00B87CB2"/>
    <w:rsid w:val="00B93D90"/>
    <w:rsid w:val="00BA339B"/>
    <w:rsid w:val="00BA3B68"/>
    <w:rsid w:val="00BB1362"/>
    <w:rsid w:val="00BB3AB5"/>
    <w:rsid w:val="00BB4E02"/>
    <w:rsid w:val="00BB6EFB"/>
    <w:rsid w:val="00BC1E7E"/>
    <w:rsid w:val="00BC44C0"/>
    <w:rsid w:val="00BC689E"/>
    <w:rsid w:val="00BC74E9"/>
    <w:rsid w:val="00BC7537"/>
    <w:rsid w:val="00BC7F91"/>
    <w:rsid w:val="00BD400E"/>
    <w:rsid w:val="00BD4C25"/>
    <w:rsid w:val="00BD6FD8"/>
    <w:rsid w:val="00BD7144"/>
    <w:rsid w:val="00BD714F"/>
    <w:rsid w:val="00BE36A9"/>
    <w:rsid w:val="00BE3784"/>
    <w:rsid w:val="00BE5F59"/>
    <w:rsid w:val="00BE618E"/>
    <w:rsid w:val="00BE7BEC"/>
    <w:rsid w:val="00BF0A5A"/>
    <w:rsid w:val="00BF0E63"/>
    <w:rsid w:val="00BF12A3"/>
    <w:rsid w:val="00BF16D7"/>
    <w:rsid w:val="00BF2373"/>
    <w:rsid w:val="00BF7C50"/>
    <w:rsid w:val="00BF7D6F"/>
    <w:rsid w:val="00C00790"/>
    <w:rsid w:val="00C01FDC"/>
    <w:rsid w:val="00C02C85"/>
    <w:rsid w:val="00C03A91"/>
    <w:rsid w:val="00C044E2"/>
    <w:rsid w:val="00C048CB"/>
    <w:rsid w:val="00C066F3"/>
    <w:rsid w:val="00C075A5"/>
    <w:rsid w:val="00C0789F"/>
    <w:rsid w:val="00C07D9C"/>
    <w:rsid w:val="00C1110D"/>
    <w:rsid w:val="00C115F2"/>
    <w:rsid w:val="00C14992"/>
    <w:rsid w:val="00C25355"/>
    <w:rsid w:val="00C274CD"/>
    <w:rsid w:val="00C33242"/>
    <w:rsid w:val="00C377BB"/>
    <w:rsid w:val="00C40C59"/>
    <w:rsid w:val="00C413C1"/>
    <w:rsid w:val="00C463DD"/>
    <w:rsid w:val="00C474AE"/>
    <w:rsid w:val="00C52205"/>
    <w:rsid w:val="00C52C57"/>
    <w:rsid w:val="00C539E4"/>
    <w:rsid w:val="00C54C30"/>
    <w:rsid w:val="00C551E7"/>
    <w:rsid w:val="00C55E06"/>
    <w:rsid w:val="00C62205"/>
    <w:rsid w:val="00C638F3"/>
    <w:rsid w:val="00C66BD9"/>
    <w:rsid w:val="00C67210"/>
    <w:rsid w:val="00C701F1"/>
    <w:rsid w:val="00C745C3"/>
    <w:rsid w:val="00C74EA3"/>
    <w:rsid w:val="00C838F9"/>
    <w:rsid w:val="00C857DB"/>
    <w:rsid w:val="00C9041A"/>
    <w:rsid w:val="00C90DA8"/>
    <w:rsid w:val="00C97615"/>
    <w:rsid w:val="00CA1E4C"/>
    <w:rsid w:val="00CA24A4"/>
    <w:rsid w:val="00CA5651"/>
    <w:rsid w:val="00CB348D"/>
    <w:rsid w:val="00CB77F9"/>
    <w:rsid w:val="00CC00F6"/>
    <w:rsid w:val="00CC0625"/>
    <w:rsid w:val="00CC4563"/>
    <w:rsid w:val="00CC4E0D"/>
    <w:rsid w:val="00CD183E"/>
    <w:rsid w:val="00CD46F5"/>
    <w:rsid w:val="00CD48A5"/>
    <w:rsid w:val="00CE01EB"/>
    <w:rsid w:val="00CE4749"/>
    <w:rsid w:val="00CE4A8F"/>
    <w:rsid w:val="00CE6B1F"/>
    <w:rsid w:val="00CF071D"/>
    <w:rsid w:val="00CF0D34"/>
    <w:rsid w:val="00CF2E1C"/>
    <w:rsid w:val="00D00F63"/>
    <w:rsid w:val="00D03EA8"/>
    <w:rsid w:val="00D10B4C"/>
    <w:rsid w:val="00D1233E"/>
    <w:rsid w:val="00D13666"/>
    <w:rsid w:val="00D15B04"/>
    <w:rsid w:val="00D2031B"/>
    <w:rsid w:val="00D25FE2"/>
    <w:rsid w:val="00D30792"/>
    <w:rsid w:val="00D345FF"/>
    <w:rsid w:val="00D36281"/>
    <w:rsid w:val="00D37DA9"/>
    <w:rsid w:val="00D40695"/>
    <w:rsid w:val="00D406A7"/>
    <w:rsid w:val="00D426C1"/>
    <w:rsid w:val="00D43252"/>
    <w:rsid w:val="00D44D86"/>
    <w:rsid w:val="00D46E76"/>
    <w:rsid w:val="00D46F1F"/>
    <w:rsid w:val="00D50B7D"/>
    <w:rsid w:val="00D50BBC"/>
    <w:rsid w:val="00D52012"/>
    <w:rsid w:val="00D53103"/>
    <w:rsid w:val="00D704E5"/>
    <w:rsid w:val="00D706FC"/>
    <w:rsid w:val="00D70C33"/>
    <w:rsid w:val="00D72727"/>
    <w:rsid w:val="00D735E0"/>
    <w:rsid w:val="00D748DF"/>
    <w:rsid w:val="00D75552"/>
    <w:rsid w:val="00D809EC"/>
    <w:rsid w:val="00D858CA"/>
    <w:rsid w:val="00D85F32"/>
    <w:rsid w:val="00D86BFF"/>
    <w:rsid w:val="00D91A88"/>
    <w:rsid w:val="00D93CC1"/>
    <w:rsid w:val="00D96AF5"/>
    <w:rsid w:val="00D978C6"/>
    <w:rsid w:val="00DA00EB"/>
    <w:rsid w:val="00DA0956"/>
    <w:rsid w:val="00DA13E9"/>
    <w:rsid w:val="00DA1F81"/>
    <w:rsid w:val="00DA357F"/>
    <w:rsid w:val="00DA3E12"/>
    <w:rsid w:val="00DA4FB5"/>
    <w:rsid w:val="00DB35EE"/>
    <w:rsid w:val="00DB3F41"/>
    <w:rsid w:val="00DC18AD"/>
    <w:rsid w:val="00DC545D"/>
    <w:rsid w:val="00DC7CDC"/>
    <w:rsid w:val="00DE6521"/>
    <w:rsid w:val="00DE7D70"/>
    <w:rsid w:val="00DF0631"/>
    <w:rsid w:val="00DF284D"/>
    <w:rsid w:val="00DF6DF9"/>
    <w:rsid w:val="00DF7CAE"/>
    <w:rsid w:val="00E01ACD"/>
    <w:rsid w:val="00E03D21"/>
    <w:rsid w:val="00E10FAE"/>
    <w:rsid w:val="00E137E0"/>
    <w:rsid w:val="00E14499"/>
    <w:rsid w:val="00E15CFC"/>
    <w:rsid w:val="00E177ED"/>
    <w:rsid w:val="00E2024B"/>
    <w:rsid w:val="00E21310"/>
    <w:rsid w:val="00E423C0"/>
    <w:rsid w:val="00E46562"/>
    <w:rsid w:val="00E50AD9"/>
    <w:rsid w:val="00E53465"/>
    <w:rsid w:val="00E6414C"/>
    <w:rsid w:val="00E663A9"/>
    <w:rsid w:val="00E71462"/>
    <w:rsid w:val="00E7260F"/>
    <w:rsid w:val="00E73C51"/>
    <w:rsid w:val="00E77310"/>
    <w:rsid w:val="00E81285"/>
    <w:rsid w:val="00E8538C"/>
    <w:rsid w:val="00E8702D"/>
    <w:rsid w:val="00E916A9"/>
    <w:rsid w:val="00E916DE"/>
    <w:rsid w:val="00E925AD"/>
    <w:rsid w:val="00E96630"/>
    <w:rsid w:val="00E967EA"/>
    <w:rsid w:val="00EA7C9A"/>
    <w:rsid w:val="00EB1C44"/>
    <w:rsid w:val="00EB3F9D"/>
    <w:rsid w:val="00EB4013"/>
    <w:rsid w:val="00EB57BC"/>
    <w:rsid w:val="00EB610A"/>
    <w:rsid w:val="00EC5D43"/>
    <w:rsid w:val="00ED054E"/>
    <w:rsid w:val="00ED18DC"/>
    <w:rsid w:val="00ED2242"/>
    <w:rsid w:val="00ED54E7"/>
    <w:rsid w:val="00ED6201"/>
    <w:rsid w:val="00ED653F"/>
    <w:rsid w:val="00ED7A2A"/>
    <w:rsid w:val="00EE1A00"/>
    <w:rsid w:val="00EE6321"/>
    <w:rsid w:val="00EF1D7F"/>
    <w:rsid w:val="00F012CF"/>
    <w:rsid w:val="00F0137E"/>
    <w:rsid w:val="00F071EC"/>
    <w:rsid w:val="00F103D6"/>
    <w:rsid w:val="00F13087"/>
    <w:rsid w:val="00F21786"/>
    <w:rsid w:val="00F25F79"/>
    <w:rsid w:val="00F3289F"/>
    <w:rsid w:val="00F328ED"/>
    <w:rsid w:val="00F3742B"/>
    <w:rsid w:val="00F403BB"/>
    <w:rsid w:val="00F40967"/>
    <w:rsid w:val="00F41147"/>
    <w:rsid w:val="00F41FDB"/>
    <w:rsid w:val="00F45657"/>
    <w:rsid w:val="00F478E0"/>
    <w:rsid w:val="00F507EC"/>
    <w:rsid w:val="00F538E0"/>
    <w:rsid w:val="00F56D63"/>
    <w:rsid w:val="00F57C48"/>
    <w:rsid w:val="00F609A9"/>
    <w:rsid w:val="00F62828"/>
    <w:rsid w:val="00F65168"/>
    <w:rsid w:val="00F65BFC"/>
    <w:rsid w:val="00F72AEC"/>
    <w:rsid w:val="00F80C99"/>
    <w:rsid w:val="00F81EDC"/>
    <w:rsid w:val="00F828FE"/>
    <w:rsid w:val="00F867EC"/>
    <w:rsid w:val="00F86AA0"/>
    <w:rsid w:val="00F870D1"/>
    <w:rsid w:val="00F90F3D"/>
    <w:rsid w:val="00F91B2B"/>
    <w:rsid w:val="00F938BD"/>
    <w:rsid w:val="00F939C5"/>
    <w:rsid w:val="00FA20BA"/>
    <w:rsid w:val="00FA3136"/>
    <w:rsid w:val="00FA31E3"/>
    <w:rsid w:val="00FA5359"/>
    <w:rsid w:val="00FB55D4"/>
    <w:rsid w:val="00FC03CD"/>
    <w:rsid w:val="00FC0550"/>
    <w:rsid w:val="00FC0646"/>
    <w:rsid w:val="00FC0F40"/>
    <w:rsid w:val="00FC17DB"/>
    <w:rsid w:val="00FC5C1E"/>
    <w:rsid w:val="00FC68B7"/>
    <w:rsid w:val="00FD08F0"/>
    <w:rsid w:val="00FE1872"/>
    <w:rsid w:val="00FE4741"/>
    <w:rsid w:val="00FE4D62"/>
    <w:rsid w:val="00FE5CE4"/>
    <w:rsid w:val="00FE6985"/>
    <w:rsid w:val="00FF074E"/>
    <w:rsid w:val="00FF230A"/>
    <w:rsid w:val="00FF4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C5F09"/>
  <w15:docId w15:val="{8D5ABADC-F657-4796-BABE-F699D4E8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Podrozdział,Footnote,Podrozdzia3"/>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styleId="CommentReference">
    <w:name w:val="annotation reference"/>
    <w:basedOn w:val="DefaultParagraphFont"/>
    <w:semiHidden/>
    <w:unhideWhenUsed/>
    <w:rsid w:val="0078636F"/>
    <w:rPr>
      <w:sz w:val="16"/>
      <w:szCs w:val="16"/>
    </w:rPr>
  </w:style>
  <w:style w:type="paragraph" w:styleId="CommentText">
    <w:name w:val="annotation text"/>
    <w:basedOn w:val="Normal"/>
    <w:link w:val="CommentTextChar"/>
    <w:semiHidden/>
    <w:unhideWhenUsed/>
    <w:rsid w:val="0078636F"/>
    <w:pPr>
      <w:spacing w:line="240" w:lineRule="auto"/>
    </w:pPr>
  </w:style>
  <w:style w:type="character" w:customStyle="1" w:styleId="CommentTextChar">
    <w:name w:val="Comment Text Char"/>
    <w:basedOn w:val="DefaultParagraphFont"/>
    <w:link w:val="CommentText"/>
    <w:semiHidden/>
    <w:rsid w:val="0078636F"/>
    <w:rPr>
      <w:lang w:eastAsia="en-US"/>
    </w:rPr>
  </w:style>
  <w:style w:type="paragraph" w:styleId="BalloonText">
    <w:name w:val="Balloon Text"/>
    <w:basedOn w:val="Normal"/>
    <w:link w:val="BalloonTextChar"/>
    <w:semiHidden/>
    <w:unhideWhenUsed/>
    <w:rsid w:val="007863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8636F"/>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273C22"/>
    <w:rPr>
      <w:b/>
      <w:bCs/>
    </w:rPr>
  </w:style>
  <w:style w:type="character" w:customStyle="1" w:styleId="CommentSubjectChar">
    <w:name w:val="Comment Subject Char"/>
    <w:basedOn w:val="CommentTextChar"/>
    <w:link w:val="CommentSubject"/>
    <w:semiHidden/>
    <w:rsid w:val="00273C22"/>
    <w:rPr>
      <w:b/>
      <w:bCs/>
      <w:lang w:eastAsia="en-US"/>
    </w:rPr>
  </w:style>
  <w:style w:type="paragraph" w:styleId="ListParagraph">
    <w:name w:val="List Paragraph"/>
    <w:basedOn w:val="Normal"/>
    <w:link w:val="ListParagraphChar"/>
    <w:qFormat/>
    <w:rsid w:val="00765B12"/>
    <w:pPr>
      <w:suppressAutoHyphens w:val="0"/>
      <w:spacing w:line="240" w:lineRule="auto"/>
      <w:ind w:left="720"/>
    </w:pPr>
    <w:rPr>
      <w:sz w:val="24"/>
      <w:szCs w:val="24"/>
      <w:lang w:eastAsia="en-GB"/>
    </w:rPr>
  </w:style>
  <w:style w:type="paragraph" w:styleId="Revision">
    <w:name w:val="Revision"/>
    <w:hidden/>
    <w:uiPriority w:val="99"/>
    <w:semiHidden/>
    <w:rsid w:val="009D5629"/>
    <w:rPr>
      <w:lang w:eastAsia="en-US"/>
    </w:rPr>
  </w:style>
  <w:style w:type="character" w:customStyle="1" w:styleId="UnresolvedMention1">
    <w:name w:val="Unresolved Mention1"/>
    <w:basedOn w:val="DefaultParagraphFont"/>
    <w:uiPriority w:val="99"/>
    <w:semiHidden/>
    <w:unhideWhenUsed/>
    <w:rsid w:val="001643D1"/>
    <w:rPr>
      <w:color w:val="808080"/>
      <w:shd w:val="clear" w:color="auto" w:fill="E6E6E6"/>
    </w:rPr>
  </w:style>
  <w:style w:type="character" w:customStyle="1" w:styleId="SingleTxtGChar">
    <w:name w:val="_ Single Txt_G Char"/>
    <w:link w:val="SingleTxtG"/>
    <w:rsid w:val="000D111C"/>
    <w:rPr>
      <w:lang w:eastAsia="en-US"/>
    </w:rPr>
  </w:style>
  <w:style w:type="character" w:customStyle="1" w:styleId="H1GChar">
    <w:name w:val="_ H_1_G Char"/>
    <w:link w:val="H1G"/>
    <w:rsid w:val="000D111C"/>
    <w:rPr>
      <w:b/>
      <w:sz w:val="24"/>
      <w:lang w:eastAsia="en-US"/>
    </w:rPr>
  </w:style>
  <w:style w:type="character" w:customStyle="1" w:styleId="FootnoteTextChar">
    <w:name w:val="Footnote Text Char"/>
    <w:aliases w:val="5_G Char,Fußnote Char,Footnote Text Char Char Char,single space Char,footnote text Char,Footnote text Char,Podrozdział Char,Footnote Char,Podrozdzia3 Char"/>
    <w:link w:val="FootnoteText"/>
    <w:rsid w:val="00C03A91"/>
    <w:rPr>
      <w:sz w:val="18"/>
      <w:lang w:eastAsia="en-US"/>
    </w:rPr>
  </w:style>
  <w:style w:type="character" w:customStyle="1" w:styleId="Heading1Char">
    <w:name w:val="Heading 1 Char"/>
    <w:aliases w:val="Table_G Char"/>
    <w:basedOn w:val="DefaultParagraphFont"/>
    <w:link w:val="Heading1"/>
    <w:rsid w:val="00875D1D"/>
    <w:rPr>
      <w:lang w:eastAsia="en-US"/>
    </w:rPr>
  </w:style>
  <w:style w:type="paragraph" w:customStyle="1" w:styleId="Default">
    <w:name w:val="Default"/>
    <w:rsid w:val="00945A29"/>
    <w:pPr>
      <w:autoSpaceDE w:val="0"/>
      <w:autoSpaceDN w:val="0"/>
      <w:adjustRightInd w:val="0"/>
    </w:pPr>
    <w:rPr>
      <w:color w:val="000000"/>
      <w:sz w:val="24"/>
      <w:szCs w:val="24"/>
      <w:lang w:val="en-US"/>
    </w:rPr>
  </w:style>
  <w:style w:type="paragraph" w:customStyle="1" w:styleId="Para">
    <w:name w:val="Para #"/>
    <w:basedOn w:val="Normal"/>
    <w:link w:val="ParaChar"/>
    <w:uiPriority w:val="4"/>
    <w:qFormat/>
    <w:rsid w:val="00A43290"/>
    <w:pPr>
      <w:numPr>
        <w:numId w:val="36"/>
      </w:numPr>
      <w:tabs>
        <w:tab w:val="left" w:pos="1361"/>
      </w:tabs>
      <w:suppressAutoHyphens w:val="0"/>
      <w:spacing w:before="120" w:after="120" w:line="240" w:lineRule="auto"/>
      <w:ind w:right="680"/>
      <w:jc w:val="both"/>
    </w:pPr>
    <w:rPr>
      <w:rFonts w:eastAsia="SimSun"/>
      <w:sz w:val="22"/>
    </w:rPr>
  </w:style>
  <w:style w:type="character" w:customStyle="1" w:styleId="ParaChar">
    <w:name w:val="Para # Char"/>
    <w:basedOn w:val="DefaultParagraphFont"/>
    <w:link w:val="Para"/>
    <w:uiPriority w:val="4"/>
    <w:rsid w:val="00A43290"/>
    <w:rPr>
      <w:rFonts w:eastAsia="SimSun"/>
      <w:sz w:val="22"/>
      <w:lang w:eastAsia="en-US"/>
    </w:rPr>
  </w:style>
  <w:style w:type="paragraph" w:customStyle="1" w:styleId="BulletedList">
    <w:name w:val="Bulleted List"/>
    <w:basedOn w:val="ListParagraph"/>
    <w:uiPriority w:val="6"/>
    <w:qFormat/>
    <w:rsid w:val="0062603A"/>
    <w:pPr>
      <w:numPr>
        <w:numId w:val="40"/>
      </w:numPr>
      <w:spacing w:after="120"/>
      <w:ind w:right="680"/>
      <w:jc w:val="both"/>
    </w:pPr>
    <w:rPr>
      <w:rFonts w:eastAsia="SimSun"/>
      <w:sz w:val="22"/>
      <w:szCs w:val="20"/>
      <w:lang w:eastAsia="en-US"/>
    </w:rPr>
  </w:style>
  <w:style w:type="character" w:customStyle="1" w:styleId="UnresolvedMention2">
    <w:name w:val="Unresolved Mention2"/>
    <w:basedOn w:val="DefaultParagraphFont"/>
    <w:uiPriority w:val="99"/>
    <w:semiHidden/>
    <w:unhideWhenUsed/>
    <w:rsid w:val="00A54901"/>
    <w:rPr>
      <w:color w:val="808080"/>
      <w:shd w:val="clear" w:color="auto" w:fill="E6E6E6"/>
    </w:rPr>
  </w:style>
  <w:style w:type="character" w:customStyle="1" w:styleId="ListParagraphChar">
    <w:name w:val="List Paragraph Char"/>
    <w:link w:val="ListParagraph"/>
    <w:locked/>
    <w:rsid w:val="003326A7"/>
    <w:rPr>
      <w:sz w:val="24"/>
      <w:szCs w:val="24"/>
    </w:rPr>
  </w:style>
  <w:style w:type="character" w:customStyle="1" w:styleId="FooterChar">
    <w:name w:val="Footer Char"/>
    <w:aliases w:val="3_G Char"/>
    <w:basedOn w:val="DefaultParagraphFont"/>
    <w:link w:val="Footer"/>
    <w:rsid w:val="002414F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7941">
      <w:bodyDiv w:val="1"/>
      <w:marLeft w:val="0"/>
      <w:marRight w:val="0"/>
      <w:marTop w:val="0"/>
      <w:marBottom w:val="0"/>
      <w:divBdr>
        <w:top w:val="none" w:sz="0" w:space="0" w:color="auto"/>
        <w:left w:val="none" w:sz="0" w:space="0" w:color="auto"/>
        <w:bottom w:val="none" w:sz="0" w:space="0" w:color="auto"/>
        <w:right w:val="none" w:sz="0" w:space="0" w:color="auto"/>
      </w:divBdr>
    </w:div>
    <w:div w:id="883713593">
      <w:bodyDiv w:val="1"/>
      <w:marLeft w:val="0"/>
      <w:marRight w:val="0"/>
      <w:marTop w:val="0"/>
      <w:marBottom w:val="0"/>
      <w:divBdr>
        <w:top w:val="none" w:sz="0" w:space="0" w:color="auto"/>
        <w:left w:val="none" w:sz="0" w:space="0" w:color="auto"/>
        <w:bottom w:val="none" w:sz="0" w:space="0" w:color="auto"/>
        <w:right w:val="none" w:sz="0" w:space="0" w:color="auto"/>
      </w:divBdr>
    </w:div>
    <w:div w:id="11800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un-page.org/resources/green-industrial-policy-trade/green-industrial-policy-concept-policies-country-experiences" TargetMode="External"/><Relationship Id="rId1" Type="http://schemas.openxmlformats.org/officeDocument/2006/relationships/hyperlink" Target="http://www.oecd.org/env/outreach/GATF%20pub%20cat%20web-3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0252-5B99-4648-BA9F-554804F1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10</Pages>
  <Words>4894</Words>
  <Characters>27556</Characters>
  <Application>Microsoft Office Word</Application>
  <DocSecurity>0</DocSecurity>
  <Lines>411</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Pauline Anne Escalante</cp:lastModifiedBy>
  <cp:revision>2</cp:revision>
  <cp:lastPrinted>2018-09-17T12:55:00Z</cp:lastPrinted>
  <dcterms:created xsi:type="dcterms:W3CDTF">2018-12-12T19:08:00Z</dcterms:created>
  <dcterms:modified xsi:type="dcterms:W3CDTF">2018-12-12T19:08:00Z</dcterms:modified>
</cp:coreProperties>
</file>