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59379A"/>
        </w:tc>
        <w:tc>
          <w:tcPr>
            <w:tcW w:w="2268" w:type="dxa"/>
            <w:tcBorders>
              <w:bottom w:val="single" w:sz="4" w:space="0" w:color="auto"/>
            </w:tcBorders>
            <w:vAlign w:val="bottom"/>
          </w:tcPr>
          <w:p w:rsidR="001433FD" w:rsidRPr="00DB58B5" w:rsidRDefault="001433FD" w:rsidP="0009701C">
            <w:pPr>
              <w:spacing w:after="80" w:line="300" w:lineRule="exact"/>
              <w:ind w:left="0" w:right="0"/>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59379A" w:rsidP="0009701C">
            <w:pPr>
              <w:ind w:left="0" w:right="0"/>
              <w:jc w:val="right"/>
            </w:pPr>
            <w:r w:rsidRPr="0059379A">
              <w:rPr>
                <w:sz w:val="40"/>
              </w:rPr>
              <w:t>ECE</w:t>
            </w:r>
            <w:r>
              <w:t>/CEP/2019/4</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09701C">
            <w:pPr>
              <w:spacing w:before="120"/>
              <w:ind w:left="0" w:right="0"/>
            </w:pPr>
            <w:r>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09701C">
            <w:pPr>
              <w:spacing w:before="120" w:line="420" w:lineRule="exact"/>
              <w:ind w:left="0" w:right="0"/>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59379A" w:rsidP="007D6890">
            <w:pPr>
              <w:spacing w:before="240" w:after="0"/>
              <w:ind w:left="0" w:right="0"/>
            </w:pPr>
            <w:r>
              <w:t>Distr. générale</w:t>
            </w:r>
          </w:p>
          <w:p w:rsidR="0059379A" w:rsidRDefault="0059379A" w:rsidP="007D6890">
            <w:pPr>
              <w:spacing w:after="0" w:line="240" w:lineRule="exact"/>
              <w:ind w:left="0" w:right="0"/>
            </w:pPr>
            <w:r>
              <w:t>20 novembre 2018</w:t>
            </w:r>
          </w:p>
          <w:p w:rsidR="0059379A" w:rsidRDefault="0059379A" w:rsidP="007D6890">
            <w:pPr>
              <w:spacing w:after="0" w:line="240" w:lineRule="exact"/>
              <w:ind w:left="0" w:right="0"/>
            </w:pPr>
            <w:r>
              <w:t>Français</w:t>
            </w:r>
          </w:p>
          <w:p w:rsidR="0059379A" w:rsidRPr="00DB58B5" w:rsidRDefault="0059379A" w:rsidP="00F73445">
            <w:pPr>
              <w:spacing w:line="240" w:lineRule="exact"/>
              <w:ind w:left="0" w:right="0"/>
            </w:pPr>
            <w:r>
              <w:t>Original : anglais</w:t>
            </w:r>
          </w:p>
        </w:tc>
      </w:tr>
    </w:tbl>
    <w:p w:rsidR="005316B0" w:rsidRPr="000312C0" w:rsidRDefault="005316B0" w:rsidP="007D6890">
      <w:pPr>
        <w:spacing w:before="120"/>
        <w:ind w:left="0" w:right="0"/>
        <w:rPr>
          <w:b/>
          <w:sz w:val="28"/>
          <w:szCs w:val="28"/>
        </w:rPr>
      </w:pPr>
      <w:r w:rsidRPr="000312C0">
        <w:rPr>
          <w:b/>
          <w:sz w:val="28"/>
          <w:szCs w:val="28"/>
        </w:rPr>
        <w:t>Commission économique pour l’Europe</w:t>
      </w:r>
    </w:p>
    <w:p w:rsidR="001922D1" w:rsidRPr="003F1418" w:rsidRDefault="001922D1" w:rsidP="0009701C">
      <w:pPr>
        <w:spacing w:before="120"/>
        <w:ind w:left="0" w:right="0"/>
        <w:rPr>
          <w:sz w:val="28"/>
          <w:szCs w:val="28"/>
        </w:rPr>
      </w:pPr>
      <w:r w:rsidRPr="003F1418">
        <w:rPr>
          <w:sz w:val="28"/>
          <w:szCs w:val="28"/>
        </w:rPr>
        <w:t>Comité des politiques de l’environnement</w:t>
      </w:r>
    </w:p>
    <w:p w:rsidR="001922D1" w:rsidRPr="003F1418" w:rsidRDefault="001922D1" w:rsidP="00561D90">
      <w:pPr>
        <w:spacing w:before="120" w:after="0"/>
        <w:ind w:left="0" w:right="0"/>
        <w:rPr>
          <w:b/>
        </w:rPr>
      </w:pPr>
      <w:r w:rsidRPr="003F1418">
        <w:rPr>
          <w:b/>
        </w:rPr>
        <w:t>Vingt-quatrième session</w:t>
      </w:r>
    </w:p>
    <w:p w:rsidR="001922D1" w:rsidRPr="00957933" w:rsidRDefault="001922D1" w:rsidP="00561D90">
      <w:pPr>
        <w:spacing w:after="0"/>
        <w:ind w:left="0" w:right="0"/>
      </w:pPr>
      <w:r w:rsidRPr="00957933">
        <w:t>Genève, 29-31</w:t>
      </w:r>
      <w:r>
        <w:t> </w:t>
      </w:r>
      <w:r w:rsidR="00561D90">
        <w:t>janvier 2019</w:t>
      </w:r>
    </w:p>
    <w:p w:rsidR="001922D1" w:rsidRPr="00957933" w:rsidRDefault="001922D1" w:rsidP="00561D90">
      <w:pPr>
        <w:spacing w:after="0"/>
        <w:ind w:left="0" w:right="0"/>
      </w:pPr>
      <w:r w:rsidRPr="00957933">
        <w:t>Point</w:t>
      </w:r>
      <w:r>
        <w:t> </w:t>
      </w:r>
      <w:r w:rsidRPr="00957933">
        <w:t>4</w:t>
      </w:r>
      <w:r>
        <w:t> </w:t>
      </w:r>
      <w:r w:rsidRPr="00957933">
        <w:t>a) de l’ordre du jour provisoire</w:t>
      </w:r>
    </w:p>
    <w:p w:rsidR="001922D1" w:rsidRPr="003F1418" w:rsidRDefault="001922D1" w:rsidP="0009701C">
      <w:pPr>
        <w:ind w:left="0" w:right="0"/>
        <w:rPr>
          <w:b/>
        </w:rPr>
      </w:pPr>
      <w:r w:rsidRPr="003F1418">
        <w:rPr>
          <w:b/>
        </w:rPr>
        <w:t xml:space="preserve">Examen à mi-parcours des principaux résultats de la huitième </w:t>
      </w:r>
      <w:r w:rsidRPr="003F1418">
        <w:rPr>
          <w:b/>
        </w:rPr>
        <w:br/>
        <w:t xml:space="preserve">Conférence ministérielle « Un environnement pour l’Europe » : </w:t>
      </w:r>
      <w:r w:rsidRPr="003F1418">
        <w:rPr>
          <w:b/>
        </w:rPr>
        <w:br/>
        <w:t xml:space="preserve">Développement de l’économie verte et dépollution de l’atmosphère, </w:t>
      </w:r>
      <w:r w:rsidRPr="003F1418">
        <w:rPr>
          <w:b/>
        </w:rPr>
        <w:br/>
        <w:t xml:space="preserve">y compris les activités de l’Équipe spéciale GREEN </w:t>
      </w:r>
      <w:r w:rsidRPr="003F1418">
        <w:rPr>
          <w:b/>
        </w:rPr>
        <w:br/>
        <w:t>et des centres régionaux pour l’environnement</w:t>
      </w:r>
    </w:p>
    <w:p w:rsidR="001922D1" w:rsidRPr="00957933" w:rsidRDefault="001922D1" w:rsidP="001922D1">
      <w:pPr>
        <w:pStyle w:val="HChG"/>
        <w:keepNext w:val="0"/>
        <w:keepLines w:val="0"/>
      </w:pPr>
      <w:r w:rsidRPr="00957933">
        <w:tab/>
      </w:r>
      <w:r w:rsidRPr="00957933">
        <w:tab/>
        <w:t xml:space="preserve">Mise en œuvre du Cadre stratégique paneuropéen </w:t>
      </w:r>
      <w:r>
        <w:br/>
      </w:r>
      <w:r w:rsidRPr="00957933">
        <w:t xml:space="preserve">pour une économie plus respectueuse de l’environnement </w:t>
      </w:r>
      <w:r>
        <w:br/>
      </w:r>
      <w:r w:rsidRPr="00957933">
        <w:t>et de l’Initiative de Batumi pour une économie verte</w:t>
      </w:r>
    </w:p>
    <w:p w:rsidR="00446FE5" w:rsidRDefault="0009701C" w:rsidP="0009701C">
      <w:pPr>
        <w:pStyle w:val="H1G"/>
      </w:pPr>
      <w:r>
        <w:tab/>
      </w:r>
      <w:r>
        <w:tab/>
      </w:r>
      <w:r w:rsidR="001922D1" w:rsidRPr="00957933">
        <w:t>Rapport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1922D1">
        <w:trPr>
          <w:jc w:val="center"/>
        </w:trPr>
        <w:tc>
          <w:tcPr>
            <w:tcW w:w="9637" w:type="dxa"/>
            <w:shd w:val="clear" w:color="auto" w:fill="auto"/>
          </w:tcPr>
          <w:p w:rsidR="001922D1" w:rsidRDefault="001922D1">
            <w:pPr>
              <w:spacing w:before="240" w:after="120"/>
              <w:ind w:left="255"/>
              <w:rPr>
                <w:i/>
                <w:sz w:val="24"/>
              </w:rPr>
            </w:pPr>
            <w:r>
              <w:rPr>
                <w:i/>
                <w:sz w:val="24"/>
              </w:rPr>
              <w:t>Résumé</w:t>
            </w:r>
          </w:p>
        </w:tc>
      </w:tr>
      <w:tr w:rsidR="001922D1">
        <w:trPr>
          <w:jc w:val="center"/>
        </w:trPr>
        <w:tc>
          <w:tcPr>
            <w:tcW w:w="9637" w:type="dxa"/>
            <w:shd w:val="clear" w:color="auto" w:fill="auto"/>
          </w:tcPr>
          <w:p w:rsidR="001922D1" w:rsidRDefault="001922D1" w:rsidP="001922D1">
            <w:pPr>
              <w:pStyle w:val="SingleTxtG"/>
              <w:ind w:firstLine="567"/>
            </w:pPr>
            <w:r w:rsidRPr="00957933">
              <w:t xml:space="preserve">À la huitième Conférence ministérielle </w:t>
            </w:r>
            <w:r>
              <w:t>« </w:t>
            </w:r>
            <w:r w:rsidRPr="00957933">
              <w:t>Un environnem</w:t>
            </w:r>
            <w:r>
              <w:t>ent pour l’Europe » (Batumi, 8</w:t>
            </w:r>
            <w:r>
              <w:noBreakHyphen/>
            </w:r>
            <w:r w:rsidRPr="00957933">
              <w:t xml:space="preserve">10 juin 2016), les ministres ont approuvé le Cadre stratégique paneuropéen pour une économie plus respectueuse de l’environnement et ont accueilli avec satisfaction l’Initiative de Batumi pour une économie verte, qui constitue un ensemble d’engagements </w:t>
            </w:r>
            <w:r w:rsidRPr="001922D1">
              <w:rPr>
                <w:spacing w:val="-2"/>
              </w:rPr>
              <w:t>volontaires destinés à concrétiser le Cadre stratégique (ECE/BATUMI.CONF/2016/2/Add.1,</w:t>
            </w:r>
            <w:r w:rsidRPr="00957933">
              <w:t xml:space="preserve"> par.</w:t>
            </w:r>
            <w:r>
              <w:t> </w:t>
            </w:r>
            <w:r w:rsidRPr="00957933">
              <w:t>5). Pour suivre les progrès accomplis dans la mise en œuvre de ces instruments, les ministres ont demandé au Comité des politiques de l’environnement de procéder en 2018 à un examen à mi-parcours des principaux résultats de la Conférence (ibid</w:t>
            </w:r>
            <w:r>
              <w:t>.</w:t>
            </w:r>
            <w:r w:rsidRPr="00957933">
              <w:t>, par.</w:t>
            </w:r>
            <w:r>
              <w:t> </w:t>
            </w:r>
            <w:r w:rsidRPr="00957933">
              <w:t>16).</w:t>
            </w:r>
          </w:p>
        </w:tc>
      </w:tr>
      <w:tr w:rsidR="001922D1">
        <w:trPr>
          <w:jc w:val="center"/>
        </w:trPr>
        <w:tc>
          <w:tcPr>
            <w:tcW w:w="9637" w:type="dxa"/>
            <w:shd w:val="clear" w:color="auto" w:fill="auto"/>
          </w:tcPr>
          <w:p w:rsidR="001922D1" w:rsidRDefault="001922D1" w:rsidP="001922D1">
            <w:pPr>
              <w:pStyle w:val="SingleTxtG"/>
              <w:ind w:firstLine="567"/>
            </w:pPr>
            <w:r w:rsidRPr="00957933">
              <w:t>À la suite de la demande formulée par le Comité à sa vingt-troisième session (ECE/CEP/2017/5, par.</w:t>
            </w:r>
            <w:r>
              <w:t> </w:t>
            </w:r>
            <w:r w:rsidRPr="00957933">
              <w:t>46 et ECE/CEP/2017/16, par.</w:t>
            </w:r>
            <w:r>
              <w:t> </w:t>
            </w:r>
            <w:r w:rsidRPr="00957933">
              <w:t xml:space="preserve">22), et sur la base des réponses reçues des parties prenantes, le Secrétariat a élaboré le présent aperçu des progrès accomplis dans la mise en œuvre du Cadre stratégique paneuropéen pour une économie plus respectueuse de l’environnement et de l’Initiative de Batumi pour une économie verte. Ce document a pour objet de faciliter les débats du Comité au cours </w:t>
            </w:r>
            <w:r>
              <w:t>de l’examen à mi</w:t>
            </w:r>
            <w:r>
              <w:noBreakHyphen/>
            </w:r>
            <w:r w:rsidRPr="00957933">
              <w:t>parcours des principaux résultats de la Conféren</w:t>
            </w:r>
            <w:r w:rsidR="004502AD">
              <w:t>ce de Batumi, à l’occasion de la</w:t>
            </w:r>
            <w:r w:rsidRPr="00957933">
              <w:t xml:space="preserve"> vingt</w:t>
            </w:r>
            <w:r>
              <w:noBreakHyphen/>
            </w:r>
            <w:r w:rsidRPr="00957933">
              <w:t>quatrième session du Comité.</w:t>
            </w:r>
          </w:p>
        </w:tc>
      </w:tr>
      <w:tr w:rsidR="001922D1">
        <w:trPr>
          <w:jc w:val="center"/>
        </w:trPr>
        <w:tc>
          <w:tcPr>
            <w:tcW w:w="9637" w:type="dxa"/>
            <w:shd w:val="clear" w:color="auto" w:fill="auto"/>
          </w:tcPr>
          <w:p w:rsidR="001922D1" w:rsidRDefault="001922D1"/>
        </w:tc>
      </w:tr>
    </w:tbl>
    <w:p w:rsidR="001922D1" w:rsidRDefault="001922D1" w:rsidP="001922D1"/>
    <w:p w:rsidR="002D248D" w:rsidRPr="00957933" w:rsidRDefault="001922D1" w:rsidP="004A3BDE">
      <w:pPr>
        <w:pStyle w:val="HChG"/>
      </w:pPr>
      <w:r>
        <w:br w:type="page"/>
      </w:r>
      <w:r w:rsidR="002D248D" w:rsidRPr="00957933">
        <w:lastRenderedPageBreak/>
        <w:tab/>
      </w:r>
      <w:r w:rsidR="002D248D" w:rsidRPr="00957933">
        <w:tab/>
        <w:t>Introduction</w:t>
      </w:r>
      <w:bookmarkStart w:id="0" w:name="_GoBack"/>
      <w:bookmarkEnd w:id="0"/>
    </w:p>
    <w:p w:rsidR="002D248D" w:rsidRPr="00957933" w:rsidRDefault="002D248D" w:rsidP="002D248D">
      <w:pPr>
        <w:pStyle w:val="SingleTxtG"/>
      </w:pPr>
      <w:r w:rsidRPr="00957933">
        <w:t>1.</w:t>
      </w:r>
      <w:r w:rsidRPr="00957933">
        <w:tab/>
        <w:t>Depuis 2009, le Comité des politiques de l’environnement de la CEE travaille sur la question de la transition vers une économie plus respectueuse de l’environnement, en tant que moyen de promouvoir le progrès économique tout en garantissant durabilité environnementale et équité sociale. Le secrétariat de la CEE, conjointement avec le PNUE et en coopération avec l’Organisation de coopération et de développement économiques (OCDE) et d’autres organisations actives dans la région, soutient les travaux du Comité sur l’économie verte, qui sont considérés comme une approche prometteuse du développement durable.</w:t>
      </w:r>
    </w:p>
    <w:p w:rsidR="002D248D" w:rsidRPr="00957933" w:rsidRDefault="002D248D" w:rsidP="002D248D">
      <w:pPr>
        <w:pStyle w:val="SingleTxtG"/>
      </w:pPr>
      <w:r w:rsidRPr="00957933">
        <w:t>2.</w:t>
      </w:r>
      <w:r w:rsidRPr="00957933">
        <w:tab/>
        <w:t>L’un des principaux résultats est l’approbation par les ministres réunis pour la huitième Conférence «</w:t>
      </w:r>
      <w:r>
        <w:t> </w:t>
      </w:r>
      <w:r w:rsidRPr="00957933">
        <w:t>Un environnement pour l’Europe</w:t>
      </w:r>
      <w:r>
        <w:t> </w:t>
      </w:r>
      <w:r w:rsidRPr="00957933">
        <w:t>» (Batumi, 8</w:t>
      </w:r>
      <w:r>
        <w:noBreakHyphen/>
      </w:r>
      <w:r w:rsidRPr="00957933">
        <w:t>10 juin 2016) du Cadre stratégique paneuropéen pour une économie plus respectueuse de l’environnement, un mécanisme fondé sur le volontariat, qui permet de soutenir les efforts déployés par les pays pour passer à une économie verte tout en contribuant à la réalisation du Programme 2030 et de ses objectifs. Le Cadre stratégique devrait aider les ministres de l’environnement à initier et à maintenir un débat sur le passage à l’économie verte dans leurs gouvernements respectifs et, au bout du compte, à créer un processus interministériel pour réaliser un tel programme en faisant intervenir les principaux groupes d’intérêt, notamment le grand public et le secteur privé.</w:t>
      </w:r>
    </w:p>
    <w:p w:rsidR="002D248D" w:rsidRPr="00957933" w:rsidRDefault="002D248D" w:rsidP="002D248D">
      <w:pPr>
        <w:pStyle w:val="SingleTxtG"/>
      </w:pPr>
      <w:r w:rsidRPr="00957933">
        <w:t>3.</w:t>
      </w:r>
      <w:r w:rsidRPr="00957933">
        <w:tab/>
        <w:t>À Batumi, les ministres ont aussi lancé l’Initiative de Batumi pour une économie verte (BIG-E), porteuse d’engagements pris à titre volontaire en vue de donner concrètement effet au Cadre stratégique jusqu’en 2030. Ils ont encouragé les pays et autres parties prenantes à honorer les engagements pris au titre de cette initiative pour faciliter la transition vers une économie verte. À ce jour, 124</w:t>
      </w:r>
      <w:r>
        <w:t> </w:t>
      </w:r>
      <w:r w:rsidRPr="00957933">
        <w:t>engagements ont été soumis par 27</w:t>
      </w:r>
      <w:r>
        <w:t> </w:t>
      </w:r>
      <w:r w:rsidRPr="00957933">
        <w:t>pays et 13 organisations chefs de file</w:t>
      </w:r>
      <w:r w:rsidRPr="002D248D">
        <w:rPr>
          <w:rStyle w:val="Appelnotedebasdep"/>
        </w:rPr>
        <w:footnoteReference w:id="2"/>
      </w:r>
      <w:r>
        <w:t>.</w:t>
      </w:r>
      <w:r w:rsidRPr="00957933">
        <w:t xml:space="preserve"> Les pays ayant pris de tels engagements sont</w:t>
      </w:r>
      <w:r>
        <w:t xml:space="preserve"> </w:t>
      </w:r>
      <w:r w:rsidRPr="00957933">
        <w:t>ceux-ci</w:t>
      </w:r>
      <w:r w:rsidR="004502AD">
        <w:t> </w:t>
      </w:r>
      <w:r w:rsidRPr="00957933">
        <w:t>: Allemagne, Autriche, Azerbaïdjan, Bélarus, Croatie, Estonie, Finlande, France, Géorgie, Hongrie, Italie, Kazakhstan, Kirghizistan, Lettonie, Lituanie, Luxembourg, Ouzbékistan, Pays-Bas, Pologne, Portugal, République de Moldova, Roumanie, Slovaquie, Slovénie, Suède, Suisse et Ukraine. Les organisations sont, entre autres</w:t>
      </w:r>
      <w:r w:rsidR="00F63BC7">
        <w:t> </w:t>
      </w:r>
      <w:r w:rsidRPr="00957933">
        <w:t>: la Fondation Cittadellarte</w:t>
      </w:r>
      <w:r>
        <w:noBreakHyphen/>
      </w:r>
      <w:r w:rsidR="008063E3">
        <w:t>Pistoletto ; la CEE ; l’ECO-Forum européen ;</w:t>
      </w:r>
      <w:r w:rsidRPr="00957933">
        <w:t xml:space="preserve"> la Plateforme de connaiss</w:t>
      </w:r>
      <w:r w:rsidR="008063E3">
        <w:t>ances pour une croissance verte ;</w:t>
      </w:r>
      <w:r w:rsidRPr="00957933">
        <w:t xml:space="preserve"> the G</w:t>
      </w:r>
      <w:r w:rsidR="008063E3">
        <w:t>roup of Friends of Paragraph 47 ;</w:t>
      </w:r>
      <w:r w:rsidRPr="00957933">
        <w:t xml:space="preserve"> the Interstate Commission on Sustainable Development of the International Fund for Saving the Aral Sea</w:t>
      </w:r>
      <w:r w:rsidR="004502AD">
        <w:t> </w:t>
      </w:r>
      <w:r w:rsidRPr="00957933">
        <w:t xml:space="preserve">; le </w:t>
      </w:r>
      <w:r w:rsidRPr="00957933">
        <w:rPr>
          <w:rStyle w:val="fr"/>
          <w:bCs/>
        </w:rPr>
        <w:t>Réseau international pour l’élimination des POP</w:t>
      </w:r>
      <w:r w:rsidR="008063E3">
        <w:t xml:space="preserve"> (IPEN) ;</w:t>
      </w:r>
      <w:r w:rsidRPr="00957933">
        <w:t xml:space="preserve"> t</w:t>
      </w:r>
      <w:r w:rsidR="008063E3">
        <w:t>he International Resource Panel ; l’OCDE ;</w:t>
      </w:r>
      <w:r w:rsidRPr="00957933">
        <w:t xml:space="preserve"> le Centre régional pour </w:t>
      </w:r>
      <w:r w:rsidR="008063E3">
        <w:t>l’environnement du Caucase (CRE</w:t>
      </w:r>
      <w:r w:rsidR="008063E3">
        <w:noBreakHyphen/>
        <w:t>Caucase) ;</w:t>
      </w:r>
      <w:r w:rsidRPr="00957933">
        <w:t xml:space="preserve"> le Centre régional pour l’environne</w:t>
      </w:r>
      <w:r w:rsidR="008063E3">
        <w:t>ment de l’Asie centrale (CAREC) ;</w:t>
      </w:r>
      <w:r w:rsidRPr="00957933">
        <w:t xml:space="preserve"> le</w:t>
      </w:r>
      <w:r w:rsidR="008063E3">
        <w:t> </w:t>
      </w:r>
      <w:r w:rsidRPr="00957933">
        <w:t>Centre régional pour l’environnement en Europe cen</w:t>
      </w:r>
      <w:r w:rsidR="008063E3">
        <w:t>trale et orientale ;</w:t>
      </w:r>
      <w:r w:rsidRPr="00957933">
        <w:t xml:space="preserve"> et le PNUE. L’initiative reste ouverte à l’adhésion d’autres parties prenantes.</w:t>
      </w:r>
    </w:p>
    <w:p w:rsidR="002D248D" w:rsidRPr="00957933" w:rsidRDefault="002D248D" w:rsidP="002D248D">
      <w:pPr>
        <w:pStyle w:val="SingleTxtG"/>
      </w:pPr>
      <w:r w:rsidRPr="00957933">
        <w:t>4.</w:t>
      </w:r>
      <w:r w:rsidRPr="00957933">
        <w:tab/>
        <w:t>Les actions en faveur desquelles les pays et organisations se sont engagés dans le cadre de l’Initiative de Batumi pour une économie verte sont disponibles sur le site Web de la CEE</w:t>
      </w:r>
      <w:r w:rsidRPr="002D248D">
        <w:rPr>
          <w:rStyle w:val="Appelnotedebasdep"/>
        </w:rPr>
        <w:footnoteReference w:id="3"/>
      </w:r>
      <w:r>
        <w:t> </w:t>
      </w:r>
      <w:r w:rsidRPr="00957933">
        <w:t>; les engagements bénéficient en outre de l’appui de la Plateforme de connaissances pour une croissance verte</w:t>
      </w:r>
      <w:r w:rsidRPr="002D248D">
        <w:rPr>
          <w:rStyle w:val="Appelnotedebasdep"/>
        </w:rPr>
        <w:footnoteReference w:id="4"/>
      </w:r>
      <w:r w:rsidRPr="00957933">
        <w:t>, conformément à la demande des ministres à Batumi (ECE/BATUMI.CONF/2016/2/Add.1, par.</w:t>
      </w:r>
      <w:r>
        <w:t> </w:t>
      </w:r>
      <w:r w:rsidRPr="00957933">
        <w:t xml:space="preserve">5). </w:t>
      </w:r>
    </w:p>
    <w:p w:rsidR="002D248D" w:rsidRPr="00957933" w:rsidRDefault="002D248D" w:rsidP="002D248D">
      <w:pPr>
        <w:pStyle w:val="SingleTxtG"/>
      </w:pPr>
      <w:r w:rsidRPr="00957933">
        <w:t>5.</w:t>
      </w:r>
      <w:r w:rsidRPr="00957933">
        <w:tab/>
        <w:t>À sa vingt-troisième session (Genève, 14</w:t>
      </w:r>
      <w:r>
        <w:noBreakHyphen/>
      </w:r>
      <w:r w:rsidRPr="00957933">
        <w:t>17</w:t>
      </w:r>
      <w:r>
        <w:t> </w:t>
      </w:r>
      <w:r w:rsidRPr="00957933">
        <w:t xml:space="preserve">novembre 2017), le Comité des politiques de l’environnement a décidé que, pour appuyer l’examen des progrès accomplis dans la mise en œuvre du Cadre stratégique et de l’Initiative de Batumi pour une économie verte, il inviterait les parties prenantes à faire rapport sur les avancées réalisées dans l’application de leurs engagements au titre de l’Initiative de Batumi en utilisant le modèle établi par le secrétariat et le PNUE en consultation avec le Bureau du Comité. Sur la base des rapports ainsi établis, le Secrétariat a été chargé de dresser, conjointement avec </w:t>
      </w:r>
      <w:r w:rsidRPr="00957933">
        <w:lastRenderedPageBreak/>
        <w:t>le</w:t>
      </w:r>
      <w:r>
        <w:t> </w:t>
      </w:r>
      <w:r w:rsidRPr="00957933">
        <w:t>PNUE et avec l’appui d’un consultant, un rapport d’examen à mi-parcours (ECE/CEP/2017/5, par.</w:t>
      </w:r>
      <w:r>
        <w:t> </w:t>
      </w:r>
      <w:r w:rsidRPr="00957933">
        <w:t>46 et ECE/CEP/2017/16, par.</w:t>
      </w:r>
      <w:r>
        <w:t> </w:t>
      </w:r>
      <w:r w:rsidRPr="00957933">
        <w:t xml:space="preserve">22). </w:t>
      </w:r>
    </w:p>
    <w:p w:rsidR="002D248D" w:rsidRPr="00957933" w:rsidRDefault="002D248D" w:rsidP="002D248D">
      <w:pPr>
        <w:pStyle w:val="SingleTxtG"/>
      </w:pPr>
      <w:r w:rsidRPr="00957933">
        <w:t>6.</w:t>
      </w:r>
      <w:r w:rsidRPr="00957933">
        <w:tab/>
        <w:t>Un questionnaire a été établi par le secrétariat en consultation avec le Bureau du</w:t>
      </w:r>
      <w:r>
        <w:t> </w:t>
      </w:r>
      <w:r w:rsidRPr="00957933">
        <w:t>Comité et le PNUE. L’outil en ligne «</w:t>
      </w:r>
      <w:r>
        <w:t> </w:t>
      </w:r>
      <w:r w:rsidRPr="00957933">
        <w:t>Examen à mi-parcours du processus Un</w:t>
      </w:r>
      <w:r>
        <w:t> </w:t>
      </w:r>
      <w:r w:rsidRPr="00957933">
        <w:t>environnement pour l’Europe</w:t>
      </w:r>
      <w:r>
        <w:t> </w:t>
      </w:r>
      <w:r w:rsidRPr="00957933">
        <w:t>: enquête sur la mise en œuvre des engagements pris dans le cadre du processus BIG-E</w:t>
      </w:r>
      <w:r>
        <w:t> </w:t>
      </w:r>
      <w:r w:rsidRPr="00957933">
        <w:t>», mis au point par le Secrétariat, a été lancé le 13</w:t>
      </w:r>
      <w:r>
        <w:t> </w:t>
      </w:r>
      <w:r w:rsidRPr="00957933">
        <w:t>avril 2018. Le Secrétariat s’est également efforcé d’approcher non seulement les membres du Comité, mais aussi les points de contact désignés pour les engagements volontaires.</w:t>
      </w:r>
    </w:p>
    <w:p w:rsidR="002D248D" w:rsidRPr="00957933" w:rsidRDefault="002D248D" w:rsidP="002D248D">
      <w:pPr>
        <w:pStyle w:val="SingleTxtG"/>
      </w:pPr>
      <w:r w:rsidRPr="00957933">
        <w:t>7.</w:t>
      </w:r>
      <w:r w:rsidRPr="00957933">
        <w:tab/>
        <w:t>Le présent rapport a été établi par le secrétariat sur la base des réponses au questionnaire reçues des parties prenantes jusqu’en novembre 2018</w:t>
      </w:r>
      <w:r w:rsidR="004502AD">
        <w:t> </w:t>
      </w:r>
      <w:r w:rsidRPr="00957933">
        <w:t>; toute mention de «</w:t>
      </w:r>
      <w:r>
        <w:t> </w:t>
      </w:r>
      <w:r w:rsidRPr="00957933">
        <w:t>l’enquête</w:t>
      </w:r>
      <w:r>
        <w:t> </w:t>
      </w:r>
      <w:r w:rsidRPr="00957933">
        <w:t>» s’entend ici des réponses reçues, sauf indication contraire. Le rapport fait la synthèse des réponses reçues de 23</w:t>
      </w:r>
      <w:r>
        <w:t> </w:t>
      </w:r>
      <w:r w:rsidRPr="00957933">
        <w:t>pays (Allemagne, Azerbaïdjan, Bélarus, Croatie, Estonie, Finlande, France, Géorgie, Hongrie, Italie, Kazakhstan, Lettonie, Lituanie, Luxembourg, Pays-Bas, Pologne, Portugal, République de Moldova, Roumanie, Slovaquie, Slovénie, Suisse et Ukraine) et de 8</w:t>
      </w:r>
      <w:r>
        <w:t> </w:t>
      </w:r>
      <w:r w:rsidRPr="00957933">
        <w:t>organisations (la CEE, la Plateforme de connaissances sur la croissance verte, l’Interstate Commission on Sustainable Development, l’International Resource Panel, l’OCDE, le Centre régional pour l’environnement de l’Asie centrale, le Centre régional pour l’environnement du Caucase et le PNUE). Il reflète les progrès réalisés dans 96 (77</w:t>
      </w:r>
      <w:r>
        <w:t> </w:t>
      </w:r>
      <w:r w:rsidRPr="00957933">
        <w:t>%) des 124</w:t>
      </w:r>
      <w:r>
        <w:t> </w:t>
      </w:r>
      <w:r w:rsidRPr="00957933">
        <w:t>engagements volontaires, présentés à l’Initiative de</w:t>
      </w:r>
      <w:r>
        <w:t> </w:t>
      </w:r>
      <w:r w:rsidRPr="00957933">
        <w:t xml:space="preserve">Batumi pour une économie verte. </w:t>
      </w:r>
    </w:p>
    <w:p w:rsidR="002D248D" w:rsidRPr="00957933" w:rsidRDefault="002D248D" w:rsidP="002D248D">
      <w:pPr>
        <w:pStyle w:val="SingleTxtG"/>
      </w:pPr>
      <w:r w:rsidRPr="00957933">
        <w:t>8.</w:t>
      </w:r>
      <w:r w:rsidRPr="00957933">
        <w:tab/>
        <w:t>Le rapport résume les progrès accomplis et formule des observations qui pourraient être utiles pour illustrer les caractéristiques et les tendances des approches nationales agrégées au niveau régional. Il prend également en compte les points de vue exprimés quant à l’utilité de l’Initiative de Batumi. Les tableaux et graphiques qui illustrent quelques-unes des principales conclusions sont présentés en annexe.</w:t>
      </w:r>
    </w:p>
    <w:p w:rsidR="002D248D" w:rsidRPr="00957933" w:rsidRDefault="002D248D" w:rsidP="002D248D">
      <w:pPr>
        <w:pStyle w:val="HChG"/>
      </w:pPr>
      <w:r>
        <w:tab/>
      </w:r>
      <w:r w:rsidRPr="00957933">
        <w:t>I.</w:t>
      </w:r>
      <w:r w:rsidRPr="00957933">
        <w:tab/>
        <w:t xml:space="preserve">Vue d’ensemble des progrès accomplis dans la mise </w:t>
      </w:r>
      <w:r>
        <w:br/>
      </w:r>
      <w:r w:rsidRPr="00957933">
        <w:t xml:space="preserve">en œuvre des engagements pris dans le cadre </w:t>
      </w:r>
      <w:r>
        <w:br/>
      </w:r>
      <w:r w:rsidRPr="00957933">
        <w:t xml:space="preserve">de l’Initiative de Batumi pour une économie verte </w:t>
      </w:r>
    </w:p>
    <w:p w:rsidR="002D248D" w:rsidRPr="00957933" w:rsidRDefault="002D248D" w:rsidP="002D248D">
      <w:pPr>
        <w:pStyle w:val="H1G"/>
      </w:pPr>
      <w:r>
        <w:tab/>
        <w:t>A.</w:t>
      </w:r>
      <w:r>
        <w:tab/>
      </w:r>
      <w:r w:rsidRPr="00957933">
        <w:t>Méthode utilisée et portée de l’enquête</w:t>
      </w:r>
    </w:p>
    <w:p w:rsidR="002D248D" w:rsidRPr="00957933" w:rsidRDefault="002D248D" w:rsidP="002D248D">
      <w:pPr>
        <w:pStyle w:val="SingleTxtG"/>
      </w:pPr>
      <w:r w:rsidRPr="00957933">
        <w:t>9.</w:t>
      </w:r>
      <w:r w:rsidRPr="00957933">
        <w:tab/>
        <w:t>Le présent rapport analyse les 124</w:t>
      </w:r>
      <w:r>
        <w:t> </w:t>
      </w:r>
      <w:r w:rsidRPr="00957933">
        <w:t>engagements pris à ce jour dans le cadre de l’Initiative de Batumi pour déployer des actions allant dans le sens de l’économie verte</w:t>
      </w:r>
      <w:r w:rsidRPr="002D248D">
        <w:rPr>
          <w:rStyle w:val="Appelnotedebasdep"/>
        </w:rPr>
        <w:footnoteReference w:id="5"/>
      </w:r>
      <w:r w:rsidRPr="00957933">
        <w:t>, de manière à faire ressortir les caractéristiques et les tendances observables dans les approches régionales qui tendent vers ce but. Il contient également une évaluation de l’état actuel de la mise en œuvre des engagements.</w:t>
      </w:r>
    </w:p>
    <w:p w:rsidR="002D248D" w:rsidRPr="00957933" w:rsidRDefault="002D248D" w:rsidP="002D248D">
      <w:pPr>
        <w:pStyle w:val="SingleTxtG"/>
      </w:pPr>
      <w:r w:rsidRPr="00957933">
        <w:t>10.</w:t>
      </w:r>
      <w:r w:rsidRPr="00957933">
        <w:tab/>
        <w:t>La méthodologie de l’examen est fondée sur l’approche structurée du Cadre stratégique et sur l’Initiative de Batumi. Le Cadre stratégique définit les trois principaux objectifs à atteindre, divisés en neuf domaines d’intervention intégrés énonçant les priorités à respecter pour atteindre les trois objectifs (fig</w:t>
      </w:r>
      <w:r>
        <w:t>. </w:t>
      </w:r>
      <w:r w:rsidRPr="00957933">
        <w:t>I). Dans le cadre de l’Initiative de Batumi pour une économie verte, en soumettant une proposition d’engagement volontaire, les parties prenantes doivent fournir des informations détaillées sur plusieurs aspects, notamment mais pas exclusivement sur le(s) domaine(s) d’intervention correspondant à l’action menée, le type d’action menée, les secteurs économiques visés, et les ODD et leurs cibles, à la réalisation desquels l’action considérée pourrait contribuer (fig</w:t>
      </w:r>
      <w:r>
        <w:t>. </w:t>
      </w:r>
      <w:r w:rsidRPr="00957933">
        <w:t xml:space="preserve">II). </w:t>
      </w:r>
    </w:p>
    <w:p w:rsidR="002D248D" w:rsidRDefault="002D248D" w:rsidP="002D248D">
      <w:pPr>
        <w:pStyle w:val="Titre1"/>
        <w:spacing w:after="120"/>
      </w:pPr>
      <w:r w:rsidRPr="00957933">
        <w:lastRenderedPageBreak/>
        <w:t>Figure I</w:t>
      </w:r>
      <w:r w:rsidRPr="00957933">
        <w:br/>
      </w:r>
      <w:r w:rsidRPr="002D248D">
        <w:rPr>
          <w:b/>
        </w:rPr>
        <w:t>Le Cadre stratégique en bref</w:t>
      </w:r>
      <w:r w:rsidRPr="00957933">
        <w:t xml:space="preserve"> </w:t>
      </w:r>
    </w:p>
    <w:p w:rsidR="00891493" w:rsidRPr="00891493" w:rsidRDefault="00891493" w:rsidP="00891493">
      <w:r>
        <w:rPr>
          <w:noProof/>
          <w:lang w:eastAsia="fr-CH"/>
        </w:rPr>
        <w:drawing>
          <wp:inline distT="0" distB="0" distL="0" distR="0" wp14:anchorId="0C2B41FA" wp14:editId="2DE39DD9">
            <wp:extent cx="5400000" cy="63648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00" cy="6364800"/>
                    </a:xfrm>
                    <a:prstGeom prst="rect">
                      <a:avLst/>
                    </a:prstGeom>
                  </pic:spPr>
                </pic:pic>
              </a:graphicData>
            </a:graphic>
          </wp:inline>
        </w:drawing>
      </w:r>
    </w:p>
    <w:p w:rsidR="0058588F" w:rsidRPr="00053936" w:rsidRDefault="0058588F" w:rsidP="00891493">
      <w:pPr>
        <w:spacing w:before="120" w:after="240"/>
        <w:ind w:firstLine="170"/>
        <w:rPr>
          <w:sz w:val="18"/>
          <w:szCs w:val="18"/>
        </w:rPr>
      </w:pPr>
      <w:r w:rsidRPr="00053936">
        <w:rPr>
          <w:i/>
          <w:sz w:val="18"/>
          <w:szCs w:val="18"/>
        </w:rPr>
        <w:t>Source </w:t>
      </w:r>
      <w:r w:rsidRPr="00053936">
        <w:rPr>
          <w:sz w:val="18"/>
          <w:szCs w:val="18"/>
        </w:rPr>
        <w:t>: ECE/BATUMI.CONF/2016/6.</w:t>
      </w:r>
    </w:p>
    <w:p w:rsidR="007D6890" w:rsidRPr="0059663F" w:rsidRDefault="007D6890" w:rsidP="007D6890">
      <w:pPr>
        <w:pStyle w:val="Titre1"/>
      </w:pPr>
      <w:r w:rsidRPr="0059663F">
        <w:lastRenderedPageBreak/>
        <w:t>Figure II</w:t>
      </w:r>
    </w:p>
    <w:p w:rsidR="007D6890" w:rsidRDefault="007D6890" w:rsidP="007D6890">
      <w:pPr>
        <w:pStyle w:val="Titre1"/>
        <w:spacing w:after="120"/>
        <w:rPr>
          <w:b/>
          <w:bCs/>
        </w:rPr>
      </w:pPr>
      <w:r w:rsidRPr="001711D1">
        <w:rPr>
          <w:b/>
          <w:bCs/>
        </w:rPr>
        <w:t>Les actions pour une économie verte en bref</w:t>
      </w:r>
    </w:p>
    <w:p w:rsidR="0058588F" w:rsidRPr="001711D1" w:rsidRDefault="0058588F" w:rsidP="0058588F">
      <w:pPr>
        <w:pStyle w:val="SingleTxtG"/>
        <w:ind w:right="0"/>
        <w:rPr>
          <w:lang w:eastAsia="en-GB"/>
        </w:rPr>
      </w:pPr>
      <w:r w:rsidRPr="001711D1">
        <w:rPr>
          <w:noProof/>
          <w:lang w:eastAsia="fr-CH"/>
        </w:rPr>
        <mc:AlternateContent>
          <mc:Choice Requires="wps">
            <w:drawing>
              <wp:anchor distT="0" distB="0" distL="114300" distR="114300" simplePos="0" relativeHeight="251878400" behindDoc="0" locked="0" layoutInCell="1" allowOverlap="1" wp14:anchorId="76878B7A" wp14:editId="48FEB2D8">
                <wp:simplePos x="0" y="0"/>
                <wp:positionH relativeFrom="column">
                  <wp:posOffset>781685</wp:posOffset>
                </wp:positionH>
                <wp:positionV relativeFrom="paragraph">
                  <wp:posOffset>71199</wp:posOffset>
                </wp:positionV>
                <wp:extent cx="4521835" cy="403403"/>
                <wp:effectExtent l="0" t="0" r="12065" b="0"/>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835" cy="403403"/>
                        </a:xfrm>
                        <a:prstGeom prst="rect">
                          <a:avLst/>
                        </a:prstGeom>
                        <a:noFill/>
                        <a:ln w="9525">
                          <a:noFill/>
                          <a:miter lim="800000"/>
                          <a:headEnd/>
                          <a:tailEnd/>
                        </a:ln>
                      </wps:spPr>
                      <wps:txbx>
                        <w:txbxContent>
                          <w:p w:rsidR="0058588F" w:rsidRPr="002B61A3" w:rsidRDefault="0058588F" w:rsidP="0058588F">
                            <w:pPr>
                              <w:spacing w:line="240" w:lineRule="auto"/>
                              <w:jc w:val="center"/>
                              <w:rPr>
                                <w:b/>
                                <w:bCs/>
                                <w:color w:val="4472C4"/>
                                <w:sz w:val="24"/>
                                <w:szCs w:val="24"/>
                              </w:rPr>
                            </w:pPr>
                            <w:r w:rsidRPr="002B61A3">
                              <w:rPr>
                                <w:b/>
                                <w:bCs/>
                                <w:color w:val="4472C4"/>
                                <w:sz w:val="24"/>
                                <w:szCs w:val="24"/>
                              </w:rPr>
                              <w:t>Actions pour une économie verte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6878B7A" id="_x0000_t202" coordsize="21600,21600" o:spt="202" path="m,l,21600r21600,l21600,xe">
                <v:stroke joinstyle="miter"/>
                <v:path gradientshapeok="t" o:connecttype="rect"/>
              </v:shapetype>
              <v:shape id="Text Box 2" o:spid="_x0000_s1026" type="#_x0000_t202" style="position:absolute;left:0;text-align:left;margin-left:61.55pt;margin-top:5.6pt;width:356.05pt;height:31.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" filled="f" stroked="f">
                <v:textbox inset="0,0,0,0">
                  <w:txbxContent>
                    <w:p w:rsidR="0058588F" w:rsidRPr="002B61A3" w:rsidRDefault="0058588F" w:rsidP="0058588F">
                      <w:pPr>
                        <w:spacing w:line="240" w:lineRule="auto"/>
                        <w:jc w:val="center"/>
                        <w:rPr>
                          <w:b/>
                          <w:bCs/>
                          <w:color w:val="4472C4"/>
                          <w:sz w:val="24"/>
                          <w:szCs w:val="24"/>
                        </w:rPr>
                      </w:pPr>
                      <w:r w:rsidRPr="002B61A3">
                        <w:rPr>
                          <w:b/>
                          <w:bCs/>
                          <w:color w:val="4472C4"/>
                          <w:sz w:val="24"/>
                          <w:szCs w:val="24"/>
                        </w:rPr>
                        <w:t>Actions pour une économie verte</w:t>
                      </w:r>
                    </w:p>
                  </w:txbxContent>
                </v:textbox>
              </v:shape>
            </w:pict>
          </mc:Fallback>
        </mc:AlternateContent>
      </w:r>
      <w:r w:rsidRPr="001711D1">
        <w:rPr>
          <w:noProof/>
          <w:lang w:eastAsia="fr-CH"/>
        </w:rPr>
        <mc:AlternateContent>
          <mc:Choice Requires="wps">
            <w:drawing>
              <wp:anchor distT="0" distB="0" distL="114300" distR="114300" simplePos="0" relativeHeight="251882496" behindDoc="0" locked="0" layoutInCell="1" allowOverlap="1" wp14:anchorId="6E1FD51E" wp14:editId="563FD922">
                <wp:simplePos x="0" y="0"/>
                <wp:positionH relativeFrom="column">
                  <wp:posOffset>2131060</wp:posOffset>
                </wp:positionH>
                <wp:positionV relativeFrom="paragraph">
                  <wp:posOffset>2190115</wp:posOffset>
                </wp:positionV>
                <wp:extent cx="1800000" cy="539750"/>
                <wp:effectExtent l="0" t="0" r="10160" b="1270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539750"/>
                        </a:xfrm>
                        <a:prstGeom prst="rect">
                          <a:avLst/>
                        </a:prstGeom>
                        <a:noFill/>
                        <a:ln w="9525">
                          <a:noFill/>
                          <a:miter lim="800000"/>
                          <a:headEnd/>
                          <a:tailEnd/>
                        </a:ln>
                      </wps:spPr>
                      <wps:txbx>
                        <w:txbxContent>
                          <w:p w:rsidR="0058588F" w:rsidRPr="00824679" w:rsidRDefault="0058588F" w:rsidP="0058588F">
                            <w:pPr>
                              <w:spacing w:line="240" w:lineRule="auto"/>
                              <w:ind w:left="0" w:right="0"/>
                              <w:jc w:val="center"/>
                            </w:pPr>
                            <w:r w:rsidRPr="00824679">
                              <w:t>Instruments juridiques, réglementaires et politiques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1FD51E" id="_x0000_s1027" type="#_x0000_t202" style="position:absolute;left:0;text-align:left;margin-left:167.8pt;margin-top:172.45pt;width:141.75pt;height:4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" filled="f" stroked="f">
                <v:textbox inset="0,0,0,0">
                  <w:txbxContent>
                    <w:p w:rsidR="0058588F" w:rsidRPr="00824679" w:rsidRDefault="0058588F" w:rsidP="0058588F">
                      <w:pPr>
                        <w:spacing w:line="240" w:lineRule="auto"/>
                        <w:ind w:left="0" w:right="0"/>
                        <w:jc w:val="center"/>
                      </w:pPr>
                      <w:r w:rsidRPr="00824679">
                        <w:t>Instruments juridiques, réglementaires et politiques</w:t>
                      </w:r>
                    </w:p>
                  </w:txbxContent>
                </v:textbox>
              </v:shape>
            </w:pict>
          </mc:Fallback>
        </mc:AlternateContent>
      </w:r>
      <w:r w:rsidRPr="001711D1">
        <w:rPr>
          <w:noProof/>
          <w:lang w:eastAsia="fr-CH"/>
        </w:rPr>
        <mc:AlternateContent>
          <mc:Choice Requires="wps">
            <w:drawing>
              <wp:anchor distT="0" distB="0" distL="114300" distR="114300" simplePos="0" relativeHeight="251881472" behindDoc="0" locked="0" layoutInCell="1" allowOverlap="1" wp14:anchorId="6A79C34B" wp14:editId="5C45FB32">
                <wp:simplePos x="0" y="0"/>
                <wp:positionH relativeFrom="column">
                  <wp:posOffset>3858260</wp:posOffset>
                </wp:positionH>
                <wp:positionV relativeFrom="paragraph">
                  <wp:posOffset>545465</wp:posOffset>
                </wp:positionV>
                <wp:extent cx="1476000" cy="1332000"/>
                <wp:effectExtent l="0" t="0" r="10160" b="1905"/>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000" cy="1332000"/>
                        </a:xfrm>
                        <a:prstGeom prst="rect">
                          <a:avLst/>
                        </a:prstGeom>
                        <a:noFill/>
                        <a:ln w="9525">
                          <a:noFill/>
                          <a:miter lim="800000"/>
                          <a:headEnd/>
                          <a:tailEnd/>
                        </a:ln>
                      </wps:spPr>
                      <wps:txbx>
                        <w:txbxContent>
                          <w:p w:rsidR="0058588F" w:rsidRPr="00824679" w:rsidRDefault="0058588F" w:rsidP="0058588F">
                            <w:pPr>
                              <w:spacing w:line="240" w:lineRule="auto"/>
                              <w:ind w:left="0" w:right="0"/>
                              <w:jc w:val="center"/>
                            </w:pPr>
                            <w:r w:rsidRPr="00824679">
                              <w:rPr>
                                <w:b/>
                              </w:rPr>
                              <w:t>Secteurs</w:t>
                            </w:r>
                            <w:r w:rsidRPr="00824679">
                              <w:rPr>
                                <w:bCs/>
                              </w:rPr>
                              <w:t xml:space="preserve"> </w:t>
                            </w:r>
                            <w:r w:rsidRPr="00824679">
                              <w:rPr>
                                <w:sz w:val="16"/>
                                <w:szCs w:val="16"/>
                              </w:rPr>
                              <w:t xml:space="preserve">Agriculture, Sylviculture, Pêche, Énergie, Industries extractives, Industrie manufacturière, Transports, Eau, Déchets, Tourisme, Logement </w:t>
                            </w:r>
                            <w:r>
                              <w:rPr>
                                <w:sz w:val="16"/>
                                <w:szCs w:val="16"/>
                              </w:rPr>
                              <w:br/>
                            </w:r>
                            <w:r w:rsidRPr="00824679">
                              <w:rPr>
                                <w:sz w:val="16"/>
                                <w:szCs w:val="16"/>
                              </w:rPr>
                              <w:t>et Bâtiment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79C34B" id="_x0000_s1028" type="#_x0000_t202" style="position:absolute;left:0;text-align:left;margin-left:303.8pt;margin-top:42.95pt;width:116.2pt;height:104.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" filled="f" stroked="f">
                <v:textbox inset="0,0,0,0">
                  <w:txbxContent>
                    <w:p w:rsidR="0058588F" w:rsidRPr="00824679" w:rsidRDefault="0058588F" w:rsidP="0058588F">
                      <w:pPr>
                        <w:spacing w:line="240" w:lineRule="auto"/>
                        <w:ind w:left="0" w:right="0"/>
                        <w:jc w:val="center"/>
                      </w:pPr>
                      <w:r w:rsidRPr="00824679">
                        <w:rPr>
                          <w:b/>
                        </w:rPr>
                        <w:t>Secteurs</w:t>
                      </w:r>
                      <w:r w:rsidRPr="00824679">
                        <w:rPr>
                          <w:bCs/>
                        </w:rPr>
                        <w:t xml:space="preserve"> </w:t>
                      </w:r>
                      <w:r w:rsidRPr="00824679">
                        <w:rPr>
                          <w:sz w:val="16"/>
                          <w:szCs w:val="16"/>
                        </w:rPr>
                        <w:t xml:space="preserve">Agriculture, Sylviculture, Pêche, Énergie, Industries extractives, Industrie manufacturière, Transports, Eau, Déchets, Tourisme, Logement </w:t>
                      </w:r>
                      <w:r>
                        <w:rPr>
                          <w:sz w:val="16"/>
                          <w:szCs w:val="16"/>
                        </w:rPr>
                        <w:br/>
                      </w:r>
                      <w:r w:rsidRPr="00824679">
                        <w:rPr>
                          <w:sz w:val="16"/>
                          <w:szCs w:val="16"/>
                        </w:rPr>
                        <w:t>et Bâtiment</w:t>
                      </w:r>
                    </w:p>
                  </w:txbxContent>
                </v:textbox>
              </v:shape>
            </w:pict>
          </mc:Fallback>
        </mc:AlternateContent>
      </w:r>
      <w:r w:rsidRPr="001711D1">
        <w:rPr>
          <w:noProof/>
          <w:lang w:eastAsia="fr-CH"/>
        </w:rPr>
        <mc:AlternateContent>
          <mc:Choice Requires="wps">
            <w:drawing>
              <wp:anchor distT="0" distB="0" distL="114300" distR="114300" simplePos="0" relativeHeight="251880448" behindDoc="0" locked="0" layoutInCell="1" allowOverlap="1" wp14:anchorId="03C29D09" wp14:editId="5C0F1D03">
                <wp:simplePos x="0" y="0"/>
                <wp:positionH relativeFrom="column">
                  <wp:posOffset>2308860</wp:posOffset>
                </wp:positionH>
                <wp:positionV relativeFrom="paragraph">
                  <wp:posOffset>545465</wp:posOffset>
                </wp:positionV>
                <wp:extent cx="1476000" cy="1332000"/>
                <wp:effectExtent l="0" t="0" r="10160" b="190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000" cy="1332000"/>
                        </a:xfrm>
                        <a:prstGeom prst="rect">
                          <a:avLst/>
                        </a:prstGeom>
                        <a:noFill/>
                        <a:ln w="9525">
                          <a:noFill/>
                          <a:miter lim="800000"/>
                          <a:headEnd/>
                          <a:tailEnd/>
                        </a:ln>
                      </wps:spPr>
                      <wps:txbx>
                        <w:txbxContent>
                          <w:p w:rsidR="0058588F" w:rsidRPr="00824679" w:rsidRDefault="0058588F" w:rsidP="0058588F">
                            <w:pPr>
                              <w:spacing w:line="240" w:lineRule="auto"/>
                              <w:ind w:left="0" w:right="0"/>
                              <w:jc w:val="center"/>
                            </w:pPr>
                            <w:r w:rsidRPr="00824679">
                              <w:rPr>
                                <w:b/>
                                <w:bCs/>
                              </w:rPr>
                              <w:t>Villes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C29D09" id="_x0000_s1029" type="#_x0000_t202" style="position:absolute;left:0;text-align:left;margin-left:181.8pt;margin-top:42.95pt;width:116.2pt;height:104.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" filled="f" stroked="f">
                <v:textbox inset="0,0,0,0">
                  <w:txbxContent>
                    <w:p w:rsidR="0058588F" w:rsidRPr="00824679" w:rsidRDefault="0058588F" w:rsidP="0058588F">
                      <w:pPr>
                        <w:spacing w:line="240" w:lineRule="auto"/>
                        <w:ind w:left="0" w:right="0"/>
                        <w:jc w:val="center"/>
                      </w:pPr>
                      <w:r w:rsidRPr="00824679">
                        <w:rPr>
                          <w:b/>
                          <w:bCs/>
                        </w:rPr>
                        <w:t>Villes</w:t>
                      </w:r>
                    </w:p>
                  </w:txbxContent>
                </v:textbox>
              </v:shape>
            </w:pict>
          </mc:Fallback>
        </mc:AlternateContent>
      </w:r>
      <w:r w:rsidRPr="001711D1">
        <w:rPr>
          <w:noProof/>
          <w:lang w:eastAsia="fr-CH"/>
        </w:rPr>
        <mc:AlternateContent>
          <mc:Choice Requires="wps">
            <w:drawing>
              <wp:anchor distT="0" distB="0" distL="114300" distR="114300" simplePos="0" relativeHeight="251879424" behindDoc="0" locked="0" layoutInCell="1" allowOverlap="1" wp14:anchorId="4AD8E583" wp14:editId="7DE9C23B">
                <wp:simplePos x="0" y="0"/>
                <wp:positionH relativeFrom="column">
                  <wp:posOffset>759460</wp:posOffset>
                </wp:positionH>
                <wp:positionV relativeFrom="paragraph">
                  <wp:posOffset>545465</wp:posOffset>
                </wp:positionV>
                <wp:extent cx="1440000" cy="1260000"/>
                <wp:effectExtent l="0" t="0" r="8255" b="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260000"/>
                        </a:xfrm>
                        <a:prstGeom prst="rect">
                          <a:avLst/>
                        </a:prstGeom>
                        <a:noFill/>
                        <a:ln w="9525">
                          <a:noFill/>
                          <a:miter lim="800000"/>
                          <a:headEnd/>
                          <a:tailEnd/>
                        </a:ln>
                      </wps:spPr>
                      <wps:txbx>
                        <w:txbxContent>
                          <w:p w:rsidR="0058588F" w:rsidRPr="00824679" w:rsidRDefault="0058588F" w:rsidP="0058588F">
                            <w:pPr>
                              <w:spacing w:line="240" w:lineRule="auto"/>
                              <w:ind w:left="0" w:right="0"/>
                              <w:jc w:val="center"/>
                              <w:rPr>
                                <w:b/>
                                <w:bCs/>
                              </w:rPr>
                            </w:pPr>
                            <w:r w:rsidRPr="00824679">
                              <w:rPr>
                                <w:b/>
                                <w:bCs/>
                              </w:rPr>
                              <w:t xml:space="preserve">Ensemble </w:t>
                            </w:r>
                            <w:r w:rsidRPr="00824679">
                              <w:rPr>
                                <w:b/>
                                <w:bCs/>
                              </w:rPr>
                              <w:br/>
                              <w:t>de l’économie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D8E583" id="_x0000_s1030" type="#_x0000_t202" style="position:absolute;left:0;text-align:left;margin-left:59.8pt;margin-top:42.95pt;width:113.4pt;height:99.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" filled="f" stroked="f">
                <v:textbox inset="0,0,0,0">
                  <w:txbxContent>
                    <w:p w:rsidR="0058588F" w:rsidRPr="00824679" w:rsidRDefault="0058588F" w:rsidP="0058588F">
                      <w:pPr>
                        <w:spacing w:line="240" w:lineRule="auto"/>
                        <w:ind w:left="0" w:right="0"/>
                        <w:jc w:val="center"/>
                        <w:rPr>
                          <w:b/>
                          <w:bCs/>
                        </w:rPr>
                      </w:pPr>
                      <w:r w:rsidRPr="00824679">
                        <w:rPr>
                          <w:b/>
                          <w:bCs/>
                        </w:rPr>
                        <w:t xml:space="preserve">Ensemble </w:t>
                      </w:r>
                      <w:r w:rsidRPr="00824679">
                        <w:rPr>
                          <w:b/>
                          <w:bCs/>
                        </w:rPr>
                        <w:br/>
                        <w:t>de l’économie</w:t>
                      </w:r>
                    </w:p>
                  </w:txbxContent>
                </v:textbox>
              </v:shape>
            </w:pict>
          </mc:Fallback>
        </mc:AlternateContent>
      </w:r>
      <w:r w:rsidRPr="001711D1">
        <w:rPr>
          <w:noProof/>
          <w:lang w:eastAsia="fr-CH"/>
        </w:rPr>
        <mc:AlternateContent>
          <mc:Choice Requires="wps">
            <w:drawing>
              <wp:anchor distT="0" distB="0" distL="114300" distR="114300" simplePos="0" relativeHeight="251884544" behindDoc="0" locked="0" layoutInCell="1" allowOverlap="1" wp14:anchorId="0BCD4401" wp14:editId="5CB6837F">
                <wp:simplePos x="0" y="0"/>
                <wp:positionH relativeFrom="column">
                  <wp:posOffset>2131060</wp:posOffset>
                </wp:positionH>
                <wp:positionV relativeFrom="paragraph">
                  <wp:posOffset>3447415</wp:posOffset>
                </wp:positionV>
                <wp:extent cx="1800000" cy="719455"/>
                <wp:effectExtent l="0" t="0" r="10160" b="4445"/>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719455"/>
                        </a:xfrm>
                        <a:prstGeom prst="rect">
                          <a:avLst/>
                        </a:prstGeom>
                        <a:noFill/>
                        <a:ln w="9525">
                          <a:noFill/>
                          <a:miter lim="800000"/>
                          <a:headEnd/>
                          <a:tailEnd/>
                        </a:ln>
                      </wps:spPr>
                      <wps:txbx>
                        <w:txbxContent>
                          <w:p w:rsidR="0058588F" w:rsidRPr="00824679" w:rsidRDefault="0058588F" w:rsidP="0058588F">
                            <w:pPr>
                              <w:spacing w:line="240" w:lineRule="auto"/>
                              <w:ind w:left="0" w:right="0"/>
                              <w:jc w:val="center"/>
                            </w:pPr>
                            <w:r w:rsidRPr="00C72477">
                              <w:t xml:space="preserve">Instruments d’information, </w:t>
                            </w:r>
                            <w:r>
                              <w:br/>
                            </w:r>
                            <w:r w:rsidRPr="00C72477">
                              <w:t xml:space="preserve">fondés sur l’éducation, </w:t>
                            </w:r>
                            <w:r>
                              <w:br/>
                            </w:r>
                            <w:r w:rsidRPr="00C72477">
                              <w:t xml:space="preserve">de renforcement des capacités </w:t>
                            </w:r>
                            <w:r>
                              <w:br/>
                            </w:r>
                            <w:r w:rsidRPr="00C72477">
                              <w:t>et d’application volontaire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CD4401" id="_x0000_s1031" type="#_x0000_t202" style="position:absolute;left:0;text-align:left;margin-left:167.8pt;margin-top:271.45pt;width:141.75pt;height:56.6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" filled="f" stroked="f">
                <v:textbox inset="0,0,0,0">
                  <w:txbxContent>
                    <w:p w:rsidR="0058588F" w:rsidRPr="00824679" w:rsidRDefault="0058588F" w:rsidP="0058588F">
                      <w:pPr>
                        <w:spacing w:line="240" w:lineRule="auto"/>
                        <w:ind w:left="0" w:right="0"/>
                        <w:jc w:val="center"/>
                      </w:pPr>
                      <w:r w:rsidRPr="00C72477">
                        <w:t xml:space="preserve">Instruments d’information, </w:t>
                      </w:r>
                      <w:r>
                        <w:br/>
                      </w:r>
                      <w:r w:rsidRPr="00C72477">
                        <w:t xml:space="preserve">fondés sur l’éducation, </w:t>
                      </w:r>
                      <w:r>
                        <w:br/>
                      </w:r>
                      <w:r w:rsidRPr="00C72477">
                        <w:t xml:space="preserve">de renforcement des capacités </w:t>
                      </w:r>
                      <w:r>
                        <w:br/>
                      </w:r>
                      <w:r w:rsidRPr="00C72477">
                        <w:t>et d’application volontaire</w:t>
                      </w:r>
                    </w:p>
                  </w:txbxContent>
                </v:textbox>
              </v:shape>
            </w:pict>
          </mc:Fallback>
        </mc:AlternateContent>
      </w:r>
      <w:r w:rsidRPr="001711D1">
        <w:rPr>
          <w:noProof/>
          <w:lang w:eastAsia="fr-CH"/>
        </w:rPr>
        <mc:AlternateContent>
          <mc:Choice Requires="wps">
            <w:drawing>
              <wp:anchor distT="0" distB="0" distL="114300" distR="114300" simplePos="0" relativeHeight="251883520" behindDoc="0" locked="0" layoutInCell="1" allowOverlap="1" wp14:anchorId="60DF949F" wp14:editId="7C5590C4">
                <wp:simplePos x="0" y="0"/>
                <wp:positionH relativeFrom="column">
                  <wp:posOffset>2131060</wp:posOffset>
                </wp:positionH>
                <wp:positionV relativeFrom="paragraph">
                  <wp:posOffset>2793365</wp:posOffset>
                </wp:positionV>
                <wp:extent cx="1800000" cy="539750"/>
                <wp:effectExtent l="0" t="0" r="10160" b="12700"/>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539750"/>
                        </a:xfrm>
                        <a:prstGeom prst="rect">
                          <a:avLst/>
                        </a:prstGeom>
                        <a:noFill/>
                        <a:ln w="9525">
                          <a:noFill/>
                          <a:miter lim="800000"/>
                          <a:headEnd/>
                          <a:tailEnd/>
                        </a:ln>
                      </wps:spPr>
                      <wps:txbx>
                        <w:txbxContent>
                          <w:p w:rsidR="0058588F" w:rsidRPr="00824679" w:rsidRDefault="0058588F" w:rsidP="0058588F">
                            <w:pPr>
                              <w:spacing w:line="240" w:lineRule="auto"/>
                              <w:ind w:left="0" w:right="0"/>
                              <w:jc w:val="center"/>
                            </w:pPr>
                            <w:r w:rsidRPr="00824679">
                              <w:t xml:space="preserve">Instruments économiques </w:t>
                            </w:r>
                            <w:r>
                              <w:br/>
                            </w:r>
                            <w:r w:rsidRPr="00824679">
                              <w:t>et budgétaires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DF949F" id="_x0000_s1032" type="#_x0000_t202" style="position:absolute;left:0;text-align:left;margin-left:167.8pt;margin-top:219.95pt;width:141.75pt;height:4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" filled="f" stroked="f">
                <v:textbox inset="0,0,0,0">
                  <w:txbxContent>
                    <w:p w:rsidR="0058588F" w:rsidRPr="00824679" w:rsidRDefault="0058588F" w:rsidP="0058588F">
                      <w:pPr>
                        <w:spacing w:line="240" w:lineRule="auto"/>
                        <w:ind w:left="0" w:right="0"/>
                        <w:jc w:val="center"/>
                      </w:pPr>
                      <w:r w:rsidRPr="00824679">
                        <w:t xml:space="preserve">Instruments économiques </w:t>
                      </w:r>
                      <w:r>
                        <w:br/>
                      </w:r>
                      <w:r w:rsidRPr="00824679">
                        <w:t>et budgétaires</w:t>
                      </w:r>
                    </w:p>
                  </w:txbxContent>
                </v:textbox>
              </v:shape>
            </w:pict>
          </mc:Fallback>
        </mc:AlternateContent>
      </w:r>
      <w:r w:rsidRPr="001711D1">
        <w:rPr>
          <w:noProof/>
          <w:lang w:eastAsia="fr-CH"/>
        </w:rPr>
        <w:drawing>
          <wp:inline distT="0" distB="0" distL="0" distR="0" wp14:anchorId="799FBCD0" wp14:editId="001B8375">
            <wp:extent cx="4680000" cy="4435200"/>
            <wp:effectExtent l="0" t="0" r="6350" b="381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0000" cy="4435200"/>
                    </a:xfrm>
                    <a:prstGeom prst="rect">
                      <a:avLst/>
                    </a:prstGeom>
                    <a:noFill/>
                    <a:ln>
                      <a:noFill/>
                    </a:ln>
                  </pic:spPr>
                </pic:pic>
              </a:graphicData>
            </a:graphic>
          </wp:inline>
        </w:drawing>
      </w:r>
    </w:p>
    <w:p w:rsidR="0059663F" w:rsidRPr="0059663F" w:rsidRDefault="0059663F" w:rsidP="0059663F">
      <w:pPr>
        <w:spacing w:before="120" w:after="240"/>
        <w:ind w:firstLine="170"/>
        <w:rPr>
          <w:sz w:val="18"/>
          <w:szCs w:val="18"/>
        </w:rPr>
      </w:pPr>
      <w:r w:rsidRPr="0059663F">
        <w:rPr>
          <w:i/>
          <w:sz w:val="18"/>
          <w:szCs w:val="18"/>
        </w:rPr>
        <w:t>Source</w:t>
      </w:r>
      <w:r>
        <w:rPr>
          <w:i/>
          <w:sz w:val="18"/>
          <w:szCs w:val="18"/>
        </w:rPr>
        <w:t> </w:t>
      </w:r>
      <w:r w:rsidRPr="0059663F">
        <w:rPr>
          <w:sz w:val="18"/>
          <w:szCs w:val="18"/>
        </w:rPr>
        <w:t>: ECE/BATUMI.CONF/2016/6.</w:t>
      </w:r>
    </w:p>
    <w:p w:rsidR="00EC704A" w:rsidRPr="00957933" w:rsidRDefault="00EC704A" w:rsidP="00EC704A">
      <w:pPr>
        <w:pStyle w:val="SingleTxtG"/>
      </w:pPr>
      <w:r w:rsidRPr="00957933">
        <w:t>11.</w:t>
      </w:r>
      <w:r w:rsidRPr="00957933">
        <w:tab/>
        <w:t>L’évaluation de l’état d’avancement de la mise en œuvre des engagements se fait sur la base des données recueillies au moyen de l’enquête. Comme recommandé par le Comité et le Bureau, le questionnaire de l’enquête était concis, ne comportant que quelques questions relatives à chaque engagement, à quoi il fallait répondre en cochant une case. L’enquête abordait séparément la question de l’utilité de l’Initiative de Batumi.</w:t>
      </w:r>
    </w:p>
    <w:p w:rsidR="00EC704A" w:rsidRPr="00957933" w:rsidRDefault="00EC704A" w:rsidP="00EC704A">
      <w:pPr>
        <w:pStyle w:val="SingleTxtG"/>
      </w:pPr>
      <w:r w:rsidRPr="00957933">
        <w:t>12.</w:t>
      </w:r>
      <w:r w:rsidRPr="00957933">
        <w:tab/>
        <w:t>Pour compenser cette simplification voulue, les répondants avaient la possibilité de commenter largement leurs réponses. Ces commentaires, qui informent utilement sur les défis à relever et sur les leçons tirées de l’application pratique de l’approche en faveur de l’économie verte, n’ont pas été intégrés au présent document par souci de ne pas le rendre trop long. Le secrétariat en a cependant fait un document distinct (document d’information n</w:t>
      </w:r>
      <w:r w:rsidRPr="00EC704A">
        <w:rPr>
          <w:vertAlign w:val="superscript"/>
        </w:rPr>
        <w:t>o</w:t>
      </w:r>
      <w:r>
        <w:t> </w:t>
      </w:r>
      <w:r w:rsidRPr="00957933">
        <w:t>9)</w:t>
      </w:r>
      <w:r w:rsidRPr="00EC704A">
        <w:rPr>
          <w:rStyle w:val="Appelnotedebasdep"/>
        </w:rPr>
        <w:footnoteReference w:id="6"/>
      </w:r>
      <w:r w:rsidRPr="00957933">
        <w:t xml:space="preserve">, qui constitue un complément essentiel au présent rapport. </w:t>
      </w:r>
    </w:p>
    <w:p w:rsidR="00EC704A" w:rsidRPr="00957933" w:rsidRDefault="00EC704A" w:rsidP="00EC704A">
      <w:pPr>
        <w:pStyle w:val="H1G"/>
      </w:pPr>
      <w:r>
        <w:tab/>
        <w:t>B.</w:t>
      </w:r>
      <w:r>
        <w:tab/>
      </w:r>
      <w:r w:rsidRPr="00957933">
        <w:t xml:space="preserve">Analyse de l’état d’avancement des engagements pris au titre </w:t>
      </w:r>
      <w:r>
        <w:br/>
      </w:r>
      <w:r w:rsidRPr="00957933">
        <w:t>de l’Initiative de Batumi pour une économie verte</w:t>
      </w:r>
    </w:p>
    <w:p w:rsidR="00EC704A" w:rsidRPr="00957933" w:rsidRDefault="00EC704A" w:rsidP="00EC704A">
      <w:pPr>
        <w:pStyle w:val="H23G"/>
      </w:pPr>
      <w:r w:rsidRPr="00957933">
        <w:tab/>
      </w:r>
      <w:r w:rsidRPr="00957933">
        <w:tab/>
        <w:t>Rappel</w:t>
      </w:r>
    </w:p>
    <w:p w:rsidR="00EC704A" w:rsidRPr="00957933" w:rsidRDefault="00EC704A" w:rsidP="00EC704A">
      <w:pPr>
        <w:pStyle w:val="SingleTxtG"/>
      </w:pPr>
      <w:r w:rsidRPr="00957933">
        <w:t>13.</w:t>
      </w:r>
      <w:r w:rsidRPr="00957933">
        <w:tab/>
        <w:t>Les 124</w:t>
      </w:r>
      <w:r>
        <w:t> </w:t>
      </w:r>
      <w:r w:rsidRPr="00957933">
        <w:t>engagements soumis par 27</w:t>
      </w:r>
      <w:r>
        <w:t> </w:t>
      </w:r>
      <w:r w:rsidRPr="00957933">
        <w:t>pays et 13</w:t>
      </w:r>
      <w:r>
        <w:t> </w:t>
      </w:r>
      <w:r w:rsidRPr="00957933">
        <w:t>organisations à l’Initiative de Batumi pour une économie verte reflètent l’intérêt considérable des parties prenantes pour l’Initiative. Les 27</w:t>
      </w:r>
      <w:r>
        <w:t> </w:t>
      </w:r>
      <w:r w:rsidRPr="00957933">
        <w:t>gouvernements participants représentent près de la moitié (48</w:t>
      </w:r>
      <w:r>
        <w:t> </w:t>
      </w:r>
      <w:r w:rsidRPr="00957933">
        <w:t xml:space="preserve">%) des </w:t>
      </w:r>
      <w:r w:rsidRPr="00957933">
        <w:lastRenderedPageBreak/>
        <w:t>membres de la CEE et 60</w:t>
      </w:r>
      <w:r>
        <w:t> </w:t>
      </w:r>
      <w:r w:rsidRPr="00957933">
        <w:t xml:space="preserve">% des États </w:t>
      </w:r>
      <w:r w:rsidR="002D49A4" w:rsidRPr="00957933">
        <w:t xml:space="preserve">membres </w:t>
      </w:r>
      <w:r w:rsidRPr="00957933">
        <w:t>ayant participé à la Conférence de Batumi. La plupart des engagements ont été soumis avant ou pendant la Conférence</w:t>
      </w:r>
      <w:r w:rsidR="004502AD">
        <w:t> </w:t>
      </w:r>
      <w:r w:rsidRPr="00957933">
        <w:t>; plusieurs parties prenantes, gouvernements ou autres, ont fait connaître leurs engagements après la Conférence, augmentant ainsi leur nombre de 23</w:t>
      </w:r>
      <w:r>
        <w:t> </w:t>
      </w:r>
      <w:r w:rsidRPr="00957933">
        <w:t>% (de 101 à 124) et le nombre de parties prenantes de 17</w:t>
      </w:r>
      <w:r>
        <w:t> </w:t>
      </w:r>
      <w:r w:rsidRPr="00957933">
        <w:t xml:space="preserve">% (de 34 à 40). </w:t>
      </w:r>
    </w:p>
    <w:p w:rsidR="00EC704A" w:rsidRPr="00957933" w:rsidRDefault="00EC704A" w:rsidP="00EC704A">
      <w:pPr>
        <w:pStyle w:val="SingleTxtG"/>
      </w:pPr>
      <w:r w:rsidRPr="00957933">
        <w:t>14.</w:t>
      </w:r>
      <w:r w:rsidRPr="00957933">
        <w:tab/>
        <w:t>On observe une répartition géographique relativement équitable des gouvernements participants, avec 18</w:t>
      </w:r>
      <w:r>
        <w:t> </w:t>
      </w:r>
      <w:r w:rsidRPr="00957933">
        <w:t>États membres de l’Union européenne, 1</w:t>
      </w:r>
      <w:r>
        <w:t> </w:t>
      </w:r>
      <w:r w:rsidRPr="00957933">
        <w:t>pays d’Europe occidentale non membre de l’Union européenne, 3</w:t>
      </w:r>
      <w:r>
        <w:t> </w:t>
      </w:r>
      <w:r w:rsidRPr="00957933">
        <w:t>pays d’Europe orientale (hors Union européenne), 2</w:t>
      </w:r>
      <w:r>
        <w:t> </w:t>
      </w:r>
      <w:r w:rsidRPr="00957933">
        <w:t>pays du Caucase et 3</w:t>
      </w:r>
      <w:r>
        <w:t> </w:t>
      </w:r>
      <w:r w:rsidRPr="00957933">
        <w:t>pays d’Asie centrale (annexe, fig.</w:t>
      </w:r>
      <w:r>
        <w:t> </w:t>
      </w:r>
      <w:r w:rsidRPr="00957933">
        <w:t>I). Les deux sous-régions dont l’absence s’est particulièrement fait sentir sont l’Europe du Sud-Est (hors Union européenne) et l’Amérique du Nord.</w:t>
      </w:r>
    </w:p>
    <w:p w:rsidR="00EC704A" w:rsidRPr="00957933" w:rsidRDefault="00EC704A" w:rsidP="00EC704A">
      <w:pPr>
        <w:pStyle w:val="H23G"/>
      </w:pPr>
      <w:r w:rsidRPr="00957933">
        <w:tab/>
      </w:r>
      <w:r w:rsidRPr="00957933">
        <w:tab/>
        <w:t>Domaines d’intervention</w:t>
      </w:r>
      <w:r w:rsidRPr="00EC704A">
        <w:rPr>
          <w:rStyle w:val="Appelnotedebasdep"/>
          <w:b w:val="0"/>
        </w:rPr>
        <w:footnoteReference w:id="7"/>
      </w:r>
      <w:r w:rsidRPr="00957933">
        <w:t xml:space="preserve"> </w:t>
      </w:r>
    </w:p>
    <w:p w:rsidR="00EC704A" w:rsidRPr="00957933" w:rsidRDefault="00EC704A" w:rsidP="00EC704A">
      <w:pPr>
        <w:pStyle w:val="SingleTxtG"/>
      </w:pPr>
      <w:r w:rsidRPr="00957933">
        <w:t>15.</w:t>
      </w:r>
      <w:r w:rsidRPr="00957933">
        <w:tab/>
        <w:t>La répartition de 124</w:t>
      </w:r>
      <w:r>
        <w:t> </w:t>
      </w:r>
      <w:r w:rsidRPr="00957933">
        <w:t>engagements entre les trois grands objectifs et les neuf domaines d’intervention s’y rattachant offre un aperçu intéressant des approches régionales (annexe, fig.</w:t>
      </w:r>
      <w:r>
        <w:t> </w:t>
      </w:r>
      <w:r w:rsidRPr="00957933">
        <w:t>II). Onze engagements sont qualifiés par les parties prenantes de «</w:t>
      </w:r>
      <w:r>
        <w:t> </w:t>
      </w:r>
      <w:r w:rsidRPr="00957933">
        <w:t>primordiaux</w:t>
      </w:r>
      <w:r>
        <w:t> </w:t>
      </w:r>
      <w:r w:rsidRPr="00957933">
        <w:t>»</w:t>
      </w:r>
      <w:r>
        <w:t> </w:t>
      </w:r>
      <w:r w:rsidRPr="00957933">
        <w:t>; tous les autres s’inscrivent dans un ou plusieurs domaine(s) d’intervention rattaché(s) aux trois objectifs. Dans cette volée majoritaire d’engagements, les domaines d’intervention relevant de l’objectif II, «</w:t>
      </w:r>
      <w:r>
        <w:t> </w:t>
      </w:r>
      <w:r w:rsidRPr="00957933">
        <w:t>Renforcement du progrès économique</w:t>
      </w:r>
      <w:r>
        <w:t> </w:t>
      </w:r>
      <w:r w:rsidRPr="00957933">
        <w:t>» sont cités dans 76</w:t>
      </w:r>
      <w:r>
        <w:t> </w:t>
      </w:r>
      <w:r w:rsidRPr="00957933">
        <w:t>engagements (61</w:t>
      </w:r>
      <w:r>
        <w:t> </w:t>
      </w:r>
      <w:r w:rsidRPr="00957933">
        <w:t>%)</w:t>
      </w:r>
      <w:r w:rsidRPr="00EC704A">
        <w:rPr>
          <w:rStyle w:val="Appelnotedebasdep"/>
        </w:rPr>
        <w:footnoteReference w:id="8"/>
      </w:r>
      <w:r w:rsidRPr="00957933">
        <w:t>. L’objectif III «</w:t>
      </w:r>
      <w:r w:rsidR="004502AD">
        <w:t> </w:t>
      </w:r>
      <w:r w:rsidRPr="00957933">
        <w:t>Amélioration du bien-être humain et de l’équité sociale</w:t>
      </w:r>
      <w:r w:rsidR="004502AD">
        <w:t> </w:t>
      </w:r>
      <w:r w:rsidRPr="00957933">
        <w:t>», est le moins souvent mentionné, avec seulement 36</w:t>
      </w:r>
      <w:r>
        <w:t> </w:t>
      </w:r>
      <w:r w:rsidRPr="00957933">
        <w:t>engagements (29</w:t>
      </w:r>
      <w:r>
        <w:t> </w:t>
      </w:r>
      <w:r w:rsidRPr="00957933">
        <w:t>%). Cinquante</w:t>
      </w:r>
      <w:r w:rsidR="004502AD">
        <w:t xml:space="preserve"> </w:t>
      </w:r>
      <w:r w:rsidRPr="00957933">
        <w:t>et</w:t>
      </w:r>
      <w:r w:rsidR="004502AD">
        <w:t xml:space="preserve"> </w:t>
      </w:r>
      <w:r w:rsidRPr="00957933">
        <w:t>un engagements (41</w:t>
      </w:r>
      <w:r>
        <w:t> </w:t>
      </w:r>
      <w:r w:rsidRPr="00957933">
        <w:t>%) visent des domaines d’intervention relevant de l’objectif I, «</w:t>
      </w:r>
      <w:r>
        <w:t> </w:t>
      </w:r>
      <w:r w:rsidRPr="00957933">
        <w:t>Réduction des risques environnementaux et de la pénurie de ressources</w:t>
      </w:r>
      <w:r>
        <w:t> </w:t>
      </w:r>
      <w:r w:rsidRPr="00957933">
        <w:t>».</w:t>
      </w:r>
    </w:p>
    <w:p w:rsidR="00EC704A" w:rsidRPr="00957933" w:rsidRDefault="00EC704A" w:rsidP="00EC704A">
      <w:pPr>
        <w:pStyle w:val="SingleTxtG"/>
        <w:keepNext/>
      </w:pPr>
      <w:r w:rsidRPr="00957933">
        <w:t>16.</w:t>
      </w:r>
      <w:r w:rsidRPr="00957933">
        <w:tab/>
        <w:t>Un examen approfondi des domaines d’intervention montre que le thème de l’écologisation des modes de production et de consommation (domaines d’intervention II.5 et II.4) occupe partout une place importante, tout spécialement dans les engagements pris par les gouvernements. Le domaine d’intervention III.7, «</w:t>
      </w:r>
      <w:r>
        <w:t> </w:t>
      </w:r>
      <w:r w:rsidRPr="00957933">
        <w:t>Emplois verts et décents</w:t>
      </w:r>
      <w:r>
        <w:t> </w:t>
      </w:r>
      <w:r w:rsidRPr="00957933">
        <w:t>», est le moins souvent cité, suivi de près par le domaine II.6, «</w:t>
      </w:r>
      <w:r>
        <w:t> </w:t>
      </w:r>
      <w:r w:rsidRPr="00957933">
        <w:t>Commerce vert et équitable</w:t>
      </w:r>
      <w:r>
        <w:t> </w:t>
      </w:r>
      <w:r w:rsidRPr="00957933">
        <w:t>». Si</w:t>
      </w:r>
      <w:r>
        <w:t> </w:t>
      </w:r>
      <w:r w:rsidRPr="00957933">
        <w:t>l’on s’en tient au nombre de fois où les domaines d’intervention sont cités, le classement est le suivant</w:t>
      </w:r>
      <w:r>
        <w:t> </w:t>
      </w:r>
      <w:r w:rsidRPr="00957933">
        <w:t>:</w:t>
      </w:r>
    </w:p>
    <w:p w:rsidR="00EC704A" w:rsidRPr="00957933" w:rsidRDefault="00EC704A" w:rsidP="00871CB6">
      <w:pPr>
        <w:pStyle w:val="SingleTxtG"/>
        <w:ind w:firstLine="567"/>
      </w:pPr>
      <w:r w:rsidRPr="00957933">
        <w:t>a)</w:t>
      </w:r>
      <w:r w:rsidRPr="00957933">
        <w:tab/>
      </w:r>
      <w:r w:rsidRPr="00871CB6">
        <w:rPr>
          <w:b/>
        </w:rPr>
        <w:t>Domaine d’intervention II.5</w:t>
      </w:r>
      <w:r w:rsidRPr="00957933">
        <w:t xml:space="preserve"> (Développer un capital physique non polluant pour des m</w:t>
      </w:r>
      <w:r w:rsidR="00871CB6">
        <w:t>odèles de production durables) − </w:t>
      </w:r>
      <w:r w:rsidRPr="00957933">
        <w:t>49</w:t>
      </w:r>
      <w:r w:rsidR="00871CB6">
        <w:t> </w:t>
      </w:r>
      <w:r w:rsidRPr="00957933">
        <w:t>engagements, dont 37 émanant de gouvernements</w:t>
      </w:r>
      <w:r w:rsidR="00871CB6">
        <w:t> </w:t>
      </w:r>
      <w:r w:rsidRPr="00957933">
        <w:t>;</w:t>
      </w:r>
    </w:p>
    <w:p w:rsidR="00EC704A" w:rsidRPr="00957933" w:rsidRDefault="00EC704A" w:rsidP="00871CB6">
      <w:pPr>
        <w:pStyle w:val="SingleTxtG"/>
        <w:ind w:firstLine="567"/>
      </w:pPr>
      <w:r w:rsidRPr="00957933">
        <w:t>b)</w:t>
      </w:r>
      <w:r w:rsidRPr="00957933">
        <w:tab/>
      </w:r>
      <w:r w:rsidRPr="00CD64C5">
        <w:rPr>
          <w:b/>
        </w:rPr>
        <w:t>Domaine d’intervention II.4</w:t>
      </w:r>
      <w:r w:rsidRPr="00957933">
        <w:t xml:space="preserve"> (Orienter le comportement des consommateurs vers des mo</w:t>
      </w:r>
      <w:r w:rsidR="00CD64C5">
        <w:t>des de consommation durables) − </w:t>
      </w:r>
      <w:r w:rsidRPr="00957933">
        <w:t>42</w:t>
      </w:r>
      <w:r w:rsidR="00CD64C5">
        <w:t> </w:t>
      </w:r>
      <w:r w:rsidRPr="00957933">
        <w:t>engagements, dont 29 émanant de gouvernements</w:t>
      </w:r>
      <w:r w:rsidR="00CD64C5">
        <w:t> </w:t>
      </w:r>
      <w:r w:rsidRPr="00957933">
        <w:t>;</w:t>
      </w:r>
    </w:p>
    <w:p w:rsidR="00EC704A" w:rsidRPr="00957933" w:rsidRDefault="00EC704A" w:rsidP="00871CB6">
      <w:pPr>
        <w:pStyle w:val="SingleTxtG"/>
        <w:ind w:firstLine="567"/>
      </w:pPr>
      <w:r w:rsidRPr="00957933">
        <w:t>c)</w:t>
      </w:r>
      <w:r w:rsidRPr="00957933">
        <w:tab/>
      </w:r>
      <w:r w:rsidRPr="00CD64C5">
        <w:rPr>
          <w:b/>
        </w:rPr>
        <w:t>Domaine d’intervention I.2</w:t>
      </w:r>
      <w:r w:rsidRPr="00957933">
        <w:t xml:space="preserve"> (Promouvoir l’internalisation des externalités négatives et l’utilisati</w:t>
      </w:r>
      <w:r w:rsidR="00CD64C5">
        <w:t>on durable du capital naturel) − </w:t>
      </w:r>
      <w:r w:rsidRPr="00957933">
        <w:t>32</w:t>
      </w:r>
      <w:r w:rsidR="00CD64C5">
        <w:t> </w:t>
      </w:r>
      <w:r w:rsidRPr="00957933">
        <w:t>engagements, dont 16 émanant de gouvernements</w:t>
      </w:r>
      <w:r w:rsidR="00CD64C5">
        <w:t> </w:t>
      </w:r>
      <w:r w:rsidRPr="00957933">
        <w:t>;</w:t>
      </w:r>
    </w:p>
    <w:p w:rsidR="00EC704A" w:rsidRPr="00957933" w:rsidRDefault="00EC704A" w:rsidP="00871CB6">
      <w:pPr>
        <w:pStyle w:val="SingleTxtG"/>
        <w:ind w:firstLine="567"/>
      </w:pPr>
      <w:r w:rsidRPr="00957933">
        <w:t>d)</w:t>
      </w:r>
      <w:r w:rsidRPr="00957933">
        <w:tab/>
      </w:r>
      <w:r w:rsidRPr="00CD64C5">
        <w:rPr>
          <w:b/>
        </w:rPr>
        <w:t>Domaine d’intervention I.1</w:t>
      </w:r>
      <w:r w:rsidRPr="00957933">
        <w:t xml:space="preserve"> (Améliorer la mesure et la val</w:t>
      </w:r>
      <w:r w:rsidR="00CD64C5">
        <w:t>orisation du capital naturel) − </w:t>
      </w:r>
      <w:r w:rsidRPr="00957933">
        <w:t>25</w:t>
      </w:r>
      <w:r w:rsidR="00CD64C5">
        <w:t> </w:t>
      </w:r>
      <w:r w:rsidRPr="00957933">
        <w:t>engagements, dont 12 émanant de gouvernements</w:t>
      </w:r>
      <w:r w:rsidR="00CD64C5">
        <w:t> </w:t>
      </w:r>
      <w:r w:rsidRPr="00957933">
        <w:t>;</w:t>
      </w:r>
    </w:p>
    <w:p w:rsidR="00EC704A" w:rsidRPr="00957933" w:rsidRDefault="00EC704A" w:rsidP="00871CB6">
      <w:pPr>
        <w:pStyle w:val="SingleTxtG"/>
        <w:ind w:firstLine="567"/>
      </w:pPr>
      <w:r w:rsidRPr="00957933">
        <w:t>e)</w:t>
      </w:r>
      <w:r w:rsidRPr="00957933">
        <w:tab/>
      </w:r>
      <w:r w:rsidRPr="00CD64C5">
        <w:rPr>
          <w:b/>
        </w:rPr>
        <w:t>Domaine d’intervention III.9</w:t>
      </w:r>
      <w:r w:rsidRPr="00957933">
        <w:t xml:space="preserve"> (Promouvoir la participation du public et l’éducat</w:t>
      </w:r>
      <w:r w:rsidR="00CD64C5">
        <w:t>ion au développement durable) − </w:t>
      </w:r>
      <w:r w:rsidRPr="00957933">
        <w:t>19</w:t>
      </w:r>
      <w:r w:rsidR="00CD64C5">
        <w:t> </w:t>
      </w:r>
      <w:r w:rsidRPr="00957933">
        <w:t>engagements, dont 9 émanant de gouvernements</w:t>
      </w:r>
      <w:r w:rsidR="00CD64C5">
        <w:t> </w:t>
      </w:r>
      <w:r w:rsidRPr="00957933">
        <w:t>;</w:t>
      </w:r>
    </w:p>
    <w:p w:rsidR="00EC704A" w:rsidRPr="00957933" w:rsidRDefault="00EC704A" w:rsidP="00871CB6">
      <w:pPr>
        <w:pStyle w:val="SingleTxtG"/>
        <w:ind w:firstLine="567"/>
      </w:pPr>
      <w:r w:rsidRPr="00957933">
        <w:t>f)</w:t>
      </w:r>
      <w:r w:rsidRPr="00957933">
        <w:tab/>
      </w:r>
      <w:r w:rsidRPr="00CD64C5">
        <w:rPr>
          <w:b/>
        </w:rPr>
        <w:t>Domaine d’intervention III.8</w:t>
      </w:r>
      <w:r w:rsidRPr="00957933">
        <w:t xml:space="preserve"> (Améliorer l’accès aux services, à u</w:t>
      </w:r>
      <w:r w:rsidR="00CD64C5">
        <w:t>ne vie saine et au bien-être) − </w:t>
      </w:r>
      <w:r w:rsidRPr="00957933">
        <w:t>17 engagements dont 10 émanant de gouvernements</w:t>
      </w:r>
      <w:r w:rsidR="00CD64C5">
        <w:t> </w:t>
      </w:r>
      <w:r w:rsidRPr="00957933">
        <w:t xml:space="preserve">; </w:t>
      </w:r>
    </w:p>
    <w:p w:rsidR="00EC704A" w:rsidRPr="00957933" w:rsidRDefault="00EC704A" w:rsidP="00871CB6">
      <w:pPr>
        <w:pStyle w:val="SingleTxtG"/>
        <w:ind w:firstLine="567"/>
      </w:pPr>
      <w:r w:rsidRPr="00957933">
        <w:lastRenderedPageBreak/>
        <w:t>g)</w:t>
      </w:r>
      <w:r w:rsidRPr="00957933">
        <w:tab/>
      </w:r>
      <w:r w:rsidRPr="00CD64C5">
        <w:rPr>
          <w:b/>
        </w:rPr>
        <w:t>Domaine d’intervention I.3</w:t>
      </w:r>
      <w:r w:rsidRPr="00957933">
        <w:t xml:space="preserve"> (Renforcer les écosystèmes et les services écosystémiques dans le cadre de</w:t>
      </w:r>
      <w:r w:rsidR="00CD64C5">
        <w:t xml:space="preserve"> l’infrastructure écologique) − </w:t>
      </w:r>
      <w:r w:rsidRPr="00957933">
        <w:t>16</w:t>
      </w:r>
      <w:r w:rsidR="00CD64C5">
        <w:t> </w:t>
      </w:r>
      <w:r w:rsidRPr="00957933">
        <w:t>engagements, dont 9 émanant de gouvernements</w:t>
      </w:r>
      <w:r w:rsidR="00CD64C5">
        <w:t> </w:t>
      </w:r>
      <w:r w:rsidRPr="00957933">
        <w:t xml:space="preserve">; </w:t>
      </w:r>
    </w:p>
    <w:p w:rsidR="00EC704A" w:rsidRPr="00957933" w:rsidRDefault="00EC704A" w:rsidP="00871CB6">
      <w:pPr>
        <w:pStyle w:val="SingleTxtG"/>
        <w:ind w:firstLine="567"/>
      </w:pPr>
      <w:r w:rsidRPr="00957933">
        <w:t>h)</w:t>
      </w:r>
      <w:r w:rsidRPr="00957933">
        <w:tab/>
      </w:r>
      <w:r w:rsidRPr="00126FCE">
        <w:rPr>
          <w:b/>
        </w:rPr>
        <w:t>Domaine d’intervention II.6</w:t>
      </w:r>
      <w:r w:rsidRPr="00957933">
        <w:t xml:space="preserve"> (Promouvoir u</w:t>
      </w:r>
      <w:r w:rsidR="00126FCE">
        <w:t>n commerce vert et équitable) − </w:t>
      </w:r>
      <w:r w:rsidRPr="00957933">
        <w:t>14</w:t>
      </w:r>
      <w:r w:rsidR="00126FCE">
        <w:t> </w:t>
      </w:r>
      <w:r w:rsidRPr="00957933">
        <w:t>engagements, dont 7 émanant de gouvernements</w:t>
      </w:r>
      <w:r w:rsidR="00126FCE">
        <w:t> </w:t>
      </w:r>
      <w:r w:rsidRPr="00957933">
        <w:t xml:space="preserve">; </w:t>
      </w:r>
    </w:p>
    <w:p w:rsidR="00EC704A" w:rsidRPr="00957933" w:rsidRDefault="00EC704A" w:rsidP="00871CB6">
      <w:pPr>
        <w:pStyle w:val="SingleTxtG"/>
        <w:ind w:firstLine="567"/>
      </w:pPr>
      <w:r w:rsidRPr="00957933">
        <w:t>i)</w:t>
      </w:r>
      <w:r w:rsidRPr="00957933">
        <w:tab/>
      </w:r>
      <w:r w:rsidRPr="00126FCE">
        <w:rPr>
          <w:b/>
        </w:rPr>
        <w:t>Domaine d’intervention III.7</w:t>
      </w:r>
      <w:r w:rsidRPr="00957933">
        <w:t xml:space="preserve"> (Augmenter le nombre d’emplois verts et décents tout en développ</w:t>
      </w:r>
      <w:r w:rsidR="00126FCE">
        <w:t>ant le capital humain requis) − 12 </w:t>
      </w:r>
      <w:r w:rsidRPr="00957933">
        <w:t>engagements, dont 6 émanant de gouvernements</w:t>
      </w:r>
      <w:r w:rsidR="00126FCE">
        <w:t> </w:t>
      </w:r>
      <w:r w:rsidRPr="00957933">
        <w:t xml:space="preserve">; </w:t>
      </w:r>
    </w:p>
    <w:p w:rsidR="00EC704A" w:rsidRPr="00957933" w:rsidRDefault="00EC704A" w:rsidP="00871CB6">
      <w:pPr>
        <w:pStyle w:val="SingleTxtG"/>
        <w:ind w:firstLine="567"/>
      </w:pPr>
      <w:r w:rsidRPr="00957933">
        <w:t>j)</w:t>
      </w:r>
      <w:r w:rsidRPr="00957933">
        <w:tab/>
      </w:r>
      <w:r w:rsidRPr="00126FCE">
        <w:rPr>
          <w:b/>
        </w:rPr>
        <w:t>Actions primordiales</w:t>
      </w:r>
      <w:r w:rsidRPr="00957933">
        <w:t xml:space="preserve"> – 11 engagements, dont 8 émanant de gouvernements.</w:t>
      </w:r>
    </w:p>
    <w:p w:rsidR="00EC704A" w:rsidRPr="00957933" w:rsidRDefault="00EC704A" w:rsidP="00EC704A">
      <w:pPr>
        <w:pStyle w:val="SingleTxtG"/>
      </w:pPr>
      <w:r w:rsidRPr="00957933">
        <w:t>17.</w:t>
      </w:r>
      <w:r w:rsidRPr="00957933">
        <w:tab/>
        <w:t>Les trois objectifs sont dans une large mesure centrés sur l’environnement (objectif</w:t>
      </w:r>
      <w:r w:rsidR="00126FCE">
        <w:t> </w:t>
      </w:r>
      <w:r w:rsidRPr="00957933">
        <w:t>I), l’économie (objectif II) et le social (objectif III). La tendance marquée à citer le volet économique dans les engagements est encore plus prononcée dans les engagements pris par les gouvernements</w:t>
      </w:r>
      <w:r w:rsidR="00126FCE">
        <w:t> </w:t>
      </w:r>
      <w:r w:rsidRPr="00957933">
        <w:t>: sur 87</w:t>
      </w:r>
      <w:r w:rsidR="00126FCE">
        <w:t> </w:t>
      </w:r>
      <w:r w:rsidRPr="00957933">
        <w:t>engagements, l’objectif II est cité dans 57 d’entre eux (66</w:t>
      </w:r>
      <w:r w:rsidR="00126FCE">
        <w:t> </w:t>
      </w:r>
      <w:r w:rsidRPr="00957933">
        <w:t>%), l’objectif I dans 28 (32</w:t>
      </w:r>
      <w:r w:rsidR="00126FCE">
        <w:t> </w:t>
      </w:r>
      <w:r w:rsidRPr="00957933">
        <w:t>%) et l’objectif III dans 19 (22</w:t>
      </w:r>
      <w:r w:rsidR="00126FCE">
        <w:t> </w:t>
      </w:r>
      <w:r w:rsidRPr="00957933">
        <w:t>%). Il n’en va pas de même dans les engagements pris par d’autres parties prenantes que les gouvernements. Sur</w:t>
      </w:r>
      <w:r w:rsidR="00126FCE">
        <w:t> </w:t>
      </w:r>
      <w:r w:rsidRPr="00957933">
        <w:t>37</w:t>
      </w:r>
      <w:r w:rsidR="00126FCE">
        <w:t> </w:t>
      </w:r>
      <w:r w:rsidRPr="00957933">
        <w:t>engagements, l’objectif I tient la tête avec 23</w:t>
      </w:r>
      <w:r w:rsidR="00126FCE">
        <w:t> </w:t>
      </w:r>
      <w:r w:rsidRPr="00957933">
        <w:t>engagements (62</w:t>
      </w:r>
      <w:r w:rsidR="00126FCE">
        <w:t> </w:t>
      </w:r>
      <w:r w:rsidRPr="00957933">
        <w:t>%), contre 18 pour l’objectif II (49</w:t>
      </w:r>
      <w:r w:rsidR="00126FCE">
        <w:t> </w:t>
      </w:r>
      <w:r w:rsidRPr="00957933">
        <w:t>%). Ici aussi, l’objectif III est le moins souvent cité, même s’il n’est pas loin derrière, avec 17</w:t>
      </w:r>
      <w:r w:rsidR="00126FCE">
        <w:t> </w:t>
      </w:r>
      <w:r w:rsidRPr="00957933">
        <w:t>engagements (46</w:t>
      </w:r>
      <w:r w:rsidR="00126FCE">
        <w:t> </w:t>
      </w:r>
      <w:r w:rsidRPr="00957933">
        <w:t xml:space="preserve">%). Le groupe des parties prenantes non gouvernementales est un groupe hétérogène et relativement petit, de sorte qu’une tentative de ventilation plus poussée serait peu utile. </w:t>
      </w:r>
    </w:p>
    <w:p w:rsidR="00EC704A" w:rsidRPr="00957933" w:rsidRDefault="00EC704A" w:rsidP="00126FCE">
      <w:pPr>
        <w:pStyle w:val="H23G"/>
      </w:pPr>
      <w:r w:rsidRPr="00957933">
        <w:tab/>
      </w:r>
      <w:r w:rsidRPr="00957933">
        <w:tab/>
        <w:t>Types d’actions</w:t>
      </w:r>
      <w:r w:rsidRPr="00126FCE">
        <w:rPr>
          <w:rStyle w:val="Appelnotedebasdep"/>
          <w:b w:val="0"/>
        </w:rPr>
        <w:footnoteReference w:id="9"/>
      </w:r>
    </w:p>
    <w:p w:rsidR="00EC704A" w:rsidRPr="00957933" w:rsidRDefault="00EC704A" w:rsidP="00126FCE">
      <w:pPr>
        <w:pStyle w:val="SingleTxtG"/>
        <w:keepNext/>
      </w:pPr>
      <w:r w:rsidRPr="00957933">
        <w:t>18.</w:t>
      </w:r>
      <w:r w:rsidRPr="00957933">
        <w:tab/>
        <w:t>Passer en revue les différents types d’actions entrant en ligne de compte dans les 124</w:t>
      </w:r>
      <w:r w:rsidR="00CE3EC1">
        <w:t> </w:t>
      </w:r>
      <w:r w:rsidRPr="00957933">
        <w:t>engagements faisant l’objet de l’Initiative révèle encore une autre facette des approches qui caractérisent la région de la CEE (annexe, fig</w:t>
      </w:r>
      <w:r w:rsidR="00126FCE">
        <w:t>. </w:t>
      </w:r>
      <w:r w:rsidRPr="00957933">
        <w:t>III)</w:t>
      </w:r>
      <w:r w:rsidR="00126FCE">
        <w:t> </w:t>
      </w:r>
      <w:r w:rsidRPr="00957933">
        <w:t xml:space="preserve">: </w:t>
      </w:r>
    </w:p>
    <w:p w:rsidR="00EC704A" w:rsidRPr="00957933" w:rsidRDefault="00EC704A" w:rsidP="00CE3EC1">
      <w:pPr>
        <w:pStyle w:val="SingleTxtG"/>
        <w:ind w:firstLine="567"/>
      </w:pPr>
      <w:r w:rsidRPr="00957933">
        <w:t>a)</w:t>
      </w:r>
      <w:r w:rsidRPr="00957933">
        <w:tab/>
      </w:r>
      <w:r w:rsidRPr="00CE3EC1">
        <w:rPr>
          <w:b/>
        </w:rPr>
        <w:t>Instruments juridiques, réglementaires et politiques</w:t>
      </w:r>
      <w:r w:rsidR="00CE3EC1">
        <w:t xml:space="preserve"> − </w:t>
      </w:r>
      <w:r w:rsidRPr="00957933">
        <w:t>64</w:t>
      </w:r>
      <w:r w:rsidR="00CE3EC1">
        <w:t> </w:t>
      </w:r>
      <w:r w:rsidRPr="00957933">
        <w:t>engagements, dont 55 émanant de gouvernements</w:t>
      </w:r>
      <w:r w:rsidR="00CE3EC1">
        <w:t> </w:t>
      </w:r>
      <w:r w:rsidRPr="00957933">
        <w:t>;</w:t>
      </w:r>
    </w:p>
    <w:p w:rsidR="00EC704A" w:rsidRPr="00957933" w:rsidRDefault="00EC704A" w:rsidP="00CE3EC1">
      <w:pPr>
        <w:pStyle w:val="SingleTxtG"/>
        <w:ind w:firstLine="567"/>
      </w:pPr>
      <w:r w:rsidRPr="00957933">
        <w:t>b)</w:t>
      </w:r>
      <w:r w:rsidRPr="00957933">
        <w:tab/>
      </w:r>
      <w:r w:rsidRPr="00CE3EC1">
        <w:rPr>
          <w:b/>
        </w:rPr>
        <w:t>Instruments économiques et budgétaires</w:t>
      </w:r>
      <w:r w:rsidRPr="00957933">
        <w:t xml:space="preserve"> </w:t>
      </w:r>
      <w:r w:rsidR="00CE3EC1">
        <w:t>− 29 </w:t>
      </w:r>
      <w:r w:rsidRPr="00957933">
        <w:t>engagements, dont 27 émanant de gouvernements</w:t>
      </w:r>
      <w:r w:rsidR="00CE3EC1">
        <w:t> </w:t>
      </w:r>
      <w:r w:rsidRPr="00957933">
        <w:t>;</w:t>
      </w:r>
    </w:p>
    <w:p w:rsidR="00EC704A" w:rsidRPr="00957933" w:rsidRDefault="00EC704A" w:rsidP="00CE3EC1">
      <w:pPr>
        <w:pStyle w:val="SingleTxtG"/>
        <w:ind w:firstLine="567"/>
      </w:pPr>
      <w:r w:rsidRPr="00957933">
        <w:t>c)</w:t>
      </w:r>
      <w:r w:rsidRPr="00957933">
        <w:tab/>
      </w:r>
      <w:r w:rsidRPr="00CE3EC1">
        <w:rPr>
          <w:b/>
        </w:rPr>
        <w:t>Instrument</w:t>
      </w:r>
      <w:r w:rsidR="003409D3">
        <w:rPr>
          <w:b/>
        </w:rPr>
        <w:t>s</w:t>
      </w:r>
      <w:r w:rsidRPr="00CE3EC1">
        <w:rPr>
          <w:b/>
        </w:rPr>
        <w:t xml:space="preserve"> d’information, fondés sur l’éducation, de renforcement des capacités et d’application volontaire</w:t>
      </w:r>
      <w:r w:rsidR="00CE3EC1">
        <w:t xml:space="preserve"> − </w:t>
      </w:r>
      <w:r w:rsidRPr="00957933">
        <w:t>74</w:t>
      </w:r>
      <w:r w:rsidR="00CE3EC1">
        <w:t> </w:t>
      </w:r>
      <w:r w:rsidRPr="00957933">
        <w:t>engagements, dont 41 émanant de gouvernements.</w:t>
      </w:r>
    </w:p>
    <w:p w:rsidR="00EC704A" w:rsidRDefault="00EC704A" w:rsidP="00EC704A">
      <w:pPr>
        <w:pStyle w:val="SingleTxtG"/>
      </w:pPr>
      <w:r w:rsidRPr="00957933">
        <w:t>19.</w:t>
      </w:r>
      <w:r w:rsidRPr="00957933">
        <w:tab/>
        <w:t>Les gouvernements ont un quasi-monopole en ce qui concerne les engagements en faveur d’actions faisant intervenir des instruments économiques et budgétaires, et ils tiennent également la tête pour ce qui est des engagements relatifs aux instruments juridiques, réglementaires et politiques. Toutefois, les instruments d’information ou fondés sur l’éducation, les instruments de renforcement des capacités et d’application volontaire sont également la cible de nombreuses actions prônées par des gouvernements aspirant à l’écologisation de l’économie, tant au s</w:t>
      </w:r>
      <w:r w:rsidR="00D12767">
        <w:t xml:space="preserve">ein de l’Union européenne qu’en </w:t>
      </w:r>
      <w:r w:rsidRPr="00957933">
        <w:t xml:space="preserve">dehors. </w:t>
      </w:r>
    </w:p>
    <w:p w:rsidR="00EC704A" w:rsidRPr="00957933" w:rsidRDefault="00062887" w:rsidP="00062887">
      <w:pPr>
        <w:pStyle w:val="H23G"/>
      </w:pPr>
      <w:r>
        <w:tab/>
      </w:r>
      <w:r>
        <w:tab/>
      </w:r>
      <w:r w:rsidR="00EC704A" w:rsidRPr="00957933">
        <w:t>Secteurs économiques</w:t>
      </w:r>
      <w:r w:rsidR="00EC704A" w:rsidRPr="00062887">
        <w:rPr>
          <w:rStyle w:val="Appelnotedebasdep"/>
          <w:b w:val="0"/>
        </w:rPr>
        <w:footnoteReference w:id="10"/>
      </w:r>
      <w:r w:rsidR="00EC704A" w:rsidRPr="00062887">
        <w:rPr>
          <w:rStyle w:val="Appelnotedebasdep"/>
          <w:b w:val="0"/>
        </w:rPr>
        <w:t xml:space="preserve"> </w:t>
      </w:r>
    </w:p>
    <w:p w:rsidR="00EC704A" w:rsidRPr="00957933" w:rsidRDefault="00EC704A" w:rsidP="00EC704A">
      <w:pPr>
        <w:pStyle w:val="SingleTxtG"/>
      </w:pPr>
      <w:r w:rsidRPr="00957933">
        <w:t>20.</w:t>
      </w:r>
      <w:r w:rsidRPr="00957933">
        <w:tab/>
        <w:t>La répartition des engagements entre trois catégories générales («</w:t>
      </w:r>
      <w:r w:rsidR="00062887">
        <w:t> </w:t>
      </w:r>
      <w:r w:rsidRPr="00957933">
        <w:t>Ensemble de l’économie</w:t>
      </w:r>
      <w:r w:rsidR="00062887">
        <w:t> </w:t>
      </w:r>
      <w:r w:rsidRPr="00957933">
        <w:t>», «</w:t>
      </w:r>
      <w:r w:rsidR="00062887">
        <w:t> </w:t>
      </w:r>
      <w:r w:rsidRPr="00957933">
        <w:t>Villes</w:t>
      </w:r>
      <w:r w:rsidR="00062887">
        <w:t> </w:t>
      </w:r>
      <w:r w:rsidRPr="00957933">
        <w:t>» et «</w:t>
      </w:r>
      <w:r w:rsidR="00062887">
        <w:t> </w:t>
      </w:r>
      <w:r w:rsidRPr="00957933">
        <w:t>Secteurs</w:t>
      </w:r>
      <w:r w:rsidR="00062887">
        <w:t> </w:t>
      </w:r>
      <w:r w:rsidRPr="00957933">
        <w:t>») révèle également des caractéristiques intéressantes (annexe, fig</w:t>
      </w:r>
      <w:r w:rsidR="00062887">
        <w:t>. </w:t>
      </w:r>
      <w:r w:rsidRPr="00957933">
        <w:t>IV). La catégorie «</w:t>
      </w:r>
      <w:r w:rsidR="00062887">
        <w:t> </w:t>
      </w:r>
      <w:r w:rsidRPr="00957933">
        <w:t>Villes</w:t>
      </w:r>
      <w:r w:rsidR="00062887">
        <w:t> </w:t>
      </w:r>
      <w:r w:rsidRPr="00957933">
        <w:t>» est la plus populaire (10 engagements au total). Le</w:t>
      </w:r>
      <w:r w:rsidR="00062887">
        <w:t> </w:t>
      </w:r>
      <w:r w:rsidRPr="00957933">
        <w:t>caractère imprécis de certaines définitions peut ici avoir joué un rôle, en ce sens que certains engagements relatifs, par exemple, aux secteurs des transports urbains ou de l’énergie n’ont pas été classés dans la catégorie «</w:t>
      </w:r>
      <w:r w:rsidR="00062887">
        <w:t> </w:t>
      </w:r>
      <w:r w:rsidRPr="00957933">
        <w:t>Villes</w:t>
      </w:r>
      <w:r w:rsidR="00062887">
        <w:t> </w:t>
      </w:r>
      <w:r w:rsidRPr="00957933">
        <w:t xml:space="preserve">». </w:t>
      </w:r>
    </w:p>
    <w:p w:rsidR="00EC704A" w:rsidRPr="00957933" w:rsidRDefault="00EC704A" w:rsidP="00EC704A">
      <w:pPr>
        <w:pStyle w:val="SingleTxtG"/>
      </w:pPr>
      <w:r w:rsidRPr="00957933">
        <w:t>21.</w:t>
      </w:r>
      <w:r w:rsidRPr="00957933">
        <w:tab/>
        <w:t>On observe une différence notable entre les engagements des gouvernements et ceux des autres parties prenantes dans la manière d’aborder des secteurs particuliers</w:t>
      </w:r>
      <w:r w:rsidR="00062887">
        <w:t> </w:t>
      </w:r>
      <w:r w:rsidRPr="00957933">
        <w:t xml:space="preserve">: là où un engagement gouvernemental ne cible guère qu’un ou deux secteurs bénéficiaires, </w:t>
      </w:r>
      <w:r w:rsidRPr="00957933">
        <w:lastRenderedPageBreak/>
        <w:t xml:space="preserve">l’engagement type d’une partie prenante autre que gouvernementale peut en cibler environ six. On voit donc qu’il est utile de considérer séparément les engagements des gouvernements et des autres parties prenantes. </w:t>
      </w:r>
    </w:p>
    <w:p w:rsidR="00EC704A" w:rsidRPr="00957933" w:rsidRDefault="00EC704A" w:rsidP="00804A2F">
      <w:pPr>
        <w:pStyle w:val="SingleTxtG"/>
        <w:keepNext/>
      </w:pPr>
      <w:r w:rsidRPr="00957933">
        <w:t>22.</w:t>
      </w:r>
      <w:r w:rsidRPr="00957933">
        <w:tab/>
        <w:t>Environ 61</w:t>
      </w:r>
      <w:r w:rsidR="00804A2F">
        <w:t> </w:t>
      </w:r>
      <w:r w:rsidRPr="00957933">
        <w:t>% des engagements pris par les gouvernements ciblent l’ensemble de l’économie, mais 12</w:t>
      </w:r>
      <w:r w:rsidR="00804A2F">
        <w:t> </w:t>
      </w:r>
      <w:r w:rsidRPr="00957933">
        <w:t>% s’adressent en outre à quelques secteurs bénéficiaires. Par secteur, la répartition des engagements gouvernementaux est la suivante</w:t>
      </w:r>
      <w:r w:rsidR="00804A2F">
        <w:t> </w:t>
      </w:r>
      <w:r w:rsidRPr="00957933">
        <w:t xml:space="preserve">: </w:t>
      </w:r>
    </w:p>
    <w:p w:rsidR="00EC704A" w:rsidRPr="00957933" w:rsidRDefault="00EC704A" w:rsidP="003D35C8">
      <w:pPr>
        <w:pStyle w:val="SingleTxtG"/>
        <w:ind w:firstLine="567"/>
      </w:pPr>
      <w:r w:rsidRPr="00957933">
        <w:t>a)</w:t>
      </w:r>
      <w:r w:rsidRPr="00957933">
        <w:tab/>
        <w:t>Ensemble de l’économie (53)</w:t>
      </w:r>
      <w:r w:rsidR="008975D5">
        <w:t> </w:t>
      </w:r>
      <w:r w:rsidRPr="00957933">
        <w:t>;</w:t>
      </w:r>
    </w:p>
    <w:p w:rsidR="00EC704A" w:rsidRPr="00957933" w:rsidRDefault="00EC704A" w:rsidP="003D35C8">
      <w:pPr>
        <w:pStyle w:val="SingleTxtG"/>
        <w:ind w:firstLine="567"/>
      </w:pPr>
      <w:r w:rsidRPr="00957933">
        <w:t>b)</w:t>
      </w:r>
      <w:r w:rsidRPr="00957933">
        <w:tab/>
        <w:t>Énergie (15)</w:t>
      </w:r>
      <w:r w:rsidR="008975D5">
        <w:t> </w:t>
      </w:r>
      <w:r w:rsidRPr="00957933">
        <w:t>;</w:t>
      </w:r>
    </w:p>
    <w:p w:rsidR="00EC704A" w:rsidRPr="00957933" w:rsidRDefault="00EC704A" w:rsidP="003D35C8">
      <w:pPr>
        <w:pStyle w:val="SingleTxtG"/>
        <w:ind w:firstLine="567"/>
      </w:pPr>
      <w:r w:rsidRPr="00957933">
        <w:t>c)</w:t>
      </w:r>
      <w:r w:rsidRPr="00957933">
        <w:tab/>
        <w:t>Agriculture (13)</w:t>
      </w:r>
      <w:r w:rsidR="008975D5">
        <w:t> </w:t>
      </w:r>
      <w:r w:rsidRPr="00957933">
        <w:t>;</w:t>
      </w:r>
    </w:p>
    <w:p w:rsidR="00EC704A" w:rsidRPr="00957933" w:rsidRDefault="00EC704A" w:rsidP="003D35C8">
      <w:pPr>
        <w:pStyle w:val="SingleTxtG"/>
        <w:ind w:firstLine="567"/>
      </w:pPr>
      <w:r w:rsidRPr="00957933">
        <w:t>d)</w:t>
      </w:r>
      <w:r w:rsidRPr="00957933">
        <w:tab/>
        <w:t>Transports (12)</w:t>
      </w:r>
      <w:r w:rsidR="008975D5">
        <w:t> </w:t>
      </w:r>
      <w:r w:rsidRPr="00957933">
        <w:t>;</w:t>
      </w:r>
    </w:p>
    <w:p w:rsidR="00EC704A" w:rsidRPr="00957933" w:rsidRDefault="00EC704A" w:rsidP="003D35C8">
      <w:pPr>
        <w:pStyle w:val="SingleTxtG"/>
        <w:ind w:firstLine="567"/>
      </w:pPr>
      <w:r w:rsidRPr="00957933">
        <w:t>e)</w:t>
      </w:r>
      <w:r w:rsidRPr="00957933">
        <w:tab/>
        <w:t>Eau (10)</w:t>
      </w:r>
      <w:r w:rsidR="008975D5">
        <w:t> </w:t>
      </w:r>
      <w:r w:rsidRPr="00957933">
        <w:t>;</w:t>
      </w:r>
    </w:p>
    <w:p w:rsidR="00EC704A" w:rsidRPr="00957933" w:rsidRDefault="00EC704A" w:rsidP="003D35C8">
      <w:pPr>
        <w:pStyle w:val="SingleTxtG"/>
        <w:ind w:firstLine="567"/>
      </w:pPr>
      <w:r w:rsidRPr="00957933">
        <w:t>f)</w:t>
      </w:r>
      <w:r w:rsidRPr="00957933">
        <w:tab/>
        <w:t>Déchets (9)</w:t>
      </w:r>
      <w:r w:rsidR="008975D5">
        <w:t> </w:t>
      </w:r>
      <w:r w:rsidRPr="00957933">
        <w:t>;</w:t>
      </w:r>
    </w:p>
    <w:p w:rsidR="00EC704A" w:rsidRPr="00957933" w:rsidRDefault="00EC704A" w:rsidP="003D35C8">
      <w:pPr>
        <w:pStyle w:val="SingleTxtG"/>
        <w:ind w:firstLine="567"/>
      </w:pPr>
      <w:r w:rsidRPr="00957933">
        <w:t>g)</w:t>
      </w:r>
      <w:r w:rsidRPr="00957933">
        <w:tab/>
        <w:t>Logement, bâtiments et construction (9)</w:t>
      </w:r>
      <w:r w:rsidR="008975D5">
        <w:t> </w:t>
      </w:r>
      <w:r w:rsidRPr="00957933">
        <w:t>;</w:t>
      </w:r>
    </w:p>
    <w:p w:rsidR="00EC704A" w:rsidRPr="00957933" w:rsidRDefault="00EC704A" w:rsidP="003D35C8">
      <w:pPr>
        <w:pStyle w:val="SingleTxtG"/>
        <w:ind w:firstLine="567"/>
      </w:pPr>
      <w:r w:rsidRPr="00957933">
        <w:t>h)</w:t>
      </w:r>
      <w:r w:rsidRPr="00957933">
        <w:tab/>
        <w:t>Divers (8)</w:t>
      </w:r>
      <w:r w:rsidR="008975D5">
        <w:t> </w:t>
      </w:r>
      <w:r w:rsidRPr="00957933">
        <w:t>;</w:t>
      </w:r>
    </w:p>
    <w:p w:rsidR="00EC704A" w:rsidRPr="00957933" w:rsidRDefault="00EC704A" w:rsidP="003D35C8">
      <w:pPr>
        <w:pStyle w:val="SingleTxtG"/>
        <w:ind w:firstLine="567"/>
      </w:pPr>
      <w:r w:rsidRPr="00957933">
        <w:t>i)</w:t>
      </w:r>
      <w:r w:rsidRPr="00957933">
        <w:tab/>
        <w:t>Sylviculture et pêche (6)</w:t>
      </w:r>
      <w:r w:rsidR="008975D5">
        <w:t> </w:t>
      </w:r>
      <w:r w:rsidRPr="00957933">
        <w:t>;</w:t>
      </w:r>
    </w:p>
    <w:p w:rsidR="00EC704A" w:rsidRPr="00957933" w:rsidRDefault="00EC704A" w:rsidP="003D35C8">
      <w:pPr>
        <w:pStyle w:val="SingleTxtG"/>
        <w:ind w:firstLine="567"/>
      </w:pPr>
      <w:r w:rsidRPr="00957933">
        <w:t>j)</w:t>
      </w:r>
      <w:r w:rsidRPr="00957933">
        <w:tab/>
        <w:t>Secteur manufacturier (6)</w:t>
      </w:r>
      <w:r w:rsidR="008975D5">
        <w:t> </w:t>
      </w:r>
      <w:r w:rsidRPr="00957933">
        <w:t>;</w:t>
      </w:r>
    </w:p>
    <w:p w:rsidR="00EC704A" w:rsidRPr="00957933" w:rsidRDefault="00EC704A" w:rsidP="003D35C8">
      <w:pPr>
        <w:pStyle w:val="SingleTxtG"/>
        <w:ind w:firstLine="567"/>
      </w:pPr>
      <w:r w:rsidRPr="00957933">
        <w:t>k)</w:t>
      </w:r>
      <w:r w:rsidRPr="00957933">
        <w:tab/>
        <w:t>Tourisme (5)</w:t>
      </w:r>
      <w:r w:rsidR="008975D5">
        <w:t> </w:t>
      </w:r>
      <w:r w:rsidRPr="00957933">
        <w:t>;</w:t>
      </w:r>
    </w:p>
    <w:p w:rsidR="00EC704A" w:rsidRPr="00957933" w:rsidRDefault="00EC704A" w:rsidP="003D35C8">
      <w:pPr>
        <w:pStyle w:val="SingleTxtG"/>
        <w:ind w:firstLine="567"/>
      </w:pPr>
      <w:r w:rsidRPr="00957933">
        <w:t>l)</w:t>
      </w:r>
      <w:r w:rsidRPr="00957933">
        <w:tab/>
        <w:t>Villes (4)</w:t>
      </w:r>
      <w:r w:rsidR="008975D5">
        <w:t> </w:t>
      </w:r>
      <w:r w:rsidRPr="00957933">
        <w:t>;</w:t>
      </w:r>
    </w:p>
    <w:p w:rsidR="00EC704A" w:rsidRPr="00957933" w:rsidRDefault="00EC704A" w:rsidP="003D35C8">
      <w:pPr>
        <w:pStyle w:val="SingleTxtG"/>
        <w:ind w:firstLine="567"/>
      </w:pPr>
      <w:r w:rsidRPr="00957933">
        <w:t>m)</w:t>
      </w:r>
      <w:r w:rsidRPr="00957933">
        <w:tab/>
        <w:t>Secteur minier (3).</w:t>
      </w:r>
    </w:p>
    <w:p w:rsidR="00EC704A" w:rsidRPr="00957933" w:rsidRDefault="00EC704A" w:rsidP="00EC704A">
      <w:pPr>
        <w:pStyle w:val="SingleTxtG"/>
      </w:pPr>
      <w:r w:rsidRPr="00957933">
        <w:t>23.</w:t>
      </w:r>
      <w:r w:rsidRPr="00957933">
        <w:tab/>
        <w:t>Il en va différemment des engagements non gouvernementaux</w:t>
      </w:r>
      <w:r w:rsidR="004502AD">
        <w:t> </w:t>
      </w:r>
      <w:r w:rsidRPr="00957933">
        <w:t>: seuls 7 des 37</w:t>
      </w:r>
      <w:r w:rsidR="008975D5">
        <w:t> </w:t>
      </w:r>
      <w:r w:rsidRPr="00957933">
        <w:t>engagements ciblent un ou deux secteurs</w:t>
      </w:r>
      <w:r w:rsidR="004502AD">
        <w:t> </w:t>
      </w:r>
      <w:r w:rsidRPr="00957933">
        <w:t>; les 30</w:t>
      </w:r>
      <w:r w:rsidR="004502AD">
        <w:t> </w:t>
      </w:r>
      <w:r w:rsidRPr="00957933">
        <w:t>autres (81</w:t>
      </w:r>
      <w:r w:rsidR="008975D5">
        <w:t> </w:t>
      </w:r>
      <w:r w:rsidRPr="00957933">
        <w:t>%) correspondent à des mesures ciblant l’ensemble de l’économie, explicitement ou non, et concernent entre 6 et 10</w:t>
      </w:r>
      <w:r w:rsidR="008975D5">
        <w:t> </w:t>
      </w:r>
      <w:r w:rsidRPr="00957933">
        <w:t xml:space="preserve">secteurs. </w:t>
      </w:r>
    </w:p>
    <w:p w:rsidR="00EC704A" w:rsidRPr="00957933" w:rsidRDefault="00EC704A" w:rsidP="008975D5">
      <w:pPr>
        <w:pStyle w:val="H23G"/>
      </w:pPr>
      <w:r w:rsidRPr="00957933">
        <w:tab/>
      </w:r>
      <w:r w:rsidRPr="00957933">
        <w:tab/>
        <w:t>Objectifs et cibles de développement durable</w:t>
      </w:r>
    </w:p>
    <w:p w:rsidR="00EC704A" w:rsidRPr="00957933" w:rsidRDefault="00EC704A" w:rsidP="00EC704A">
      <w:pPr>
        <w:pStyle w:val="SingleTxtG"/>
      </w:pPr>
      <w:r w:rsidRPr="00957933">
        <w:t>24.</w:t>
      </w:r>
      <w:r w:rsidRPr="00957933">
        <w:tab/>
        <w:t>Pour montrer à la fois les approches similaires et différentes, les données liées aux objectifs de développement durable (annexe, fig</w:t>
      </w:r>
      <w:r w:rsidR="008975D5">
        <w:t>. </w:t>
      </w:r>
      <w:r w:rsidRPr="00957933">
        <w:t xml:space="preserve">V) en rapport avec les engagements sont évaluées séparément pour les gouvernements et les autres parties prenantes. </w:t>
      </w:r>
    </w:p>
    <w:p w:rsidR="00EC704A" w:rsidRPr="00957933" w:rsidRDefault="00EC704A" w:rsidP="008975D5">
      <w:pPr>
        <w:pStyle w:val="SingleTxtG"/>
        <w:keepNext/>
      </w:pPr>
      <w:r w:rsidRPr="00957933">
        <w:t>25.</w:t>
      </w:r>
      <w:r w:rsidRPr="00957933">
        <w:tab/>
        <w:t>Pour les gouvernements, l’ODD</w:t>
      </w:r>
      <w:r w:rsidR="008975D5">
        <w:t> </w:t>
      </w:r>
      <w:r w:rsidRPr="00957933">
        <w:t>12 (consommation et production responsables) vient clairement en tête. La liste ci-dessous situe en ordre décroissant l’importance accordée aux différents objectifs au travers des engagements pris par les gouvernements</w:t>
      </w:r>
      <w:r w:rsidR="008975D5">
        <w:t> </w:t>
      </w:r>
      <w:r w:rsidRPr="00957933">
        <w:t xml:space="preserve">: </w:t>
      </w:r>
    </w:p>
    <w:p w:rsidR="00EC704A" w:rsidRPr="00957933" w:rsidRDefault="00EC704A" w:rsidP="003D35C8">
      <w:pPr>
        <w:pStyle w:val="SingleTxtG"/>
        <w:ind w:firstLine="567"/>
      </w:pPr>
      <w:r w:rsidRPr="00957933">
        <w:t>a)</w:t>
      </w:r>
      <w:r w:rsidRPr="00957933">
        <w:tab/>
        <w:t>Objectif 12</w:t>
      </w:r>
      <w:r w:rsidR="008975D5">
        <w:t> </w:t>
      </w:r>
      <w:r w:rsidRPr="00957933">
        <w:t xml:space="preserve">: consommations et production responsables </w:t>
      </w:r>
      <w:r w:rsidR="008975D5">
        <w:t>− </w:t>
      </w:r>
      <w:r w:rsidRPr="00957933">
        <w:t>63</w:t>
      </w:r>
      <w:r w:rsidR="008975D5">
        <w:t> </w:t>
      </w:r>
      <w:r w:rsidRPr="00957933">
        <w:t>%</w:t>
      </w:r>
      <w:r w:rsidR="008975D5">
        <w:t> </w:t>
      </w:r>
      <w:r w:rsidRPr="00957933">
        <w:t>;</w:t>
      </w:r>
    </w:p>
    <w:p w:rsidR="00EC704A" w:rsidRPr="00957933" w:rsidRDefault="00EC704A" w:rsidP="003D35C8">
      <w:pPr>
        <w:pStyle w:val="SingleTxtG"/>
        <w:ind w:firstLine="567"/>
      </w:pPr>
      <w:r w:rsidRPr="00957933">
        <w:t>b)</w:t>
      </w:r>
      <w:r w:rsidRPr="00957933">
        <w:tab/>
        <w:t>Objectif 9</w:t>
      </w:r>
      <w:r w:rsidR="008975D5">
        <w:t> </w:t>
      </w:r>
      <w:r w:rsidRPr="00957933">
        <w:t>: industrie,</w:t>
      </w:r>
      <w:r w:rsidR="008975D5">
        <w:t xml:space="preserve"> innovation et infrastructure − </w:t>
      </w:r>
      <w:r w:rsidRPr="00957933">
        <w:t>39</w:t>
      </w:r>
      <w:r w:rsidR="008975D5">
        <w:t> </w:t>
      </w:r>
      <w:r w:rsidRPr="00957933">
        <w:t>%</w:t>
      </w:r>
      <w:r w:rsidR="008975D5">
        <w:t> </w:t>
      </w:r>
      <w:r w:rsidRPr="00957933">
        <w:t>;</w:t>
      </w:r>
    </w:p>
    <w:p w:rsidR="00EC704A" w:rsidRPr="00957933" w:rsidRDefault="00EC704A" w:rsidP="003D35C8">
      <w:pPr>
        <w:pStyle w:val="SingleTxtG"/>
        <w:ind w:firstLine="567"/>
      </w:pPr>
      <w:r w:rsidRPr="00957933">
        <w:t>c)</w:t>
      </w:r>
      <w:r w:rsidRPr="00957933">
        <w:tab/>
        <w:t>Objectif 13</w:t>
      </w:r>
      <w:r w:rsidR="008975D5">
        <w:t> </w:t>
      </w:r>
      <w:r w:rsidRPr="00957933">
        <w:t xml:space="preserve">: action climatique </w:t>
      </w:r>
      <w:r w:rsidR="008975D5">
        <w:t>− </w:t>
      </w:r>
      <w:r w:rsidRPr="00957933">
        <w:t>36</w:t>
      </w:r>
      <w:r w:rsidR="008975D5">
        <w:t> </w:t>
      </w:r>
      <w:r w:rsidRPr="00957933">
        <w:t>%</w:t>
      </w:r>
      <w:r w:rsidR="008975D5">
        <w:t> </w:t>
      </w:r>
      <w:r w:rsidRPr="00957933">
        <w:t>;</w:t>
      </w:r>
    </w:p>
    <w:p w:rsidR="00EC704A" w:rsidRPr="00957933" w:rsidRDefault="00EC704A" w:rsidP="003D35C8">
      <w:pPr>
        <w:pStyle w:val="SingleTxtG"/>
        <w:ind w:firstLine="567"/>
      </w:pPr>
      <w:r w:rsidRPr="00957933">
        <w:t>d)</w:t>
      </w:r>
      <w:r w:rsidRPr="00957933">
        <w:tab/>
        <w:t>Objectif 7</w:t>
      </w:r>
      <w:r w:rsidR="008975D5">
        <w:t> </w:t>
      </w:r>
      <w:r w:rsidRPr="00957933">
        <w:t xml:space="preserve">: énergie propre et d’un coût abordable </w:t>
      </w:r>
      <w:r w:rsidR="008975D5">
        <w:t>− </w:t>
      </w:r>
      <w:r w:rsidRPr="00957933">
        <w:t>35</w:t>
      </w:r>
      <w:r w:rsidR="008975D5">
        <w:t> </w:t>
      </w:r>
      <w:r w:rsidRPr="00957933">
        <w:t>%</w:t>
      </w:r>
      <w:r w:rsidR="008975D5">
        <w:t> </w:t>
      </w:r>
      <w:r w:rsidRPr="00957933">
        <w:t>;</w:t>
      </w:r>
    </w:p>
    <w:p w:rsidR="00EC704A" w:rsidRPr="00957933" w:rsidRDefault="00EC704A" w:rsidP="003D35C8">
      <w:pPr>
        <w:pStyle w:val="SingleTxtG"/>
        <w:ind w:firstLine="567"/>
      </w:pPr>
      <w:r w:rsidRPr="00957933">
        <w:t>e)</w:t>
      </w:r>
      <w:r w:rsidRPr="00957933">
        <w:tab/>
        <w:t>Objectif 11</w:t>
      </w:r>
      <w:r w:rsidR="008975D5">
        <w:t> </w:t>
      </w:r>
      <w:r w:rsidRPr="00957933">
        <w:t xml:space="preserve">: villes et communautés durables </w:t>
      </w:r>
      <w:r w:rsidR="008975D5">
        <w:t>− </w:t>
      </w:r>
      <w:r w:rsidRPr="00957933">
        <w:t>34</w:t>
      </w:r>
      <w:r w:rsidR="008975D5">
        <w:t> </w:t>
      </w:r>
      <w:r w:rsidRPr="00957933">
        <w:t>%</w:t>
      </w:r>
      <w:r w:rsidR="008975D5">
        <w:t> </w:t>
      </w:r>
      <w:r w:rsidRPr="00957933">
        <w:t>;</w:t>
      </w:r>
    </w:p>
    <w:p w:rsidR="00EC704A" w:rsidRPr="00957933" w:rsidRDefault="00EC704A" w:rsidP="003D35C8">
      <w:pPr>
        <w:pStyle w:val="SingleTxtG"/>
        <w:ind w:firstLine="567"/>
      </w:pPr>
      <w:r w:rsidRPr="00957933">
        <w:t>f)</w:t>
      </w:r>
      <w:r w:rsidRPr="00957933">
        <w:tab/>
        <w:t>Objectif 8</w:t>
      </w:r>
      <w:r w:rsidR="008975D5">
        <w:t> </w:t>
      </w:r>
      <w:r w:rsidRPr="00957933">
        <w:t xml:space="preserve">: travail décent et croissance économique </w:t>
      </w:r>
      <w:r w:rsidR="008975D5">
        <w:t>− </w:t>
      </w:r>
      <w:r w:rsidRPr="00957933">
        <w:t>32</w:t>
      </w:r>
      <w:r w:rsidR="008975D5">
        <w:t> </w:t>
      </w:r>
      <w:r w:rsidRPr="00957933">
        <w:t>%</w:t>
      </w:r>
      <w:r w:rsidR="008975D5">
        <w:t> </w:t>
      </w:r>
      <w:r w:rsidRPr="00957933">
        <w:t>;</w:t>
      </w:r>
    </w:p>
    <w:p w:rsidR="00EC704A" w:rsidRPr="00957933" w:rsidRDefault="00EC704A" w:rsidP="003D35C8">
      <w:pPr>
        <w:pStyle w:val="SingleTxtG"/>
        <w:ind w:firstLine="567"/>
      </w:pPr>
      <w:r w:rsidRPr="00957933">
        <w:t>g)</w:t>
      </w:r>
      <w:r w:rsidRPr="00957933">
        <w:tab/>
        <w:t>Objectif 6</w:t>
      </w:r>
      <w:r w:rsidR="008975D5">
        <w:t> </w:t>
      </w:r>
      <w:r w:rsidRPr="00957933">
        <w:t xml:space="preserve">: eau propre et assainissement </w:t>
      </w:r>
      <w:r w:rsidR="008975D5">
        <w:t>− </w:t>
      </w:r>
      <w:r w:rsidRPr="00957933">
        <w:t>27</w:t>
      </w:r>
      <w:r w:rsidR="008975D5">
        <w:t> </w:t>
      </w:r>
      <w:r w:rsidRPr="00957933">
        <w:t>%</w:t>
      </w:r>
      <w:r w:rsidR="008975D5">
        <w:t> </w:t>
      </w:r>
      <w:r w:rsidRPr="00957933">
        <w:t>;</w:t>
      </w:r>
    </w:p>
    <w:p w:rsidR="00EC704A" w:rsidRPr="00957933" w:rsidRDefault="00EC704A" w:rsidP="003D35C8">
      <w:pPr>
        <w:pStyle w:val="SingleTxtG"/>
        <w:ind w:firstLine="567"/>
      </w:pPr>
      <w:r w:rsidRPr="00957933">
        <w:t>h)</w:t>
      </w:r>
      <w:r w:rsidRPr="00957933">
        <w:tab/>
        <w:t>Objectif 15</w:t>
      </w:r>
      <w:r w:rsidR="008975D5">
        <w:t> </w:t>
      </w:r>
      <w:r w:rsidRPr="00957933">
        <w:t xml:space="preserve">: vie terrestre </w:t>
      </w:r>
      <w:r w:rsidR="008975D5">
        <w:t>− </w:t>
      </w:r>
      <w:r w:rsidRPr="00957933">
        <w:t>27</w:t>
      </w:r>
      <w:r w:rsidR="008975D5">
        <w:t> </w:t>
      </w:r>
      <w:r w:rsidRPr="00957933">
        <w:t>%</w:t>
      </w:r>
      <w:r w:rsidR="008975D5">
        <w:t> </w:t>
      </w:r>
      <w:r w:rsidRPr="00957933">
        <w:t>;</w:t>
      </w:r>
    </w:p>
    <w:p w:rsidR="00EC704A" w:rsidRPr="00957933" w:rsidRDefault="00EC704A" w:rsidP="003D35C8">
      <w:pPr>
        <w:pStyle w:val="SingleTxtG"/>
        <w:ind w:firstLine="567"/>
      </w:pPr>
      <w:r w:rsidRPr="00957933">
        <w:t>i)</w:t>
      </w:r>
      <w:r w:rsidRPr="00957933">
        <w:tab/>
        <w:t>Objectif 3</w:t>
      </w:r>
      <w:r w:rsidR="008975D5">
        <w:t> </w:t>
      </w:r>
      <w:r w:rsidRPr="00957933">
        <w:t xml:space="preserve">: bonne santé et bien-être </w:t>
      </w:r>
      <w:r w:rsidR="008975D5">
        <w:t>− </w:t>
      </w:r>
      <w:r w:rsidRPr="00957933">
        <w:t>22</w:t>
      </w:r>
      <w:r w:rsidR="008975D5">
        <w:t> </w:t>
      </w:r>
      <w:r w:rsidRPr="00957933">
        <w:t>%</w:t>
      </w:r>
      <w:r w:rsidR="008975D5">
        <w:t> </w:t>
      </w:r>
      <w:r w:rsidRPr="00957933">
        <w:t>;</w:t>
      </w:r>
    </w:p>
    <w:p w:rsidR="00EC704A" w:rsidRPr="00957933" w:rsidRDefault="00EC704A" w:rsidP="003D35C8">
      <w:pPr>
        <w:pStyle w:val="SingleTxtG"/>
        <w:ind w:firstLine="567"/>
      </w:pPr>
      <w:r w:rsidRPr="00957933">
        <w:t>j)</w:t>
      </w:r>
      <w:r w:rsidRPr="00957933">
        <w:tab/>
        <w:t>Objectif 14</w:t>
      </w:r>
      <w:r w:rsidR="008975D5">
        <w:t> </w:t>
      </w:r>
      <w:r w:rsidRPr="00957933">
        <w:t xml:space="preserve">: vie aquatique </w:t>
      </w:r>
      <w:r w:rsidR="008975D5">
        <w:t>− </w:t>
      </w:r>
      <w:r w:rsidRPr="00957933">
        <w:t>20</w:t>
      </w:r>
      <w:r w:rsidR="008975D5">
        <w:t> </w:t>
      </w:r>
      <w:r w:rsidRPr="00957933">
        <w:t>%</w:t>
      </w:r>
      <w:r w:rsidR="008975D5">
        <w:t> </w:t>
      </w:r>
      <w:r w:rsidRPr="00957933">
        <w:t>;</w:t>
      </w:r>
    </w:p>
    <w:p w:rsidR="00EC704A" w:rsidRPr="00957933" w:rsidRDefault="00EC704A" w:rsidP="003D35C8">
      <w:pPr>
        <w:pStyle w:val="SingleTxtG"/>
        <w:ind w:firstLine="567"/>
      </w:pPr>
      <w:r w:rsidRPr="00957933">
        <w:t>k)</w:t>
      </w:r>
      <w:r w:rsidRPr="00957933">
        <w:tab/>
        <w:t>Objectif 17</w:t>
      </w:r>
      <w:r w:rsidR="008975D5">
        <w:t> </w:t>
      </w:r>
      <w:r w:rsidRPr="00957933">
        <w:t xml:space="preserve">: partenariats pour la réalisation des objectifs </w:t>
      </w:r>
      <w:r w:rsidR="008975D5">
        <w:t>− </w:t>
      </w:r>
      <w:r w:rsidRPr="00957933">
        <w:t>20</w:t>
      </w:r>
      <w:r w:rsidR="008975D5">
        <w:t> </w:t>
      </w:r>
      <w:r w:rsidRPr="00957933">
        <w:t>%</w:t>
      </w:r>
      <w:r w:rsidR="008975D5">
        <w:t> </w:t>
      </w:r>
      <w:r w:rsidRPr="00957933">
        <w:t>;</w:t>
      </w:r>
    </w:p>
    <w:p w:rsidR="00EC704A" w:rsidRPr="00957933" w:rsidRDefault="00EC704A" w:rsidP="003D35C8">
      <w:pPr>
        <w:pStyle w:val="SingleTxtG"/>
        <w:ind w:firstLine="567"/>
      </w:pPr>
      <w:r w:rsidRPr="00957933">
        <w:t>l)</w:t>
      </w:r>
      <w:r w:rsidRPr="00957933">
        <w:tab/>
        <w:t>Objectif 2</w:t>
      </w:r>
      <w:r w:rsidR="008975D5">
        <w:t> </w:t>
      </w:r>
      <w:r w:rsidRPr="00957933">
        <w:t>: faim «</w:t>
      </w:r>
      <w:r w:rsidR="008975D5">
        <w:t> </w:t>
      </w:r>
      <w:r w:rsidRPr="00957933">
        <w:t>zéro</w:t>
      </w:r>
      <w:r w:rsidR="008975D5">
        <w:t> </w:t>
      </w:r>
      <w:r w:rsidRPr="00957933">
        <w:t xml:space="preserve">» </w:t>
      </w:r>
      <w:r w:rsidR="008975D5">
        <w:t>− </w:t>
      </w:r>
      <w:r w:rsidRPr="00957933">
        <w:t>12</w:t>
      </w:r>
      <w:r w:rsidR="008975D5">
        <w:t> </w:t>
      </w:r>
      <w:r w:rsidRPr="00957933">
        <w:t>%</w:t>
      </w:r>
      <w:r w:rsidR="008975D5">
        <w:t> </w:t>
      </w:r>
      <w:r w:rsidRPr="00957933">
        <w:t>;</w:t>
      </w:r>
    </w:p>
    <w:p w:rsidR="00EC704A" w:rsidRPr="00957933" w:rsidRDefault="00EC704A" w:rsidP="003D35C8">
      <w:pPr>
        <w:pStyle w:val="SingleTxtG"/>
        <w:ind w:firstLine="567"/>
      </w:pPr>
      <w:r w:rsidRPr="00957933">
        <w:t>m)</w:t>
      </w:r>
      <w:r w:rsidRPr="00957933">
        <w:tab/>
        <w:t>Objectif 4</w:t>
      </w:r>
      <w:r w:rsidR="008975D5">
        <w:t> </w:t>
      </w:r>
      <w:r w:rsidRPr="00957933">
        <w:t xml:space="preserve">: éducation de qualité </w:t>
      </w:r>
      <w:r w:rsidR="008975D5">
        <w:t>− </w:t>
      </w:r>
      <w:r w:rsidRPr="00957933">
        <w:t>10</w:t>
      </w:r>
      <w:r w:rsidR="008975D5">
        <w:t> </w:t>
      </w:r>
      <w:r w:rsidRPr="00957933">
        <w:t>%</w:t>
      </w:r>
      <w:r w:rsidR="008975D5">
        <w:t> </w:t>
      </w:r>
      <w:r w:rsidRPr="00957933">
        <w:t>;</w:t>
      </w:r>
    </w:p>
    <w:p w:rsidR="00EC704A" w:rsidRPr="00957933" w:rsidRDefault="00EC704A" w:rsidP="003D35C8">
      <w:pPr>
        <w:pStyle w:val="SingleTxtG"/>
        <w:ind w:firstLine="567"/>
      </w:pPr>
      <w:r w:rsidRPr="00957933">
        <w:lastRenderedPageBreak/>
        <w:t>n)</w:t>
      </w:r>
      <w:r w:rsidRPr="00957933">
        <w:tab/>
        <w:t>Objectif 16</w:t>
      </w:r>
      <w:r w:rsidR="008975D5">
        <w:t> </w:t>
      </w:r>
      <w:r w:rsidR="00CA220F">
        <w:t xml:space="preserve">: </w:t>
      </w:r>
      <w:r w:rsidRPr="00957933">
        <w:t xml:space="preserve">paix, justice et institutions efficaces </w:t>
      </w:r>
      <w:r w:rsidR="008975D5">
        <w:t>− </w:t>
      </w:r>
      <w:r w:rsidRPr="00957933">
        <w:t>9</w:t>
      </w:r>
      <w:r w:rsidR="008975D5">
        <w:t> </w:t>
      </w:r>
      <w:r w:rsidRPr="00957933">
        <w:t>%</w:t>
      </w:r>
      <w:r w:rsidR="008975D5">
        <w:t> </w:t>
      </w:r>
      <w:r w:rsidRPr="00957933">
        <w:t>;</w:t>
      </w:r>
    </w:p>
    <w:p w:rsidR="00EC704A" w:rsidRPr="00957933" w:rsidRDefault="00EC704A" w:rsidP="003D35C8">
      <w:pPr>
        <w:pStyle w:val="SingleTxtG"/>
        <w:ind w:firstLine="567"/>
      </w:pPr>
      <w:r w:rsidRPr="00957933">
        <w:t>o)</w:t>
      </w:r>
      <w:r w:rsidRPr="00957933">
        <w:tab/>
        <w:t>Objectif 1</w:t>
      </w:r>
      <w:r w:rsidR="008975D5">
        <w:t> </w:t>
      </w:r>
      <w:r w:rsidRPr="00957933">
        <w:t xml:space="preserve">: pas de pauvreté </w:t>
      </w:r>
      <w:r w:rsidR="008975D5">
        <w:t>− </w:t>
      </w:r>
      <w:r w:rsidRPr="00957933">
        <w:t>6</w:t>
      </w:r>
      <w:r w:rsidR="008975D5">
        <w:t> </w:t>
      </w:r>
      <w:r w:rsidRPr="00957933">
        <w:t>%</w:t>
      </w:r>
      <w:r w:rsidR="008975D5">
        <w:t> </w:t>
      </w:r>
      <w:r w:rsidRPr="00957933">
        <w:t>;</w:t>
      </w:r>
    </w:p>
    <w:p w:rsidR="00EC704A" w:rsidRPr="00957933" w:rsidRDefault="00EC704A" w:rsidP="003D35C8">
      <w:pPr>
        <w:pStyle w:val="SingleTxtG"/>
        <w:ind w:firstLine="567"/>
      </w:pPr>
      <w:r w:rsidRPr="00957933">
        <w:t>p)</w:t>
      </w:r>
      <w:r w:rsidRPr="00957933">
        <w:tab/>
        <w:t>Objectif 10</w:t>
      </w:r>
      <w:r w:rsidR="00CA220F">
        <w:t xml:space="preserve"> : </w:t>
      </w:r>
      <w:r w:rsidRPr="00957933">
        <w:t xml:space="preserve">inégalités réduites </w:t>
      </w:r>
      <w:r w:rsidR="00CA220F">
        <w:t>− </w:t>
      </w:r>
      <w:r w:rsidRPr="00957933">
        <w:t>3</w:t>
      </w:r>
      <w:r w:rsidR="00CA220F">
        <w:t> </w:t>
      </w:r>
      <w:r w:rsidRPr="00957933">
        <w:t>%</w:t>
      </w:r>
      <w:r w:rsidR="00CA220F">
        <w:t> </w:t>
      </w:r>
      <w:r w:rsidRPr="00957933">
        <w:t>;</w:t>
      </w:r>
    </w:p>
    <w:p w:rsidR="00EC704A" w:rsidRPr="00957933" w:rsidRDefault="00EC704A" w:rsidP="003D35C8">
      <w:pPr>
        <w:pStyle w:val="SingleTxtG"/>
        <w:ind w:firstLine="567"/>
      </w:pPr>
      <w:r w:rsidRPr="00957933">
        <w:t>q)</w:t>
      </w:r>
      <w:r w:rsidRPr="00957933">
        <w:tab/>
        <w:t>Objectif 5</w:t>
      </w:r>
      <w:r w:rsidR="00CA220F">
        <w:t> : égalité entre les sexes − </w:t>
      </w:r>
      <w:r w:rsidRPr="00957933">
        <w:t>1</w:t>
      </w:r>
      <w:r w:rsidR="00CA220F">
        <w:t> </w:t>
      </w:r>
      <w:r w:rsidRPr="00957933">
        <w:t>%.</w:t>
      </w:r>
    </w:p>
    <w:p w:rsidR="00EC704A" w:rsidRPr="00957933" w:rsidRDefault="00EC704A" w:rsidP="00EC704A">
      <w:pPr>
        <w:pStyle w:val="SingleTxtG"/>
      </w:pPr>
      <w:r w:rsidRPr="00957933">
        <w:t>26.</w:t>
      </w:r>
      <w:r w:rsidRPr="00957933">
        <w:tab/>
        <w:t>On observe des différences entre les engagements gouvernementaux des 16</w:t>
      </w:r>
      <w:r w:rsidR="00507612">
        <w:t> </w:t>
      </w:r>
      <w:r w:rsidRPr="00957933">
        <w:t xml:space="preserve">États membres de l’Union européenne et les </w:t>
      </w:r>
      <w:r w:rsidR="00796CF6">
        <w:t>8 </w:t>
      </w:r>
      <w:r w:rsidRPr="00957933">
        <w:t>pays d’Europe orientale, du Caucase et de l’Asie centrale ayant pris part à l’Initiative. Plus de la moitié des engagements de ce dernier groupe concernent l’objectif 9 (56</w:t>
      </w:r>
      <w:r w:rsidR="00507612">
        <w:t> </w:t>
      </w:r>
      <w:r w:rsidRPr="00957933">
        <w:t>%, contre 31</w:t>
      </w:r>
      <w:r w:rsidR="00507612">
        <w:t> </w:t>
      </w:r>
      <w:r w:rsidRPr="00957933">
        <w:t>% pour l’Union européenne) et l’objectif 8 (52</w:t>
      </w:r>
      <w:r w:rsidR="00507612">
        <w:t> </w:t>
      </w:r>
      <w:r w:rsidRPr="00957933">
        <w:t>%, contre 27</w:t>
      </w:r>
      <w:r w:rsidR="00507612">
        <w:t> </w:t>
      </w:r>
      <w:r w:rsidRPr="00957933">
        <w:t>% pour l’Union européenne). Environ un quart concernent l’objectif 16 (26</w:t>
      </w:r>
      <w:r w:rsidR="00507612">
        <w:t> </w:t>
      </w:r>
      <w:r w:rsidRPr="00957933">
        <w:t>%, contre 2</w:t>
      </w:r>
      <w:r w:rsidR="00507612">
        <w:t> </w:t>
      </w:r>
      <w:r w:rsidRPr="00957933">
        <w:t>% pour l’Union européenne) et l’objectif 17 (22</w:t>
      </w:r>
      <w:r w:rsidR="00507612">
        <w:t> </w:t>
      </w:r>
      <w:r w:rsidRPr="00957933">
        <w:t>%, contre 7</w:t>
      </w:r>
      <w:r w:rsidR="00507612">
        <w:t> </w:t>
      </w:r>
      <w:r w:rsidRPr="00957933">
        <w:t>% pour l’Union européenne). Les engagements relatifs à l’objectif 4 révèlent un écart similaire mais à une moindre échelle (15</w:t>
      </w:r>
      <w:r w:rsidR="00507612">
        <w:t> </w:t>
      </w:r>
      <w:r w:rsidRPr="00957933">
        <w:t>% pour les pays d’Europe orientale, du Caucase et de l’Asie centrale, contre 4</w:t>
      </w:r>
      <w:r w:rsidR="00507612">
        <w:t> </w:t>
      </w:r>
      <w:r w:rsidRPr="00957933">
        <w:t>% pour l’Union européenne). Par comparaison, avec seulement 7</w:t>
      </w:r>
      <w:r w:rsidR="00507612">
        <w:t> </w:t>
      </w:r>
      <w:r w:rsidRPr="00957933">
        <w:t>%, l’objectif 14 est pratiquement ignoré des pays d’Europe orientale, du Caucase et de l’Asie centrale, alors qu’il figure au nombre des engagements importants (22</w:t>
      </w:r>
      <w:r w:rsidR="00507612">
        <w:t> </w:t>
      </w:r>
      <w:r w:rsidRPr="00957933">
        <w:t xml:space="preserve">%) pour l’Union européenne. </w:t>
      </w:r>
    </w:p>
    <w:p w:rsidR="00EC704A" w:rsidRPr="00082EE0" w:rsidRDefault="00EC704A" w:rsidP="00EC704A">
      <w:pPr>
        <w:pStyle w:val="SingleTxtG"/>
      </w:pPr>
      <w:r w:rsidRPr="00957933">
        <w:t>27.</w:t>
      </w:r>
      <w:r w:rsidRPr="00957933">
        <w:tab/>
        <w:t>Dans une large mesure, le tableau des engagements, aux yeux des parties prenantes non gouvernementales, est proche de celui des gouvernements, à l’exception de l’objectif</w:t>
      </w:r>
      <w:r w:rsidR="00507612">
        <w:t> </w:t>
      </w:r>
      <w:r w:rsidRPr="00957933">
        <w:t>17 (partenariats pour la réalisation des objectifs). Pour ce groupe, l’objectif 17 est le plus fréquemment cité comme étant lié aux actions sur les</w:t>
      </w:r>
      <w:r w:rsidR="00507612">
        <w:t>quels portent les engagements − </w:t>
      </w:r>
      <w:r w:rsidRPr="00957933">
        <w:t>ce qui n’est guère surprenant dans la mesure où bon nombre d’engagements de ce groupe reposent sur la collaboration transfrontière aux niveaux régional et sous-régional. Les</w:t>
      </w:r>
      <w:r w:rsidR="003D5C4D">
        <w:t> </w:t>
      </w:r>
      <w:r w:rsidRPr="00957933">
        <w:t xml:space="preserve">objectifs de développement durable à caractère environnemental (et non social) sont eux aussi légèrement mieux placés aux yeux de ce groupe. La liste ci-dessous situe en ordre décroissant l’importance accordée aux différents objectifs au travers des engagements pris par les parties prenantes non </w:t>
      </w:r>
      <w:r w:rsidRPr="00082EE0">
        <w:t>gouvernementales</w:t>
      </w:r>
      <w:r w:rsidR="00507612" w:rsidRPr="00082EE0">
        <w:t> </w:t>
      </w:r>
      <w:r w:rsidRPr="00082EE0">
        <w:t xml:space="preserve">: </w:t>
      </w:r>
    </w:p>
    <w:p w:rsidR="00EC704A" w:rsidRPr="00EA2132" w:rsidRDefault="00EC704A" w:rsidP="001E72E3">
      <w:pPr>
        <w:pStyle w:val="SingleTxtG"/>
        <w:ind w:firstLine="567"/>
      </w:pPr>
      <w:r w:rsidRPr="00EA2132">
        <w:t>a)</w:t>
      </w:r>
      <w:r w:rsidRPr="00EA2132">
        <w:tab/>
        <w:t>Objectif 12</w:t>
      </w:r>
      <w:r w:rsidR="00082EE0" w:rsidRPr="00EA2132">
        <w:t> </w:t>
      </w:r>
      <w:r w:rsidRPr="00EA2132">
        <w:t xml:space="preserve">: consommations et production responsables </w:t>
      </w:r>
      <w:r w:rsidR="002C515D" w:rsidRPr="00EA2132">
        <w:t>− </w:t>
      </w:r>
      <w:r w:rsidRPr="00EA2132">
        <w:t>57</w:t>
      </w:r>
      <w:r w:rsidR="002C515D" w:rsidRPr="00EA2132">
        <w:t> </w:t>
      </w:r>
      <w:r w:rsidRPr="00EA2132">
        <w:t>%</w:t>
      </w:r>
      <w:r w:rsidR="002C515D" w:rsidRPr="00EA2132">
        <w:t> </w:t>
      </w:r>
      <w:r w:rsidRPr="00EA2132">
        <w:t>;</w:t>
      </w:r>
    </w:p>
    <w:p w:rsidR="00EC704A" w:rsidRPr="00EA2132" w:rsidRDefault="00EC704A" w:rsidP="001E72E3">
      <w:pPr>
        <w:pStyle w:val="SingleTxtG"/>
        <w:ind w:firstLine="567"/>
      </w:pPr>
      <w:r w:rsidRPr="00EA2132">
        <w:t>b)</w:t>
      </w:r>
      <w:r w:rsidRPr="00EA2132">
        <w:tab/>
        <w:t>Objectif 17</w:t>
      </w:r>
      <w:r w:rsidR="00082EE0" w:rsidRPr="00EA2132">
        <w:t> </w:t>
      </w:r>
      <w:r w:rsidRPr="00EA2132">
        <w:t xml:space="preserve">: partenariats pour la réalisation des objectifs </w:t>
      </w:r>
      <w:r w:rsidR="00EA2132" w:rsidRPr="00EA2132">
        <w:t>− </w:t>
      </w:r>
      <w:r w:rsidRPr="00EA2132">
        <w:t>41</w:t>
      </w:r>
      <w:r w:rsidR="002C515D" w:rsidRPr="00EA2132">
        <w:t> </w:t>
      </w:r>
      <w:r w:rsidRPr="00EA2132">
        <w:t>%</w:t>
      </w:r>
      <w:r w:rsidR="002C515D" w:rsidRPr="00EA2132">
        <w:t> </w:t>
      </w:r>
      <w:r w:rsidRPr="00EA2132">
        <w:t>;</w:t>
      </w:r>
    </w:p>
    <w:p w:rsidR="00EC704A" w:rsidRPr="00EA2132" w:rsidRDefault="00EC704A" w:rsidP="001E72E3">
      <w:pPr>
        <w:pStyle w:val="SingleTxtG"/>
        <w:ind w:firstLine="567"/>
      </w:pPr>
      <w:r w:rsidRPr="00EA2132">
        <w:t>c)</w:t>
      </w:r>
      <w:r w:rsidRPr="00EA2132">
        <w:tab/>
        <w:t>Objectif 9</w:t>
      </w:r>
      <w:r w:rsidR="00082EE0" w:rsidRPr="00EA2132">
        <w:t> </w:t>
      </w:r>
      <w:r w:rsidRPr="00EA2132">
        <w:t xml:space="preserve">: industrie, innovation et infrastructure </w:t>
      </w:r>
      <w:r w:rsidR="00EA2132" w:rsidRPr="00EA2132">
        <w:t>− </w:t>
      </w:r>
      <w:r w:rsidRPr="00EA2132">
        <w:t>38</w:t>
      </w:r>
      <w:r w:rsidR="002C515D" w:rsidRPr="00EA2132">
        <w:t> </w:t>
      </w:r>
      <w:r w:rsidRPr="00EA2132">
        <w:t>%</w:t>
      </w:r>
      <w:r w:rsidR="002C515D" w:rsidRPr="00EA2132">
        <w:t> </w:t>
      </w:r>
      <w:r w:rsidRPr="00EA2132">
        <w:t>;</w:t>
      </w:r>
    </w:p>
    <w:p w:rsidR="00EC704A" w:rsidRPr="00EA2132" w:rsidRDefault="00EC704A" w:rsidP="001E72E3">
      <w:pPr>
        <w:pStyle w:val="SingleTxtG"/>
        <w:ind w:firstLine="567"/>
      </w:pPr>
      <w:r w:rsidRPr="00EA2132">
        <w:t>d)</w:t>
      </w:r>
      <w:r w:rsidRPr="00EA2132">
        <w:tab/>
        <w:t>Objectif 13</w:t>
      </w:r>
      <w:r w:rsidR="00082EE0" w:rsidRPr="00EA2132">
        <w:t> </w:t>
      </w:r>
      <w:r w:rsidRPr="00EA2132">
        <w:t xml:space="preserve">: action climatique </w:t>
      </w:r>
      <w:r w:rsidR="00EA2132" w:rsidRPr="00EA2132">
        <w:t>− </w:t>
      </w:r>
      <w:r w:rsidRPr="00EA2132">
        <w:t>38</w:t>
      </w:r>
      <w:r w:rsidR="002C515D" w:rsidRPr="00EA2132">
        <w:t> </w:t>
      </w:r>
      <w:r w:rsidRPr="00EA2132">
        <w:t>%</w:t>
      </w:r>
      <w:r w:rsidR="002C515D" w:rsidRPr="00EA2132">
        <w:t> </w:t>
      </w:r>
      <w:r w:rsidRPr="00EA2132">
        <w:t>;</w:t>
      </w:r>
    </w:p>
    <w:p w:rsidR="00EC704A" w:rsidRPr="00EA2132" w:rsidRDefault="00EC704A" w:rsidP="001E72E3">
      <w:pPr>
        <w:pStyle w:val="SingleTxtG"/>
        <w:ind w:firstLine="567"/>
      </w:pPr>
      <w:r w:rsidRPr="00EA2132">
        <w:t>e)</w:t>
      </w:r>
      <w:r w:rsidRPr="00EA2132">
        <w:tab/>
        <w:t>Objectif 6</w:t>
      </w:r>
      <w:r w:rsidR="00082EE0" w:rsidRPr="00EA2132">
        <w:t> </w:t>
      </w:r>
      <w:r w:rsidRPr="00EA2132">
        <w:t xml:space="preserve">: eau propre et assainissement </w:t>
      </w:r>
      <w:r w:rsidR="00EA2132" w:rsidRPr="00EA2132">
        <w:t>− </w:t>
      </w:r>
      <w:r w:rsidRPr="00EA2132">
        <w:t>35</w:t>
      </w:r>
      <w:r w:rsidR="002C515D" w:rsidRPr="00EA2132">
        <w:t> </w:t>
      </w:r>
      <w:r w:rsidRPr="00EA2132">
        <w:t>%</w:t>
      </w:r>
      <w:r w:rsidR="002C515D" w:rsidRPr="00EA2132">
        <w:t> </w:t>
      </w:r>
      <w:r w:rsidRPr="00EA2132">
        <w:t>;</w:t>
      </w:r>
    </w:p>
    <w:p w:rsidR="00EC704A" w:rsidRPr="00EA2132" w:rsidRDefault="00EC704A" w:rsidP="001E72E3">
      <w:pPr>
        <w:pStyle w:val="SingleTxtG"/>
        <w:ind w:firstLine="567"/>
      </w:pPr>
      <w:r w:rsidRPr="00EA2132">
        <w:t>f)</w:t>
      </w:r>
      <w:r w:rsidRPr="00EA2132">
        <w:tab/>
        <w:t>Objectif 15</w:t>
      </w:r>
      <w:r w:rsidR="00082EE0" w:rsidRPr="00EA2132">
        <w:t> </w:t>
      </w:r>
      <w:r w:rsidRPr="00EA2132">
        <w:t xml:space="preserve">: vie terrestre </w:t>
      </w:r>
      <w:r w:rsidR="00EA2132" w:rsidRPr="00EA2132">
        <w:t>− </w:t>
      </w:r>
      <w:r w:rsidRPr="00EA2132">
        <w:t>32</w:t>
      </w:r>
      <w:r w:rsidR="002C515D" w:rsidRPr="00EA2132">
        <w:t> </w:t>
      </w:r>
      <w:r w:rsidRPr="00EA2132">
        <w:t>%</w:t>
      </w:r>
      <w:r w:rsidR="002C515D" w:rsidRPr="00EA2132">
        <w:t> </w:t>
      </w:r>
      <w:r w:rsidRPr="00EA2132">
        <w:t>;</w:t>
      </w:r>
    </w:p>
    <w:p w:rsidR="00EC704A" w:rsidRPr="00957933" w:rsidRDefault="00EC704A" w:rsidP="001E72E3">
      <w:pPr>
        <w:pStyle w:val="SingleTxtG"/>
        <w:ind w:firstLine="567"/>
      </w:pPr>
      <w:r w:rsidRPr="00EA2132">
        <w:t>g)</w:t>
      </w:r>
      <w:r w:rsidRPr="00EA2132">
        <w:tab/>
        <w:t>Objectif 3</w:t>
      </w:r>
      <w:r w:rsidR="00082EE0" w:rsidRPr="00EA2132">
        <w:t> </w:t>
      </w:r>
      <w:r w:rsidRPr="00EA2132">
        <w:t>: bonne santé</w:t>
      </w:r>
      <w:r w:rsidRPr="00957933">
        <w:t xml:space="preserve"> et bien-être </w:t>
      </w:r>
      <w:r w:rsidR="00EA2132" w:rsidRPr="00EA2132">
        <w:t>− </w:t>
      </w:r>
      <w:r w:rsidRPr="00957933">
        <w:t>32</w:t>
      </w:r>
      <w:r w:rsidR="002C515D">
        <w:t> </w:t>
      </w:r>
      <w:r w:rsidRPr="00957933">
        <w:t>%</w:t>
      </w:r>
      <w:r w:rsidR="002C515D">
        <w:t> </w:t>
      </w:r>
      <w:r w:rsidRPr="00957933">
        <w:t>;</w:t>
      </w:r>
    </w:p>
    <w:p w:rsidR="00EC704A" w:rsidRPr="00957933" w:rsidRDefault="00EC704A" w:rsidP="001E72E3">
      <w:pPr>
        <w:pStyle w:val="SingleTxtG"/>
        <w:ind w:firstLine="567"/>
      </w:pPr>
      <w:r w:rsidRPr="00957933">
        <w:t>h)</w:t>
      </w:r>
      <w:r w:rsidRPr="00957933">
        <w:tab/>
        <w:t>Objectif 11</w:t>
      </w:r>
      <w:r w:rsidR="00082EE0">
        <w:t> </w:t>
      </w:r>
      <w:r w:rsidRPr="00957933">
        <w:t xml:space="preserve">: villes et communautés durables </w:t>
      </w:r>
      <w:r w:rsidR="00EA2132" w:rsidRPr="00EA2132">
        <w:t>− </w:t>
      </w:r>
      <w:r w:rsidRPr="00957933">
        <w:t>32</w:t>
      </w:r>
      <w:r w:rsidR="002C515D">
        <w:t> </w:t>
      </w:r>
      <w:r w:rsidRPr="00957933">
        <w:t>%</w:t>
      </w:r>
      <w:r w:rsidR="002C515D">
        <w:t> </w:t>
      </w:r>
      <w:r w:rsidRPr="00957933">
        <w:t>;</w:t>
      </w:r>
    </w:p>
    <w:p w:rsidR="00EC704A" w:rsidRPr="00957933" w:rsidRDefault="00EC704A" w:rsidP="001E72E3">
      <w:pPr>
        <w:pStyle w:val="SingleTxtG"/>
        <w:ind w:firstLine="567"/>
      </w:pPr>
      <w:r w:rsidRPr="00957933">
        <w:t>i)</w:t>
      </w:r>
      <w:r w:rsidRPr="00957933">
        <w:tab/>
        <w:t>Objectif 7</w:t>
      </w:r>
      <w:r w:rsidR="00082EE0">
        <w:t> </w:t>
      </w:r>
      <w:r w:rsidRPr="00957933">
        <w:t xml:space="preserve">: énergie propre et d’un coût abordable </w:t>
      </w:r>
      <w:r w:rsidR="00EA2132" w:rsidRPr="00EA2132">
        <w:t>− </w:t>
      </w:r>
      <w:r w:rsidRPr="00957933">
        <w:t>30</w:t>
      </w:r>
      <w:r w:rsidR="002C515D">
        <w:t> </w:t>
      </w:r>
      <w:r w:rsidRPr="00957933">
        <w:t>%</w:t>
      </w:r>
      <w:r w:rsidR="002C515D">
        <w:t> </w:t>
      </w:r>
      <w:r w:rsidRPr="00957933">
        <w:t>;</w:t>
      </w:r>
    </w:p>
    <w:p w:rsidR="00EC704A" w:rsidRPr="00957933" w:rsidRDefault="00EC704A" w:rsidP="001E72E3">
      <w:pPr>
        <w:pStyle w:val="SingleTxtG"/>
        <w:ind w:firstLine="567"/>
      </w:pPr>
      <w:r w:rsidRPr="00957933">
        <w:t>k)</w:t>
      </w:r>
      <w:r w:rsidRPr="00957933">
        <w:tab/>
        <w:t>Objectif 8</w:t>
      </w:r>
      <w:r w:rsidR="00082EE0">
        <w:t> </w:t>
      </w:r>
      <w:r w:rsidRPr="00957933">
        <w:t xml:space="preserve">: travail décent et croissance économique </w:t>
      </w:r>
      <w:r w:rsidR="00EA2132" w:rsidRPr="00EA2132">
        <w:t>− </w:t>
      </w:r>
      <w:r w:rsidRPr="00957933">
        <w:t>30</w:t>
      </w:r>
      <w:r w:rsidR="002C515D">
        <w:t> </w:t>
      </w:r>
      <w:r w:rsidRPr="00957933">
        <w:t>%</w:t>
      </w:r>
      <w:r w:rsidR="002C515D">
        <w:t> </w:t>
      </w:r>
      <w:r w:rsidRPr="00957933">
        <w:t>;</w:t>
      </w:r>
    </w:p>
    <w:p w:rsidR="00EC704A" w:rsidRPr="00957933" w:rsidRDefault="00EC704A" w:rsidP="001E72E3">
      <w:pPr>
        <w:pStyle w:val="SingleTxtG"/>
        <w:ind w:firstLine="567"/>
      </w:pPr>
      <w:r w:rsidRPr="00957933">
        <w:t>l)</w:t>
      </w:r>
      <w:r w:rsidRPr="00957933">
        <w:tab/>
        <w:t>Objectif 14</w:t>
      </w:r>
      <w:r w:rsidR="00082EE0">
        <w:t> </w:t>
      </w:r>
      <w:r w:rsidRPr="00957933">
        <w:t xml:space="preserve">: vie aquatique </w:t>
      </w:r>
      <w:r w:rsidR="00EA2132" w:rsidRPr="00EA2132">
        <w:t>− </w:t>
      </w:r>
      <w:r w:rsidRPr="00957933">
        <w:t>30</w:t>
      </w:r>
      <w:r w:rsidR="002C515D">
        <w:t> </w:t>
      </w:r>
      <w:r w:rsidRPr="00957933">
        <w:t>%</w:t>
      </w:r>
      <w:r w:rsidR="002C515D">
        <w:t> </w:t>
      </w:r>
      <w:r w:rsidRPr="00957933">
        <w:t>;</w:t>
      </w:r>
    </w:p>
    <w:p w:rsidR="00EC704A" w:rsidRPr="00957933" w:rsidRDefault="00EC704A" w:rsidP="001E72E3">
      <w:pPr>
        <w:pStyle w:val="SingleTxtG"/>
        <w:ind w:firstLine="567"/>
      </w:pPr>
      <w:r w:rsidRPr="00957933">
        <w:t>m)</w:t>
      </w:r>
      <w:r w:rsidRPr="00957933">
        <w:tab/>
        <w:t>Objectif 2</w:t>
      </w:r>
      <w:r w:rsidR="00082EE0">
        <w:t> </w:t>
      </w:r>
      <w:r w:rsidRPr="00957933">
        <w:t>: faim «</w:t>
      </w:r>
      <w:r w:rsidR="00082EE0">
        <w:t> </w:t>
      </w:r>
      <w:r w:rsidRPr="00957933">
        <w:t>zéro</w:t>
      </w:r>
      <w:r w:rsidR="00082EE0">
        <w:t> </w:t>
      </w:r>
      <w:r w:rsidRPr="00957933">
        <w:t xml:space="preserve">» </w:t>
      </w:r>
      <w:r w:rsidR="00EA2132" w:rsidRPr="00EA2132">
        <w:t>− </w:t>
      </w:r>
      <w:r w:rsidRPr="00957933">
        <w:t>16</w:t>
      </w:r>
      <w:r w:rsidR="002C515D">
        <w:t> </w:t>
      </w:r>
      <w:r w:rsidRPr="00957933">
        <w:t>%</w:t>
      </w:r>
      <w:r w:rsidR="002C515D">
        <w:t> </w:t>
      </w:r>
      <w:r w:rsidRPr="00957933">
        <w:t>;</w:t>
      </w:r>
    </w:p>
    <w:p w:rsidR="00EC704A" w:rsidRPr="00957933" w:rsidRDefault="00EC704A" w:rsidP="001E72E3">
      <w:pPr>
        <w:pStyle w:val="SingleTxtG"/>
        <w:ind w:firstLine="567"/>
      </w:pPr>
      <w:r w:rsidRPr="00957933">
        <w:t>n)</w:t>
      </w:r>
      <w:r w:rsidRPr="00957933">
        <w:tab/>
        <w:t>Objectif 4</w:t>
      </w:r>
      <w:r w:rsidR="00082EE0">
        <w:t> </w:t>
      </w:r>
      <w:r w:rsidRPr="00957933">
        <w:t xml:space="preserve">: éducation de qualité </w:t>
      </w:r>
      <w:r w:rsidR="00EA2132" w:rsidRPr="00EA2132">
        <w:t>− </w:t>
      </w:r>
      <w:r w:rsidRPr="00957933">
        <w:t>16</w:t>
      </w:r>
      <w:r w:rsidR="002C515D">
        <w:t> </w:t>
      </w:r>
      <w:r w:rsidRPr="00957933">
        <w:t>%</w:t>
      </w:r>
      <w:r w:rsidR="002C515D">
        <w:t> </w:t>
      </w:r>
      <w:r w:rsidRPr="00957933">
        <w:t>;</w:t>
      </w:r>
    </w:p>
    <w:p w:rsidR="00EC704A" w:rsidRPr="00957933" w:rsidRDefault="00EC704A" w:rsidP="001E72E3">
      <w:pPr>
        <w:pStyle w:val="SingleTxtG"/>
        <w:ind w:firstLine="567"/>
      </w:pPr>
      <w:r w:rsidRPr="00957933">
        <w:t>o)</w:t>
      </w:r>
      <w:r w:rsidRPr="00957933">
        <w:tab/>
        <w:t>Objectif 16</w:t>
      </w:r>
      <w:r w:rsidR="00082EE0">
        <w:t> </w:t>
      </w:r>
      <w:r w:rsidR="00552783">
        <w:t xml:space="preserve">: </w:t>
      </w:r>
      <w:r w:rsidRPr="00957933">
        <w:t xml:space="preserve">paix, justice et institutions efficaces </w:t>
      </w:r>
      <w:r w:rsidR="00EA2132" w:rsidRPr="00EA2132">
        <w:t>− </w:t>
      </w:r>
      <w:r w:rsidRPr="00957933">
        <w:t>8</w:t>
      </w:r>
      <w:r w:rsidR="002C515D">
        <w:t> </w:t>
      </w:r>
      <w:r w:rsidRPr="00957933">
        <w:t>%</w:t>
      </w:r>
      <w:r w:rsidR="002C515D">
        <w:t> </w:t>
      </w:r>
      <w:r w:rsidRPr="00957933">
        <w:t>;</w:t>
      </w:r>
    </w:p>
    <w:p w:rsidR="00EC704A" w:rsidRPr="00957933" w:rsidRDefault="00EC704A" w:rsidP="001E72E3">
      <w:pPr>
        <w:pStyle w:val="SingleTxtG"/>
        <w:ind w:firstLine="567"/>
      </w:pPr>
      <w:r w:rsidRPr="00957933">
        <w:t>p)</w:t>
      </w:r>
      <w:r w:rsidRPr="00957933">
        <w:tab/>
        <w:t>Objectif 1</w:t>
      </w:r>
      <w:r w:rsidR="00082EE0">
        <w:t> </w:t>
      </w:r>
      <w:r w:rsidRPr="00957933">
        <w:t xml:space="preserve">: pas de pauvreté </w:t>
      </w:r>
      <w:r w:rsidR="00EA2132" w:rsidRPr="00EA2132">
        <w:t>− </w:t>
      </w:r>
      <w:r w:rsidRPr="00957933">
        <w:t>8</w:t>
      </w:r>
      <w:r w:rsidR="002C515D">
        <w:t> </w:t>
      </w:r>
      <w:r w:rsidRPr="00957933">
        <w:t>%</w:t>
      </w:r>
      <w:r w:rsidR="002C515D">
        <w:t> </w:t>
      </w:r>
      <w:r w:rsidRPr="00957933">
        <w:t>;</w:t>
      </w:r>
    </w:p>
    <w:p w:rsidR="00EC704A" w:rsidRPr="00957933" w:rsidRDefault="00EC704A" w:rsidP="001E72E3">
      <w:pPr>
        <w:pStyle w:val="SingleTxtG"/>
        <w:ind w:firstLine="567"/>
      </w:pPr>
      <w:r w:rsidRPr="00957933">
        <w:t>q)</w:t>
      </w:r>
      <w:r w:rsidRPr="00957933">
        <w:tab/>
        <w:t>Objectif 10</w:t>
      </w:r>
      <w:r w:rsidR="00082EE0">
        <w:t xml:space="preserve"> : </w:t>
      </w:r>
      <w:r w:rsidRPr="00957933">
        <w:t xml:space="preserve">inégalités réduites </w:t>
      </w:r>
      <w:r w:rsidR="00EA2132" w:rsidRPr="00EA2132">
        <w:t>− </w:t>
      </w:r>
      <w:r w:rsidRPr="00957933">
        <w:t>3</w:t>
      </w:r>
      <w:r w:rsidR="002C515D">
        <w:t> </w:t>
      </w:r>
      <w:r w:rsidRPr="00957933">
        <w:t>%</w:t>
      </w:r>
      <w:r w:rsidR="002C515D">
        <w:t> </w:t>
      </w:r>
      <w:r w:rsidRPr="00957933">
        <w:t>;</w:t>
      </w:r>
    </w:p>
    <w:p w:rsidR="00EC704A" w:rsidRPr="00957933" w:rsidRDefault="00EC704A" w:rsidP="001E72E3">
      <w:pPr>
        <w:pStyle w:val="SingleTxtG"/>
        <w:ind w:firstLine="567"/>
      </w:pPr>
      <w:r w:rsidRPr="00957933">
        <w:t>r)</w:t>
      </w:r>
      <w:r w:rsidRPr="00957933">
        <w:tab/>
        <w:t>Objectif 5</w:t>
      </w:r>
      <w:r w:rsidR="00082EE0">
        <w:t> </w:t>
      </w:r>
      <w:r w:rsidRPr="00957933">
        <w:t xml:space="preserve">: égalité entre les sexes </w:t>
      </w:r>
      <w:r w:rsidR="00EA2132" w:rsidRPr="00EA2132">
        <w:t>− </w:t>
      </w:r>
      <w:r w:rsidRPr="00957933">
        <w:t>0</w:t>
      </w:r>
      <w:r w:rsidR="002C515D">
        <w:t> </w:t>
      </w:r>
      <w:r w:rsidRPr="00957933">
        <w:t>%.</w:t>
      </w:r>
    </w:p>
    <w:p w:rsidR="00EC704A" w:rsidRPr="00957933" w:rsidRDefault="00053936" w:rsidP="00053936">
      <w:pPr>
        <w:pStyle w:val="H23G"/>
      </w:pPr>
      <w:r>
        <w:tab/>
      </w:r>
      <w:r>
        <w:tab/>
      </w:r>
      <w:r w:rsidR="00EC704A" w:rsidRPr="00957933">
        <w:t xml:space="preserve">Résultats des rapports dressés concernant l’état d’avancement </w:t>
      </w:r>
      <w:r>
        <w:br/>
      </w:r>
      <w:r w:rsidR="00EC704A" w:rsidRPr="00957933">
        <w:t>de la mise en œuvre des engagements</w:t>
      </w:r>
    </w:p>
    <w:p w:rsidR="00EC704A" w:rsidRPr="00957933" w:rsidRDefault="00EC704A" w:rsidP="00EC704A">
      <w:pPr>
        <w:pStyle w:val="SingleTxtG"/>
      </w:pPr>
      <w:r w:rsidRPr="00957933">
        <w:t>28.</w:t>
      </w:r>
      <w:r w:rsidRPr="00957933">
        <w:tab/>
        <w:t>Des réponses ont été reçues de 23</w:t>
      </w:r>
      <w:r w:rsidR="00053936">
        <w:t> </w:t>
      </w:r>
      <w:r w:rsidRPr="00957933">
        <w:t>gouvernements (85</w:t>
      </w:r>
      <w:r w:rsidR="00053936">
        <w:t> </w:t>
      </w:r>
      <w:r w:rsidRPr="00957933">
        <w:t>% des États membres participants) et de 8</w:t>
      </w:r>
      <w:r w:rsidR="00053936">
        <w:t> </w:t>
      </w:r>
      <w:r w:rsidRPr="00957933">
        <w:t>organisations (62</w:t>
      </w:r>
      <w:r w:rsidR="00053936">
        <w:t> </w:t>
      </w:r>
      <w:r w:rsidRPr="00957933">
        <w:t xml:space="preserve">% des organisations participantes), soit 78% de </w:t>
      </w:r>
      <w:r w:rsidRPr="00957933">
        <w:lastRenderedPageBreak/>
        <w:t>l’ensemble des parties prenantes (31 sur un total de 40). Des informations ont été reçues à propos de 96</w:t>
      </w:r>
      <w:r w:rsidR="00053936">
        <w:t> </w:t>
      </w:r>
      <w:r w:rsidRPr="00957933">
        <w:t>actions (77</w:t>
      </w:r>
      <w:r w:rsidR="00053936">
        <w:t> </w:t>
      </w:r>
      <w:r w:rsidRPr="00957933">
        <w:t xml:space="preserve">% de l’ensemble des engagements). </w:t>
      </w:r>
    </w:p>
    <w:p w:rsidR="00EC704A" w:rsidRPr="00957933" w:rsidRDefault="00EC704A" w:rsidP="00EC704A">
      <w:pPr>
        <w:pStyle w:val="SingleTxtG"/>
      </w:pPr>
      <w:r w:rsidRPr="00957933">
        <w:t>29.</w:t>
      </w:r>
      <w:r w:rsidRPr="00957933">
        <w:tab/>
        <w:t>Si un point de contact a été identifié pour chaque engagement pris, l’outil utilisé pour l’enquête a été conçu de manière à permettre des réponses décentralisées, les rapports étant présentés pour mettre en lumière chaque engagement considéré individuellement. C’est ainsi que, dans certains cas, plus d’un répondant a répondu au nom de certaines parties prenantes. C’est pourquoi 41</w:t>
      </w:r>
      <w:r w:rsidR="00053936">
        <w:t> </w:t>
      </w:r>
      <w:r w:rsidRPr="00957933">
        <w:t>fonctionnaires et experts représentant 31</w:t>
      </w:r>
      <w:r w:rsidR="00053936">
        <w:t> </w:t>
      </w:r>
      <w:r w:rsidRPr="00957933">
        <w:t xml:space="preserve">parties prenantes ont pris part à l’enquête. </w:t>
      </w:r>
    </w:p>
    <w:p w:rsidR="00EC704A" w:rsidRPr="00957933" w:rsidRDefault="00EC704A" w:rsidP="00EC704A">
      <w:pPr>
        <w:pStyle w:val="SingleTxtG"/>
      </w:pPr>
      <w:r w:rsidRPr="00957933">
        <w:t>30.</w:t>
      </w:r>
      <w:r w:rsidRPr="00957933">
        <w:tab/>
        <w:t>L’état d’avancement de la mise en œuvre des engagements est évalué sur la base des données de l’enquête. À la question «</w:t>
      </w:r>
      <w:r w:rsidR="00053936">
        <w:t> </w:t>
      </w:r>
      <w:r w:rsidRPr="00957933">
        <w:t>L’engagement pris a-t-il été suivi d’effets</w:t>
      </w:r>
      <w:r w:rsidR="00053936">
        <w:t> </w:t>
      </w:r>
      <w:r w:rsidRPr="00957933">
        <w:t>?</w:t>
      </w:r>
      <w:r w:rsidR="00053936">
        <w:t> </w:t>
      </w:r>
      <w:r w:rsidRPr="00957933">
        <w:t>» trois réponses différentes pouvaient être données</w:t>
      </w:r>
      <w:r w:rsidR="00053936">
        <w:t> </w:t>
      </w:r>
      <w:r w:rsidRPr="00957933">
        <w:t>: «</w:t>
      </w:r>
      <w:r w:rsidR="00053936">
        <w:t> </w:t>
      </w:r>
      <w:r w:rsidRPr="00957933">
        <w:t>oui</w:t>
      </w:r>
      <w:r w:rsidR="00053936">
        <w:t> </w:t>
      </w:r>
      <w:r w:rsidRPr="00957933">
        <w:t>», «</w:t>
      </w:r>
      <w:r w:rsidR="00053936">
        <w:t> </w:t>
      </w:r>
      <w:r w:rsidRPr="00957933">
        <w:t>en cours</w:t>
      </w:r>
      <w:r w:rsidR="00053936">
        <w:t> </w:t>
      </w:r>
      <w:r w:rsidRPr="00957933">
        <w:t>» et «</w:t>
      </w:r>
      <w:r w:rsidR="00053936">
        <w:t> </w:t>
      </w:r>
      <w:r w:rsidRPr="00957933">
        <w:t>non</w:t>
      </w:r>
      <w:r w:rsidR="00053936">
        <w:t> </w:t>
      </w:r>
      <w:r w:rsidRPr="00957933">
        <w:t>». Compte tenu de cette approche simplifiée, certains répondants ont coché à la fois «</w:t>
      </w:r>
      <w:r w:rsidR="00053936">
        <w:t> </w:t>
      </w:r>
      <w:r w:rsidRPr="00957933">
        <w:t>oui</w:t>
      </w:r>
      <w:r w:rsidR="00053936">
        <w:t> </w:t>
      </w:r>
      <w:r w:rsidRPr="00957933">
        <w:t>» et «</w:t>
      </w:r>
      <w:r w:rsidR="00053936">
        <w:t> </w:t>
      </w:r>
      <w:r w:rsidRPr="00957933">
        <w:t>en cours</w:t>
      </w:r>
      <w:r w:rsidR="00053936">
        <w:t> </w:t>
      </w:r>
      <w:r w:rsidRPr="00957933">
        <w:t xml:space="preserve">» pour certains engagements, voulant signifier par là qu’une suite avait été donnée et que l’action était toujours en cours. </w:t>
      </w:r>
    </w:p>
    <w:p w:rsidR="00EC704A" w:rsidRPr="00957933" w:rsidRDefault="00EC704A" w:rsidP="00EC704A">
      <w:pPr>
        <w:pStyle w:val="SingleTxtG"/>
      </w:pPr>
      <w:r w:rsidRPr="00957933">
        <w:t>31.</w:t>
      </w:r>
      <w:r w:rsidRPr="00957933">
        <w:tab/>
        <w:t>L’état d’avancement (annexe, fig</w:t>
      </w:r>
      <w:r w:rsidR="00053936">
        <w:t>. </w:t>
      </w:r>
      <w:r w:rsidRPr="00957933">
        <w:t>VI) de 96</w:t>
      </w:r>
      <w:r w:rsidR="00053936">
        <w:t> </w:t>
      </w:r>
      <w:r w:rsidRPr="00957933">
        <w:t>engagements (sur un total de 124) a été notifié</w:t>
      </w:r>
      <w:r w:rsidRPr="00053936">
        <w:rPr>
          <w:rStyle w:val="Appelnotedebasdep"/>
        </w:rPr>
        <w:footnoteReference w:id="11"/>
      </w:r>
      <w:r w:rsidRPr="00957933">
        <w:t xml:space="preserve"> au secrétariat (77</w:t>
      </w:r>
      <w:r w:rsidR="00053936">
        <w:t> </w:t>
      </w:r>
      <w:r w:rsidRPr="00957933">
        <w:t>%). Le taux de réponse est similaire (77</w:t>
      </w:r>
      <w:r w:rsidR="00053936">
        <w:t> </w:t>
      </w:r>
      <w:r w:rsidRPr="00957933">
        <w:t>%</w:t>
      </w:r>
      <w:r w:rsidR="00053936">
        <w:noBreakHyphen/>
      </w:r>
      <w:r w:rsidRPr="00957933">
        <w:t>78</w:t>
      </w:r>
      <w:r w:rsidR="00053936">
        <w:t> </w:t>
      </w:r>
      <w:r w:rsidRPr="00957933">
        <w:t>%) pour les différents</w:t>
      </w:r>
      <w:r w:rsidR="00053936">
        <w:t xml:space="preserve"> groupes de parties prenantes − </w:t>
      </w:r>
      <w:r w:rsidRPr="00957933">
        <w:t xml:space="preserve">gouvernements, entités non gouvernementales, </w:t>
      </w:r>
      <w:r w:rsidR="00D24E00" w:rsidRPr="00957933">
        <w:t xml:space="preserve">Gouvernements </w:t>
      </w:r>
      <w:r w:rsidRPr="00957933">
        <w:t xml:space="preserve">des États membres de l’Union européenne ou de l’Europe orientale, du Caucase et de l’Asie centrale. </w:t>
      </w:r>
    </w:p>
    <w:p w:rsidR="00EC704A" w:rsidRPr="00957933" w:rsidRDefault="00EC704A" w:rsidP="00EC704A">
      <w:pPr>
        <w:pStyle w:val="SingleTxtG"/>
      </w:pPr>
      <w:r w:rsidRPr="00957933">
        <w:t>32.</w:t>
      </w:r>
      <w:r w:rsidRPr="00957933">
        <w:tab/>
        <w:t>Seuls quatre engagements (4</w:t>
      </w:r>
      <w:r w:rsidR="00053936">
        <w:t> </w:t>
      </w:r>
      <w:r w:rsidRPr="00957933">
        <w:t>% de l’ensemble des engagements consignés) n’ont pas été suivi d’effets</w:t>
      </w:r>
      <w:r w:rsidR="00053936">
        <w:t> </w:t>
      </w:r>
      <w:r w:rsidRPr="00957933">
        <w:t xml:space="preserve">; </w:t>
      </w:r>
      <w:r w:rsidR="00D24E00">
        <w:t>1 </w:t>
      </w:r>
      <w:r w:rsidRPr="00957933">
        <w:t>engagement est signalé comme étant «</w:t>
      </w:r>
      <w:r w:rsidR="00053936">
        <w:t> </w:t>
      </w:r>
      <w:r w:rsidRPr="00957933">
        <w:t>en cours</w:t>
      </w:r>
      <w:r w:rsidR="00053936">
        <w:t> </w:t>
      </w:r>
      <w:r w:rsidRPr="00957933">
        <w:t>» et «</w:t>
      </w:r>
      <w:r w:rsidR="00053936">
        <w:t> </w:t>
      </w:r>
      <w:r w:rsidRPr="00957933">
        <w:t>non suivi d’effets</w:t>
      </w:r>
      <w:r w:rsidR="00053936">
        <w:t> </w:t>
      </w:r>
      <w:r w:rsidRPr="00957933">
        <w:t>»</w:t>
      </w:r>
      <w:r w:rsidR="00053936">
        <w:t> </w:t>
      </w:r>
      <w:r w:rsidRPr="00957933">
        <w:t>; 49 (51</w:t>
      </w:r>
      <w:r w:rsidR="00053936">
        <w:t> </w:t>
      </w:r>
      <w:r w:rsidRPr="00957933">
        <w:t>%) sont en cours de mise en œuvre</w:t>
      </w:r>
      <w:r w:rsidR="00053936">
        <w:t> </w:t>
      </w:r>
      <w:r w:rsidRPr="00957933">
        <w:t>; 15 (16</w:t>
      </w:r>
      <w:r w:rsidR="00053936">
        <w:t> </w:t>
      </w:r>
      <w:r w:rsidRPr="00957933">
        <w:t>%) sont signalés comme étant tout à la fois «</w:t>
      </w:r>
      <w:r w:rsidR="00053936">
        <w:t> </w:t>
      </w:r>
      <w:r w:rsidRPr="00957933">
        <w:t>en cours</w:t>
      </w:r>
      <w:r w:rsidR="00053936">
        <w:t> </w:t>
      </w:r>
      <w:r w:rsidRPr="00957933">
        <w:t>» et «</w:t>
      </w:r>
      <w:r w:rsidR="00053936">
        <w:t> </w:t>
      </w:r>
      <w:r w:rsidRPr="00957933">
        <w:t>suivis d’effets</w:t>
      </w:r>
      <w:r w:rsidR="00053936">
        <w:t> </w:t>
      </w:r>
      <w:r w:rsidRPr="00957933">
        <w:t>»</w:t>
      </w:r>
      <w:r w:rsidR="00053936">
        <w:t> </w:t>
      </w:r>
      <w:r w:rsidRPr="00957933">
        <w:t xml:space="preserve">; </w:t>
      </w:r>
      <w:r w:rsidR="00D24E00">
        <w:t>et</w:t>
      </w:r>
      <w:r w:rsidRPr="00957933">
        <w:t xml:space="preserve"> 28</w:t>
      </w:r>
      <w:r w:rsidR="00053936">
        <w:t> </w:t>
      </w:r>
      <w:r w:rsidRPr="00957933">
        <w:t>autres (29</w:t>
      </w:r>
      <w:r w:rsidR="00053936">
        <w:t> </w:t>
      </w:r>
      <w:r w:rsidRPr="00957933">
        <w:t xml:space="preserve">%) sont signalés comme ayant été pleinement suivi d’effets. </w:t>
      </w:r>
    </w:p>
    <w:p w:rsidR="00EC704A" w:rsidRPr="00957933" w:rsidRDefault="00EC704A" w:rsidP="00EC704A">
      <w:pPr>
        <w:pStyle w:val="SingleTxtG"/>
      </w:pPr>
      <w:r w:rsidRPr="00957933">
        <w:t>33.</w:t>
      </w:r>
      <w:r w:rsidRPr="00957933">
        <w:tab/>
        <w:t>Les gouvernements ont rendu compte de l’état d’avancement de 67 de leurs 87</w:t>
      </w:r>
      <w:r w:rsidR="00053936">
        <w:t> </w:t>
      </w:r>
      <w:r w:rsidRPr="00957933">
        <w:t>engagements (77</w:t>
      </w:r>
      <w:r w:rsidR="00053936">
        <w:t> </w:t>
      </w:r>
      <w:r w:rsidRPr="00957933">
        <w:t>%). Parmi ceux-ci, 2</w:t>
      </w:r>
      <w:r w:rsidR="00053936">
        <w:t> </w:t>
      </w:r>
      <w:r w:rsidRPr="00957933">
        <w:t>engagements (3</w:t>
      </w:r>
      <w:r w:rsidR="00053936">
        <w:t> </w:t>
      </w:r>
      <w:r w:rsidRPr="00957933">
        <w:t>% de ceux dont les gouvernements ont rendu compte) n’ont vu aucune progression</w:t>
      </w:r>
      <w:r w:rsidR="00053936">
        <w:t> </w:t>
      </w:r>
      <w:r w:rsidRPr="00957933">
        <w:t xml:space="preserve">; </w:t>
      </w:r>
      <w:r w:rsidR="00D24E00">
        <w:t>1 </w:t>
      </w:r>
      <w:r w:rsidRPr="00957933">
        <w:t>engagement est signalé comme étant tout à la fois «</w:t>
      </w:r>
      <w:r w:rsidR="00053936">
        <w:t> </w:t>
      </w:r>
      <w:r w:rsidRPr="00957933">
        <w:t>en cours</w:t>
      </w:r>
      <w:r w:rsidR="00053936">
        <w:t> </w:t>
      </w:r>
      <w:r w:rsidRPr="00957933">
        <w:t>» et «</w:t>
      </w:r>
      <w:r w:rsidR="00053936">
        <w:t> </w:t>
      </w:r>
      <w:r w:rsidRPr="00957933">
        <w:t>non suivi d’effets</w:t>
      </w:r>
      <w:r w:rsidR="00053936">
        <w:t> </w:t>
      </w:r>
      <w:r w:rsidRPr="00957933">
        <w:t>»</w:t>
      </w:r>
      <w:r w:rsidR="00053936">
        <w:t> </w:t>
      </w:r>
      <w:r w:rsidRPr="00957933">
        <w:t>; 35 (52</w:t>
      </w:r>
      <w:r w:rsidR="00053936">
        <w:t> </w:t>
      </w:r>
      <w:r w:rsidRPr="00957933">
        <w:t>%) sont en cours</w:t>
      </w:r>
      <w:r w:rsidR="00053936">
        <w:t> </w:t>
      </w:r>
      <w:r w:rsidRPr="00957933">
        <w:t>; 8</w:t>
      </w:r>
      <w:r w:rsidR="00053936">
        <w:t> </w:t>
      </w:r>
      <w:r w:rsidRPr="00957933">
        <w:t>(12</w:t>
      </w:r>
      <w:r w:rsidR="00053936">
        <w:t> </w:t>
      </w:r>
      <w:r w:rsidRPr="00957933">
        <w:t>%) sont signalés comme étant tout à la fois «</w:t>
      </w:r>
      <w:r w:rsidR="00053936">
        <w:t> </w:t>
      </w:r>
      <w:r w:rsidRPr="00957933">
        <w:t>en cours</w:t>
      </w:r>
      <w:r w:rsidR="00053936">
        <w:t> </w:t>
      </w:r>
      <w:r w:rsidRPr="00957933">
        <w:t>» et «</w:t>
      </w:r>
      <w:r w:rsidR="00053936">
        <w:t> </w:t>
      </w:r>
      <w:r w:rsidRPr="00957933">
        <w:t>suivis d’effets</w:t>
      </w:r>
      <w:r w:rsidR="00053936">
        <w:t> </w:t>
      </w:r>
      <w:r w:rsidRPr="00957933">
        <w:t>»</w:t>
      </w:r>
      <w:r w:rsidR="00053936">
        <w:t> </w:t>
      </w:r>
      <w:r w:rsidRPr="00957933">
        <w:t>; et 23</w:t>
      </w:r>
      <w:r w:rsidR="00053936">
        <w:t> </w:t>
      </w:r>
      <w:r w:rsidRPr="00957933">
        <w:t>autres (33</w:t>
      </w:r>
      <w:r w:rsidR="00053936">
        <w:t> </w:t>
      </w:r>
      <w:r w:rsidRPr="00957933">
        <w:t>%) sont signalés comme ayant été pleinement suivis d’effets. L’état d’avancement des engagements pris par les États membres de l’Union européenne est presque également réparti entre «</w:t>
      </w:r>
      <w:r w:rsidR="00053936">
        <w:t> </w:t>
      </w:r>
      <w:r w:rsidRPr="00957933">
        <w:t>en cours</w:t>
      </w:r>
      <w:r w:rsidR="00053936">
        <w:t> </w:t>
      </w:r>
      <w:r w:rsidRPr="00957933">
        <w:t>» et «</w:t>
      </w:r>
      <w:r w:rsidR="00053936">
        <w:t> </w:t>
      </w:r>
      <w:r w:rsidRPr="00957933">
        <w:t>suivi d’effets</w:t>
      </w:r>
      <w:r w:rsidR="00053936">
        <w:t> </w:t>
      </w:r>
      <w:r w:rsidRPr="00957933">
        <w:t xml:space="preserve">». Le rapport est de 3 pour 1 en ce qui concerne les </w:t>
      </w:r>
      <w:r w:rsidR="00D24E00" w:rsidRPr="00957933">
        <w:t xml:space="preserve">Gouvernements </w:t>
      </w:r>
      <w:r w:rsidRPr="00957933">
        <w:t xml:space="preserve">des États d’Europe orientale, du Caucase et d’Asie centrale. </w:t>
      </w:r>
    </w:p>
    <w:p w:rsidR="00EC704A" w:rsidRPr="00957933" w:rsidRDefault="00EC704A" w:rsidP="00EC704A">
      <w:pPr>
        <w:pStyle w:val="SingleTxtG"/>
      </w:pPr>
      <w:r w:rsidRPr="00957933">
        <w:t>34.</w:t>
      </w:r>
      <w:r w:rsidRPr="00957933">
        <w:tab/>
        <w:t>Les parties prenantes non gouvernementales ont rendu compte de l’état d’avancement de 29 de leurs 37</w:t>
      </w:r>
      <w:r w:rsidR="00053936">
        <w:t> </w:t>
      </w:r>
      <w:r w:rsidRPr="00957933">
        <w:t>engagements (78</w:t>
      </w:r>
      <w:r w:rsidR="00053936">
        <w:t> </w:t>
      </w:r>
      <w:r w:rsidRPr="00957933">
        <w:t>%). Parmi ceux-ci, 3</w:t>
      </w:r>
      <w:r w:rsidR="00053936">
        <w:t> </w:t>
      </w:r>
      <w:r w:rsidRPr="00957933">
        <w:t>engagements (10</w:t>
      </w:r>
      <w:r w:rsidR="00053936">
        <w:t> </w:t>
      </w:r>
      <w:r w:rsidRPr="00957933">
        <w:t>% des engagements consignés) n’ont vu aucune progression</w:t>
      </w:r>
      <w:r w:rsidR="00053936">
        <w:t> </w:t>
      </w:r>
      <w:r w:rsidRPr="00957933">
        <w:t>; 14 (48</w:t>
      </w:r>
      <w:r w:rsidR="00053936">
        <w:t> </w:t>
      </w:r>
      <w:r w:rsidRPr="00957933">
        <w:t>%) sont en cours</w:t>
      </w:r>
      <w:r w:rsidR="00053936">
        <w:t> </w:t>
      </w:r>
      <w:r w:rsidRPr="00957933">
        <w:t>; 7</w:t>
      </w:r>
      <w:r w:rsidR="00053936">
        <w:t> </w:t>
      </w:r>
      <w:r w:rsidRPr="00957933">
        <w:t>(24</w:t>
      </w:r>
      <w:r w:rsidR="00053936">
        <w:t> </w:t>
      </w:r>
      <w:r w:rsidRPr="00957933">
        <w:t>%) sont signalés comme étant tout à la fois «</w:t>
      </w:r>
      <w:r w:rsidR="00053936">
        <w:t> </w:t>
      </w:r>
      <w:r w:rsidRPr="00957933">
        <w:t>en cours</w:t>
      </w:r>
      <w:r w:rsidR="00053936">
        <w:t> </w:t>
      </w:r>
      <w:r w:rsidRPr="00957933">
        <w:t>» et «</w:t>
      </w:r>
      <w:r w:rsidR="00053936">
        <w:t> </w:t>
      </w:r>
      <w:r w:rsidRPr="00957933">
        <w:t>suivis d’effets</w:t>
      </w:r>
      <w:r w:rsidR="00053936">
        <w:t> </w:t>
      </w:r>
      <w:r w:rsidRPr="00957933">
        <w:t>», tandis que 5</w:t>
      </w:r>
      <w:r w:rsidR="00053936">
        <w:t> </w:t>
      </w:r>
      <w:r w:rsidRPr="00957933">
        <w:t>engagements (17</w:t>
      </w:r>
      <w:r w:rsidR="00053936">
        <w:t> </w:t>
      </w:r>
      <w:r w:rsidRPr="00957933">
        <w:t xml:space="preserve">%) sont signalés comme ayant été pleinement suivis d’effets. </w:t>
      </w:r>
    </w:p>
    <w:p w:rsidR="00EC704A" w:rsidRPr="00957933" w:rsidRDefault="00EC704A" w:rsidP="00053936">
      <w:pPr>
        <w:pStyle w:val="H23G"/>
      </w:pPr>
      <w:r w:rsidRPr="00957933">
        <w:tab/>
      </w:r>
      <w:r w:rsidRPr="00957933">
        <w:tab/>
        <w:t>La valeur de l’Initiative de Batumi pour une économie verte</w:t>
      </w:r>
    </w:p>
    <w:p w:rsidR="00EC704A" w:rsidRPr="00957933" w:rsidRDefault="00EC704A" w:rsidP="00EC704A">
      <w:pPr>
        <w:pStyle w:val="SingleTxtG"/>
      </w:pPr>
      <w:r w:rsidRPr="00957933">
        <w:t>35.</w:t>
      </w:r>
      <w:r w:rsidRPr="00957933">
        <w:tab/>
        <w:t>En réponse à l’affirmation «</w:t>
      </w:r>
      <w:r w:rsidR="00053936">
        <w:t> </w:t>
      </w:r>
      <w:r w:rsidRPr="00957933">
        <w:t>L’Initiative de Batumi pour une économie verte contribue utilement à l’écologisation de l’économie dans la région paneuropéenne</w:t>
      </w:r>
      <w:r w:rsidR="00053936">
        <w:t> </w:t>
      </w:r>
      <w:r w:rsidRPr="00957933">
        <w:t>», 34</w:t>
      </w:r>
      <w:r w:rsidR="00053936">
        <w:t> </w:t>
      </w:r>
      <w:r w:rsidRPr="00957933">
        <w:t>(97</w:t>
      </w:r>
      <w:r w:rsidR="00053936">
        <w:t> </w:t>
      </w:r>
      <w:r w:rsidRPr="00957933">
        <w:t>%) des 35</w:t>
      </w:r>
      <w:r w:rsidR="00053936">
        <w:t> </w:t>
      </w:r>
      <w:r w:rsidRPr="00957933">
        <w:t>répondants se sont dits tout à fait d’accord (18 réponses, soit 51</w:t>
      </w:r>
      <w:r w:rsidR="00053936">
        <w:t> </w:t>
      </w:r>
      <w:r w:rsidRPr="00957933">
        <w:t>%), plus ou moins d’accord (16 réponses, soit 46</w:t>
      </w:r>
      <w:r w:rsidR="00053936">
        <w:t> </w:t>
      </w:r>
      <w:r w:rsidRPr="00957933">
        <w:t>%), et un répondant n’a pris position ni dans un sens ni dans l’autre. Trois répondants se sont dits «</w:t>
      </w:r>
      <w:r w:rsidR="00053936">
        <w:t> </w:t>
      </w:r>
      <w:r w:rsidRPr="00957933">
        <w:t>sans opinion</w:t>
      </w:r>
      <w:r w:rsidR="00053936">
        <w:t> </w:t>
      </w:r>
      <w:r w:rsidRPr="00957933">
        <w:t xml:space="preserve">» et deux ont commenté leur réponse. Le jugement était plus positif de la part des </w:t>
      </w:r>
      <w:r w:rsidR="00D24E00" w:rsidRPr="00957933">
        <w:t xml:space="preserve">Gouvernements </w:t>
      </w:r>
      <w:r w:rsidRPr="00957933">
        <w:t xml:space="preserve">d’Europe orientale, du Caucase et de l’Asie centrale, et aussi des organisations, deux tiers de chaque groupe s’étant déclarés tout à fait d’accord avec l’affirmation. </w:t>
      </w:r>
    </w:p>
    <w:p w:rsidR="00EC704A" w:rsidRPr="00957933" w:rsidRDefault="00053936" w:rsidP="00053936">
      <w:pPr>
        <w:pStyle w:val="HChG"/>
      </w:pPr>
      <w:r>
        <w:lastRenderedPageBreak/>
        <w:tab/>
        <w:t>II.</w:t>
      </w:r>
      <w:r>
        <w:tab/>
      </w:r>
      <w:r w:rsidR="00EC704A" w:rsidRPr="00957933">
        <w:t>Conclusions</w:t>
      </w:r>
      <w:r>
        <w:t> </w:t>
      </w:r>
      <w:r w:rsidR="00EC704A" w:rsidRPr="00957933">
        <w:t>: enseignements tirés et difficultés rencontrées</w:t>
      </w:r>
    </w:p>
    <w:p w:rsidR="00EC704A" w:rsidRPr="00957933" w:rsidRDefault="00EC704A" w:rsidP="00EC704A">
      <w:pPr>
        <w:pStyle w:val="SingleTxtG"/>
      </w:pPr>
      <w:r w:rsidRPr="00957933">
        <w:t>36.</w:t>
      </w:r>
      <w:r w:rsidRPr="00957933">
        <w:tab/>
        <w:t>Le thème de l’écologisation de l’économie continue de nourrir l’intérêt des États membres de la CEE. Déjà deux conférences ministérielles «</w:t>
      </w:r>
      <w:r w:rsidR="00053936">
        <w:t> </w:t>
      </w:r>
      <w:r w:rsidRPr="00957933">
        <w:t>Un environnement pour l’Europe</w:t>
      </w:r>
      <w:r w:rsidR="00053936">
        <w:t> </w:t>
      </w:r>
      <w:r w:rsidRPr="00957933">
        <w:t xml:space="preserve">», à savoir Astana en 2011 et Batumi en 2016, ont offert l’occasion de traiter ce thème face à un choix de deux thèmes majeurs. Le Cadre stratégique paneuropéen pour une économie plus respectueuse de l’environnement, et l’Initiative de Batumi pour une économie verte qui est censée en être l’application, sont le résultat logique des efforts déployés à ce sujet. L’Initiative de Batumi reste ouverte à de nouveaux participants et à de nouveaux engagements de la part des participants existants. </w:t>
      </w:r>
    </w:p>
    <w:p w:rsidR="00EC704A" w:rsidRPr="00957933" w:rsidRDefault="00EC704A" w:rsidP="00EC704A">
      <w:pPr>
        <w:pStyle w:val="SingleTxtG"/>
      </w:pPr>
      <w:r w:rsidRPr="00957933">
        <w:t>37.</w:t>
      </w:r>
      <w:r w:rsidRPr="00957933">
        <w:tab/>
        <w:t>L’enquête a démontré que l’Initiative de Batumi était un instrument utile pour la concrétisation du Cadre stratégique, puisque 97</w:t>
      </w:r>
      <w:r w:rsidR="00053936">
        <w:t> </w:t>
      </w:r>
      <w:r w:rsidRPr="00957933">
        <w:t>% des répondants l’ont jugée utile au processus destiné à favoriser l’écologisation de la région paneuropéenne. On observe toutefois un écart notable entre les groupes de répondants</w:t>
      </w:r>
      <w:r w:rsidR="004502AD">
        <w:t> </w:t>
      </w:r>
      <w:r w:rsidRPr="00957933">
        <w:t>: alors que les gouvernements d’Europe orientale, du Caucase et d’Asie centrale l’ont qualifiée de «</w:t>
      </w:r>
      <w:r w:rsidR="00053936">
        <w:t> </w:t>
      </w:r>
      <w:r w:rsidRPr="00957933">
        <w:t>clairement utile</w:t>
      </w:r>
      <w:r w:rsidR="00053936">
        <w:t> </w:t>
      </w:r>
      <w:r w:rsidRPr="00957933">
        <w:t>», ceux de l’Union européenne, tout en restant positifs, l’ont qualifiée de «</w:t>
      </w:r>
      <w:r w:rsidR="00053936">
        <w:t> </w:t>
      </w:r>
      <w:r w:rsidRPr="00957933">
        <w:t>plutôt utile</w:t>
      </w:r>
      <w:r w:rsidR="00053936">
        <w:t> ». Peut</w:t>
      </w:r>
      <w:r w:rsidR="00053936">
        <w:noBreakHyphen/>
      </w:r>
      <w:r w:rsidRPr="00957933">
        <w:t>être faut-il y voir la conséquence du profil actuel de la coopération régionale et transfrontière de manière générale, qui reflète la dichotomie existante entre deux mondes</w:t>
      </w:r>
      <w:r w:rsidR="004502AD">
        <w:t> </w:t>
      </w:r>
      <w:r w:rsidRPr="00957933">
        <w:t xml:space="preserve">: celui qui est à la source de l’expérience et du financement et celui qui en bénéficie. </w:t>
      </w:r>
    </w:p>
    <w:p w:rsidR="00EC704A" w:rsidRPr="00957933" w:rsidRDefault="00EC704A" w:rsidP="00053936">
      <w:pPr>
        <w:pStyle w:val="SingleTxtG"/>
        <w:keepNext/>
      </w:pPr>
      <w:r w:rsidRPr="00957933">
        <w:t>38.</w:t>
      </w:r>
      <w:r w:rsidRPr="00957933">
        <w:tab/>
        <w:t xml:space="preserve">Le taux de réponse relativement élevé à l’enquête permet de tirer les conclusions suivantes avec un degré de confiance suffisant quant à la progression de la mise en œuvre des engagements volontaires : </w:t>
      </w:r>
    </w:p>
    <w:p w:rsidR="00EC704A" w:rsidRPr="00957933" w:rsidRDefault="00EC704A" w:rsidP="005E7668">
      <w:pPr>
        <w:pStyle w:val="SingleTxtG"/>
        <w:ind w:firstLine="567"/>
      </w:pPr>
      <w:r w:rsidRPr="00957933">
        <w:t>a)</w:t>
      </w:r>
      <w:r w:rsidRPr="00957933">
        <w:tab/>
        <w:t>Dans son ensemble, la région paneuropéenne applique activement des mesures qui vont dans le sens de l’économie verte, comme le montre la répartition géographique relativement équilibrée des parties prenantes ayant pris des engagements dans l’ensemble de la région</w:t>
      </w:r>
      <w:r w:rsidR="005E7668">
        <w:t> </w:t>
      </w:r>
      <w:r w:rsidRPr="00957933">
        <w:t xml:space="preserve">; </w:t>
      </w:r>
    </w:p>
    <w:p w:rsidR="00EC704A" w:rsidRPr="00957933" w:rsidRDefault="00EC704A" w:rsidP="005E7668">
      <w:pPr>
        <w:pStyle w:val="SingleTxtG"/>
        <w:keepNext/>
        <w:ind w:firstLine="567"/>
      </w:pPr>
      <w:r w:rsidRPr="00957933">
        <w:t>b)</w:t>
      </w:r>
      <w:r w:rsidRPr="00957933">
        <w:tab/>
        <w:t>De l’analyse des objectifs et des domaines d’intervention auxquels renvoient les engagements, on peut tirer les constatations suivantes</w:t>
      </w:r>
      <w:r w:rsidR="005E7668">
        <w:t> </w:t>
      </w:r>
      <w:r w:rsidRPr="00957933">
        <w:t xml:space="preserve">: </w:t>
      </w:r>
    </w:p>
    <w:p w:rsidR="00EC704A" w:rsidRPr="00957933" w:rsidRDefault="00EC704A" w:rsidP="005E7668">
      <w:pPr>
        <w:pStyle w:val="SingleTxtG"/>
        <w:ind w:left="1701"/>
      </w:pPr>
      <w:r w:rsidRPr="00957933">
        <w:t>i)</w:t>
      </w:r>
      <w:r w:rsidRPr="00957933">
        <w:tab/>
        <w:t>Une approche gouvernementale par défaut de l’écologisation de l’économie révèle que les buts vers lesquels il faut tendre doivent être principalement de nature économique, complétées ici et là d’ambitions soigneusement dosées concernant l’environnement et, plus rarement, les avancées sociales. Si cette approche n’est pas en incohérence avec la définition de l’économie verte, les raisons et les conséquences d’un manque relatif d’ambitions d’ordre social pourront être l’objet de débats ultérieurs</w:t>
      </w:r>
      <w:r w:rsidR="005E7668">
        <w:t> </w:t>
      </w:r>
      <w:r w:rsidRPr="00957933">
        <w:t xml:space="preserve">; </w:t>
      </w:r>
    </w:p>
    <w:p w:rsidR="00EC704A" w:rsidRPr="00957933" w:rsidRDefault="00EC704A" w:rsidP="005E7668">
      <w:pPr>
        <w:pStyle w:val="SingleTxtG"/>
        <w:ind w:left="1701"/>
      </w:pPr>
      <w:r w:rsidRPr="00957933">
        <w:t>ii)</w:t>
      </w:r>
      <w:r w:rsidRPr="00957933">
        <w:tab/>
        <w:t>Les thèmes qui concernent la consommation et la production durables sont au centre des actions liées à l’économie verte, tant pour les gouvernements que pour les autres parties prenantes, tandis que les emplois verts et le commerce vert apparaissent peu populaires. Ceci peut s’expliquer en partie, d’une part par la plus grande expérience qu’ont les gouvernements de la réglementation de la consommation et de la production, et, d’autre part, par l’aspiration à une neutralité budgétaire, ou mieux, à une balance excédentaire. Les actions à mener dans des secteurs moins populaires peuvent également exiger des instruments novateurs qui, soit ont moins été mis à l’essai, soit nécessitent d’importants investissements initiaux</w:t>
      </w:r>
      <w:r w:rsidR="005E7668">
        <w:t> </w:t>
      </w:r>
      <w:r w:rsidRPr="00957933">
        <w:t xml:space="preserve">; </w:t>
      </w:r>
    </w:p>
    <w:p w:rsidR="00EC704A" w:rsidRPr="00957933" w:rsidRDefault="00EC704A" w:rsidP="005E7668">
      <w:pPr>
        <w:pStyle w:val="SingleTxtG"/>
        <w:keepNext/>
        <w:ind w:firstLine="567"/>
      </w:pPr>
      <w:r w:rsidRPr="00957933">
        <w:t>c)</w:t>
      </w:r>
      <w:r w:rsidRPr="00957933">
        <w:tab/>
        <w:t>L’analyse des types d’actions menées au titre des engagements pris</w:t>
      </w:r>
      <w:r w:rsidR="005E7668">
        <w:t> </w:t>
      </w:r>
      <w:r w:rsidRPr="00957933">
        <w:t xml:space="preserve">: </w:t>
      </w:r>
    </w:p>
    <w:p w:rsidR="00EC704A" w:rsidRPr="00957933" w:rsidRDefault="00EC704A" w:rsidP="005E7668">
      <w:pPr>
        <w:pStyle w:val="SingleTxtG"/>
        <w:ind w:left="1701"/>
      </w:pPr>
      <w:r w:rsidRPr="00957933">
        <w:t>i)</w:t>
      </w:r>
      <w:r w:rsidRPr="00957933">
        <w:tab/>
        <w:t>Confirme la préférence traditionnelle des gouvernements pour les approches contraignantes, prenant appui sur des instruments juridiques, réglementaires et politiques, par opposition aux instruments économiques et budgétaires, dans un rapport de 2 à 1</w:t>
      </w:r>
      <w:r w:rsidR="00730441">
        <w:t> </w:t>
      </w:r>
      <w:r w:rsidRPr="00957933">
        <w:t xml:space="preserve">; </w:t>
      </w:r>
    </w:p>
    <w:p w:rsidR="00EC704A" w:rsidRPr="00957933" w:rsidRDefault="00EC704A" w:rsidP="005E7668">
      <w:pPr>
        <w:pStyle w:val="SingleTxtG"/>
        <w:ind w:left="1701"/>
      </w:pPr>
      <w:r w:rsidRPr="00957933">
        <w:t>ii)</w:t>
      </w:r>
      <w:r w:rsidRPr="00957933">
        <w:tab/>
        <w:t xml:space="preserve">Révèle également que cette préférence s’accentue avec la prise de conscience du besoin d’une plus large participation du public et d’autres parties prenantes par le biais de l’information, de l’éducation, du renforcement des capacités et du recours à </w:t>
      </w:r>
      <w:r w:rsidRPr="00957933">
        <w:lastRenderedPageBreak/>
        <w:t>des instruments non contraignants, avec une large participation de parties prenantes autres que gouvernementales</w:t>
      </w:r>
      <w:r w:rsidR="00730441">
        <w:t> </w:t>
      </w:r>
      <w:r w:rsidRPr="00957933">
        <w:t xml:space="preserve">; </w:t>
      </w:r>
    </w:p>
    <w:p w:rsidR="00EC704A" w:rsidRPr="00957933" w:rsidRDefault="00EC704A" w:rsidP="00D17F28">
      <w:pPr>
        <w:pStyle w:val="SingleTxtG"/>
        <w:keepNext/>
        <w:ind w:firstLine="567"/>
      </w:pPr>
      <w:r w:rsidRPr="00957933">
        <w:t>d)</w:t>
      </w:r>
      <w:r w:rsidRPr="00957933">
        <w:tab/>
        <w:t>L’analyse des secteurs économiques bénéficiaires révèle les points ci-après</w:t>
      </w:r>
      <w:r w:rsidR="00730441">
        <w:t> </w:t>
      </w:r>
      <w:r w:rsidRPr="00957933">
        <w:t xml:space="preserve">: </w:t>
      </w:r>
    </w:p>
    <w:p w:rsidR="00EC704A" w:rsidRPr="00957933" w:rsidRDefault="00EC704A" w:rsidP="005E7668">
      <w:pPr>
        <w:pStyle w:val="SingleTxtG"/>
        <w:ind w:left="1701"/>
      </w:pPr>
      <w:r w:rsidRPr="00957933">
        <w:t>i)</w:t>
      </w:r>
      <w:r w:rsidRPr="00957933">
        <w:tab/>
        <w:t>Les mesures appliquées par les gouvernements visent habituellement l’économie dans son ensemble ou, à l’inverse, un ou deux secteurs au maximum. Par</w:t>
      </w:r>
      <w:r w:rsidR="00730441">
        <w:t> </w:t>
      </w:r>
      <w:r w:rsidRPr="00957933">
        <w:t>contraste, les actions des parties prenantes non gouvernementales sont beaucoup plus ambitieuses, puisqu’elles visent en moyenne six secteurs. Les raisons possibles à cet état de fait peuvent être à chercher dans les différences de définition, la nature du travail des entités concernées et les critères à remplir pour obtenir les fonds nécessaires</w:t>
      </w:r>
      <w:r w:rsidR="00730441">
        <w:t> </w:t>
      </w:r>
      <w:r w:rsidRPr="00957933">
        <w:t xml:space="preserve">; </w:t>
      </w:r>
    </w:p>
    <w:p w:rsidR="00EC704A" w:rsidRPr="00957933" w:rsidRDefault="00EC704A" w:rsidP="005E7668">
      <w:pPr>
        <w:pStyle w:val="SingleTxtG"/>
        <w:ind w:left="1701"/>
      </w:pPr>
      <w:r w:rsidRPr="00957933">
        <w:t>ii)</w:t>
      </w:r>
      <w:r w:rsidRPr="00957933">
        <w:tab/>
        <w:t>Les secteurs de l’énergie, de l’agriculture et des transports sont ceux sur lesquels portent prioritairement les mesures gouvernementales tendant vers l’économie verte, à l’opposé du secteur min</w:t>
      </w:r>
      <w:r w:rsidR="00730441">
        <w:t>ier, qui est le moins populaire ;</w:t>
      </w:r>
      <w:r w:rsidRPr="00957933">
        <w:t xml:space="preserve"> </w:t>
      </w:r>
    </w:p>
    <w:p w:rsidR="00EC704A" w:rsidRPr="00957933" w:rsidRDefault="00EC704A" w:rsidP="00D17F28">
      <w:pPr>
        <w:pStyle w:val="SingleTxtG"/>
        <w:keepNext/>
        <w:ind w:firstLine="567"/>
      </w:pPr>
      <w:r w:rsidRPr="00957933">
        <w:t>e)</w:t>
      </w:r>
      <w:r w:rsidRPr="00957933">
        <w:tab/>
        <w:t>L’analyse des liens unissant les actions qui tendent vers la réalisation des objectifs de développement durable révèle que</w:t>
      </w:r>
      <w:r w:rsidR="00730441">
        <w:t> </w:t>
      </w:r>
      <w:r w:rsidRPr="00957933">
        <w:t>:</w:t>
      </w:r>
    </w:p>
    <w:p w:rsidR="00EC704A" w:rsidRPr="00957933" w:rsidRDefault="00EC704A" w:rsidP="005E7668">
      <w:pPr>
        <w:pStyle w:val="SingleTxtG"/>
        <w:ind w:left="1701"/>
      </w:pPr>
      <w:r w:rsidRPr="00957933">
        <w:t>i)</w:t>
      </w:r>
      <w:r w:rsidRPr="00957933">
        <w:tab/>
        <w:t>Les parties prenantes se réjouissent des liens qui rattachent leurs actions aux objectifs de développement durable</w:t>
      </w:r>
      <w:r w:rsidR="00730441">
        <w:t> </w:t>
      </w:r>
      <w:r w:rsidRPr="00957933">
        <w:t xml:space="preserve">; </w:t>
      </w:r>
    </w:p>
    <w:p w:rsidR="00EC704A" w:rsidRPr="00957933" w:rsidRDefault="00EC704A" w:rsidP="005E7668">
      <w:pPr>
        <w:pStyle w:val="SingleTxtG"/>
        <w:ind w:left="1701"/>
      </w:pPr>
      <w:r w:rsidRPr="00957933">
        <w:t>ii)</w:t>
      </w:r>
      <w:r w:rsidRPr="00957933">
        <w:tab/>
        <w:t>Les gouvernements ont tendance à appréhender l’économie verte comme un concept avant tout économique (tout comme l’analyse des domaines d’intervention dont il est question plus haut)</w:t>
      </w:r>
      <w:r w:rsidR="004502AD">
        <w:t> </w:t>
      </w:r>
      <w:r w:rsidRPr="00957933">
        <w:t>: près de deux tiers des engagements sont liés à l’ODD</w:t>
      </w:r>
      <w:r w:rsidR="00730441">
        <w:t> </w:t>
      </w:r>
      <w:r w:rsidRPr="00957933">
        <w:t>12 (consommation et production responsables), directement suivi des objectifs ayant trait à l’industrie et à l’énergie, ce qui corrobore cette perception</w:t>
      </w:r>
      <w:r w:rsidR="00730441">
        <w:t> </w:t>
      </w:r>
      <w:r w:rsidRPr="00957933">
        <w:t xml:space="preserve">; </w:t>
      </w:r>
    </w:p>
    <w:p w:rsidR="00EC704A" w:rsidRPr="00957933" w:rsidRDefault="00EC704A" w:rsidP="005E7668">
      <w:pPr>
        <w:pStyle w:val="SingleTxtG"/>
        <w:ind w:left="1701"/>
      </w:pPr>
      <w:r w:rsidRPr="00957933">
        <w:t>iii)</w:t>
      </w:r>
      <w:r w:rsidRPr="00957933">
        <w:tab/>
        <w:t>Au sein du groupe des parties prenantes gouvernementales, on relève de nombreuses actions parmi les pays d’Europe orientale, du Caucase et d’Asie centrale ciblant l’objectif 9 (industrie, innovation et infrastructure), l’objectif 8 (travail décent et croissance économique), et l’objectif 16 (paix, justice et institutions efficaces), qui peuvent être le reflet des priorités en matière de développement, telles que le renforcement de la base industrielle et des structures de gouvernance. Ce</w:t>
      </w:r>
      <w:r w:rsidR="00F92369">
        <w:t> </w:t>
      </w:r>
      <w:r w:rsidRPr="00957933">
        <w:t>groupe accorde également plus d’intérêt que d’autres à l’objectif 4 (éducation de qualité)</w:t>
      </w:r>
      <w:r w:rsidR="00730441">
        <w:t> </w:t>
      </w:r>
      <w:r w:rsidRPr="00957933">
        <w:t xml:space="preserve">; </w:t>
      </w:r>
    </w:p>
    <w:p w:rsidR="00EC704A" w:rsidRPr="00957933" w:rsidRDefault="00EC704A" w:rsidP="005E7668">
      <w:pPr>
        <w:pStyle w:val="SingleTxtG"/>
        <w:ind w:left="1701"/>
      </w:pPr>
      <w:r w:rsidRPr="00957933">
        <w:t>iv)</w:t>
      </w:r>
      <w:r w:rsidRPr="00957933">
        <w:tab/>
        <w:t>Les organisations sont remarquablement actives sur le terrain de l’objectif 17 (partenariats pour la réalisation des objectifs), ce qui semble naturel. L’intérêt des gouvernements pour cet objectif est cependant moins prononcé</w:t>
      </w:r>
      <w:r w:rsidR="00730441">
        <w:t> </w:t>
      </w:r>
      <w:r w:rsidRPr="00957933">
        <w:t xml:space="preserve">; </w:t>
      </w:r>
    </w:p>
    <w:p w:rsidR="00EC704A" w:rsidRPr="00957933" w:rsidRDefault="00EC704A" w:rsidP="005E7668">
      <w:pPr>
        <w:pStyle w:val="SingleTxtG"/>
        <w:ind w:left="1701"/>
      </w:pPr>
      <w:r w:rsidRPr="00957933">
        <w:t>v)</w:t>
      </w:r>
      <w:r w:rsidRPr="00957933">
        <w:tab/>
        <w:t xml:space="preserve">Les objectifs liés à l’égalité entre les sexes, à la réduction des inégalités en général et à la lutte contre la pauvreté sont rarement pris en compte dans les actions qui tendent vers l’écologisation de l’économie, tandis que les objectifs liés à l’environnement et au bien-être des populations se situent quelque part à mi-chemin. </w:t>
      </w:r>
    </w:p>
    <w:p w:rsidR="00EC704A" w:rsidRPr="00957933" w:rsidRDefault="00EC704A" w:rsidP="00730441">
      <w:pPr>
        <w:pStyle w:val="SingleTxtG"/>
        <w:keepNext/>
      </w:pPr>
      <w:r w:rsidRPr="00957933">
        <w:t>39.</w:t>
      </w:r>
      <w:r w:rsidRPr="00957933">
        <w:tab/>
        <w:t>Les défis auxquels se heurtent les pays et les organisations sont décrits dans les commentaires et les éclaircissements consignés dans le questionnaire. Parmi ceux qui font obstacle à l’écologisation de l’économie, on citera ceux-ci</w:t>
      </w:r>
      <w:r w:rsidR="00730441">
        <w:t> </w:t>
      </w:r>
      <w:r w:rsidRPr="00957933">
        <w:t xml:space="preserve">: </w:t>
      </w:r>
    </w:p>
    <w:p w:rsidR="00EC704A" w:rsidRPr="00957933" w:rsidRDefault="00EC704A" w:rsidP="00D17F28">
      <w:pPr>
        <w:pStyle w:val="SingleTxtG"/>
        <w:ind w:firstLine="567"/>
      </w:pPr>
      <w:r w:rsidRPr="00957933">
        <w:t>a)</w:t>
      </w:r>
      <w:r w:rsidRPr="00957933">
        <w:tab/>
      </w:r>
      <w:r w:rsidRPr="00F92369">
        <w:rPr>
          <w:b/>
        </w:rPr>
        <w:t>Politique générale et législation</w:t>
      </w:r>
      <w:r w:rsidR="00D17F28">
        <w:t> </w:t>
      </w:r>
      <w:r w:rsidRPr="00957933">
        <w:t>: problèmes liés aux définitions juridiques</w:t>
      </w:r>
      <w:r w:rsidR="00D17F28">
        <w:t> </w:t>
      </w:r>
      <w:r w:rsidRPr="00957933">
        <w:t>; absence de l’économie verte dans les stratégies sectorielles</w:t>
      </w:r>
      <w:r w:rsidR="00D17F28">
        <w:t> </w:t>
      </w:r>
      <w:r w:rsidRPr="00957933">
        <w:t xml:space="preserve">; </w:t>
      </w:r>
    </w:p>
    <w:p w:rsidR="00EC704A" w:rsidRPr="00957933" w:rsidRDefault="00EC704A" w:rsidP="00D17F28">
      <w:pPr>
        <w:pStyle w:val="SingleTxtG"/>
        <w:ind w:firstLine="567"/>
      </w:pPr>
      <w:r w:rsidRPr="00957933">
        <w:t>b)</w:t>
      </w:r>
      <w:r w:rsidRPr="00957933">
        <w:tab/>
      </w:r>
      <w:r w:rsidRPr="00F92369">
        <w:rPr>
          <w:b/>
        </w:rPr>
        <w:t>Pouvoirs Publics</w:t>
      </w:r>
      <w:r w:rsidR="00D17F28">
        <w:t> </w:t>
      </w:r>
      <w:r w:rsidRPr="00957933">
        <w:t>: capacités humaines et financières limitées des autorités responsables de l’environnement</w:t>
      </w:r>
      <w:r w:rsidR="00D17F28">
        <w:t> </w:t>
      </w:r>
      <w:r w:rsidRPr="00957933">
        <w:t>; sensibilisation et compétences limitées des ministres étrangers aux questions environnementales</w:t>
      </w:r>
      <w:r w:rsidR="00D17F28">
        <w:t> </w:t>
      </w:r>
      <w:r w:rsidRPr="00957933">
        <w:t>; changements institutionnels fréquents et rotations fréquentes des personnels</w:t>
      </w:r>
      <w:r w:rsidR="00D17F28">
        <w:t> </w:t>
      </w:r>
      <w:r w:rsidRPr="00957933">
        <w:t>; difficultés de dialogue et de coordination interministériels</w:t>
      </w:r>
      <w:r w:rsidR="00D17F28">
        <w:t> </w:t>
      </w:r>
      <w:r w:rsidRPr="00957933">
        <w:t>; difficulté de mise au point de mesures transversales</w:t>
      </w:r>
      <w:r w:rsidR="00D17F28">
        <w:t> </w:t>
      </w:r>
      <w:r w:rsidRPr="00957933">
        <w:t>; différence de traitement d’un même sujet selon les autorités qui s’en saisissent</w:t>
      </w:r>
      <w:r w:rsidR="00D17F28">
        <w:t> </w:t>
      </w:r>
      <w:r w:rsidRPr="00957933">
        <w:t>; très faible niveau de sensibilisation à l’économie verte ou aux objectifs de développement durable à l’échelle locale</w:t>
      </w:r>
      <w:r w:rsidR="00D17F28">
        <w:t> </w:t>
      </w:r>
      <w:r w:rsidRPr="00957933">
        <w:t>; lenteur de désignation de responsables ou de points focaux nuisant à la coopération transfrontière et sous-régionale</w:t>
      </w:r>
      <w:r w:rsidR="00D17F28">
        <w:t> </w:t>
      </w:r>
      <w:r w:rsidRPr="00957933">
        <w:t>; insuffisance du niveau d’habilitation des autorités responsables des questions environnementales</w:t>
      </w:r>
      <w:r w:rsidR="00D17F28">
        <w:t> </w:t>
      </w:r>
      <w:r w:rsidRPr="00957933">
        <w:t>; et instabilité institutionnelle, source de retard dans les décisions et de réexamen des accords</w:t>
      </w:r>
      <w:r w:rsidR="00D17F28">
        <w:t> </w:t>
      </w:r>
      <w:r w:rsidRPr="00957933">
        <w:t xml:space="preserve">; </w:t>
      </w:r>
    </w:p>
    <w:p w:rsidR="00EC704A" w:rsidRPr="00957933" w:rsidRDefault="00EC704A" w:rsidP="00D17F28">
      <w:pPr>
        <w:pStyle w:val="SingleTxtG"/>
        <w:ind w:firstLine="567"/>
      </w:pPr>
      <w:r w:rsidRPr="00957933">
        <w:lastRenderedPageBreak/>
        <w:t>c)</w:t>
      </w:r>
      <w:r w:rsidRPr="00957933">
        <w:tab/>
      </w:r>
      <w:r w:rsidRPr="00683CC1">
        <w:rPr>
          <w:b/>
        </w:rPr>
        <w:t>Secteur privé</w:t>
      </w:r>
      <w:r w:rsidR="00D17F28">
        <w:t> </w:t>
      </w:r>
      <w:r w:rsidRPr="00957933">
        <w:t>: Préoccupations liées à la confidentialité</w:t>
      </w:r>
      <w:r w:rsidR="00D17F28">
        <w:t> </w:t>
      </w:r>
      <w:r w:rsidRPr="00957933">
        <w:t>; difficultés que risque d’entraîner l’application de nouvelles règles pour les installations anciennes</w:t>
      </w:r>
      <w:r w:rsidR="00D17F28">
        <w:t> </w:t>
      </w:r>
      <w:r w:rsidRPr="00957933">
        <w:t>; accès limité au financement pour les actions vertes</w:t>
      </w:r>
      <w:r w:rsidR="00D17F28">
        <w:t> </w:t>
      </w:r>
      <w:r w:rsidRPr="00957933">
        <w:t>; problèmes d’effectifs dans les PME</w:t>
      </w:r>
      <w:r w:rsidR="00D17F28">
        <w:t> </w:t>
      </w:r>
      <w:r w:rsidRPr="00957933">
        <w:t>; disponibilité limitée des technologies modernes</w:t>
      </w:r>
      <w:r w:rsidR="00D17F28">
        <w:t> </w:t>
      </w:r>
      <w:r w:rsidRPr="00957933">
        <w:t>; prise de conscience restreinte de la problématique de l’économie verte</w:t>
      </w:r>
      <w:r w:rsidR="00D17F28">
        <w:t> </w:t>
      </w:r>
      <w:r w:rsidRPr="00957933">
        <w:t>; faible motivation pour le passage à l’économie verte</w:t>
      </w:r>
      <w:r w:rsidR="00D17F28">
        <w:t> </w:t>
      </w:r>
      <w:r w:rsidRPr="00957933">
        <w:t xml:space="preserve">; </w:t>
      </w:r>
    </w:p>
    <w:p w:rsidR="00EC704A" w:rsidRPr="00957933" w:rsidRDefault="00EC704A" w:rsidP="00D17F28">
      <w:pPr>
        <w:pStyle w:val="SingleTxtG"/>
        <w:ind w:firstLine="567"/>
      </w:pPr>
      <w:r w:rsidRPr="00957933">
        <w:t>d)</w:t>
      </w:r>
      <w:r w:rsidRPr="00957933">
        <w:tab/>
      </w:r>
      <w:r w:rsidRPr="00683CC1">
        <w:rPr>
          <w:b/>
        </w:rPr>
        <w:t>Marchés</w:t>
      </w:r>
      <w:r w:rsidR="00D17F28">
        <w:t> </w:t>
      </w:r>
      <w:r w:rsidRPr="00957933">
        <w:t>: difficulté introduction de nouveaux produits recyclés</w:t>
      </w:r>
      <w:r w:rsidR="00D17F28">
        <w:t> </w:t>
      </w:r>
      <w:r w:rsidRPr="00957933">
        <w:t>; nombre restreint de producteurs et de prestataires actifs dans l’économie verte</w:t>
      </w:r>
      <w:r w:rsidR="00D17F28">
        <w:t> </w:t>
      </w:r>
      <w:r w:rsidRPr="00957933">
        <w:t>; concurrence des produits et services écologiques avec les produits et services à faible coût</w:t>
      </w:r>
      <w:r w:rsidR="00D17F28">
        <w:t> </w:t>
      </w:r>
      <w:r w:rsidRPr="00957933">
        <w:t>; distorsion causée par les subventions qui portent préjudice à l’environnement</w:t>
      </w:r>
      <w:r w:rsidR="00D17F28">
        <w:t> </w:t>
      </w:r>
      <w:r w:rsidRPr="00957933">
        <w:t>; maigre niveau de reconnaissance des écolabels</w:t>
      </w:r>
      <w:r w:rsidR="00D17F28">
        <w:t> </w:t>
      </w:r>
      <w:r w:rsidRPr="00957933">
        <w:t>; problème des contrefaçons et de l’écoblanchiment</w:t>
      </w:r>
      <w:r w:rsidR="00D17F28">
        <w:t> </w:t>
      </w:r>
      <w:r w:rsidRPr="00957933">
        <w:t>;</w:t>
      </w:r>
    </w:p>
    <w:p w:rsidR="00EC704A" w:rsidRPr="00957933" w:rsidRDefault="00EC704A" w:rsidP="00D17F28">
      <w:pPr>
        <w:pStyle w:val="SingleTxtG"/>
        <w:ind w:firstLine="567"/>
      </w:pPr>
      <w:r w:rsidRPr="00957933">
        <w:t>e)</w:t>
      </w:r>
      <w:r w:rsidRPr="00957933">
        <w:tab/>
      </w:r>
      <w:r w:rsidRPr="00683CC1">
        <w:rPr>
          <w:b/>
        </w:rPr>
        <w:t>Données et recherches</w:t>
      </w:r>
      <w:r w:rsidR="00D17F28">
        <w:t> </w:t>
      </w:r>
      <w:r w:rsidRPr="00957933">
        <w:t>: manque de données adéquates pour la prise de décision</w:t>
      </w:r>
      <w:r w:rsidR="00805744">
        <w:t>s</w:t>
      </w:r>
      <w:r w:rsidR="00D17F28">
        <w:t> </w:t>
      </w:r>
      <w:r w:rsidRPr="00957933">
        <w:t>; difficultés d’harmonisation entre différents cadres juridiques pour la collecte de données et les méthodologies applicables aux indicateurs</w:t>
      </w:r>
      <w:r w:rsidR="00D17F28">
        <w:t> </w:t>
      </w:r>
      <w:r w:rsidRPr="00957933">
        <w:t>; difficulté d’obtention de données au niveau local</w:t>
      </w:r>
      <w:r w:rsidR="00D17F28">
        <w:t> </w:t>
      </w:r>
      <w:r w:rsidRPr="00957933">
        <w:t>; recherches non conclusives, subjectives, dépassant le champ d’application prévu, ou difficiles à traduire en mesures pratiques</w:t>
      </w:r>
      <w:r w:rsidR="00D17F28">
        <w:t> </w:t>
      </w:r>
      <w:r w:rsidRPr="00957933">
        <w:t xml:space="preserve">; </w:t>
      </w:r>
    </w:p>
    <w:p w:rsidR="00EC704A" w:rsidRPr="00957933" w:rsidRDefault="00EC704A" w:rsidP="00D17F28">
      <w:pPr>
        <w:pStyle w:val="SingleTxtG"/>
        <w:ind w:firstLine="567"/>
      </w:pPr>
      <w:r w:rsidRPr="00957933">
        <w:t>f)</w:t>
      </w:r>
      <w:r w:rsidRPr="00957933">
        <w:tab/>
      </w:r>
      <w:r w:rsidRPr="00683CC1">
        <w:rPr>
          <w:b/>
        </w:rPr>
        <w:t>Marchés publics à orientation écologique</w:t>
      </w:r>
      <w:r w:rsidR="00D17F28">
        <w:t> </w:t>
      </w:r>
      <w:r w:rsidRPr="00957933">
        <w:t>: thème relativement nouveau, surtout dans les pays à économie en transition</w:t>
      </w:r>
      <w:r w:rsidR="00D17F28">
        <w:t> </w:t>
      </w:r>
      <w:r w:rsidRPr="00957933">
        <w:t>; processus perçu comme onéreux et compliqué</w:t>
      </w:r>
      <w:r w:rsidR="00D17F28">
        <w:t> </w:t>
      </w:r>
      <w:r w:rsidRPr="00957933">
        <w:t>; craintes liées aux conditions restreintes de la mise en compétition et aux réclamations dont peuvent faire l’objet les résultats des appels d’offres</w:t>
      </w:r>
      <w:r w:rsidR="00D17F28">
        <w:t> </w:t>
      </w:r>
      <w:r w:rsidRPr="00957933">
        <w:t>; absence de prise en compte dans la phase de planification, aggravée par la difficulté de la faire prendre en compte par la suite</w:t>
      </w:r>
      <w:r w:rsidR="00D17F28">
        <w:t> </w:t>
      </w:r>
      <w:r w:rsidRPr="00957933">
        <w:t>; procédures complexes et faible niveau d’attractivité des petits volumes aux yeux des sociétés</w:t>
      </w:r>
      <w:r w:rsidR="00D17F28">
        <w:t> </w:t>
      </w:r>
      <w:r w:rsidRPr="00957933">
        <w:t>; besoins de formation des personnels à des procédures spéciales</w:t>
      </w:r>
      <w:r w:rsidR="00D17F28">
        <w:t> </w:t>
      </w:r>
      <w:r w:rsidRPr="00957933">
        <w:t xml:space="preserve">; </w:t>
      </w:r>
    </w:p>
    <w:p w:rsidR="00EC704A" w:rsidRPr="00957933" w:rsidRDefault="00EC704A" w:rsidP="00D17F28">
      <w:pPr>
        <w:pStyle w:val="SingleTxtG"/>
        <w:ind w:firstLine="567"/>
      </w:pPr>
      <w:r w:rsidRPr="00957933">
        <w:t>g)</w:t>
      </w:r>
      <w:r w:rsidRPr="00957933">
        <w:tab/>
      </w:r>
      <w:r w:rsidRPr="00683CC1">
        <w:rPr>
          <w:b/>
        </w:rPr>
        <w:t>Public</w:t>
      </w:r>
      <w:r w:rsidR="00D17F28">
        <w:t> </w:t>
      </w:r>
      <w:r w:rsidRPr="00957933">
        <w:t>: difficulté de modification des habitudes des consommateurs</w:t>
      </w:r>
      <w:r w:rsidR="00D17F28">
        <w:t> </w:t>
      </w:r>
      <w:r w:rsidRPr="00957933">
        <w:t>; difficulté de communication des bénéfices</w:t>
      </w:r>
      <w:r w:rsidR="00D17F28">
        <w:t> </w:t>
      </w:r>
      <w:r w:rsidRPr="00957933">
        <w:t>; informations rarement disponibles dans les langues locales</w:t>
      </w:r>
      <w:r w:rsidR="00D17F28">
        <w:t> </w:t>
      </w:r>
      <w:r w:rsidRPr="00957933">
        <w:t>;</w:t>
      </w:r>
    </w:p>
    <w:p w:rsidR="00EC704A" w:rsidRPr="00957933" w:rsidRDefault="00EC704A" w:rsidP="00D17F28">
      <w:pPr>
        <w:pStyle w:val="SingleTxtG"/>
        <w:ind w:firstLine="567"/>
      </w:pPr>
      <w:r w:rsidRPr="00957933">
        <w:t>h)</w:t>
      </w:r>
      <w:r w:rsidRPr="00957933">
        <w:tab/>
      </w:r>
      <w:r w:rsidRPr="00683CC1">
        <w:rPr>
          <w:b/>
        </w:rPr>
        <w:t>Éducation</w:t>
      </w:r>
      <w:r w:rsidR="00D17F28">
        <w:t> </w:t>
      </w:r>
      <w:r w:rsidRPr="00957933">
        <w:t>: manque d’intérêt des donateurs à appuyer les activités en la matière</w:t>
      </w:r>
      <w:r w:rsidR="00D17F28">
        <w:t> </w:t>
      </w:r>
      <w:r w:rsidRPr="00957933">
        <w:t xml:space="preserve">; progrès limités de la refonte des programmes d’éducation et de formation techniques et professionnels. </w:t>
      </w:r>
    </w:p>
    <w:p w:rsidR="00EC704A" w:rsidRPr="00957933" w:rsidRDefault="00D17F28" w:rsidP="00D17F28">
      <w:pPr>
        <w:pStyle w:val="HChG"/>
      </w:pPr>
      <w:r>
        <w:tab/>
        <w:t>III.</w:t>
      </w:r>
      <w:r>
        <w:tab/>
      </w:r>
      <w:r w:rsidR="00EC704A" w:rsidRPr="00957933">
        <w:t>Étapes suivantes et suivi</w:t>
      </w:r>
    </w:p>
    <w:p w:rsidR="00EC704A" w:rsidRPr="00957933" w:rsidRDefault="00EC704A" w:rsidP="00EC704A">
      <w:pPr>
        <w:pStyle w:val="SingleTxtG"/>
      </w:pPr>
      <w:r w:rsidRPr="00957933">
        <w:t>40.</w:t>
      </w:r>
      <w:r w:rsidRPr="00957933">
        <w:tab/>
        <w:t>Le présent document et le débat au sein du Comité montrent que les dispositions contenues dans le Cadre stratégique (par.</w:t>
      </w:r>
      <w:r w:rsidR="00FE2A98">
        <w:t> </w:t>
      </w:r>
      <w:r w:rsidRPr="00957933">
        <w:t>40</w:t>
      </w:r>
      <w:r w:rsidR="005303AA">
        <w:t xml:space="preserve"> et </w:t>
      </w:r>
      <w:r w:rsidRPr="00957933">
        <w:t>41) ont été satisfaites, qui précisent notamment que le premier cycle d’établissement de rapports sur l’état d’avancement devra être effectué durant l’examen à mi-parcours des principaux résultats de la Conférence de</w:t>
      </w:r>
      <w:r w:rsidR="00FE2A98">
        <w:t> </w:t>
      </w:r>
      <w:r w:rsidRPr="00957933">
        <w:t xml:space="preserve">Batumi. </w:t>
      </w:r>
    </w:p>
    <w:p w:rsidR="00EC704A" w:rsidRPr="00957933" w:rsidRDefault="00EC704A" w:rsidP="00EC704A">
      <w:pPr>
        <w:pStyle w:val="SingleTxtG"/>
      </w:pPr>
      <w:r w:rsidRPr="00957933">
        <w:t>41.</w:t>
      </w:r>
      <w:r w:rsidRPr="00957933">
        <w:tab/>
        <w:t xml:space="preserve">L’expérience des pays dans l’utilisation d’instruments particuliers de l’économie verte et dans l’application d’approches découlant de la mise en œuvre pratique des engagements volontaires au titre de l’Initiative de Batumi peut se révéler extrêmement précieuse, surtout pour les États membres en quête des meilleurs moyens de faciliter l’écologisation de leur économie. Les échanges d’informations et de données d’expérience par le biais de contacts bilatéraux et multilatéraux peuvent aider simultanément à rehausser le niveau de motivation des acteurs nationaux essentiels et à éliminer certaines résistances auxquelles peut se heurter l’application pratique des mesures tendant vers l’écologisation de l’économie. </w:t>
      </w:r>
    </w:p>
    <w:p w:rsidR="00EC704A" w:rsidRPr="00957933" w:rsidRDefault="00EC704A" w:rsidP="00EC704A">
      <w:pPr>
        <w:pStyle w:val="SingleTxtG"/>
      </w:pPr>
      <w:r w:rsidRPr="00957933">
        <w:t>42.</w:t>
      </w:r>
      <w:r w:rsidRPr="00957933">
        <w:tab/>
        <w:t>Le Comité est bien placé pour stimuler la transition nécessaire vers l’économie verte dans la région. En eff</w:t>
      </w:r>
      <w:r w:rsidR="00A60711">
        <w:t>et, il apparaît comme une plate</w:t>
      </w:r>
      <w:r w:rsidRPr="00957933">
        <w:t>forme éprouvée pour la prise de décisions politiques à l’échelle régionale, notamment dans le cadre du processus «</w:t>
      </w:r>
      <w:r w:rsidR="00FE2A98">
        <w:t> </w:t>
      </w:r>
      <w:r w:rsidRPr="00957933">
        <w:t>Un</w:t>
      </w:r>
      <w:r w:rsidR="00FE2A98">
        <w:t> </w:t>
      </w:r>
      <w:r w:rsidRPr="00957933">
        <w:t>environnement pour l’Europe</w:t>
      </w:r>
      <w:r w:rsidR="00FE2A98">
        <w:t> </w:t>
      </w:r>
      <w:r w:rsidRPr="00957933">
        <w:t xml:space="preserve">». De plus, il s’est doté, avec le Cadre stratégique paneuropéen pour une économie plus respectueuse de l’environnement, d’une politique de promotion de l’économie verte qui a l’aval de la région, et enfin, pour concrétiser cette politique, il dispose d’un véhicule pratique pour la compilation et l’échange d’informations, à savoir l’Initiative de Batumi pour une économie verte. </w:t>
      </w:r>
    </w:p>
    <w:p w:rsidR="00EC704A" w:rsidRPr="00957933" w:rsidRDefault="00EC704A" w:rsidP="00EC704A">
      <w:pPr>
        <w:pStyle w:val="SingleTxtG"/>
      </w:pPr>
      <w:r w:rsidRPr="00957933">
        <w:lastRenderedPageBreak/>
        <w:t>43.</w:t>
      </w:r>
      <w:r w:rsidRPr="00957933">
        <w:tab/>
        <w:t>Il est donc essentiel, pour aller plus loin, que le Comité débatte des étapes suivantes en vue de s’entendre sur la marche à suivre. Certaines de ces étapes ont déjà été</w:t>
      </w:r>
      <w:r w:rsidR="00FE2A98">
        <w:t xml:space="preserve"> entérinées et mises en œuvre − </w:t>
      </w:r>
      <w:r w:rsidRPr="00957933">
        <w:t>par exemple celles qui consistent à mettre les résultats découlant des rappo</w:t>
      </w:r>
      <w:r w:rsidR="00291AB5">
        <w:t>rts à la disposition des plate</w:t>
      </w:r>
      <w:r w:rsidRPr="00957933">
        <w:t>formes régionales de haut niveau ayant compétence pour les recevoir, en accord avec le Cadre stratégique (par.</w:t>
      </w:r>
      <w:r w:rsidR="00FE2A98">
        <w:t> </w:t>
      </w:r>
      <w:r w:rsidRPr="00957933">
        <w:t>41) et à continuer de soutenir l’Initiative dans le but de concrétiser le Cadre stratégique par l’entremise des sit</w:t>
      </w:r>
      <w:r w:rsidR="00FE2A98">
        <w:t>es Web de la CEE et de la Plate</w:t>
      </w:r>
      <w:r w:rsidRPr="00957933">
        <w:t xml:space="preserve">forme de connaissances pour la croissance verte (que l’on s’efforcera éventuellement de retoucher pour une promotion plus active). De nouvelles mesures pourront en outre être proposées et débattues, telles que l’organisation de réunions des parties prenantes sous une forme se prêtant à un meilleur échange et à une meilleure promotion des données d’expérience. </w:t>
      </w:r>
    </w:p>
    <w:p w:rsidR="00EC704A" w:rsidRPr="00957933" w:rsidRDefault="00EC704A" w:rsidP="00EC704A">
      <w:pPr>
        <w:pStyle w:val="SingleTxtG"/>
      </w:pPr>
      <w:r w:rsidRPr="00957933">
        <w:t>44.</w:t>
      </w:r>
      <w:r w:rsidRPr="00957933">
        <w:tab/>
        <w:t xml:space="preserve">La mise en œuvre du Cadre stratégique et de l’Initiative de Batumi devra continuer à faire l’objet d’examens périodiques de la part du Comité, selon les modalités que le Comité devra définir. </w:t>
      </w:r>
    </w:p>
    <w:p w:rsidR="00EC704A" w:rsidRPr="00957933" w:rsidRDefault="00144EE0" w:rsidP="00144EE0">
      <w:pPr>
        <w:pStyle w:val="HChG"/>
      </w:pPr>
      <w:r>
        <w:tab/>
        <w:t>IV.</w:t>
      </w:r>
      <w:r>
        <w:tab/>
      </w:r>
      <w:r w:rsidR="00EC704A" w:rsidRPr="00957933">
        <w:t xml:space="preserve">Questions soumises à l’examen du Comité des politiques </w:t>
      </w:r>
      <w:r>
        <w:br/>
      </w:r>
      <w:r w:rsidR="00EC704A" w:rsidRPr="00957933">
        <w:t>de l’environnement</w:t>
      </w:r>
    </w:p>
    <w:p w:rsidR="00EC704A" w:rsidRPr="00957933" w:rsidRDefault="00EC704A" w:rsidP="00144EE0">
      <w:pPr>
        <w:pStyle w:val="SingleTxtG"/>
        <w:keepNext/>
      </w:pPr>
      <w:r w:rsidRPr="00957933">
        <w:t>45.</w:t>
      </w:r>
      <w:r w:rsidRPr="00957933">
        <w:tab/>
        <w:t>Le Comité est invité à se prononcer sur les points suivants</w:t>
      </w:r>
      <w:r w:rsidR="00144EE0">
        <w:t> </w:t>
      </w:r>
      <w:r w:rsidRPr="00957933">
        <w:t>:</w:t>
      </w:r>
    </w:p>
    <w:p w:rsidR="00EC704A" w:rsidRPr="00957933" w:rsidRDefault="00EC704A" w:rsidP="00F4281A">
      <w:pPr>
        <w:pStyle w:val="SingleTxtG"/>
        <w:ind w:firstLine="567"/>
      </w:pPr>
      <w:r w:rsidRPr="00957933">
        <w:t>a)</w:t>
      </w:r>
      <w:r w:rsidRPr="00957933">
        <w:tab/>
        <w:t>Quelle est l’efficacité actuelle de la coopération régionale en matière d’écologisation de l’économie</w:t>
      </w:r>
      <w:r w:rsidR="00F4281A">
        <w:t> </w:t>
      </w:r>
      <w:r w:rsidRPr="00957933">
        <w:t>? Les répondants ayant rempli le questionnaire de l’examen à mi-parcours semblent s’accorder sur l’utilité de l’Initiative de Batumi pour une économie verte. Ce consensus reflète-t-il la valeur ajoutée réelle du Cadre stratégique paneuropéen pour une économie plus respectueuse de l’environnement et celle de l’Initiative</w:t>
      </w:r>
      <w:r w:rsidR="00F4281A">
        <w:t> </w:t>
      </w:r>
      <w:r w:rsidRPr="00957933">
        <w:t xml:space="preserve">? </w:t>
      </w:r>
    </w:p>
    <w:p w:rsidR="00EC704A" w:rsidRPr="00957933" w:rsidRDefault="00EC704A" w:rsidP="00F4281A">
      <w:pPr>
        <w:pStyle w:val="SingleTxtG"/>
        <w:ind w:firstLine="567"/>
      </w:pPr>
      <w:r w:rsidRPr="00957933">
        <w:t>b)</w:t>
      </w:r>
      <w:r w:rsidRPr="00957933">
        <w:tab/>
        <w:t>Quels résultats présentent-ils le plus d’intérêt dans cette vue d’ensemble des progrès accomplis dans la concrétisation des engagements</w:t>
      </w:r>
      <w:r w:rsidR="00E568CC">
        <w:t> </w:t>
      </w:r>
      <w:r w:rsidRPr="00957933">
        <w:t>? Confirment-ils les attentes du</w:t>
      </w:r>
      <w:r w:rsidR="00E568CC">
        <w:t> </w:t>
      </w:r>
      <w:r w:rsidRPr="00957933">
        <w:t>Comité</w:t>
      </w:r>
      <w:r w:rsidR="00E568CC">
        <w:t> </w:t>
      </w:r>
      <w:r w:rsidRPr="00957933">
        <w:t>? L’absence relative des aspects sociaux dans les engagements est-elle un motif de préoccupation</w:t>
      </w:r>
      <w:r w:rsidR="00E568CC">
        <w:t> </w:t>
      </w:r>
      <w:r w:rsidRPr="00957933">
        <w:t xml:space="preserve">? </w:t>
      </w:r>
    </w:p>
    <w:p w:rsidR="00EC704A" w:rsidRPr="00957933" w:rsidRDefault="00EC704A" w:rsidP="00F4281A">
      <w:pPr>
        <w:pStyle w:val="SingleTxtG"/>
        <w:ind w:firstLine="567"/>
      </w:pPr>
      <w:r w:rsidRPr="00957933">
        <w:t>c)</w:t>
      </w:r>
      <w:r w:rsidRPr="00957933">
        <w:tab/>
        <w:t>Quels enseignement positifs et négatifs peut-on tirer à ce jour de la mise en œuvre de l’Initiative de Batumi pour une économie verte</w:t>
      </w:r>
      <w:r w:rsidR="00E568CC">
        <w:t> </w:t>
      </w:r>
      <w:r w:rsidRPr="00957933">
        <w:t>? Quels sont les principaux défis à relever dans ce processus</w:t>
      </w:r>
      <w:r w:rsidR="00E568CC">
        <w:t> </w:t>
      </w:r>
      <w:r w:rsidRPr="00957933">
        <w:t>? Quels aspects ces défis présentent-ils aux niveaux régional et national</w:t>
      </w:r>
      <w:r w:rsidR="00E568CC">
        <w:t> </w:t>
      </w:r>
      <w:r w:rsidRPr="00957933">
        <w:t>? Comment y répondre</w:t>
      </w:r>
      <w:r w:rsidR="00E568CC">
        <w:t> </w:t>
      </w:r>
      <w:r w:rsidRPr="00957933">
        <w:t>?</w:t>
      </w:r>
    </w:p>
    <w:p w:rsidR="00EC704A" w:rsidRPr="00957933" w:rsidRDefault="00EC704A" w:rsidP="00F4281A">
      <w:pPr>
        <w:pStyle w:val="SingleTxtG"/>
        <w:ind w:firstLine="567"/>
      </w:pPr>
      <w:r w:rsidRPr="00957933">
        <w:t>d)</w:t>
      </w:r>
      <w:r w:rsidRPr="00957933">
        <w:tab/>
        <w:t>Quelles étapes peut-on proposer pour maximiser l’incidence de l’Initiative de Batumi à différents niveaux</w:t>
      </w:r>
      <w:r w:rsidR="00E568CC">
        <w:t> </w:t>
      </w:r>
      <w:r w:rsidRPr="00957933">
        <w:t>? Comment faire pour intensifier le partage de données d’expérience entre parties prenantes</w:t>
      </w:r>
      <w:r w:rsidR="00E568CC">
        <w:t> </w:t>
      </w:r>
      <w:r w:rsidRPr="00957933">
        <w:t xml:space="preserve">? </w:t>
      </w:r>
    </w:p>
    <w:p w:rsidR="0059663F" w:rsidRDefault="00EC704A" w:rsidP="00F4281A">
      <w:pPr>
        <w:pStyle w:val="SingleTxtG"/>
        <w:ind w:firstLine="567"/>
      </w:pPr>
      <w:r w:rsidRPr="00957933">
        <w:t>e)</w:t>
      </w:r>
      <w:r w:rsidRPr="00957933">
        <w:tab/>
        <w:t>À quelle fréquence conviendrait-il d’établir des rapports sur les progrès et les résultats de l’Initiative de Batumi</w:t>
      </w:r>
      <w:r w:rsidR="00E568CC">
        <w:t> </w:t>
      </w:r>
      <w:r w:rsidRPr="00957933">
        <w:t>? Sous quelle forme faudrait-il en rendre compte à la prochaine conférence «</w:t>
      </w:r>
      <w:r w:rsidR="00E568CC">
        <w:t> </w:t>
      </w:r>
      <w:r w:rsidRPr="00957933">
        <w:t>Un environnement pour l’Europe</w:t>
      </w:r>
      <w:r w:rsidR="00E568CC">
        <w:t> </w:t>
      </w:r>
      <w:r w:rsidRPr="00957933">
        <w:t>»</w:t>
      </w:r>
      <w:r w:rsidR="00E568CC">
        <w:t> </w:t>
      </w:r>
      <w:r w:rsidRPr="00957933">
        <w:t>? Faudrait-il soumettre des rapports intérimaires au Comité, et sous quelle forme</w:t>
      </w:r>
      <w:r w:rsidR="00E568CC">
        <w:t> </w:t>
      </w:r>
      <w:r w:rsidRPr="00957933">
        <w:t>?</w:t>
      </w:r>
    </w:p>
    <w:p w:rsidR="006D64D1" w:rsidRDefault="006D64D1" w:rsidP="00EC704A"/>
    <w:p w:rsidR="006D64D1" w:rsidRDefault="006D64D1" w:rsidP="00EC704A">
      <w:pPr>
        <w:sectPr w:rsidR="006D64D1" w:rsidSect="0059379A">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pPr>
    </w:p>
    <w:p w:rsidR="006D64D1" w:rsidRPr="00957933" w:rsidRDefault="006D64D1" w:rsidP="00EB5439">
      <w:pPr>
        <w:pStyle w:val="HChG"/>
      </w:pPr>
      <w:r w:rsidRPr="00957933">
        <w:lastRenderedPageBreak/>
        <w:tab/>
        <w:t>Annexe</w:t>
      </w:r>
      <w:r w:rsidR="00EB5439" w:rsidRPr="00EB5439">
        <w:rPr>
          <w:rStyle w:val="Appelnotedebasdep"/>
          <w:b w:val="0"/>
          <w:sz w:val="20"/>
          <w:vertAlign w:val="baseline"/>
        </w:rPr>
        <w:footnoteReference w:customMarkFollows="1" w:id="12"/>
        <w:t>*</w:t>
      </w:r>
    </w:p>
    <w:p w:rsidR="006D64D1" w:rsidRPr="00957933" w:rsidRDefault="006D64D1" w:rsidP="00EB5439">
      <w:pPr>
        <w:pStyle w:val="HChG"/>
      </w:pPr>
      <w:r w:rsidRPr="00957933">
        <w:tab/>
      </w:r>
      <w:r w:rsidRPr="00957933">
        <w:tab/>
        <w:t>Fiches d’information et graphiques</w:t>
      </w:r>
    </w:p>
    <w:p w:rsidR="006D64D1" w:rsidRPr="00957933" w:rsidRDefault="00B02FE8" w:rsidP="00C24DEA">
      <w:pPr>
        <w:pStyle w:val="Titre1"/>
        <w:ind w:left="0"/>
      </w:pPr>
      <w:r>
        <w:t>Tableau 1</w:t>
      </w:r>
      <w:r w:rsidR="006D64D1" w:rsidRPr="00957933">
        <w:t xml:space="preserve"> </w:t>
      </w:r>
    </w:p>
    <w:p w:rsidR="006D64D1" w:rsidRPr="00EB5439" w:rsidRDefault="006D64D1" w:rsidP="00C24DEA">
      <w:pPr>
        <w:pStyle w:val="SingleTxtG"/>
        <w:ind w:left="0" w:right="0"/>
        <w:rPr>
          <w:b/>
        </w:rPr>
      </w:pPr>
      <w:r w:rsidRPr="00EB5439">
        <w:rPr>
          <w:b/>
        </w:rPr>
        <w:t>Nombre d’engagements pris/notifiés par les participants à l’Initiative de Batumi pour une économie verte</w:t>
      </w:r>
    </w:p>
    <w:tbl>
      <w:tblPr>
        <w:tblW w:w="9639" w:type="dxa"/>
        <w:tblLayout w:type="fixed"/>
        <w:tblCellMar>
          <w:left w:w="0" w:type="dxa"/>
          <w:right w:w="0" w:type="dxa"/>
        </w:tblCellMar>
        <w:tblLook w:val="04A0" w:firstRow="1" w:lastRow="0" w:firstColumn="1" w:lastColumn="0" w:noHBand="0" w:noVBand="1"/>
      </w:tblPr>
      <w:tblGrid>
        <w:gridCol w:w="1134"/>
        <w:gridCol w:w="567"/>
        <w:gridCol w:w="1134"/>
        <w:gridCol w:w="567"/>
        <w:gridCol w:w="1134"/>
        <w:gridCol w:w="567"/>
        <w:gridCol w:w="1291"/>
        <w:gridCol w:w="425"/>
        <w:gridCol w:w="2253"/>
        <w:gridCol w:w="567"/>
      </w:tblGrid>
      <w:tr w:rsidR="00C24DEA" w:rsidRPr="00D45A7C" w:rsidTr="00C24DEA">
        <w:trPr>
          <w:cantSplit/>
        </w:trPr>
        <w:tc>
          <w:tcPr>
            <w:tcW w:w="1134" w:type="dxa"/>
            <w:tcBorders>
              <w:top w:val="single" w:sz="12" w:space="0" w:color="auto"/>
              <w:left w:val="single" w:sz="12" w:space="0" w:color="auto"/>
              <w:right w:val="single" w:sz="4" w:space="0" w:color="auto"/>
            </w:tcBorders>
            <w:noWrap/>
            <w:vAlign w:val="center"/>
            <w:hideMark/>
          </w:tcPr>
          <w:p w:rsidR="006D64D1" w:rsidRPr="00D45A7C" w:rsidRDefault="006D64D1" w:rsidP="00D45A7C">
            <w:pPr>
              <w:spacing w:before="40" w:after="40" w:line="220" w:lineRule="atLeast"/>
              <w:ind w:left="57" w:right="57"/>
              <w:rPr>
                <w:sz w:val="18"/>
                <w:szCs w:val="18"/>
              </w:rPr>
            </w:pPr>
            <w:r w:rsidRPr="00D45A7C">
              <w:rPr>
                <w:sz w:val="18"/>
                <w:szCs w:val="18"/>
              </w:rPr>
              <w:t>Albanie</w:t>
            </w:r>
          </w:p>
        </w:tc>
        <w:tc>
          <w:tcPr>
            <w:tcW w:w="567" w:type="dxa"/>
            <w:tcBorders>
              <w:top w:val="single" w:sz="12" w:space="0" w:color="auto"/>
              <w:left w:val="single" w:sz="4" w:space="0" w:color="auto"/>
              <w:right w:val="single" w:sz="12" w:space="0" w:color="auto"/>
            </w:tcBorders>
            <w:noWrap/>
            <w:vAlign w:val="center"/>
            <w:hideMark/>
          </w:tcPr>
          <w:p w:rsidR="006D64D1" w:rsidRPr="00D45A7C" w:rsidRDefault="006D64D1" w:rsidP="00C24DEA">
            <w:pPr>
              <w:spacing w:before="40" w:after="40" w:line="220" w:lineRule="atLeast"/>
              <w:ind w:left="57" w:right="57"/>
              <w:jc w:val="right"/>
              <w:rPr>
                <w:sz w:val="18"/>
                <w:szCs w:val="18"/>
              </w:rPr>
            </w:pPr>
            <w:r w:rsidRPr="00D45A7C">
              <w:rPr>
                <w:sz w:val="18"/>
                <w:szCs w:val="18"/>
              </w:rPr>
              <w:t>0</w:t>
            </w:r>
          </w:p>
        </w:tc>
        <w:tc>
          <w:tcPr>
            <w:tcW w:w="1134" w:type="dxa"/>
            <w:tcBorders>
              <w:top w:val="single" w:sz="12" w:space="0" w:color="auto"/>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Estonie</w:t>
            </w:r>
          </w:p>
        </w:tc>
        <w:tc>
          <w:tcPr>
            <w:tcW w:w="567" w:type="dxa"/>
            <w:tcBorders>
              <w:top w:val="single" w:sz="12" w:space="0" w:color="auto"/>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2/2</w:t>
            </w:r>
          </w:p>
        </w:tc>
        <w:tc>
          <w:tcPr>
            <w:tcW w:w="1134" w:type="dxa"/>
            <w:tcBorders>
              <w:top w:val="single" w:sz="12" w:space="0" w:color="auto"/>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Liechtenstein</w:t>
            </w:r>
          </w:p>
        </w:tc>
        <w:tc>
          <w:tcPr>
            <w:tcW w:w="567" w:type="dxa"/>
            <w:tcBorders>
              <w:top w:val="single" w:sz="12" w:space="0" w:color="auto"/>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0</w:t>
            </w:r>
          </w:p>
        </w:tc>
        <w:tc>
          <w:tcPr>
            <w:tcW w:w="1291" w:type="dxa"/>
            <w:tcBorders>
              <w:top w:val="single" w:sz="12" w:space="0" w:color="auto"/>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Serbie</w:t>
            </w:r>
          </w:p>
        </w:tc>
        <w:tc>
          <w:tcPr>
            <w:tcW w:w="425" w:type="dxa"/>
            <w:tcBorders>
              <w:top w:val="single" w:sz="12" w:space="0" w:color="auto"/>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0</w:t>
            </w:r>
          </w:p>
        </w:tc>
        <w:tc>
          <w:tcPr>
            <w:tcW w:w="2253" w:type="dxa"/>
            <w:tcBorders>
              <w:top w:val="single" w:sz="12" w:space="0" w:color="auto"/>
              <w:left w:val="single" w:sz="12" w:space="0" w:color="auto"/>
              <w:right w:val="single" w:sz="4" w:space="0" w:color="auto"/>
            </w:tcBorders>
            <w:shd w:val="pct15" w:color="auto" w:fill="auto"/>
            <w:vAlign w:val="center"/>
          </w:tcPr>
          <w:p w:rsidR="006D64D1" w:rsidRPr="00D45A7C" w:rsidRDefault="006D64D1" w:rsidP="00D45A7C">
            <w:pPr>
              <w:spacing w:before="40" w:after="40" w:line="220" w:lineRule="atLeast"/>
              <w:ind w:left="57" w:right="57"/>
              <w:rPr>
                <w:sz w:val="18"/>
                <w:szCs w:val="18"/>
              </w:rPr>
            </w:pPr>
          </w:p>
        </w:tc>
        <w:tc>
          <w:tcPr>
            <w:tcW w:w="567" w:type="dxa"/>
            <w:tcBorders>
              <w:top w:val="single" w:sz="12" w:space="0" w:color="auto"/>
              <w:left w:val="single" w:sz="4" w:space="0" w:color="auto"/>
              <w:right w:val="single" w:sz="12" w:space="0" w:color="auto"/>
            </w:tcBorders>
            <w:shd w:val="pct15" w:color="auto" w:fill="auto"/>
            <w:vAlign w:val="center"/>
          </w:tcPr>
          <w:p w:rsidR="006D64D1" w:rsidRPr="00D45A7C" w:rsidRDefault="006D64D1" w:rsidP="00C24DEA">
            <w:pPr>
              <w:spacing w:before="40" w:after="40" w:line="220" w:lineRule="atLeast"/>
              <w:ind w:left="57" w:right="57"/>
              <w:jc w:val="right"/>
              <w:rPr>
                <w:sz w:val="18"/>
                <w:szCs w:val="18"/>
              </w:rPr>
            </w:pPr>
          </w:p>
        </w:tc>
      </w:tr>
      <w:tr w:rsidR="00C24DEA" w:rsidRPr="00D45A7C" w:rsidTr="00C24DEA">
        <w:trPr>
          <w:cantSplit/>
        </w:trPr>
        <w:tc>
          <w:tcPr>
            <w:tcW w:w="1134" w:type="dxa"/>
            <w:tcBorders>
              <w:left w:val="single" w:sz="12" w:space="0" w:color="auto"/>
              <w:right w:val="single" w:sz="4" w:space="0" w:color="auto"/>
            </w:tcBorders>
            <w:noWrap/>
            <w:vAlign w:val="center"/>
            <w:hideMark/>
          </w:tcPr>
          <w:p w:rsidR="006D64D1" w:rsidRPr="00D45A7C" w:rsidRDefault="006D64D1" w:rsidP="00D45A7C">
            <w:pPr>
              <w:spacing w:before="40" w:after="40" w:line="220" w:lineRule="atLeast"/>
              <w:ind w:left="57" w:right="57"/>
              <w:rPr>
                <w:sz w:val="18"/>
                <w:szCs w:val="18"/>
              </w:rPr>
            </w:pPr>
            <w:r w:rsidRPr="00D45A7C">
              <w:rPr>
                <w:sz w:val="18"/>
                <w:szCs w:val="18"/>
              </w:rPr>
              <w:t>Andorre</w:t>
            </w:r>
          </w:p>
        </w:tc>
        <w:tc>
          <w:tcPr>
            <w:tcW w:w="567" w:type="dxa"/>
            <w:tcBorders>
              <w:left w:val="single" w:sz="4" w:space="0" w:color="auto"/>
              <w:right w:val="single" w:sz="12" w:space="0" w:color="auto"/>
            </w:tcBorders>
            <w:noWrap/>
            <w:vAlign w:val="center"/>
            <w:hideMark/>
          </w:tcPr>
          <w:p w:rsidR="006D64D1" w:rsidRPr="00D45A7C" w:rsidRDefault="006D64D1" w:rsidP="00C24DEA">
            <w:pPr>
              <w:spacing w:before="40" w:after="40" w:line="220" w:lineRule="atLeast"/>
              <w:ind w:left="57" w:right="57"/>
              <w:jc w:val="right"/>
              <w:rPr>
                <w:sz w:val="18"/>
                <w:szCs w:val="18"/>
              </w:rPr>
            </w:pPr>
            <w:r w:rsidRPr="00D45A7C">
              <w:rPr>
                <w:sz w:val="18"/>
                <w:szCs w:val="18"/>
              </w:rPr>
              <w:t>0</w:t>
            </w:r>
          </w:p>
        </w:tc>
        <w:tc>
          <w:tcPr>
            <w:tcW w:w="1134"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Finlande</w:t>
            </w:r>
          </w:p>
        </w:tc>
        <w:tc>
          <w:tcPr>
            <w:tcW w:w="567"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2/2</w:t>
            </w:r>
          </w:p>
        </w:tc>
        <w:tc>
          <w:tcPr>
            <w:tcW w:w="1134"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Lituanie</w:t>
            </w:r>
          </w:p>
        </w:tc>
        <w:tc>
          <w:tcPr>
            <w:tcW w:w="567"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5/5</w:t>
            </w:r>
          </w:p>
        </w:tc>
        <w:tc>
          <w:tcPr>
            <w:tcW w:w="1291"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Slovaquie</w:t>
            </w:r>
          </w:p>
        </w:tc>
        <w:tc>
          <w:tcPr>
            <w:tcW w:w="425" w:type="dxa"/>
            <w:tcBorders>
              <w:left w:val="single" w:sz="4" w:space="0" w:color="auto"/>
              <w:right w:val="single" w:sz="12" w:space="0" w:color="auto"/>
            </w:tcBorders>
            <w:vAlign w:val="center"/>
          </w:tcPr>
          <w:p w:rsidR="006D64D1" w:rsidRPr="00D45A7C" w:rsidRDefault="003F5F8E" w:rsidP="00C24DEA">
            <w:pPr>
              <w:spacing w:before="40" w:after="40" w:line="220" w:lineRule="atLeast"/>
              <w:ind w:left="57" w:right="57"/>
              <w:jc w:val="right"/>
              <w:rPr>
                <w:sz w:val="18"/>
                <w:szCs w:val="18"/>
              </w:rPr>
            </w:pPr>
            <w:r>
              <w:rPr>
                <w:sz w:val="18"/>
                <w:szCs w:val="18"/>
              </w:rPr>
              <w:t>1/</w:t>
            </w:r>
            <w:r w:rsidR="006D64D1" w:rsidRPr="00D45A7C">
              <w:rPr>
                <w:sz w:val="18"/>
                <w:szCs w:val="18"/>
              </w:rPr>
              <w:t>1</w:t>
            </w:r>
          </w:p>
        </w:tc>
        <w:tc>
          <w:tcPr>
            <w:tcW w:w="2253"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CAREC</w:t>
            </w:r>
          </w:p>
        </w:tc>
        <w:tc>
          <w:tcPr>
            <w:tcW w:w="567" w:type="dxa"/>
            <w:tcBorders>
              <w:left w:val="single" w:sz="4" w:space="0" w:color="auto"/>
              <w:right w:val="single" w:sz="12" w:space="0" w:color="auto"/>
            </w:tcBorders>
            <w:vAlign w:val="center"/>
          </w:tcPr>
          <w:p w:rsidR="006D64D1" w:rsidRPr="00D45A7C" w:rsidRDefault="003F5F8E" w:rsidP="00C24DEA">
            <w:pPr>
              <w:spacing w:before="40" w:after="40" w:line="220" w:lineRule="atLeast"/>
              <w:ind w:left="57" w:right="57"/>
              <w:jc w:val="right"/>
              <w:rPr>
                <w:sz w:val="18"/>
                <w:szCs w:val="18"/>
              </w:rPr>
            </w:pPr>
            <w:r>
              <w:rPr>
                <w:sz w:val="18"/>
                <w:szCs w:val="18"/>
              </w:rPr>
              <w:t>8/</w:t>
            </w:r>
            <w:r w:rsidR="006D64D1" w:rsidRPr="00D45A7C">
              <w:rPr>
                <w:sz w:val="18"/>
                <w:szCs w:val="18"/>
              </w:rPr>
              <w:t>7</w:t>
            </w:r>
          </w:p>
        </w:tc>
      </w:tr>
      <w:tr w:rsidR="00C24DEA" w:rsidRPr="00D45A7C" w:rsidTr="00C24DEA">
        <w:trPr>
          <w:cantSplit/>
        </w:trPr>
        <w:tc>
          <w:tcPr>
            <w:tcW w:w="1134" w:type="dxa"/>
            <w:tcBorders>
              <w:left w:val="single" w:sz="12" w:space="0" w:color="auto"/>
              <w:right w:val="single" w:sz="4" w:space="0" w:color="auto"/>
            </w:tcBorders>
            <w:noWrap/>
            <w:vAlign w:val="center"/>
            <w:hideMark/>
          </w:tcPr>
          <w:p w:rsidR="006D64D1" w:rsidRPr="00D45A7C" w:rsidRDefault="006D64D1" w:rsidP="00D45A7C">
            <w:pPr>
              <w:spacing w:before="40" w:after="40" w:line="220" w:lineRule="atLeast"/>
              <w:ind w:left="57" w:right="57"/>
              <w:rPr>
                <w:sz w:val="18"/>
                <w:szCs w:val="18"/>
              </w:rPr>
            </w:pPr>
            <w:r w:rsidRPr="00D45A7C">
              <w:rPr>
                <w:sz w:val="18"/>
                <w:szCs w:val="18"/>
              </w:rPr>
              <w:t>Arménie</w:t>
            </w:r>
          </w:p>
        </w:tc>
        <w:tc>
          <w:tcPr>
            <w:tcW w:w="567" w:type="dxa"/>
            <w:tcBorders>
              <w:left w:val="single" w:sz="4" w:space="0" w:color="auto"/>
              <w:right w:val="single" w:sz="12" w:space="0" w:color="auto"/>
            </w:tcBorders>
            <w:noWrap/>
            <w:vAlign w:val="center"/>
            <w:hideMark/>
          </w:tcPr>
          <w:p w:rsidR="006D64D1" w:rsidRPr="00D45A7C" w:rsidRDefault="006D64D1" w:rsidP="00C24DEA">
            <w:pPr>
              <w:spacing w:before="40" w:after="40" w:line="220" w:lineRule="atLeast"/>
              <w:ind w:left="57" w:right="57"/>
              <w:jc w:val="right"/>
              <w:rPr>
                <w:sz w:val="18"/>
                <w:szCs w:val="18"/>
              </w:rPr>
            </w:pPr>
            <w:r w:rsidRPr="00D45A7C">
              <w:rPr>
                <w:sz w:val="18"/>
                <w:szCs w:val="18"/>
              </w:rPr>
              <w:t>0</w:t>
            </w:r>
          </w:p>
        </w:tc>
        <w:tc>
          <w:tcPr>
            <w:tcW w:w="1134"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France</w:t>
            </w:r>
          </w:p>
        </w:tc>
        <w:tc>
          <w:tcPr>
            <w:tcW w:w="567"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2/2</w:t>
            </w:r>
          </w:p>
        </w:tc>
        <w:tc>
          <w:tcPr>
            <w:tcW w:w="1134"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Luxembourg</w:t>
            </w:r>
          </w:p>
        </w:tc>
        <w:tc>
          <w:tcPr>
            <w:tcW w:w="567" w:type="dxa"/>
            <w:tcBorders>
              <w:left w:val="single" w:sz="4" w:space="0" w:color="auto"/>
              <w:right w:val="single" w:sz="12" w:space="0" w:color="auto"/>
            </w:tcBorders>
            <w:vAlign w:val="center"/>
          </w:tcPr>
          <w:p w:rsidR="006D64D1" w:rsidRPr="00D45A7C" w:rsidRDefault="003F5F8E" w:rsidP="00C24DEA">
            <w:pPr>
              <w:spacing w:before="40" w:after="40" w:line="220" w:lineRule="atLeast"/>
              <w:ind w:left="57" w:right="57"/>
              <w:jc w:val="right"/>
              <w:rPr>
                <w:sz w:val="18"/>
                <w:szCs w:val="18"/>
              </w:rPr>
            </w:pPr>
            <w:r>
              <w:rPr>
                <w:sz w:val="18"/>
                <w:szCs w:val="18"/>
              </w:rPr>
              <w:t>1/</w:t>
            </w:r>
            <w:r w:rsidR="006D64D1" w:rsidRPr="00D45A7C">
              <w:rPr>
                <w:sz w:val="18"/>
                <w:szCs w:val="18"/>
              </w:rPr>
              <w:t>1</w:t>
            </w:r>
          </w:p>
        </w:tc>
        <w:tc>
          <w:tcPr>
            <w:tcW w:w="1291"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Slovénie</w:t>
            </w:r>
          </w:p>
        </w:tc>
        <w:tc>
          <w:tcPr>
            <w:tcW w:w="425" w:type="dxa"/>
            <w:tcBorders>
              <w:left w:val="single" w:sz="4" w:space="0" w:color="auto"/>
              <w:right w:val="single" w:sz="12" w:space="0" w:color="auto"/>
            </w:tcBorders>
            <w:vAlign w:val="center"/>
          </w:tcPr>
          <w:p w:rsidR="006D64D1" w:rsidRPr="00D45A7C" w:rsidRDefault="003F5F8E" w:rsidP="00C24DEA">
            <w:pPr>
              <w:spacing w:before="40" w:after="40" w:line="220" w:lineRule="atLeast"/>
              <w:ind w:left="57" w:right="57"/>
              <w:jc w:val="right"/>
              <w:rPr>
                <w:sz w:val="18"/>
                <w:szCs w:val="18"/>
              </w:rPr>
            </w:pPr>
            <w:r>
              <w:rPr>
                <w:sz w:val="18"/>
                <w:szCs w:val="18"/>
              </w:rPr>
              <w:t>1/</w:t>
            </w:r>
            <w:r w:rsidR="006D64D1" w:rsidRPr="00D45A7C">
              <w:rPr>
                <w:sz w:val="18"/>
                <w:szCs w:val="18"/>
              </w:rPr>
              <w:t>1</w:t>
            </w:r>
          </w:p>
        </w:tc>
        <w:tc>
          <w:tcPr>
            <w:tcW w:w="2253" w:type="dxa"/>
            <w:tcBorders>
              <w:left w:val="single" w:sz="12" w:space="0" w:color="auto"/>
              <w:right w:val="single" w:sz="4" w:space="0" w:color="auto"/>
            </w:tcBorders>
            <w:vAlign w:val="center"/>
          </w:tcPr>
          <w:p w:rsidR="006D64D1" w:rsidRPr="00D45A7C" w:rsidRDefault="00A64959" w:rsidP="00D45A7C">
            <w:pPr>
              <w:spacing w:before="40" w:after="40" w:line="220" w:lineRule="atLeast"/>
              <w:ind w:left="57" w:right="57"/>
              <w:rPr>
                <w:sz w:val="18"/>
                <w:szCs w:val="18"/>
              </w:rPr>
            </w:pPr>
            <w:r>
              <w:rPr>
                <w:sz w:val="18"/>
                <w:szCs w:val="18"/>
              </w:rPr>
              <w:t>Cittadellarte-Pistoletto Found</w:t>
            </w:r>
          </w:p>
        </w:tc>
        <w:tc>
          <w:tcPr>
            <w:tcW w:w="567"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2/0</w:t>
            </w:r>
          </w:p>
        </w:tc>
      </w:tr>
      <w:tr w:rsidR="00C24DEA" w:rsidRPr="00D45A7C" w:rsidTr="00C24DEA">
        <w:trPr>
          <w:cantSplit/>
        </w:trPr>
        <w:tc>
          <w:tcPr>
            <w:tcW w:w="1134" w:type="dxa"/>
            <w:tcBorders>
              <w:left w:val="single" w:sz="12" w:space="0" w:color="auto"/>
              <w:right w:val="single" w:sz="4" w:space="0" w:color="auto"/>
            </w:tcBorders>
            <w:noWrap/>
            <w:vAlign w:val="center"/>
            <w:hideMark/>
          </w:tcPr>
          <w:p w:rsidR="006D64D1" w:rsidRPr="00D45A7C" w:rsidRDefault="006D64D1" w:rsidP="00D45A7C">
            <w:pPr>
              <w:spacing w:before="40" w:after="40" w:line="220" w:lineRule="atLeast"/>
              <w:ind w:left="57" w:right="57"/>
              <w:rPr>
                <w:sz w:val="18"/>
                <w:szCs w:val="18"/>
              </w:rPr>
            </w:pPr>
            <w:r w:rsidRPr="00D45A7C">
              <w:rPr>
                <w:sz w:val="18"/>
                <w:szCs w:val="18"/>
              </w:rPr>
              <w:t>Autriche</w:t>
            </w:r>
          </w:p>
        </w:tc>
        <w:tc>
          <w:tcPr>
            <w:tcW w:w="567" w:type="dxa"/>
            <w:tcBorders>
              <w:left w:val="single" w:sz="4" w:space="0" w:color="auto"/>
              <w:right w:val="single" w:sz="12" w:space="0" w:color="auto"/>
            </w:tcBorders>
            <w:noWrap/>
            <w:vAlign w:val="center"/>
            <w:hideMark/>
          </w:tcPr>
          <w:p w:rsidR="006D64D1" w:rsidRPr="00D45A7C" w:rsidRDefault="003F5F8E" w:rsidP="00C24DEA">
            <w:pPr>
              <w:spacing w:before="40" w:after="40" w:line="220" w:lineRule="atLeast"/>
              <w:ind w:left="57" w:right="57"/>
              <w:jc w:val="right"/>
              <w:rPr>
                <w:sz w:val="18"/>
                <w:szCs w:val="18"/>
              </w:rPr>
            </w:pPr>
            <w:r>
              <w:rPr>
                <w:sz w:val="18"/>
                <w:szCs w:val="18"/>
              </w:rPr>
              <w:t>1/</w:t>
            </w:r>
            <w:r w:rsidR="006D64D1" w:rsidRPr="00D45A7C">
              <w:rPr>
                <w:sz w:val="18"/>
                <w:szCs w:val="18"/>
              </w:rPr>
              <w:t>0</w:t>
            </w:r>
          </w:p>
        </w:tc>
        <w:tc>
          <w:tcPr>
            <w:tcW w:w="1134"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Géorgie</w:t>
            </w:r>
          </w:p>
        </w:tc>
        <w:tc>
          <w:tcPr>
            <w:tcW w:w="567"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4/4</w:t>
            </w:r>
          </w:p>
        </w:tc>
        <w:tc>
          <w:tcPr>
            <w:tcW w:w="1134"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Malte</w:t>
            </w:r>
          </w:p>
        </w:tc>
        <w:tc>
          <w:tcPr>
            <w:tcW w:w="567"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0</w:t>
            </w:r>
          </w:p>
        </w:tc>
        <w:tc>
          <w:tcPr>
            <w:tcW w:w="1291"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Espagne</w:t>
            </w:r>
          </w:p>
        </w:tc>
        <w:tc>
          <w:tcPr>
            <w:tcW w:w="425"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0</w:t>
            </w:r>
          </w:p>
        </w:tc>
        <w:tc>
          <w:tcPr>
            <w:tcW w:w="2253" w:type="dxa"/>
            <w:tcBorders>
              <w:left w:val="single" w:sz="12" w:space="0" w:color="auto"/>
              <w:right w:val="single" w:sz="4" w:space="0" w:color="auto"/>
            </w:tcBorders>
            <w:vAlign w:val="center"/>
          </w:tcPr>
          <w:p w:rsidR="006D64D1" w:rsidRPr="00D45A7C" w:rsidRDefault="004502AD" w:rsidP="00D45A7C">
            <w:pPr>
              <w:spacing w:before="40" w:after="40" w:line="220" w:lineRule="atLeast"/>
              <w:ind w:left="57" w:right="57"/>
              <w:rPr>
                <w:sz w:val="18"/>
                <w:szCs w:val="18"/>
              </w:rPr>
            </w:pPr>
            <w:r>
              <w:rPr>
                <w:sz w:val="18"/>
                <w:szCs w:val="18"/>
              </w:rPr>
              <w:t>ECO-Forum européen</w:t>
            </w:r>
          </w:p>
        </w:tc>
        <w:tc>
          <w:tcPr>
            <w:tcW w:w="567" w:type="dxa"/>
            <w:tcBorders>
              <w:left w:val="single" w:sz="4" w:space="0" w:color="auto"/>
              <w:right w:val="single" w:sz="12" w:space="0" w:color="auto"/>
            </w:tcBorders>
            <w:vAlign w:val="center"/>
          </w:tcPr>
          <w:p w:rsidR="006D64D1" w:rsidRPr="00D45A7C" w:rsidRDefault="003F5F8E" w:rsidP="00C24DEA">
            <w:pPr>
              <w:spacing w:before="40" w:after="40" w:line="220" w:lineRule="atLeast"/>
              <w:ind w:left="57" w:right="57"/>
              <w:jc w:val="right"/>
              <w:rPr>
                <w:sz w:val="18"/>
                <w:szCs w:val="18"/>
              </w:rPr>
            </w:pPr>
            <w:r>
              <w:rPr>
                <w:sz w:val="18"/>
                <w:szCs w:val="18"/>
              </w:rPr>
              <w:t>1/</w:t>
            </w:r>
            <w:r w:rsidR="006D64D1" w:rsidRPr="00D45A7C">
              <w:rPr>
                <w:sz w:val="18"/>
                <w:szCs w:val="18"/>
              </w:rPr>
              <w:t>0</w:t>
            </w:r>
          </w:p>
        </w:tc>
      </w:tr>
      <w:tr w:rsidR="00C24DEA" w:rsidRPr="00D45A7C" w:rsidTr="00C24DEA">
        <w:trPr>
          <w:cantSplit/>
        </w:trPr>
        <w:tc>
          <w:tcPr>
            <w:tcW w:w="1134" w:type="dxa"/>
            <w:tcBorders>
              <w:left w:val="single" w:sz="12" w:space="0" w:color="auto"/>
              <w:right w:val="single" w:sz="4" w:space="0" w:color="auto"/>
            </w:tcBorders>
            <w:noWrap/>
            <w:vAlign w:val="center"/>
            <w:hideMark/>
          </w:tcPr>
          <w:p w:rsidR="006D64D1" w:rsidRPr="00D45A7C" w:rsidRDefault="006D64D1" w:rsidP="00D45A7C">
            <w:pPr>
              <w:spacing w:before="40" w:after="40" w:line="220" w:lineRule="atLeast"/>
              <w:ind w:left="57" w:right="57"/>
              <w:rPr>
                <w:sz w:val="18"/>
                <w:szCs w:val="18"/>
              </w:rPr>
            </w:pPr>
            <w:r w:rsidRPr="00D45A7C">
              <w:rPr>
                <w:sz w:val="18"/>
                <w:szCs w:val="18"/>
              </w:rPr>
              <w:t>Azerbaïdjan</w:t>
            </w:r>
          </w:p>
        </w:tc>
        <w:tc>
          <w:tcPr>
            <w:tcW w:w="567" w:type="dxa"/>
            <w:tcBorders>
              <w:left w:val="single" w:sz="4" w:space="0" w:color="auto"/>
              <w:right w:val="single" w:sz="12" w:space="0" w:color="auto"/>
            </w:tcBorders>
            <w:noWrap/>
            <w:vAlign w:val="center"/>
            <w:hideMark/>
          </w:tcPr>
          <w:p w:rsidR="006D64D1" w:rsidRPr="00D45A7C" w:rsidRDefault="003F5F8E" w:rsidP="00C24DEA">
            <w:pPr>
              <w:spacing w:before="40" w:after="40" w:line="220" w:lineRule="atLeast"/>
              <w:ind w:left="57" w:right="57"/>
              <w:jc w:val="right"/>
              <w:rPr>
                <w:sz w:val="18"/>
                <w:szCs w:val="18"/>
              </w:rPr>
            </w:pPr>
            <w:r>
              <w:rPr>
                <w:sz w:val="18"/>
                <w:szCs w:val="18"/>
              </w:rPr>
              <w:t>1/</w:t>
            </w:r>
            <w:r w:rsidR="006D64D1" w:rsidRPr="00D45A7C">
              <w:rPr>
                <w:sz w:val="18"/>
                <w:szCs w:val="18"/>
              </w:rPr>
              <w:t>1</w:t>
            </w:r>
          </w:p>
        </w:tc>
        <w:tc>
          <w:tcPr>
            <w:tcW w:w="1134"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Allemagne</w:t>
            </w:r>
          </w:p>
        </w:tc>
        <w:tc>
          <w:tcPr>
            <w:tcW w:w="567"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4/4</w:t>
            </w:r>
          </w:p>
        </w:tc>
        <w:tc>
          <w:tcPr>
            <w:tcW w:w="1134"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Monaco</w:t>
            </w:r>
          </w:p>
        </w:tc>
        <w:tc>
          <w:tcPr>
            <w:tcW w:w="567"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0</w:t>
            </w:r>
          </w:p>
        </w:tc>
        <w:tc>
          <w:tcPr>
            <w:tcW w:w="1291"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Suède</w:t>
            </w:r>
          </w:p>
        </w:tc>
        <w:tc>
          <w:tcPr>
            <w:tcW w:w="425"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4/0</w:t>
            </w:r>
          </w:p>
        </w:tc>
        <w:tc>
          <w:tcPr>
            <w:tcW w:w="2253"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GGKP</w:t>
            </w:r>
          </w:p>
        </w:tc>
        <w:tc>
          <w:tcPr>
            <w:tcW w:w="567" w:type="dxa"/>
            <w:tcBorders>
              <w:left w:val="single" w:sz="4" w:space="0" w:color="auto"/>
              <w:right w:val="single" w:sz="12" w:space="0" w:color="auto"/>
            </w:tcBorders>
            <w:vAlign w:val="center"/>
          </w:tcPr>
          <w:p w:rsidR="006D64D1" w:rsidRPr="00D45A7C" w:rsidRDefault="003F5F8E" w:rsidP="00C24DEA">
            <w:pPr>
              <w:spacing w:before="40" w:after="40" w:line="220" w:lineRule="atLeast"/>
              <w:ind w:left="57" w:right="57"/>
              <w:jc w:val="right"/>
              <w:rPr>
                <w:sz w:val="18"/>
                <w:szCs w:val="18"/>
              </w:rPr>
            </w:pPr>
            <w:r>
              <w:rPr>
                <w:sz w:val="18"/>
                <w:szCs w:val="18"/>
              </w:rPr>
              <w:t>1/</w:t>
            </w:r>
            <w:r w:rsidR="006D64D1" w:rsidRPr="00D45A7C">
              <w:rPr>
                <w:sz w:val="18"/>
                <w:szCs w:val="18"/>
              </w:rPr>
              <w:t>1</w:t>
            </w:r>
          </w:p>
        </w:tc>
      </w:tr>
      <w:tr w:rsidR="00C24DEA" w:rsidRPr="00D45A7C" w:rsidTr="00C24DEA">
        <w:trPr>
          <w:cantSplit/>
        </w:trPr>
        <w:tc>
          <w:tcPr>
            <w:tcW w:w="1134" w:type="dxa"/>
            <w:tcBorders>
              <w:left w:val="single" w:sz="12" w:space="0" w:color="auto"/>
              <w:right w:val="single" w:sz="4" w:space="0" w:color="auto"/>
            </w:tcBorders>
            <w:noWrap/>
            <w:vAlign w:val="center"/>
            <w:hideMark/>
          </w:tcPr>
          <w:p w:rsidR="006D64D1" w:rsidRPr="00D45A7C" w:rsidRDefault="006D64D1" w:rsidP="00D45A7C">
            <w:pPr>
              <w:spacing w:before="40" w:after="40" w:line="220" w:lineRule="atLeast"/>
              <w:ind w:left="57" w:right="57"/>
              <w:rPr>
                <w:sz w:val="18"/>
                <w:szCs w:val="18"/>
              </w:rPr>
            </w:pPr>
            <w:r w:rsidRPr="00D45A7C">
              <w:rPr>
                <w:sz w:val="18"/>
                <w:szCs w:val="18"/>
              </w:rPr>
              <w:t>Bélarus</w:t>
            </w:r>
          </w:p>
        </w:tc>
        <w:tc>
          <w:tcPr>
            <w:tcW w:w="567" w:type="dxa"/>
            <w:tcBorders>
              <w:left w:val="single" w:sz="4" w:space="0" w:color="auto"/>
              <w:right w:val="single" w:sz="12" w:space="0" w:color="auto"/>
            </w:tcBorders>
            <w:noWrap/>
            <w:vAlign w:val="center"/>
            <w:hideMark/>
          </w:tcPr>
          <w:p w:rsidR="006D64D1" w:rsidRPr="00D45A7C" w:rsidRDefault="006D64D1" w:rsidP="00C24DEA">
            <w:pPr>
              <w:spacing w:before="40" w:after="40" w:line="220" w:lineRule="atLeast"/>
              <w:ind w:left="57" w:right="57"/>
              <w:jc w:val="right"/>
              <w:rPr>
                <w:sz w:val="18"/>
                <w:szCs w:val="18"/>
              </w:rPr>
            </w:pPr>
            <w:r w:rsidRPr="00D45A7C">
              <w:rPr>
                <w:sz w:val="18"/>
                <w:szCs w:val="18"/>
              </w:rPr>
              <w:t>5/5</w:t>
            </w:r>
          </w:p>
        </w:tc>
        <w:tc>
          <w:tcPr>
            <w:tcW w:w="1134"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Grèce</w:t>
            </w:r>
          </w:p>
        </w:tc>
        <w:tc>
          <w:tcPr>
            <w:tcW w:w="567"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0</w:t>
            </w:r>
          </w:p>
        </w:tc>
        <w:tc>
          <w:tcPr>
            <w:tcW w:w="1134"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Monténégro</w:t>
            </w:r>
          </w:p>
        </w:tc>
        <w:tc>
          <w:tcPr>
            <w:tcW w:w="567"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0</w:t>
            </w:r>
          </w:p>
        </w:tc>
        <w:tc>
          <w:tcPr>
            <w:tcW w:w="1291"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Suisse</w:t>
            </w:r>
          </w:p>
        </w:tc>
        <w:tc>
          <w:tcPr>
            <w:tcW w:w="425"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5/4</w:t>
            </w:r>
          </w:p>
        </w:tc>
        <w:tc>
          <w:tcPr>
            <w:tcW w:w="2253" w:type="dxa"/>
            <w:tcBorders>
              <w:left w:val="single" w:sz="12" w:space="0" w:color="auto"/>
              <w:right w:val="single" w:sz="4" w:space="0" w:color="auto"/>
            </w:tcBorders>
            <w:vAlign w:val="center"/>
          </w:tcPr>
          <w:p w:rsidR="006D64D1" w:rsidRPr="00D45A7C" w:rsidRDefault="00A64959" w:rsidP="00D45A7C">
            <w:pPr>
              <w:spacing w:before="40" w:after="40" w:line="220" w:lineRule="atLeast"/>
              <w:ind w:left="57" w:right="57"/>
              <w:rPr>
                <w:sz w:val="18"/>
                <w:szCs w:val="18"/>
              </w:rPr>
            </w:pPr>
            <w:r>
              <w:rPr>
                <w:sz w:val="18"/>
                <w:szCs w:val="18"/>
              </w:rPr>
              <w:t>FoP.47/UNEP/</w:t>
            </w:r>
            <w:r w:rsidR="006D64D1" w:rsidRPr="00D45A7C">
              <w:rPr>
                <w:sz w:val="18"/>
                <w:szCs w:val="18"/>
              </w:rPr>
              <w:t>GRI</w:t>
            </w:r>
          </w:p>
        </w:tc>
        <w:tc>
          <w:tcPr>
            <w:tcW w:w="567" w:type="dxa"/>
            <w:tcBorders>
              <w:left w:val="single" w:sz="4" w:space="0" w:color="auto"/>
              <w:right w:val="single" w:sz="12" w:space="0" w:color="auto"/>
            </w:tcBorders>
            <w:vAlign w:val="center"/>
          </w:tcPr>
          <w:p w:rsidR="006D64D1" w:rsidRPr="00D45A7C" w:rsidRDefault="003F5F8E" w:rsidP="00C24DEA">
            <w:pPr>
              <w:spacing w:before="40" w:after="40" w:line="220" w:lineRule="atLeast"/>
              <w:ind w:left="57" w:right="57"/>
              <w:jc w:val="right"/>
              <w:rPr>
                <w:sz w:val="18"/>
                <w:szCs w:val="18"/>
              </w:rPr>
            </w:pPr>
            <w:r>
              <w:rPr>
                <w:sz w:val="18"/>
                <w:szCs w:val="18"/>
              </w:rPr>
              <w:t>1/</w:t>
            </w:r>
            <w:r w:rsidR="006D64D1" w:rsidRPr="00D45A7C">
              <w:rPr>
                <w:sz w:val="18"/>
                <w:szCs w:val="18"/>
              </w:rPr>
              <w:t>0</w:t>
            </w:r>
          </w:p>
        </w:tc>
      </w:tr>
      <w:tr w:rsidR="00C24DEA" w:rsidRPr="00D45A7C" w:rsidTr="00C24DEA">
        <w:trPr>
          <w:cantSplit/>
        </w:trPr>
        <w:tc>
          <w:tcPr>
            <w:tcW w:w="1134" w:type="dxa"/>
            <w:tcBorders>
              <w:left w:val="single" w:sz="12" w:space="0" w:color="auto"/>
              <w:right w:val="single" w:sz="4" w:space="0" w:color="auto"/>
            </w:tcBorders>
            <w:noWrap/>
            <w:vAlign w:val="center"/>
            <w:hideMark/>
          </w:tcPr>
          <w:p w:rsidR="006D64D1" w:rsidRPr="00D45A7C" w:rsidRDefault="006D64D1" w:rsidP="00D45A7C">
            <w:pPr>
              <w:spacing w:before="40" w:after="40" w:line="220" w:lineRule="atLeast"/>
              <w:ind w:left="57" w:right="57"/>
              <w:rPr>
                <w:sz w:val="18"/>
                <w:szCs w:val="18"/>
              </w:rPr>
            </w:pPr>
            <w:r w:rsidRPr="00D45A7C">
              <w:rPr>
                <w:sz w:val="18"/>
                <w:szCs w:val="18"/>
              </w:rPr>
              <w:t>Belgique</w:t>
            </w:r>
          </w:p>
        </w:tc>
        <w:tc>
          <w:tcPr>
            <w:tcW w:w="567" w:type="dxa"/>
            <w:tcBorders>
              <w:left w:val="single" w:sz="4" w:space="0" w:color="auto"/>
              <w:right w:val="single" w:sz="12" w:space="0" w:color="auto"/>
            </w:tcBorders>
            <w:noWrap/>
            <w:vAlign w:val="center"/>
            <w:hideMark/>
          </w:tcPr>
          <w:p w:rsidR="006D64D1" w:rsidRPr="00D45A7C" w:rsidRDefault="006D64D1" w:rsidP="00C24DEA">
            <w:pPr>
              <w:spacing w:before="40" w:after="40" w:line="220" w:lineRule="atLeast"/>
              <w:ind w:left="57" w:right="57"/>
              <w:jc w:val="right"/>
              <w:rPr>
                <w:sz w:val="18"/>
                <w:szCs w:val="18"/>
              </w:rPr>
            </w:pPr>
            <w:r w:rsidRPr="00D45A7C">
              <w:rPr>
                <w:sz w:val="18"/>
                <w:szCs w:val="18"/>
              </w:rPr>
              <w:t>0</w:t>
            </w:r>
          </w:p>
        </w:tc>
        <w:tc>
          <w:tcPr>
            <w:tcW w:w="1134"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Hongrie</w:t>
            </w:r>
          </w:p>
        </w:tc>
        <w:tc>
          <w:tcPr>
            <w:tcW w:w="567"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4/4</w:t>
            </w:r>
          </w:p>
        </w:tc>
        <w:tc>
          <w:tcPr>
            <w:tcW w:w="1134"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Pays-Bas</w:t>
            </w:r>
          </w:p>
        </w:tc>
        <w:tc>
          <w:tcPr>
            <w:tcW w:w="567"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5/2</w:t>
            </w:r>
          </w:p>
        </w:tc>
        <w:tc>
          <w:tcPr>
            <w:tcW w:w="1291"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Tadjikistan</w:t>
            </w:r>
          </w:p>
        </w:tc>
        <w:tc>
          <w:tcPr>
            <w:tcW w:w="425"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0</w:t>
            </w:r>
          </w:p>
        </w:tc>
        <w:tc>
          <w:tcPr>
            <w:tcW w:w="2253" w:type="dxa"/>
            <w:tcBorders>
              <w:left w:val="single" w:sz="12" w:space="0" w:color="auto"/>
              <w:right w:val="single" w:sz="4" w:space="0" w:color="auto"/>
            </w:tcBorders>
            <w:vAlign w:val="center"/>
          </w:tcPr>
          <w:p w:rsidR="006D64D1" w:rsidRPr="00D45A7C" w:rsidRDefault="00A64959" w:rsidP="00D45A7C">
            <w:pPr>
              <w:spacing w:before="40" w:after="40" w:line="220" w:lineRule="atLeast"/>
              <w:ind w:left="57" w:right="57"/>
              <w:rPr>
                <w:sz w:val="18"/>
                <w:szCs w:val="18"/>
              </w:rPr>
            </w:pPr>
            <w:r>
              <w:rPr>
                <w:sz w:val="18"/>
                <w:szCs w:val="18"/>
              </w:rPr>
              <w:t>ICSD/</w:t>
            </w:r>
            <w:r w:rsidR="006D64D1" w:rsidRPr="00D45A7C">
              <w:rPr>
                <w:sz w:val="18"/>
                <w:szCs w:val="18"/>
              </w:rPr>
              <w:t>IFAS</w:t>
            </w:r>
          </w:p>
        </w:tc>
        <w:tc>
          <w:tcPr>
            <w:tcW w:w="567" w:type="dxa"/>
            <w:tcBorders>
              <w:left w:val="single" w:sz="4" w:space="0" w:color="auto"/>
              <w:right w:val="single" w:sz="12" w:space="0" w:color="auto"/>
            </w:tcBorders>
            <w:vAlign w:val="center"/>
          </w:tcPr>
          <w:p w:rsidR="006D64D1" w:rsidRPr="00D45A7C" w:rsidRDefault="003F5F8E" w:rsidP="00C24DEA">
            <w:pPr>
              <w:spacing w:before="40" w:after="40" w:line="220" w:lineRule="atLeast"/>
              <w:ind w:left="57" w:right="57"/>
              <w:jc w:val="right"/>
              <w:rPr>
                <w:sz w:val="18"/>
                <w:szCs w:val="18"/>
              </w:rPr>
            </w:pPr>
            <w:r>
              <w:rPr>
                <w:sz w:val="18"/>
                <w:szCs w:val="18"/>
              </w:rPr>
              <w:t>1/</w:t>
            </w:r>
            <w:r w:rsidR="006D64D1" w:rsidRPr="00D45A7C">
              <w:rPr>
                <w:sz w:val="18"/>
                <w:szCs w:val="18"/>
              </w:rPr>
              <w:t>1</w:t>
            </w:r>
          </w:p>
        </w:tc>
      </w:tr>
      <w:tr w:rsidR="00C24DEA" w:rsidRPr="00D45A7C" w:rsidTr="00C24DEA">
        <w:trPr>
          <w:cantSplit/>
        </w:trPr>
        <w:tc>
          <w:tcPr>
            <w:tcW w:w="1134" w:type="dxa"/>
            <w:tcBorders>
              <w:left w:val="single" w:sz="12" w:space="0" w:color="auto"/>
              <w:right w:val="single" w:sz="4" w:space="0" w:color="auto"/>
            </w:tcBorders>
            <w:noWrap/>
            <w:vAlign w:val="center"/>
            <w:hideMark/>
          </w:tcPr>
          <w:p w:rsidR="006D64D1" w:rsidRPr="00D45A7C" w:rsidRDefault="006D64D1" w:rsidP="00D45A7C">
            <w:pPr>
              <w:spacing w:before="40" w:after="40" w:line="220" w:lineRule="atLeast"/>
              <w:ind w:left="57" w:right="57"/>
              <w:rPr>
                <w:sz w:val="18"/>
                <w:szCs w:val="18"/>
              </w:rPr>
            </w:pPr>
            <w:r w:rsidRPr="00D45A7C">
              <w:rPr>
                <w:sz w:val="18"/>
                <w:szCs w:val="18"/>
              </w:rPr>
              <w:t>Bosnie-Herzégovine</w:t>
            </w:r>
          </w:p>
        </w:tc>
        <w:tc>
          <w:tcPr>
            <w:tcW w:w="567" w:type="dxa"/>
            <w:tcBorders>
              <w:left w:val="single" w:sz="4" w:space="0" w:color="auto"/>
              <w:right w:val="single" w:sz="12" w:space="0" w:color="auto"/>
            </w:tcBorders>
            <w:noWrap/>
            <w:vAlign w:val="center"/>
            <w:hideMark/>
          </w:tcPr>
          <w:p w:rsidR="006D64D1" w:rsidRPr="00D45A7C" w:rsidRDefault="006D64D1" w:rsidP="00C24DEA">
            <w:pPr>
              <w:spacing w:before="40" w:after="40" w:line="220" w:lineRule="atLeast"/>
              <w:ind w:left="57" w:right="57"/>
              <w:jc w:val="right"/>
              <w:rPr>
                <w:sz w:val="18"/>
                <w:szCs w:val="18"/>
              </w:rPr>
            </w:pPr>
            <w:r w:rsidRPr="00D45A7C">
              <w:rPr>
                <w:sz w:val="18"/>
                <w:szCs w:val="18"/>
              </w:rPr>
              <w:t>0</w:t>
            </w:r>
          </w:p>
        </w:tc>
        <w:tc>
          <w:tcPr>
            <w:tcW w:w="1134"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Islande</w:t>
            </w:r>
          </w:p>
        </w:tc>
        <w:tc>
          <w:tcPr>
            <w:tcW w:w="567"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0</w:t>
            </w:r>
          </w:p>
        </w:tc>
        <w:tc>
          <w:tcPr>
            <w:tcW w:w="1134"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Norvège</w:t>
            </w:r>
          </w:p>
        </w:tc>
        <w:tc>
          <w:tcPr>
            <w:tcW w:w="567"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0</w:t>
            </w:r>
          </w:p>
        </w:tc>
        <w:tc>
          <w:tcPr>
            <w:tcW w:w="1291"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 xml:space="preserve">Ex-République yougoslave </w:t>
            </w:r>
            <w:r w:rsidR="00C24DEA">
              <w:rPr>
                <w:sz w:val="18"/>
                <w:szCs w:val="18"/>
              </w:rPr>
              <w:br/>
            </w:r>
            <w:r w:rsidRPr="00D45A7C">
              <w:rPr>
                <w:sz w:val="18"/>
                <w:szCs w:val="18"/>
              </w:rPr>
              <w:t>de Macédoine</w:t>
            </w:r>
          </w:p>
        </w:tc>
        <w:tc>
          <w:tcPr>
            <w:tcW w:w="425"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0</w:t>
            </w:r>
          </w:p>
        </w:tc>
        <w:tc>
          <w:tcPr>
            <w:tcW w:w="2253" w:type="dxa"/>
            <w:tcBorders>
              <w:left w:val="single" w:sz="12" w:space="0" w:color="auto"/>
              <w:right w:val="single" w:sz="4" w:space="0" w:color="auto"/>
            </w:tcBorders>
            <w:vAlign w:val="center"/>
          </w:tcPr>
          <w:p w:rsidR="006D64D1" w:rsidRPr="00D45A7C" w:rsidRDefault="00A64959" w:rsidP="00D45A7C">
            <w:pPr>
              <w:spacing w:before="40" w:after="40" w:line="220" w:lineRule="atLeast"/>
              <w:ind w:left="57" w:right="57"/>
              <w:rPr>
                <w:sz w:val="18"/>
                <w:szCs w:val="18"/>
              </w:rPr>
            </w:pPr>
            <w:r>
              <w:rPr>
                <w:sz w:val="18"/>
                <w:szCs w:val="18"/>
              </w:rPr>
              <w:t>IPEN/</w:t>
            </w:r>
          </w:p>
          <w:p w:rsidR="006D64D1" w:rsidRPr="00D45A7C" w:rsidRDefault="006D64D1" w:rsidP="00D45A7C">
            <w:pPr>
              <w:spacing w:before="40" w:after="40" w:line="220" w:lineRule="atLeast"/>
              <w:ind w:left="57" w:right="57"/>
              <w:rPr>
                <w:sz w:val="18"/>
                <w:szCs w:val="18"/>
              </w:rPr>
            </w:pPr>
            <w:r w:rsidRPr="00D45A7C">
              <w:rPr>
                <w:sz w:val="18"/>
                <w:szCs w:val="18"/>
              </w:rPr>
              <w:t>Centre pour l’environnement et le développement durable</w:t>
            </w:r>
          </w:p>
        </w:tc>
        <w:tc>
          <w:tcPr>
            <w:tcW w:w="567"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2/0</w:t>
            </w:r>
          </w:p>
        </w:tc>
      </w:tr>
      <w:tr w:rsidR="00C24DEA" w:rsidRPr="00D45A7C" w:rsidTr="00C24DEA">
        <w:trPr>
          <w:cantSplit/>
        </w:trPr>
        <w:tc>
          <w:tcPr>
            <w:tcW w:w="1134" w:type="dxa"/>
            <w:tcBorders>
              <w:left w:val="single" w:sz="12" w:space="0" w:color="auto"/>
              <w:right w:val="single" w:sz="4" w:space="0" w:color="auto"/>
            </w:tcBorders>
            <w:noWrap/>
            <w:vAlign w:val="center"/>
            <w:hideMark/>
          </w:tcPr>
          <w:p w:rsidR="006D64D1" w:rsidRPr="00D45A7C" w:rsidRDefault="006D64D1" w:rsidP="00D45A7C">
            <w:pPr>
              <w:spacing w:before="40" w:after="40" w:line="220" w:lineRule="atLeast"/>
              <w:ind w:left="57" w:right="57"/>
              <w:rPr>
                <w:sz w:val="18"/>
                <w:szCs w:val="18"/>
              </w:rPr>
            </w:pPr>
            <w:r w:rsidRPr="00D45A7C">
              <w:rPr>
                <w:sz w:val="18"/>
                <w:szCs w:val="18"/>
              </w:rPr>
              <w:t>Bulgarie</w:t>
            </w:r>
          </w:p>
        </w:tc>
        <w:tc>
          <w:tcPr>
            <w:tcW w:w="567" w:type="dxa"/>
            <w:tcBorders>
              <w:left w:val="single" w:sz="4" w:space="0" w:color="auto"/>
              <w:right w:val="single" w:sz="12" w:space="0" w:color="auto"/>
            </w:tcBorders>
            <w:noWrap/>
            <w:vAlign w:val="center"/>
            <w:hideMark/>
          </w:tcPr>
          <w:p w:rsidR="006D64D1" w:rsidRPr="00D45A7C" w:rsidRDefault="006D64D1" w:rsidP="00C24DEA">
            <w:pPr>
              <w:spacing w:before="40" w:after="40" w:line="220" w:lineRule="atLeast"/>
              <w:ind w:left="57" w:right="57"/>
              <w:jc w:val="right"/>
              <w:rPr>
                <w:sz w:val="18"/>
                <w:szCs w:val="18"/>
              </w:rPr>
            </w:pPr>
            <w:r w:rsidRPr="00D45A7C">
              <w:rPr>
                <w:sz w:val="18"/>
                <w:szCs w:val="18"/>
              </w:rPr>
              <w:t>0</w:t>
            </w:r>
          </w:p>
        </w:tc>
        <w:tc>
          <w:tcPr>
            <w:tcW w:w="1134"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Irlande</w:t>
            </w:r>
          </w:p>
        </w:tc>
        <w:tc>
          <w:tcPr>
            <w:tcW w:w="567"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0</w:t>
            </w:r>
          </w:p>
        </w:tc>
        <w:tc>
          <w:tcPr>
            <w:tcW w:w="1134"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Pologne</w:t>
            </w:r>
          </w:p>
        </w:tc>
        <w:tc>
          <w:tcPr>
            <w:tcW w:w="567"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5/2</w:t>
            </w:r>
          </w:p>
        </w:tc>
        <w:tc>
          <w:tcPr>
            <w:tcW w:w="1291"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Turquie</w:t>
            </w:r>
          </w:p>
        </w:tc>
        <w:tc>
          <w:tcPr>
            <w:tcW w:w="425"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0</w:t>
            </w:r>
          </w:p>
        </w:tc>
        <w:tc>
          <w:tcPr>
            <w:tcW w:w="2253" w:type="dxa"/>
            <w:tcBorders>
              <w:left w:val="single" w:sz="12" w:space="0" w:color="auto"/>
              <w:right w:val="single" w:sz="4" w:space="0" w:color="auto"/>
            </w:tcBorders>
            <w:vAlign w:val="center"/>
          </w:tcPr>
          <w:p w:rsidR="006D64D1" w:rsidRPr="00D45A7C" w:rsidRDefault="00A64959" w:rsidP="00D45A7C">
            <w:pPr>
              <w:spacing w:before="40" w:after="40" w:line="220" w:lineRule="atLeast"/>
              <w:ind w:left="57" w:right="57"/>
              <w:rPr>
                <w:sz w:val="18"/>
                <w:szCs w:val="18"/>
              </w:rPr>
            </w:pPr>
            <w:r>
              <w:rPr>
                <w:sz w:val="18"/>
                <w:szCs w:val="18"/>
              </w:rPr>
              <w:t>IRP/</w:t>
            </w:r>
            <w:r w:rsidR="006D64D1" w:rsidRPr="00D45A7C">
              <w:rPr>
                <w:sz w:val="18"/>
                <w:szCs w:val="18"/>
              </w:rPr>
              <w:t>UNEP</w:t>
            </w:r>
          </w:p>
        </w:tc>
        <w:tc>
          <w:tcPr>
            <w:tcW w:w="567" w:type="dxa"/>
            <w:tcBorders>
              <w:left w:val="single" w:sz="4" w:space="0" w:color="auto"/>
              <w:right w:val="single" w:sz="12" w:space="0" w:color="auto"/>
            </w:tcBorders>
            <w:vAlign w:val="center"/>
          </w:tcPr>
          <w:p w:rsidR="006D64D1" w:rsidRPr="00D45A7C" w:rsidRDefault="003F5F8E" w:rsidP="00C24DEA">
            <w:pPr>
              <w:spacing w:before="40" w:after="40" w:line="220" w:lineRule="atLeast"/>
              <w:ind w:left="57" w:right="57"/>
              <w:jc w:val="right"/>
              <w:rPr>
                <w:sz w:val="18"/>
                <w:szCs w:val="18"/>
              </w:rPr>
            </w:pPr>
            <w:r>
              <w:rPr>
                <w:sz w:val="18"/>
                <w:szCs w:val="18"/>
              </w:rPr>
              <w:t>1/</w:t>
            </w:r>
            <w:r w:rsidR="006D64D1" w:rsidRPr="00D45A7C">
              <w:rPr>
                <w:sz w:val="18"/>
                <w:szCs w:val="18"/>
              </w:rPr>
              <w:t>1</w:t>
            </w:r>
          </w:p>
        </w:tc>
      </w:tr>
      <w:tr w:rsidR="00C24DEA" w:rsidRPr="00D45A7C" w:rsidTr="00C24DEA">
        <w:trPr>
          <w:cantSplit/>
        </w:trPr>
        <w:tc>
          <w:tcPr>
            <w:tcW w:w="1134" w:type="dxa"/>
            <w:tcBorders>
              <w:left w:val="single" w:sz="12" w:space="0" w:color="auto"/>
              <w:right w:val="single" w:sz="4" w:space="0" w:color="auto"/>
            </w:tcBorders>
            <w:noWrap/>
            <w:vAlign w:val="center"/>
            <w:hideMark/>
          </w:tcPr>
          <w:p w:rsidR="006D64D1" w:rsidRPr="00D45A7C" w:rsidRDefault="006D64D1" w:rsidP="00D45A7C">
            <w:pPr>
              <w:spacing w:before="40" w:after="40" w:line="220" w:lineRule="atLeast"/>
              <w:ind w:left="57" w:right="57"/>
              <w:rPr>
                <w:sz w:val="18"/>
                <w:szCs w:val="18"/>
              </w:rPr>
            </w:pPr>
            <w:r w:rsidRPr="00D45A7C">
              <w:rPr>
                <w:sz w:val="18"/>
                <w:szCs w:val="18"/>
              </w:rPr>
              <w:t>Canada</w:t>
            </w:r>
          </w:p>
        </w:tc>
        <w:tc>
          <w:tcPr>
            <w:tcW w:w="567" w:type="dxa"/>
            <w:tcBorders>
              <w:left w:val="single" w:sz="4" w:space="0" w:color="auto"/>
              <w:right w:val="single" w:sz="12" w:space="0" w:color="auto"/>
            </w:tcBorders>
            <w:noWrap/>
            <w:vAlign w:val="center"/>
            <w:hideMark/>
          </w:tcPr>
          <w:p w:rsidR="006D64D1" w:rsidRPr="00D45A7C" w:rsidRDefault="006D64D1" w:rsidP="00C24DEA">
            <w:pPr>
              <w:spacing w:before="40" w:after="40" w:line="220" w:lineRule="atLeast"/>
              <w:ind w:left="57" w:right="57"/>
              <w:jc w:val="right"/>
              <w:rPr>
                <w:sz w:val="18"/>
                <w:szCs w:val="18"/>
              </w:rPr>
            </w:pPr>
            <w:r w:rsidRPr="00D45A7C">
              <w:rPr>
                <w:sz w:val="18"/>
                <w:szCs w:val="18"/>
              </w:rPr>
              <w:t>0</w:t>
            </w:r>
          </w:p>
        </w:tc>
        <w:tc>
          <w:tcPr>
            <w:tcW w:w="1134"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Israël</w:t>
            </w:r>
          </w:p>
        </w:tc>
        <w:tc>
          <w:tcPr>
            <w:tcW w:w="567"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0</w:t>
            </w:r>
          </w:p>
        </w:tc>
        <w:tc>
          <w:tcPr>
            <w:tcW w:w="1134"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Portugal</w:t>
            </w:r>
          </w:p>
        </w:tc>
        <w:tc>
          <w:tcPr>
            <w:tcW w:w="567" w:type="dxa"/>
            <w:tcBorders>
              <w:left w:val="single" w:sz="4" w:space="0" w:color="auto"/>
              <w:right w:val="single" w:sz="12" w:space="0" w:color="auto"/>
            </w:tcBorders>
            <w:vAlign w:val="center"/>
          </w:tcPr>
          <w:p w:rsidR="006D64D1" w:rsidRPr="00D45A7C" w:rsidRDefault="003F5F8E" w:rsidP="00C24DEA">
            <w:pPr>
              <w:spacing w:before="40" w:after="40" w:line="220" w:lineRule="atLeast"/>
              <w:ind w:left="57" w:right="57"/>
              <w:jc w:val="right"/>
              <w:rPr>
                <w:sz w:val="18"/>
                <w:szCs w:val="18"/>
              </w:rPr>
            </w:pPr>
            <w:r>
              <w:rPr>
                <w:sz w:val="18"/>
                <w:szCs w:val="18"/>
              </w:rPr>
              <w:t>4/</w:t>
            </w:r>
            <w:r w:rsidR="006D64D1" w:rsidRPr="00D45A7C">
              <w:rPr>
                <w:sz w:val="18"/>
                <w:szCs w:val="18"/>
              </w:rPr>
              <w:t>3</w:t>
            </w:r>
          </w:p>
        </w:tc>
        <w:tc>
          <w:tcPr>
            <w:tcW w:w="1291"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Turkménistan</w:t>
            </w:r>
          </w:p>
        </w:tc>
        <w:tc>
          <w:tcPr>
            <w:tcW w:w="425"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0</w:t>
            </w:r>
          </w:p>
        </w:tc>
        <w:tc>
          <w:tcPr>
            <w:tcW w:w="2253"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OCDE</w:t>
            </w:r>
          </w:p>
        </w:tc>
        <w:tc>
          <w:tcPr>
            <w:tcW w:w="567"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4/4</w:t>
            </w:r>
          </w:p>
        </w:tc>
      </w:tr>
      <w:tr w:rsidR="00C24DEA" w:rsidRPr="00D45A7C" w:rsidTr="00C24DEA">
        <w:trPr>
          <w:cantSplit/>
        </w:trPr>
        <w:tc>
          <w:tcPr>
            <w:tcW w:w="1134" w:type="dxa"/>
            <w:tcBorders>
              <w:left w:val="single" w:sz="12" w:space="0" w:color="auto"/>
              <w:right w:val="single" w:sz="4" w:space="0" w:color="auto"/>
            </w:tcBorders>
            <w:noWrap/>
            <w:vAlign w:val="center"/>
            <w:hideMark/>
          </w:tcPr>
          <w:p w:rsidR="006D64D1" w:rsidRPr="00D45A7C" w:rsidRDefault="006D64D1" w:rsidP="00D45A7C">
            <w:pPr>
              <w:spacing w:before="40" w:after="40" w:line="220" w:lineRule="atLeast"/>
              <w:ind w:left="57" w:right="57"/>
              <w:rPr>
                <w:sz w:val="18"/>
                <w:szCs w:val="18"/>
              </w:rPr>
            </w:pPr>
            <w:r w:rsidRPr="00D45A7C">
              <w:rPr>
                <w:sz w:val="18"/>
                <w:szCs w:val="18"/>
              </w:rPr>
              <w:t>Croatie</w:t>
            </w:r>
          </w:p>
        </w:tc>
        <w:tc>
          <w:tcPr>
            <w:tcW w:w="567" w:type="dxa"/>
            <w:tcBorders>
              <w:left w:val="single" w:sz="4" w:space="0" w:color="auto"/>
              <w:right w:val="single" w:sz="12" w:space="0" w:color="auto"/>
            </w:tcBorders>
            <w:noWrap/>
            <w:vAlign w:val="center"/>
            <w:hideMark/>
          </w:tcPr>
          <w:p w:rsidR="006D64D1" w:rsidRPr="00D45A7C" w:rsidRDefault="006D64D1" w:rsidP="00C24DEA">
            <w:pPr>
              <w:spacing w:before="40" w:after="40" w:line="220" w:lineRule="atLeast"/>
              <w:ind w:left="57" w:right="57"/>
              <w:jc w:val="right"/>
              <w:rPr>
                <w:sz w:val="18"/>
                <w:szCs w:val="18"/>
              </w:rPr>
            </w:pPr>
            <w:r w:rsidRPr="00D45A7C">
              <w:rPr>
                <w:sz w:val="18"/>
                <w:szCs w:val="18"/>
              </w:rPr>
              <w:t>5/5</w:t>
            </w:r>
          </w:p>
        </w:tc>
        <w:tc>
          <w:tcPr>
            <w:tcW w:w="1134"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Italie</w:t>
            </w:r>
          </w:p>
        </w:tc>
        <w:tc>
          <w:tcPr>
            <w:tcW w:w="567"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4/4</w:t>
            </w:r>
          </w:p>
        </w:tc>
        <w:tc>
          <w:tcPr>
            <w:tcW w:w="1134"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République de Moldova</w:t>
            </w:r>
          </w:p>
        </w:tc>
        <w:tc>
          <w:tcPr>
            <w:tcW w:w="567"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5/5</w:t>
            </w:r>
          </w:p>
        </w:tc>
        <w:tc>
          <w:tcPr>
            <w:tcW w:w="1291"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Ukraine</w:t>
            </w:r>
          </w:p>
        </w:tc>
        <w:tc>
          <w:tcPr>
            <w:tcW w:w="425" w:type="dxa"/>
            <w:tcBorders>
              <w:left w:val="single" w:sz="4" w:space="0" w:color="auto"/>
              <w:right w:val="single" w:sz="12" w:space="0" w:color="auto"/>
            </w:tcBorders>
            <w:vAlign w:val="center"/>
          </w:tcPr>
          <w:p w:rsidR="006D64D1" w:rsidRPr="00D45A7C" w:rsidRDefault="003F5F8E" w:rsidP="00C24DEA">
            <w:pPr>
              <w:spacing w:before="40" w:after="40" w:line="220" w:lineRule="atLeast"/>
              <w:ind w:left="57" w:right="57"/>
              <w:jc w:val="right"/>
              <w:rPr>
                <w:sz w:val="18"/>
                <w:szCs w:val="18"/>
              </w:rPr>
            </w:pPr>
            <w:r>
              <w:rPr>
                <w:sz w:val="18"/>
                <w:szCs w:val="18"/>
              </w:rPr>
              <w:t>4/</w:t>
            </w:r>
            <w:r w:rsidR="006D64D1" w:rsidRPr="00D45A7C">
              <w:rPr>
                <w:sz w:val="18"/>
                <w:szCs w:val="18"/>
              </w:rPr>
              <w:t>3</w:t>
            </w:r>
          </w:p>
        </w:tc>
        <w:tc>
          <w:tcPr>
            <w:tcW w:w="2253"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REC Caucase</w:t>
            </w:r>
          </w:p>
        </w:tc>
        <w:tc>
          <w:tcPr>
            <w:tcW w:w="567"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4/4</w:t>
            </w:r>
          </w:p>
        </w:tc>
      </w:tr>
      <w:tr w:rsidR="00C24DEA" w:rsidRPr="00D45A7C" w:rsidTr="00C24DEA">
        <w:trPr>
          <w:cantSplit/>
        </w:trPr>
        <w:tc>
          <w:tcPr>
            <w:tcW w:w="1134" w:type="dxa"/>
            <w:tcBorders>
              <w:left w:val="single" w:sz="12" w:space="0" w:color="auto"/>
              <w:right w:val="single" w:sz="4" w:space="0" w:color="auto"/>
            </w:tcBorders>
            <w:noWrap/>
            <w:vAlign w:val="center"/>
            <w:hideMark/>
          </w:tcPr>
          <w:p w:rsidR="006D64D1" w:rsidRPr="00D45A7C" w:rsidRDefault="006D64D1" w:rsidP="00D45A7C">
            <w:pPr>
              <w:spacing w:before="40" w:after="40" w:line="220" w:lineRule="atLeast"/>
              <w:ind w:left="57" w:right="57"/>
              <w:rPr>
                <w:sz w:val="18"/>
                <w:szCs w:val="18"/>
              </w:rPr>
            </w:pPr>
            <w:r w:rsidRPr="00D45A7C">
              <w:rPr>
                <w:sz w:val="18"/>
                <w:szCs w:val="18"/>
              </w:rPr>
              <w:t>Chypre</w:t>
            </w:r>
          </w:p>
        </w:tc>
        <w:tc>
          <w:tcPr>
            <w:tcW w:w="567" w:type="dxa"/>
            <w:tcBorders>
              <w:left w:val="single" w:sz="4" w:space="0" w:color="auto"/>
              <w:right w:val="single" w:sz="12" w:space="0" w:color="auto"/>
            </w:tcBorders>
            <w:noWrap/>
            <w:vAlign w:val="center"/>
            <w:hideMark/>
          </w:tcPr>
          <w:p w:rsidR="006D64D1" w:rsidRPr="00D45A7C" w:rsidRDefault="006D64D1" w:rsidP="00C24DEA">
            <w:pPr>
              <w:spacing w:before="40" w:after="40" w:line="220" w:lineRule="atLeast"/>
              <w:ind w:left="57" w:right="57"/>
              <w:jc w:val="right"/>
              <w:rPr>
                <w:sz w:val="18"/>
                <w:szCs w:val="18"/>
              </w:rPr>
            </w:pPr>
            <w:r w:rsidRPr="00D45A7C">
              <w:rPr>
                <w:sz w:val="18"/>
                <w:szCs w:val="18"/>
              </w:rPr>
              <w:t>0</w:t>
            </w:r>
          </w:p>
        </w:tc>
        <w:tc>
          <w:tcPr>
            <w:tcW w:w="1134"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Kazakhstan</w:t>
            </w:r>
          </w:p>
        </w:tc>
        <w:tc>
          <w:tcPr>
            <w:tcW w:w="567"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2/2</w:t>
            </w:r>
          </w:p>
        </w:tc>
        <w:tc>
          <w:tcPr>
            <w:tcW w:w="1134"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Roumanie</w:t>
            </w:r>
          </w:p>
        </w:tc>
        <w:tc>
          <w:tcPr>
            <w:tcW w:w="567"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2/2</w:t>
            </w:r>
          </w:p>
        </w:tc>
        <w:tc>
          <w:tcPr>
            <w:tcW w:w="1291"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 xml:space="preserve">Royaume-Uni de Grande-Bretagne </w:t>
            </w:r>
            <w:r w:rsidR="00B02FE8">
              <w:rPr>
                <w:sz w:val="18"/>
                <w:szCs w:val="18"/>
              </w:rPr>
              <w:br/>
            </w:r>
            <w:r w:rsidRPr="00D45A7C">
              <w:rPr>
                <w:sz w:val="18"/>
                <w:szCs w:val="18"/>
              </w:rPr>
              <w:t xml:space="preserve">et d’Irlande </w:t>
            </w:r>
            <w:r w:rsidR="00B02FE8">
              <w:rPr>
                <w:sz w:val="18"/>
                <w:szCs w:val="18"/>
              </w:rPr>
              <w:br/>
            </w:r>
            <w:r w:rsidRPr="00D45A7C">
              <w:rPr>
                <w:sz w:val="18"/>
                <w:szCs w:val="18"/>
              </w:rPr>
              <w:t>du Nord</w:t>
            </w:r>
          </w:p>
        </w:tc>
        <w:tc>
          <w:tcPr>
            <w:tcW w:w="425"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0</w:t>
            </w:r>
          </w:p>
        </w:tc>
        <w:tc>
          <w:tcPr>
            <w:tcW w:w="2253"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REC CEE</w:t>
            </w:r>
          </w:p>
        </w:tc>
        <w:tc>
          <w:tcPr>
            <w:tcW w:w="567" w:type="dxa"/>
            <w:tcBorders>
              <w:left w:val="single" w:sz="4" w:space="0" w:color="auto"/>
              <w:right w:val="single" w:sz="12" w:space="0" w:color="auto"/>
            </w:tcBorders>
            <w:vAlign w:val="center"/>
          </w:tcPr>
          <w:p w:rsidR="006D64D1" w:rsidRPr="00D45A7C" w:rsidRDefault="003F5F8E" w:rsidP="00C24DEA">
            <w:pPr>
              <w:spacing w:before="40" w:after="40" w:line="220" w:lineRule="atLeast"/>
              <w:ind w:left="57" w:right="57"/>
              <w:jc w:val="right"/>
              <w:rPr>
                <w:sz w:val="18"/>
                <w:szCs w:val="18"/>
              </w:rPr>
            </w:pPr>
            <w:r>
              <w:rPr>
                <w:sz w:val="18"/>
                <w:szCs w:val="18"/>
              </w:rPr>
              <w:t>1/</w:t>
            </w:r>
            <w:r w:rsidR="006D64D1" w:rsidRPr="00D45A7C">
              <w:rPr>
                <w:sz w:val="18"/>
                <w:szCs w:val="18"/>
              </w:rPr>
              <w:t>0</w:t>
            </w:r>
          </w:p>
        </w:tc>
      </w:tr>
      <w:tr w:rsidR="00C24DEA" w:rsidRPr="00D45A7C" w:rsidTr="00C24DEA">
        <w:trPr>
          <w:cantSplit/>
        </w:trPr>
        <w:tc>
          <w:tcPr>
            <w:tcW w:w="1134" w:type="dxa"/>
            <w:tcBorders>
              <w:left w:val="single" w:sz="12" w:space="0" w:color="auto"/>
              <w:right w:val="single" w:sz="4" w:space="0" w:color="auto"/>
            </w:tcBorders>
            <w:noWrap/>
            <w:vAlign w:val="center"/>
            <w:hideMark/>
          </w:tcPr>
          <w:p w:rsidR="006D64D1" w:rsidRPr="00D45A7C" w:rsidRDefault="006D64D1" w:rsidP="00D45A7C">
            <w:pPr>
              <w:spacing w:before="40" w:after="40" w:line="220" w:lineRule="atLeast"/>
              <w:ind w:left="57" w:right="57"/>
              <w:rPr>
                <w:sz w:val="18"/>
                <w:szCs w:val="18"/>
              </w:rPr>
            </w:pPr>
            <w:r w:rsidRPr="00D45A7C">
              <w:rPr>
                <w:sz w:val="18"/>
                <w:szCs w:val="18"/>
              </w:rPr>
              <w:t xml:space="preserve">Tchéquie </w:t>
            </w:r>
          </w:p>
        </w:tc>
        <w:tc>
          <w:tcPr>
            <w:tcW w:w="567" w:type="dxa"/>
            <w:tcBorders>
              <w:left w:val="single" w:sz="4" w:space="0" w:color="auto"/>
              <w:right w:val="single" w:sz="12" w:space="0" w:color="auto"/>
            </w:tcBorders>
            <w:noWrap/>
            <w:vAlign w:val="center"/>
            <w:hideMark/>
          </w:tcPr>
          <w:p w:rsidR="006D64D1" w:rsidRPr="00D45A7C" w:rsidRDefault="006D64D1" w:rsidP="00C24DEA">
            <w:pPr>
              <w:spacing w:before="40" w:after="40" w:line="220" w:lineRule="atLeast"/>
              <w:ind w:left="57" w:right="57"/>
              <w:jc w:val="right"/>
              <w:rPr>
                <w:sz w:val="18"/>
                <w:szCs w:val="18"/>
              </w:rPr>
            </w:pPr>
            <w:r w:rsidRPr="00D45A7C">
              <w:rPr>
                <w:sz w:val="18"/>
                <w:szCs w:val="18"/>
              </w:rPr>
              <w:t>0</w:t>
            </w:r>
          </w:p>
        </w:tc>
        <w:tc>
          <w:tcPr>
            <w:tcW w:w="1134"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Kirghizistan</w:t>
            </w:r>
          </w:p>
        </w:tc>
        <w:tc>
          <w:tcPr>
            <w:tcW w:w="567" w:type="dxa"/>
            <w:tcBorders>
              <w:left w:val="single" w:sz="4" w:space="0" w:color="auto"/>
              <w:right w:val="single" w:sz="12" w:space="0" w:color="auto"/>
            </w:tcBorders>
            <w:vAlign w:val="center"/>
          </w:tcPr>
          <w:p w:rsidR="006D64D1" w:rsidRPr="00D45A7C" w:rsidRDefault="003F5F8E" w:rsidP="00C24DEA">
            <w:pPr>
              <w:spacing w:before="40" w:after="40" w:line="220" w:lineRule="atLeast"/>
              <w:ind w:left="57" w:right="57"/>
              <w:jc w:val="right"/>
              <w:rPr>
                <w:sz w:val="18"/>
                <w:szCs w:val="18"/>
              </w:rPr>
            </w:pPr>
            <w:r>
              <w:rPr>
                <w:sz w:val="18"/>
                <w:szCs w:val="18"/>
              </w:rPr>
              <w:t>1/</w:t>
            </w:r>
            <w:r w:rsidR="006D64D1" w:rsidRPr="00D45A7C">
              <w:rPr>
                <w:sz w:val="18"/>
                <w:szCs w:val="18"/>
              </w:rPr>
              <w:t>0</w:t>
            </w:r>
          </w:p>
        </w:tc>
        <w:tc>
          <w:tcPr>
            <w:tcW w:w="1134"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 xml:space="preserve">Fédération </w:t>
            </w:r>
            <w:r w:rsidR="00C24DEA">
              <w:rPr>
                <w:sz w:val="18"/>
                <w:szCs w:val="18"/>
              </w:rPr>
              <w:br/>
            </w:r>
            <w:r w:rsidRPr="00D45A7C">
              <w:rPr>
                <w:sz w:val="18"/>
                <w:szCs w:val="18"/>
              </w:rPr>
              <w:t>de Russie</w:t>
            </w:r>
          </w:p>
        </w:tc>
        <w:tc>
          <w:tcPr>
            <w:tcW w:w="567"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0</w:t>
            </w:r>
          </w:p>
        </w:tc>
        <w:tc>
          <w:tcPr>
            <w:tcW w:w="1291"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États-Unis d’Amérique</w:t>
            </w:r>
          </w:p>
        </w:tc>
        <w:tc>
          <w:tcPr>
            <w:tcW w:w="425"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0</w:t>
            </w:r>
          </w:p>
        </w:tc>
        <w:tc>
          <w:tcPr>
            <w:tcW w:w="2253" w:type="dxa"/>
            <w:tcBorders>
              <w:left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CEE</w:t>
            </w:r>
          </w:p>
        </w:tc>
        <w:tc>
          <w:tcPr>
            <w:tcW w:w="567" w:type="dxa"/>
            <w:tcBorders>
              <w:left w:val="single" w:sz="4"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8/8</w:t>
            </w:r>
          </w:p>
        </w:tc>
      </w:tr>
      <w:tr w:rsidR="00C24DEA" w:rsidRPr="00D45A7C" w:rsidTr="00C24DEA">
        <w:trPr>
          <w:cantSplit/>
        </w:trPr>
        <w:tc>
          <w:tcPr>
            <w:tcW w:w="1134" w:type="dxa"/>
            <w:tcBorders>
              <w:left w:val="single" w:sz="12" w:space="0" w:color="auto"/>
              <w:bottom w:val="single" w:sz="12" w:space="0" w:color="auto"/>
              <w:right w:val="single" w:sz="4" w:space="0" w:color="auto"/>
            </w:tcBorders>
            <w:noWrap/>
            <w:vAlign w:val="center"/>
            <w:hideMark/>
          </w:tcPr>
          <w:p w:rsidR="006D64D1" w:rsidRPr="00D45A7C" w:rsidRDefault="006D64D1" w:rsidP="00D45A7C">
            <w:pPr>
              <w:spacing w:before="40" w:after="40" w:line="220" w:lineRule="atLeast"/>
              <w:ind w:left="57" w:right="57"/>
              <w:rPr>
                <w:sz w:val="18"/>
                <w:szCs w:val="18"/>
              </w:rPr>
            </w:pPr>
            <w:r w:rsidRPr="00D45A7C">
              <w:rPr>
                <w:sz w:val="18"/>
                <w:szCs w:val="18"/>
              </w:rPr>
              <w:t>Danemark</w:t>
            </w:r>
          </w:p>
        </w:tc>
        <w:tc>
          <w:tcPr>
            <w:tcW w:w="567" w:type="dxa"/>
            <w:tcBorders>
              <w:left w:val="single" w:sz="4" w:space="0" w:color="auto"/>
              <w:bottom w:val="single" w:sz="12" w:space="0" w:color="auto"/>
              <w:right w:val="single" w:sz="12" w:space="0" w:color="auto"/>
            </w:tcBorders>
            <w:noWrap/>
            <w:vAlign w:val="center"/>
            <w:hideMark/>
          </w:tcPr>
          <w:p w:rsidR="006D64D1" w:rsidRPr="00D45A7C" w:rsidRDefault="006D64D1" w:rsidP="00C24DEA">
            <w:pPr>
              <w:spacing w:before="40" w:after="40" w:line="220" w:lineRule="atLeast"/>
              <w:ind w:left="57" w:right="57"/>
              <w:jc w:val="right"/>
              <w:rPr>
                <w:sz w:val="18"/>
                <w:szCs w:val="18"/>
              </w:rPr>
            </w:pPr>
            <w:r w:rsidRPr="00D45A7C">
              <w:rPr>
                <w:sz w:val="18"/>
                <w:szCs w:val="18"/>
              </w:rPr>
              <w:t>0</w:t>
            </w:r>
          </w:p>
        </w:tc>
        <w:tc>
          <w:tcPr>
            <w:tcW w:w="1134" w:type="dxa"/>
            <w:tcBorders>
              <w:left w:val="single" w:sz="12" w:space="0" w:color="auto"/>
              <w:bottom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Lettonie</w:t>
            </w:r>
          </w:p>
        </w:tc>
        <w:tc>
          <w:tcPr>
            <w:tcW w:w="567" w:type="dxa"/>
            <w:tcBorders>
              <w:left w:val="single" w:sz="4" w:space="0" w:color="auto"/>
              <w:bottom w:val="single" w:sz="12"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3/3</w:t>
            </w:r>
          </w:p>
        </w:tc>
        <w:tc>
          <w:tcPr>
            <w:tcW w:w="1134" w:type="dxa"/>
            <w:tcBorders>
              <w:left w:val="single" w:sz="12" w:space="0" w:color="auto"/>
              <w:bottom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Saint-Marin</w:t>
            </w:r>
          </w:p>
        </w:tc>
        <w:tc>
          <w:tcPr>
            <w:tcW w:w="567" w:type="dxa"/>
            <w:tcBorders>
              <w:left w:val="single" w:sz="4" w:space="0" w:color="auto"/>
              <w:bottom w:val="single" w:sz="12"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0</w:t>
            </w:r>
          </w:p>
        </w:tc>
        <w:tc>
          <w:tcPr>
            <w:tcW w:w="1291" w:type="dxa"/>
            <w:tcBorders>
              <w:left w:val="single" w:sz="12" w:space="0" w:color="auto"/>
              <w:bottom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Ouzbékistan</w:t>
            </w:r>
          </w:p>
        </w:tc>
        <w:tc>
          <w:tcPr>
            <w:tcW w:w="425" w:type="dxa"/>
            <w:tcBorders>
              <w:left w:val="single" w:sz="4" w:space="0" w:color="auto"/>
              <w:bottom w:val="single" w:sz="12"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5/0</w:t>
            </w:r>
          </w:p>
        </w:tc>
        <w:tc>
          <w:tcPr>
            <w:tcW w:w="2253" w:type="dxa"/>
            <w:tcBorders>
              <w:left w:val="single" w:sz="12" w:space="0" w:color="auto"/>
              <w:bottom w:val="single" w:sz="12" w:space="0" w:color="auto"/>
              <w:right w:val="single" w:sz="4" w:space="0" w:color="auto"/>
            </w:tcBorders>
            <w:vAlign w:val="center"/>
          </w:tcPr>
          <w:p w:rsidR="006D64D1" w:rsidRPr="00D45A7C" w:rsidRDefault="006D64D1" w:rsidP="00D45A7C">
            <w:pPr>
              <w:spacing w:before="40" w:after="40" w:line="220" w:lineRule="atLeast"/>
              <w:ind w:left="57" w:right="57"/>
              <w:rPr>
                <w:sz w:val="18"/>
                <w:szCs w:val="18"/>
              </w:rPr>
            </w:pPr>
            <w:r w:rsidRPr="00D45A7C">
              <w:rPr>
                <w:sz w:val="18"/>
                <w:szCs w:val="18"/>
              </w:rPr>
              <w:t>PNUE</w:t>
            </w:r>
          </w:p>
        </w:tc>
        <w:tc>
          <w:tcPr>
            <w:tcW w:w="567" w:type="dxa"/>
            <w:tcBorders>
              <w:left w:val="single" w:sz="4" w:space="0" w:color="auto"/>
              <w:bottom w:val="single" w:sz="12" w:space="0" w:color="auto"/>
              <w:right w:val="single" w:sz="12" w:space="0" w:color="auto"/>
            </w:tcBorders>
            <w:vAlign w:val="center"/>
          </w:tcPr>
          <w:p w:rsidR="006D64D1" w:rsidRPr="00D45A7C" w:rsidRDefault="006D64D1" w:rsidP="00C24DEA">
            <w:pPr>
              <w:spacing w:before="40" w:after="40" w:line="220" w:lineRule="atLeast"/>
              <w:ind w:left="57" w:right="57"/>
              <w:jc w:val="right"/>
              <w:rPr>
                <w:sz w:val="18"/>
                <w:szCs w:val="18"/>
              </w:rPr>
            </w:pPr>
            <w:r w:rsidRPr="00D45A7C">
              <w:rPr>
                <w:sz w:val="18"/>
                <w:szCs w:val="18"/>
              </w:rPr>
              <w:t>3/3</w:t>
            </w:r>
          </w:p>
        </w:tc>
      </w:tr>
    </w:tbl>
    <w:p w:rsidR="006D64D1" w:rsidRPr="00957933" w:rsidRDefault="006D64D1" w:rsidP="00C24DEA">
      <w:pPr>
        <w:pStyle w:val="Titre1"/>
        <w:spacing w:before="240"/>
      </w:pPr>
      <w:r w:rsidRPr="00957933">
        <w:t>Figure I</w:t>
      </w:r>
    </w:p>
    <w:p w:rsidR="006D64D1" w:rsidRDefault="006D64D1" w:rsidP="00F57847">
      <w:pPr>
        <w:pStyle w:val="SingleTxtG"/>
        <w:jc w:val="left"/>
        <w:rPr>
          <w:b/>
        </w:rPr>
      </w:pPr>
      <w:r w:rsidRPr="00C24DEA">
        <w:rPr>
          <w:b/>
        </w:rPr>
        <w:t xml:space="preserve">États membres de la CEE participant et rendant compte à l’Initiative de Batumi, </w:t>
      </w:r>
      <w:r w:rsidR="00C24DEA">
        <w:rPr>
          <w:b/>
        </w:rPr>
        <w:br/>
      </w:r>
      <w:r w:rsidRPr="00C24DEA">
        <w:rPr>
          <w:b/>
        </w:rPr>
        <w:t>par sous-région</w:t>
      </w:r>
    </w:p>
    <w:p w:rsidR="00C24DEA" w:rsidRDefault="000F608C" w:rsidP="00C24DEA">
      <w:pPr>
        <w:pStyle w:val="Lgende"/>
        <w:jc w:val="center"/>
        <w:rPr>
          <w:color w:val="auto"/>
        </w:rPr>
      </w:pPr>
      <w:r>
        <w:rPr>
          <w:noProof/>
          <w:lang w:val="fr-CH" w:eastAsia="fr-CH"/>
        </w:rPr>
        <mc:AlternateContent>
          <mc:Choice Requires="wps">
            <w:drawing>
              <wp:anchor distT="0" distB="0" distL="114300" distR="114300" simplePos="0" relativeHeight="251659776" behindDoc="0" locked="0" layoutInCell="1" allowOverlap="1" wp14:anchorId="5A0275EE" wp14:editId="2B730B98">
                <wp:simplePos x="0" y="0"/>
                <wp:positionH relativeFrom="column">
                  <wp:posOffset>4553961</wp:posOffset>
                </wp:positionH>
                <wp:positionV relativeFrom="paragraph">
                  <wp:posOffset>194752</wp:posOffset>
                </wp:positionV>
                <wp:extent cx="800278" cy="532964"/>
                <wp:effectExtent l="0" t="0" r="0" b="635"/>
                <wp:wrapNone/>
                <wp:docPr id="75" name="Zone de texte 72"/>
                <wp:cNvGraphicFramePr/>
                <a:graphic xmlns:a="http://schemas.openxmlformats.org/drawingml/2006/main">
                  <a:graphicData uri="http://schemas.microsoft.com/office/word/2010/wordprocessingShape">
                    <wps:wsp>
                      <wps:cNvSpPr txBox="1"/>
                      <wps:spPr>
                        <a:xfrm>
                          <a:off x="0" y="0"/>
                          <a:ext cx="800278" cy="532964"/>
                        </a:xfrm>
                        <a:prstGeom prst="rect">
                          <a:avLst/>
                        </a:prstGeom>
                        <a:solidFill>
                          <a:schemeClr val="lt1"/>
                        </a:solidFill>
                        <a:ln w="6350">
                          <a:noFill/>
                        </a:ln>
                      </wps:spPr>
                      <wps:txbx>
                        <w:txbxContent>
                          <w:p w:rsidR="00167ABF" w:rsidRPr="000F608C" w:rsidRDefault="00167ABF" w:rsidP="0009701C">
                            <w:pPr>
                              <w:pStyle w:val="NormalWeb"/>
                              <w:kinsoku w:val="0"/>
                              <w:overflowPunct w:val="0"/>
                              <w:spacing w:before="0" w:beforeAutospacing="0" w:after="0" w:afterAutospacing="0" w:line="160" w:lineRule="exact"/>
                              <w:ind w:left="0" w:right="0"/>
                              <w:rPr>
                                <w:sz w:val="16"/>
                                <w:szCs w:val="16"/>
                                <w:lang w:val="fr-CH"/>
                              </w:rPr>
                            </w:pPr>
                            <w:r w:rsidRPr="000F608C">
                              <w:rPr>
                                <w:sz w:val="16"/>
                                <w:szCs w:val="16"/>
                                <w:lang w:val="fr-CH"/>
                              </w:rPr>
                              <w:t xml:space="preserve">États membres </w:t>
                            </w:r>
                            <w:r>
                              <w:rPr>
                                <w:sz w:val="16"/>
                                <w:szCs w:val="16"/>
                                <w:lang w:val="fr-CH"/>
                              </w:rPr>
                              <w:br/>
                            </w:r>
                            <w:r w:rsidRPr="000F608C">
                              <w:rPr>
                                <w:sz w:val="16"/>
                                <w:szCs w:val="16"/>
                                <w:lang w:val="fr-CH"/>
                              </w:rPr>
                              <w:t xml:space="preserve">de la CEE </w:t>
                            </w:r>
                            <w:r>
                              <w:rPr>
                                <w:sz w:val="16"/>
                                <w:szCs w:val="16"/>
                                <w:lang w:val="fr-CH"/>
                              </w:rPr>
                              <w:br/>
                            </w:r>
                            <w:r w:rsidRPr="000F608C">
                              <w:rPr>
                                <w:sz w:val="16"/>
                                <w:szCs w:val="16"/>
                                <w:lang w:val="fr-CH"/>
                              </w:rPr>
                              <w:t xml:space="preserve">ne participant </w:t>
                            </w:r>
                            <w:r>
                              <w:rPr>
                                <w:sz w:val="16"/>
                                <w:szCs w:val="16"/>
                                <w:lang w:val="fr-CH"/>
                              </w:rPr>
                              <w:br/>
                            </w:r>
                            <w:r w:rsidRPr="000F608C">
                              <w:rPr>
                                <w:sz w:val="16"/>
                                <w:szCs w:val="16"/>
                                <w:lang w:val="fr-CH"/>
                              </w:rPr>
                              <w:t>pas encore</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275EE" id="Zone de texte 72" o:spid="_x0000_s1033" type="#_x0000_t202" style="position:absolute;left:0;text-align:left;margin-left:358.6pt;margin-top:15.35pt;width:63pt;height:4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" fillcolor="white [3201]" stroked="f" strokeweight=".5pt">
                <v:textbox inset="0,0,0,0">
                  <w:txbxContent>
                    <w:p w:rsidR="00167ABF" w:rsidRPr="000F608C" w:rsidRDefault="00167ABF" w:rsidP="0009701C">
                      <w:pPr>
                        <w:pStyle w:val="NormalWeb"/>
                        <w:kinsoku w:val="0"/>
                        <w:overflowPunct w:val="0"/>
                        <w:spacing w:before="0" w:beforeAutospacing="0" w:after="0" w:afterAutospacing="0" w:line="160" w:lineRule="exact"/>
                        <w:ind w:left="0" w:right="0"/>
                        <w:rPr>
                          <w:sz w:val="16"/>
                          <w:szCs w:val="16"/>
                          <w:lang w:val="fr-CH"/>
                        </w:rPr>
                      </w:pPr>
                      <w:r w:rsidRPr="000F608C">
                        <w:rPr>
                          <w:sz w:val="16"/>
                          <w:szCs w:val="16"/>
                          <w:lang w:val="fr-CH"/>
                        </w:rPr>
                        <w:t xml:space="preserve">États membres </w:t>
                      </w:r>
                      <w:r>
                        <w:rPr>
                          <w:sz w:val="16"/>
                          <w:szCs w:val="16"/>
                          <w:lang w:val="fr-CH"/>
                        </w:rPr>
                        <w:br/>
                      </w:r>
                      <w:r w:rsidRPr="000F608C">
                        <w:rPr>
                          <w:sz w:val="16"/>
                          <w:szCs w:val="16"/>
                          <w:lang w:val="fr-CH"/>
                        </w:rPr>
                        <w:t xml:space="preserve">de la CEE </w:t>
                      </w:r>
                      <w:r>
                        <w:rPr>
                          <w:sz w:val="16"/>
                          <w:szCs w:val="16"/>
                          <w:lang w:val="fr-CH"/>
                        </w:rPr>
                        <w:br/>
                      </w:r>
                      <w:r w:rsidRPr="000F608C">
                        <w:rPr>
                          <w:sz w:val="16"/>
                          <w:szCs w:val="16"/>
                          <w:lang w:val="fr-CH"/>
                        </w:rPr>
                        <w:t xml:space="preserve">ne participant </w:t>
                      </w:r>
                      <w:r>
                        <w:rPr>
                          <w:sz w:val="16"/>
                          <w:szCs w:val="16"/>
                          <w:lang w:val="fr-CH"/>
                        </w:rPr>
                        <w:br/>
                      </w:r>
                      <w:r w:rsidRPr="000F608C">
                        <w:rPr>
                          <w:sz w:val="16"/>
                          <w:szCs w:val="16"/>
                          <w:lang w:val="fr-CH"/>
                        </w:rPr>
                        <w:t>pas encore</w:t>
                      </w:r>
                    </w:p>
                  </w:txbxContent>
                </v:textbox>
              </v:shape>
            </w:pict>
          </mc:Fallback>
        </mc:AlternateContent>
      </w:r>
      <w:r w:rsidR="009D59E2">
        <w:rPr>
          <w:noProof/>
          <w:lang w:val="fr-CH" w:eastAsia="fr-CH"/>
        </w:rPr>
        <mc:AlternateContent>
          <mc:Choice Requires="wps">
            <w:drawing>
              <wp:anchor distT="0" distB="0" distL="114300" distR="114300" simplePos="0" relativeHeight="251655680" behindDoc="0" locked="0" layoutInCell="1" allowOverlap="1" wp14:anchorId="45474B9F" wp14:editId="5B2CDDEA">
                <wp:simplePos x="0" y="0"/>
                <wp:positionH relativeFrom="column">
                  <wp:posOffset>1129375</wp:posOffset>
                </wp:positionH>
                <wp:positionV relativeFrom="paragraph">
                  <wp:posOffset>1725658</wp:posOffset>
                </wp:positionV>
                <wp:extent cx="219456" cy="156119"/>
                <wp:effectExtent l="0" t="0" r="9525" b="0"/>
                <wp:wrapNone/>
                <wp:docPr id="72" name="Zone de texte 72"/>
                <wp:cNvGraphicFramePr/>
                <a:graphic xmlns:a="http://schemas.openxmlformats.org/drawingml/2006/main">
                  <a:graphicData uri="http://schemas.microsoft.com/office/word/2010/wordprocessingShape">
                    <wps:wsp>
                      <wps:cNvSpPr txBox="1"/>
                      <wps:spPr>
                        <a:xfrm>
                          <a:off x="0" y="0"/>
                          <a:ext cx="219456" cy="156119"/>
                        </a:xfrm>
                        <a:prstGeom prst="rect">
                          <a:avLst/>
                        </a:prstGeom>
                        <a:solidFill>
                          <a:schemeClr val="lt1"/>
                        </a:solidFill>
                        <a:ln w="6350">
                          <a:noFill/>
                        </a:ln>
                      </wps:spPr>
                      <wps:txbx>
                        <w:txbxContent>
                          <w:p w:rsidR="00167ABF" w:rsidRDefault="00167ABF" w:rsidP="009D59E2">
                            <w:pPr>
                              <w:spacing w:line="180" w:lineRule="atLeast"/>
                              <w:jc w:val="center"/>
                            </w:pPr>
                            <w:r w:rsidRPr="00C24DEA">
                              <w:rPr>
                                <w:sz w:val="16"/>
                                <w:szCs w:val="16"/>
                              </w:rPr>
                              <w:t>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74B9F" id="_x0000_s1034" type="#_x0000_t202" style="position:absolute;left:0;text-align:left;margin-left:88.95pt;margin-top:135.9pt;width:17.3pt;height:1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" fillcolor="white [3201]" stroked="f" strokeweight=".5pt">
                <v:textbox inset="0,0,0,0">
                  <w:txbxContent>
                    <w:p w:rsidR="00167ABF" w:rsidRDefault="00167ABF" w:rsidP="009D59E2">
                      <w:pPr>
                        <w:spacing w:line="180" w:lineRule="atLeast"/>
                        <w:jc w:val="center"/>
                      </w:pPr>
                      <w:r w:rsidRPr="00C24DEA">
                        <w:rPr>
                          <w:sz w:val="16"/>
                          <w:szCs w:val="16"/>
                        </w:rPr>
                        <w:t>UE</w:t>
                      </w:r>
                    </w:p>
                  </w:txbxContent>
                </v:textbox>
              </v:shape>
            </w:pict>
          </mc:Fallback>
        </mc:AlternateContent>
      </w:r>
      <w:r w:rsidR="00C24DEA">
        <w:rPr>
          <w:noProof/>
          <w:lang w:val="fr-CH" w:eastAsia="fr-CH"/>
        </w:rPr>
        <w:drawing>
          <wp:inline distT="0" distB="0" distL="0" distR="0" wp14:anchorId="634A3AF7" wp14:editId="31C4F138">
            <wp:extent cx="4779034" cy="2389517"/>
            <wp:effectExtent l="0" t="0" r="2540" b="10795"/>
            <wp:docPr id="7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D64D1" w:rsidRPr="00957933" w:rsidRDefault="006D64D1" w:rsidP="00F57847">
      <w:pPr>
        <w:pStyle w:val="Titre1"/>
      </w:pPr>
      <w:r w:rsidRPr="00957933">
        <w:lastRenderedPageBreak/>
        <w:t>Figure II</w:t>
      </w:r>
    </w:p>
    <w:p w:rsidR="006D64D1" w:rsidRPr="00F57847" w:rsidRDefault="006D64D1" w:rsidP="00F57847">
      <w:pPr>
        <w:pStyle w:val="SingleTxtG"/>
        <w:jc w:val="left"/>
        <w:rPr>
          <w:b/>
        </w:rPr>
      </w:pPr>
      <w:r w:rsidRPr="00F57847">
        <w:rPr>
          <w:b/>
        </w:rPr>
        <w:t>Engagements au titre de l’Initiative de Batumi, par objectif et par domaine d’intervention</w:t>
      </w:r>
    </w:p>
    <w:p w:rsidR="006D64D1" w:rsidRPr="00957933" w:rsidRDefault="00013270" w:rsidP="00406AE0">
      <w:pPr>
        <w:pStyle w:val="SingleTxtG"/>
        <w:spacing w:after="240"/>
      </w:pPr>
      <w:r w:rsidRPr="00E60679">
        <w:rPr>
          <w:noProof/>
          <w:lang w:eastAsia="fr-CH"/>
        </w:rPr>
        <mc:AlternateContent>
          <mc:Choice Requires="wps">
            <w:drawing>
              <wp:anchor distT="0" distB="0" distL="114300" distR="114300" simplePos="0" relativeHeight="251466752" behindDoc="0" locked="0" layoutInCell="1" allowOverlap="1" wp14:anchorId="16ABD696" wp14:editId="5953FE1A">
                <wp:simplePos x="0" y="0"/>
                <wp:positionH relativeFrom="column">
                  <wp:posOffset>2932285</wp:posOffset>
                </wp:positionH>
                <wp:positionV relativeFrom="paragraph">
                  <wp:posOffset>15294</wp:posOffset>
                </wp:positionV>
                <wp:extent cx="2461042" cy="2832028"/>
                <wp:effectExtent l="0" t="0" r="0" b="6985"/>
                <wp:wrapNone/>
                <wp:docPr id="76" name="Zone de texte 72"/>
                <wp:cNvGraphicFramePr/>
                <a:graphic xmlns:a="http://schemas.openxmlformats.org/drawingml/2006/main">
                  <a:graphicData uri="http://schemas.microsoft.com/office/word/2010/wordprocessingShape">
                    <wps:wsp>
                      <wps:cNvSpPr txBox="1"/>
                      <wps:spPr>
                        <a:xfrm>
                          <a:off x="0" y="0"/>
                          <a:ext cx="2461042" cy="2832028"/>
                        </a:xfrm>
                        <a:prstGeom prst="rect">
                          <a:avLst/>
                        </a:prstGeom>
                        <a:solidFill>
                          <a:schemeClr val="lt1"/>
                        </a:solidFill>
                        <a:ln w="6350">
                          <a:noFill/>
                        </a:ln>
                      </wps:spPr>
                      <wps:txbx>
                        <w:txbxContent>
                          <w:p w:rsidR="00167ABF" w:rsidRDefault="00167ABF" w:rsidP="00E60679">
                            <w:pPr>
                              <w:pStyle w:val="SingleTxtG"/>
                              <w:spacing w:after="260" w:line="160" w:lineRule="atLeast"/>
                              <w:ind w:left="0" w:right="0"/>
                              <w:jc w:val="left"/>
                              <w:rPr>
                                <w:sz w:val="16"/>
                                <w:szCs w:val="16"/>
                              </w:rPr>
                            </w:pPr>
                            <w:r w:rsidRPr="00E60679">
                              <w:rPr>
                                <w:sz w:val="16"/>
                                <w:szCs w:val="16"/>
                              </w:rPr>
                              <w:t>Actions primordiales</w:t>
                            </w:r>
                          </w:p>
                          <w:p w:rsidR="00167ABF" w:rsidRPr="00E60679" w:rsidRDefault="00167ABF" w:rsidP="00E60679">
                            <w:pPr>
                              <w:pStyle w:val="SingleTxtG"/>
                              <w:spacing w:after="260" w:line="160" w:lineRule="atLeast"/>
                              <w:ind w:left="0" w:right="0"/>
                              <w:jc w:val="left"/>
                              <w:rPr>
                                <w:sz w:val="16"/>
                                <w:szCs w:val="16"/>
                              </w:rPr>
                            </w:pPr>
                            <w:r w:rsidRPr="00E60679">
                              <w:rPr>
                                <w:sz w:val="16"/>
                                <w:szCs w:val="16"/>
                              </w:rPr>
                              <w:t>I.1. Améliorer la mesure et la valorisation du capital naturel</w:t>
                            </w:r>
                          </w:p>
                          <w:p w:rsidR="00167ABF" w:rsidRPr="00E60679" w:rsidRDefault="00167ABF" w:rsidP="00E60679">
                            <w:pPr>
                              <w:pStyle w:val="SingleTxtG"/>
                              <w:spacing w:after="100" w:line="160" w:lineRule="atLeast"/>
                              <w:ind w:left="0" w:right="0"/>
                              <w:jc w:val="left"/>
                              <w:rPr>
                                <w:sz w:val="16"/>
                                <w:szCs w:val="16"/>
                              </w:rPr>
                            </w:pPr>
                            <w:r w:rsidRPr="00E60679">
                              <w:rPr>
                                <w:sz w:val="16"/>
                                <w:szCs w:val="16"/>
                              </w:rPr>
                              <w:t xml:space="preserve">I.2. Encourager l’internalisation des externalités négatives </w:t>
                            </w:r>
                            <w:r>
                              <w:rPr>
                                <w:sz w:val="16"/>
                                <w:szCs w:val="16"/>
                              </w:rPr>
                              <w:br/>
                            </w:r>
                            <w:r w:rsidRPr="00E60679">
                              <w:rPr>
                                <w:sz w:val="16"/>
                                <w:szCs w:val="16"/>
                              </w:rPr>
                              <w:t>et l’utilisation durable du capital naturel</w:t>
                            </w:r>
                          </w:p>
                          <w:p w:rsidR="00167ABF" w:rsidRPr="00E60679" w:rsidRDefault="00167ABF" w:rsidP="00E60679">
                            <w:pPr>
                              <w:pStyle w:val="SingleTxtG"/>
                              <w:spacing w:after="80" w:line="160" w:lineRule="atLeast"/>
                              <w:ind w:left="0" w:right="0"/>
                              <w:jc w:val="left"/>
                              <w:rPr>
                                <w:sz w:val="16"/>
                                <w:szCs w:val="16"/>
                              </w:rPr>
                            </w:pPr>
                            <w:r w:rsidRPr="00E60679">
                              <w:rPr>
                                <w:sz w:val="16"/>
                                <w:szCs w:val="16"/>
                              </w:rPr>
                              <w:t>I.3. Renforcer les écosystèmes et les services écosystémiques dans le cadre de l’infrastructure écologique</w:t>
                            </w:r>
                          </w:p>
                          <w:p w:rsidR="00167ABF" w:rsidRPr="00E60679" w:rsidRDefault="00167ABF" w:rsidP="00E60679">
                            <w:pPr>
                              <w:pStyle w:val="SingleTxtG"/>
                              <w:spacing w:after="80" w:line="160" w:lineRule="atLeast"/>
                              <w:ind w:left="0" w:right="0"/>
                              <w:jc w:val="left"/>
                              <w:rPr>
                                <w:sz w:val="16"/>
                                <w:szCs w:val="16"/>
                              </w:rPr>
                            </w:pPr>
                            <w:r w:rsidRPr="00E60679">
                              <w:rPr>
                                <w:sz w:val="16"/>
                                <w:szCs w:val="16"/>
                              </w:rPr>
                              <w:t xml:space="preserve">II.1. Orienter le comportement des consommateurs </w:t>
                            </w:r>
                            <w:r>
                              <w:rPr>
                                <w:sz w:val="16"/>
                                <w:szCs w:val="16"/>
                              </w:rPr>
                              <w:br/>
                            </w:r>
                            <w:r w:rsidRPr="00E60679">
                              <w:rPr>
                                <w:sz w:val="16"/>
                                <w:szCs w:val="16"/>
                              </w:rPr>
                              <w:t>vers des</w:t>
                            </w:r>
                            <w:r>
                              <w:rPr>
                                <w:sz w:val="16"/>
                                <w:szCs w:val="16"/>
                              </w:rPr>
                              <w:t xml:space="preserve"> modes de consommation durables</w:t>
                            </w:r>
                          </w:p>
                          <w:p w:rsidR="00167ABF" w:rsidRPr="00E60679" w:rsidRDefault="00167ABF" w:rsidP="00E60679">
                            <w:pPr>
                              <w:pStyle w:val="SingleTxtG"/>
                              <w:spacing w:after="80" w:line="160" w:lineRule="atLeast"/>
                              <w:ind w:left="0" w:right="0"/>
                              <w:jc w:val="left"/>
                              <w:rPr>
                                <w:sz w:val="16"/>
                                <w:szCs w:val="16"/>
                              </w:rPr>
                            </w:pPr>
                            <w:r w:rsidRPr="00E60679">
                              <w:rPr>
                                <w:sz w:val="16"/>
                                <w:szCs w:val="16"/>
                              </w:rPr>
                              <w:t xml:space="preserve">II.2. Développer un capital physique non polluant </w:t>
                            </w:r>
                            <w:r>
                              <w:rPr>
                                <w:sz w:val="16"/>
                                <w:szCs w:val="16"/>
                              </w:rPr>
                              <w:br/>
                            </w:r>
                            <w:r w:rsidRPr="00E60679">
                              <w:rPr>
                                <w:sz w:val="16"/>
                                <w:szCs w:val="16"/>
                              </w:rPr>
                              <w:t>pour des</w:t>
                            </w:r>
                            <w:r>
                              <w:rPr>
                                <w:sz w:val="16"/>
                                <w:szCs w:val="16"/>
                              </w:rPr>
                              <w:t xml:space="preserve"> modèles de production durables</w:t>
                            </w:r>
                          </w:p>
                          <w:p w:rsidR="00167ABF" w:rsidRPr="00E60679" w:rsidRDefault="00167ABF" w:rsidP="00E60679">
                            <w:pPr>
                              <w:pStyle w:val="SingleTxtG"/>
                              <w:spacing w:after="260" w:line="160" w:lineRule="atLeast"/>
                              <w:ind w:left="0" w:right="0"/>
                              <w:jc w:val="left"/>
                              <w:rPr>
                                <w:sz w:val="16"/>
                                <w:szCs w:val="16"/>
                              </w:rPr>
                            </w:pPr>
                            <w:r w:rsidRPr="00E60679">
                              <w:rPr>
                                <w:sz w:val="16"/>
                                <w:szCs w:val="16"/>
                              </w:rPr>
                              <w:t>II.3. Promouvoi</w:t>
                            </w:r>
                            <w:r>
                              <w:rPr>
                                <w:sz w:val="16"/>
                                <w:szCs w:val="16"/>
                              </w:rPr>
                              <w:t>r un commerce vert et équitable</w:t>
                            </w:r>
                          </w:p>
                          <w:p w:rsidR="00167ABF" w:rsidRPr="00E60679" w:rsidRDefault="00167ABF" w:rsidP="00E60679">
                            <w:pPr>
                              <w:pStyle w:val="SingleTxtG"/>
                              <w:spacing w:after="80" w:line="160" w:lineRule="atLeast"/>
                              <w:ind w:left="0" w:right="0"/>
                              <w:jc w:val="left"/>
                              <w:rPr>
                                <w:sz w:val="16"/>
                                <w:szCs w:val="16"/>
                              </w:rPr>
                            </w:pPr>
                            <w:r w:rsidRPr="00E60679">
                              <w:rPr>
                                <w:sz w:val="16"/>
                                <w:szCs w:val="16"/>
                              </w:rPr>
                              <w:t xml:space="preserve">III.1. Augmenter le nombre d’emplois verts et décents </w:t>
                            </w:r>
                            <w:r>
                              <w:rPr>
                                <w:sz w:val="16"/>
                                <w:szCs w:val="16"/>
                              </w:rPr>
                              <w:br/>
                            </w:r>
                            <w:r w:rsidRPr="00E60679">
                              <w:rPr>
                                <w:sz w:val="16"/>
                                <w:szCs w:val="16"/>
                              </w:rPr>
                              <w:t>tout en dével</w:t>
                            </w:r>
                            <w:r>
                              <w:rPr>
                                <w:sz w:val="16"/>
                                <w:szCs w:val="16"/>
                              </w:rPr>
                              <w:t>oppant le capital humain requis</w:t>
                            </w:r>
                          </w:p>
                          <w:p w:rsidR="00167ABF" w:rsidRPr="00E60679" w:rsidRDefault="00167ABF" w:rsidP="00E60679">
                            <w:pPr>
                              <w:pStyle w:val="SingleTxtG"/>
                              <w:spacing w:after="80" w:line="160" w:lineRule="atLeast"/>
                              <w:ind w:left="0" w:right="0"/>
                              <w:jc w:val="left"/>
                              <w:rPr>
                                <w:sz w:val="16"/>
                                <w:szCs w:val="16"/>
                              </w:rPr>
                            </w:pPr>
                            <w:r w:rsidRPr="00E60679">
                              <w:rPr>
                                <w:sz w:val="16"/>
                                <w:szCs w:val="16"/>
                              </w:rPr>
                              <w:t xml:space="preserve">III.2. Améliorer l’accès aux services, à une vie saine </w:t>
                            </w:r>
                            <w:r>
                              <w:rPr>
                                <w:sz w:val="16"/>
                                <w:szCs w:val="16"/>
                              </w:rPr>
                              <w:br/>
                            </w:r>
                            <w:r w:rsidRPr="00E60679">
                              <w:rPr>
                                <w:sz w:val="16"/>
                                <w:szCs w:val="16"/>
                              </w:rPr>
                              <w:t>et au bien-être</w:t>
                            </w:r>
                          </w:p>
                          <w:p w:rsidR="00167ABF" w:rsidRPr="00E60679" w:rsidRDefault="00167ABF" w:rsidP="00E60679">
                            <w:pPr>
                              <w:pStyle w:val="SingleTxtG"/>
                              <w:spacing w:after="0" w:line="160" w:lineRule="atLeast"/>
                              <w:ind w:left="0" w:right="0"/>
                              <w:jc w:val="left"/>
                              <w:rPr>
                                <w:sz w:val="24"/>
                                <w:szCs w:val="24"/>
                              </w:rPr>
                            </w:pPr>
                            <w:r w:rsidRPr="00E60679">
                              <w:rPr>
                                <w:sz w:val="16"/>
                                <w:szCs w:val="16"/>
                              </w:rPr>
                              <w:t xml:space="preserve">III.3. Promouvoir la participation du public et l’éducation </w:t>
                            </w:r>
                            <w:r>
                              <w:rPr>
                                <w:sz w:val="16"/>
                                <w:szCs w:val="16"/>
                              </w:rPr>
                              <w:br/>
                            </w:r>
                            <w:r w:rsidRPr="00E60679">
                              <w:rPr>
                                <w:sz w:val="16"/>
                                <w:szCs w:val="16"/>
                              </w:rPr>
                              <w:t>au développement durable</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BD696" id="_x0000_s1035" type="#_x0000_t202" style="position:absolute;left:0;text-align:left;margin-left:230.9pt;margin-top:1.2pt;width:193.8pt;height:223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" fillcolor="white [3201]" stroked="f" strokeweight=".5pt">
                <v:textbox inset="0,0,0,0">
                  <w:txbxContent>
                    <w:p w:rsidR="00167ABF" w:rsidRDefault="00167ABF" w:rsidP="00E60679">
                      <w:pPr>
                        <w:pStyle w:val="SingleTxtG"/>
                        <w:spacing w:after="260" w:line="160" w:lineRule="atLeast"/>
                        <w:ind w:left="0" w:right="0"/>
                        <w:jc w:val="left"/>
                        <w:rPr>
                          <w:sz w:val="16"/>
                          <w:szCs w:val="16"/>
                        </w:rPr>
                      </w:pPr>
                      <w:r w:rsidRPr="00E60679">
                        <w:rPr>
                          <w:sz w:val="16"/>
                          <w:szCs w:val="16"/>
                        </w:rPr>
                        <w:t>Actions primordiales</w:t>
                      </w:r>
                    </w:p>
                    <w:p w:rsidR="00167ABF" w:rsidRPr="00E60679" w:rsidRDefault="00167ABF" w:rsidP="00E60679">
                      <w:pPr>
                        <w:pStyle w:val="SingleTxtG"/>
                        <w:spacing w:after="260" w:line="160" w:lineRule="atLeast"/>
                        <w:ind w:left="0" w:right="0"/>
                        <w:jc w:val="left"/>
                        <w:rPr>
                          <w:sz w:val="16"/>
                          <w:szCs w:val="16"/>
                        </w:rPr>
                      </w:pPr>
                      <w:r w:rsidRPr="00E60679">
                        <w:rPr>
                          <w:sz w:val="16"/>
                          <w:szCs w:val="16"/>
                        </w:rPr>
                        <w:t>I.1. Améliorer la mesure et la valorisation du capital naturel</w:t>
                      </w:r>
                    </w:p>
                    <w:p w:rsidR="00167ABF" w:rsidRPr="00E60679" w:rsidRDefault="00167ABF" w:rsidP="00E60679">
                      <w:pPr>
                        <w:pStyle w:val="SingleTxtG"/>
                        <w:spacing w:after="100" w:line="160" w:lineRule="atLeast"/>
                        <w:ind w:left="0" w:right="0"/>
                        <w:jc w:val="left"/>
                        <w:rPr>
                          <w:sz w:val="16"/>
                          <w:szCs w:val="16"/>
                        </w:rPr>
                      </w:pPr>
                      <w:r w:rsidRPr="00E60679">
                        <w:rPr>
                          <w:sz w:val="16"/>
                          <w:szCs w:val="16"/>
                        </w:rPr>
                        <w:t xml:space="preserve">I.2. Encourager l’internalisation des externalités négatives </w:t>
                      </w:r>
                      <w:r>
                        <w:rPr>
                          <w:sz w:val="16"/>
                          <w:szCs w:val="16"/>
                        </w:rPr>
                        <w:br/>
                      </w:r>
                      <w:r w:rsidRPr="00E60679">
                        <w:rPr>
                          <w:sz w:val="16"/>
                          <w:szCs w:val="16"/>
                        </w:rPr>
                        <w:t>et l’utilisation durable du capital naturel</w:t>
                      </w:r>
                    </w:p>
                    <w:p w:rsidR="00167ABF" w:rsidRPr="00E60679" w:rsidRDefault="00167ABF" w:rsidP="00E60679">
                      <w:pPr>
                        <w:pStyle w:val="SingleTxtG"/>
                        <w:spacing w:after="80" w:line="160" w:lineRule="atLeast"/>
                        <w:ind w:left="0" w:right="0"/>
                        <w:jc w:val="left"/>
                        <w:rPr>
                          <w:sz w:val="16"/>
                          <w:szCs w:val="16"/>
                        </w:rPr>
                      </w:pPr>
                      <w:r w:rsidRPr="00E60679">
                        <w:rPr>
                          <w:sz w:val="16"/>
                          <w:szCs w:val="16"/>
                        </w:rPr>
                        <w:t>I.3. Renforcer les écosystèmes et les services écosystémiques dans le cadre de l’infrastructure écologique</w:t>
                      </w:r>
                    </w:p>
                    <w:p w:rsidR="00167ABF" w:rsidRPr="00E60679" w:rsidRDefault="00167ABF" w:rsidP="00E60679">
                      <w:pPr>
                        <w:pStyle w:val="SingleTxtG"/>
                        <w:spacing w:after="80" w:line="160" w:lineRule="atLeast"/>
                        <w:ind w:left="0" w:right="0"/>
                        <w:jc w:val="left"/>
                        <w:rPr>
                          <w:sz w:val="16"/>
                          <w:szCs w:val="16"/>
                        </w:rPr>
                      </w:pPr>
                      <w:r w:rsidRPr="00E60679">
                        <w:rPr>
                          <w:sz w:val="16"/>
                          <w:szCs w:val="16"/>
                        </w:rPr>
                        <w:t xml:space="preserve">II.1. Orienter le comportement des consommateurs </w:t>
                      </w:r>
                      <w:r>
                        <w:rPr>
                          <w:sz w:val="16"/>
                          <w:szCs w:val="16"/>
                        </w:rPr>
                        <w:br/>
                      </w:r>
                      <w:r w:rsidRPr="00E60679">
                        <w:rPr>
                          <w:sz w:val="16"/>
                          <w:szCs w:val="16"/>
                        </w:rPr>
                        <w:t>vers des</w:t>
                      </w:r>
                      <w:r>
                        <w:rPr>
                          <w:sz w:val="16"/>
                          <w:szCs w:val="16"/>
                        </w:rPr>
                        <w:t xml:space="preserve"> modes de consommation durables</w:t>
                      </w:r>
                    </w:p>
                    <w:p w:rsidR="00167ABF" w:rsidRPr="00E60679" w:rsidRDefault="00167ABF" w:rsidP="00E60679">
                      <w:pPr>
                        <w:pStyle w:val="SingleTxtG"/>
                        <w:spacing w:after="80" w:line="160" w:lineRule="atLeast"/>
                        <w:ind w:left="0" w:right="0"/>
                        <w:jc w:val="left"/>
                        <w:rPr>
                          <w:sz w:val="16"/>
                          <w:szCs w:val="16"/>
                        </w:rPr>
                      </w:pPr>
                      <w:r w:rsidRPr="00E60679">
                        <w:rPr>
                          <w:sz w:val="16"/>
                          <w:szCs w:val="16"/>
                        </w:rPr>
                        <w:t xml:space="preserve">II.2. Développer un capital physique non polluant </w:t>
                      </w:r>
                      <w:r>
                        <w:rPr>
                          <w:sz w:val="16"/>
                          <w:szCs w:val="16"/>
                        </w:rPr>
                        <w:br/>
                      </w:r>
                      <w:r w:rsidRPr="00E60679">
                        <w:rPr>
                          <w:sz w:val="16"/>
                          <w:szCs w:val="16"/>
                        </w:rPr>
                        <w:t>pour des</w:t>
                      </w:r>
                      <w:r>
                        <w:rPr>
                          <w:sz w:val="16"/>
                          <w:szCs w:val="16"/>
                        </w:rPr>
                        <w:t xml:space="preserve"> modèles de production durables</w:t>
                      </w:r>
                    </w:p>
                    <w:p w:rsidR="00167ABF" w:rsidRPr="00E60679" w:rsidRDefault="00167ABF" w:rsidP="00E60679">
                      <w:pPr>
                        <w:pStyle w:val="SingleTxtG"/>
                        <w:spacing w:after="260" w:line="160" w:lineRule="atLeast"/>
                        <w:ind w:left="0" w:right="0"/>
                        <w:jc w:val="left"/>
                        <w:rPr>
                          <w:sz w:val="16"/>
                          <w:szCs w:val="16"/>
                        </w:rPr>
                      </w:pPr>
                      <w:r w:rsidRPr="00E60679">
                        <w:rPr>
                          <w:sz w:val="16"/>
                          <w:szCs w:val="16"/>
                        </w:rPr>
                        <w:t>II.3. Promouvoi</w:t>
                      </w:r>
                      <w:r>
                        <w:rPr>
                          <w:sz w:val="16"/>
                          <w:szCs w:val="16"/>
                        </w:rPr>
                        <w:t>r un commerce vert et équitable</w:t>
                      </w:r>
                    </w:p>
                    <w:p w:rsidR="00167ABF" w:rsidRPr="00E60679" w:rsidRDefault="00167ABF" w:rsidP="00E60679">
                      <w:pPr>
                        <w:pStyle w:val="SingleTxtG"/>
                        <w:spacing w:after="80" w:line="160" w:lineRule="atLeast"/>
                        <w:ind w:left="0" w:right="0"/>
                        <w:jc w:val="left"/>
                        <w:rPr>
                          <w:sz w:val="16"/>
                          <w:szCs w:val="16"/>
                        </w:rPr>
                      </w:pPr>
                      <w:r w:rsidRPr="00E60679">
                        <w:rPr>
                          <w:sz w:val="16"/>
                          <w:szCs w:val="16"/>
                        </w:rPr>
                        <w:t xml:space="preserve">III.1. Augmenter le nombre d’emplois verts et décents </w:t>
                      </w:r>
                      <w:r>
                        <w:rPr>
                          <w:sz w:val="16"/>
                          <w:szCs w:val="16"/>
                        </w:rPr>
                        <w:br/>
                      </w:r>
                      <w:r w:rsidRPr="00E60679">
                        <w:rPr>
                          <w:sz w:val="16"/>
                          <w:szCs w:val="16"/>
                        </w:rPr>
                        <w:t>tout en dével</w:t>
                      </w:r>
                      <w:r>
                        <w:rPr>
                          <w:sz w:val="16"/>
                          <w:szCs w:val="16"/>
                        </w:rPr>
                        <w:t>oppant le capital humain requis</w:t>
                      </w:r>
                    </w:p>
                    <w:p w:rsidR="00167ABF" w:rsidRPr="00E60679" w:rsidRDefault="00167ABF" w:rsidP="00E60679">
                      <w:pPr>
                        <w:pStyle w:val="SingleTxtG"/>
                        <w:spacing w:after="80" w:line="160" w:lineRule="atLeast"/>
                        <w:ind w:left="0" w:right="0"/>
                        <w:jc w:val="left"/>
                        <w:rPr>
                          <w:sz w:val="16"/>
                          <w:szCs w:val="16"/>
                        </w:rPr>
                      </w:pPr>
                      <w:r w:rsidRPr="00E60679">
                        <w:rPr>
                          <w:sz w:val="16"/>
                          <w:szCs w:val="16"/>
                        </w:rPr>
                        <w:t xml:space="preserve">III.2. Améliorer l’accès aux services, à une vie saine </w:t>
                      </w:r>
                      <w:r>
                        <w:rPr>
                          <w:sz w:val="16"/>
                          <w:szCs w:val="16"/>
                        </w:rPr>
                        <w:br/>
                      </w:r>
                      <w:r w:rsidRPr="00E60679">
                        <w:rPr>
                          <w:sz w:val="16"/>
                          <w:szCs w:val="16"/>
                        </w:rPr>
                        <w:t>et au bien-être</w:t>
                      </w:r>
                    </w:p>
                    <w:p w:rsidR="00167ABF" w:rsidRPr="00E60679" w:rsidRDefault="00167ABF" w:rsidP="00E60679">
                      <w:pPr>
                        <w:pStyle w:val="SingleTxtG"/>
                        <w:spacing w:after="0" w:line="160" w:lineRule="atLeast"/>
                        <w:ind w:left="0" w:right="0"/>
                        <w:jc w:val="left"/>
                        <w:rPr>
                          <w:sz w:val="24"/>
                          <w:szCs w:val="24"/>
                        </w:rPr>
                      </w:pPr>
                      <w:r w:rsidRPr="00E60679">
                        <w:rPr>
                          <w:sz w:val="16"/>
                          <w:szCs w:val="16"/>
                        </w:rPr>
                        <w:t xml:space="preserve">III.3. Promouvoir la participation du public et l’éducation </w:t>
                      </w:r>
                      <w:r>
                        <w:rPr>
                          <w:sz w:val="16"/>
                          <w:szCs w:val="16"/>
                        </w:rPr>
                        <w:br/>
                      </w:r>
                      <w:r w:rsidRPr="00E60679">
                        <w:rPr>
                          <w:sz w:val="16"/>
                          <w:szCs w:val="16"/>
                        </w:rPr>
                        <w:t>au développement durable</w:t>
                      </w:r>
                    </w:p>
                  </w:txbxContent>
                </v:textbox>
              </v:shape>
            </w:pict>
          </mc:Fallback>
        </mc:AlternateContent>
      </w:r>
      <w:r w:rsidR="006D64D1" w:rsidRPr="00957933">
        <w:rPr>
          <w:noProof/>
          <w:lang w:eastAsia="fr-CH"/>
        </w:rPr>
        <w:drawing>
          <wp:inline distT="0" distB="0" distL="0" distR="0" wp14:anchorId="69004A50" wp14:editId="4B2FC557">
            <wp:extent cx="4680000" cy="2865600"/>
            <wp:effectExtent l="0" t="0" r="6350" b="11430"/>
            <wp:docPr id="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D64D1" w:rsidRPr="00957933" w:rsidRDefault="006D64D1" w:rsidP="00406AE0">
      <w:pPr>
        <w:pStyle w:val="Titre1"/>
      </w:pPr>
      <w:r w:rsidRPr="00957933">
        <w:t>Figure III</w:t>
      </w:r>
    </w:p>
    <w:p w:rsidR="006D64D1" w:rsidRPr="00406AE0" w:rsidRDefault="006D64D1" w:rsidP="00406AE0">
      <w:pPr>
        <w:pStyle w:val="SingleTxtG"/>
        <w:jc w:val="left"/>
        <w:rPr>
          <w:b/>
        </w:rPr>
      </w:pPr>
      <w:r w:rsidRPr="00406AE0">
        <w:rPr>
          <w:b/>
        </w:rPr>
        <w:t>Engagements au titre de l’Initiative de Batumi, par type d’actions</w:t>
      </w:r>
    </w:p>
    <w:p w:rsidR="006D64D1" w:rsidRPr="00957933" w:rsidRDefault="006D64D1" w:rsidP="006D64D1">
      <w:pPr>
        <w:pStyle w:val="SingleTxtG"/>
      </w:pPr>
      <w:r w:rsidRPr="00957933">
        <w:rPr>
          <w:noProof/>
          <w:lang w:eastAsia="fr-CH"/>
        </w:rPr>
        <w:drawing>
          <wp:inline distT="0" distB="0" distL="0" distR="0" wp14:anchorId="59FFAD4C" wp14:editId="40A825BC">
            <wp:extent cx="4680000" cy="1630800"/>
            <wp:effectExtent l="0" t="0" r="6350" b="7620"/>
            <wp:docPr id="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D64D1" w:rsidRPr="00957933" w:rsidRDefault="006D64D1" w:rsidP="00167ABF">
      <w:pPr>
        <w:pStyle w:val="Titre1"/>
      </w:pPr>
      <w:r w:rsidRPr="00957933">
        <w:lastRenderedPageBreak/>
        <w:t>Figure IV</w:t>
      </w:r>
    </w:p>
    <w:p w:rsidR="00013270" w:rsidRDefault="006D64D1" w:rsidP="00167ABF">
      <w:pPr>
        <w:pStyle w:val="SingleTxtG"/>
        <w:keepNext/>
        <w:jc w:val="left"/>
        <w:rPr>
          <w:b/>
          <w:noProof/>
          <w:lang w:eastAsia="fr-CH"/>
        </w:rPr>
      </w:pPr>
      <w:r w:rsidRPr="00013270">
        <w:rPr>
          <w:b/>
        </w:rPr>
        <w:t xml:space="preserve">Engagements au titre de l’Initiative de Batumi, par </w:t>
      </w:r>
      <w:r w:rsidRPr="00013270">
        <w:rPr>
          <w:b/>
          <w:noProof/>
          <w:lang w:eastAsia="fr-CH"/>
        </w:rPr>
        <w:t>secteur</w:t>
      </w:r>
    </w:p>
    <w:p w:rsidR="006D64D1" w:rsidRPr="00957933" w:rsidRDefault="00A21C35" w:rsidP="003B2F96">
      <w:pPr>
        <w:spacing w:after="240"/>
        <w:rPr>
          <w:noProof/>
          <w:lang w:eastAsia="fr-CH"/>
        </w:rPr>
      </w:pPr>
      <w:r w:rsidRPr="00002CA8">
        <w:rPr>
          <w:noProof/>
          <w:lang w:eastAsia="fr-CH"/>
        </w:rPr>
        <mc:AlternateContent>
          <mc:Choice Requires="wps">
            <w:drawing>
              <wp:anchor distT="0" distB="0" distL="114300" distR="114300" simplePos="0" relativeHeight="251527168" behindDoc="0" locked="0" layoutInCell="1" allowOverlap="1" wp14:anchorId="06096644" wp14:editId="31A4F481">
                <wp:simplePos x="0" y="0"/>
                <wp:positionH relativeFrom="column">
                  <wp:posOffset>2291796</wp:posOffset>
                </wp:positionH>
                <wp:positionV relativeFrom="paragraph">
                  <wp:posOffset>2972531</wp:posOffset>
                </wp:positionV>
                <wp:extent cx="832061" cy="171751"/>
                <wp:effectExtent l="0" t="0" r="6350" b="0"/>
                <wp:wrapNone/>
                <wp:docPr id="73" name="Zone de texte 72"/>
                <wp:cNvGraphicFramePr/>
                <a:graphic xmlns:a="http://schemas.openxmlformats.org/drawingml/2006/main">
                  <a:graphicData uri="http://schemas.microsoft.com/office/word/2010/wordprocessingShape">
                    <wps:wsp>
                      <wps:cNvSpPr txBox="1"/>
                      <wps:spPr>
                        <a:xfrm>
                          <a:off x="0" y="0"/>
                          <a:ext cx="832061" cy="171751"/>
                        </a:xfrm>
                        <a:prstGeom prst="rect">
                          <a:avLst/>
                        </a:prstGeom>
                        <a:solidFill>
                          <a:schemeClr val="lt1"/>
                        </a:solidFill>
                        <a:ln w="6350">
                          <a:noFill/>
                        </a:ln>
                      </wps:spPr>
                      <wps:txbx>
                        <w:txbxContent>
                          <w:p w:rsidR="00167ABF" w:rsidRPr="00A21C35" w:rsidRDefault="00A21C35" w:rsidP="00A21C35">
                            <w:pPr>
                              <w:pStyle w:val="NormalWeb"/>
                              <w:kinsoku w:val="0"/>
                              <w:overflowPunct w:val="0"/>
                              <w:spacing w:before="0" w:beforeAutospacing="0" w:afterLines="50" w:after="120" w:afterAutospacing="0" w:line="160" w:lineRule="atLeast"/>
                              <w:ind w:left="0" w:right="0"/>
                              <w:rPr>
                                <w:sz w:val="16"/>
                                <w:szCs w:val="16"/>
                                <w:lang w:val="fr-CH"/>
                              </w:rPr>
                            </w:pPr>
                            <w:r w:rsidRPr="00A21C35">
                              <w:rPr>
                                <w:sz w:val="16"/>
                                <w:szCs w:val="16"/>
                                <w:lang w:val="fr-CH"/>
                              </w:rPr>
                              <w:t>Gouvernements</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96644" id="_x0000_s1036" type="#_x0000_t202" style="position:absolute;left:0;text-align:left;margin-left:180.45pt;margin-top:234.05pt;width:65.5pt;height:13.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" fillcolor="white [3201]" stroked="f" strokeweight=".5pt">
                <v:textbox inset="0,0,0,0">
                  <w:txbxContent>
                    <w:p w:rsidR="00167ABF" w:rsidRPr="00A21C35" w:rsidRDefault="00A21C35" w:rsidP="00A21C35">
                      <w:pPr>
                        <w:pStyle w:val="NormalWeb"/>
                        <w:kinsoku w:val="0"/>
                        <w:overflowPunct w:val="0"/>
                        <w:spacing w:before="0" w:beforeAutospacing="0" w:afterLines="50" w:after="120" w:afterAutospacing="0" w:line="160" w:lineRule="atLeast"/>
                        <w:ind w:left="0" w:right="0"/>
                        <w:rPr>
                          <w:sz w:val="16"/>
                          <w:szCs w:val="16"/>
                          <w:lang w:val="fr-CH"/>
                        </w:rPr>
                      </w:pPr>
                      <w:r w:rsidRPr="00A21C35">
                        <w:rPr>
                          <w:sz w:val="16"/>
                          <w:szCs w:val="16"/>
                          <w:lang w:val="fr-CH"/>
                        </w:rPr>
                        <w:t>Gouvernements</w:t>
                      </w:r>
                    </w:p>
                  </w:txbxContent>
                </v:textbox>
              </v:shape>
            </w:pict>
          </mc:Fallback>
        </mc:AlternateContent>
      </w:r>
      <w:r w:rsidR="003B2F96" w:rsidRPr="00002CA8">
        <w:rPr>
          <w:noProof/>
          <w:lang w:eastAsia="fr-CH"/>
        </w:rPr>
        <mc:AlternateContent>
          <mc:Choice Requires="wps">
            <w:drawing>
              <wp:anchor distT="0" distB="0" distL="114300" distR="114300" simplePos="0" relativeHeight="251504640" behindDoc="0" locked="0" layoutInCell="1" allowOverlap="1" wp14:anchorId="260B34F2" wp14:editId="5FAC3CD7">
                <wp:simplePos x="0" y="0"/>
                <wp:positionH relativeFrom="column">
                  <wp:posOffset>744683</wp:posOffset>
                </wp:positionH>
                <wp:positionV relativeFrom="paragraph">
                  <wp:posOffset>326628</wp:posOffset>
                </wp:positionV>
                <wp:extent cx="1681381" cy="2517775"/>
                <wp:effectExtent l="0" t="0" r="0" b="0"/>
                <wp:wrapNone/>
                <wp:docPr id="6" name="Zone de texte 72"/>
                <wp:cNvGraphicFramePr/>
                <a:graphic xmlns:a="http://schemas.openxmlformats.org/drawingml/2006/main">
                  <a:graphicData uri="http://schemas.microsoft.com/office/word/2010/wordprocessingShape">
                    <wps:wsp>
                      <wps:cNvSpPr txBox="1"/>
                      <wps:spPr>
                        <a:xfrm>
                          <a:off x="0" y="0"/>
                          <a:ext cx="1681381" cy="2517775"/>
                        </a:xfrm>
                        <a:prstGeom prst="rect">
                          <a:avLst/>
                        </a:prstGeom>
                        <a:solidFill>
                          <a:schemeClr val="lt1"/>
                        </a:solidFill>
                        <a:ln w="6350">
                          <a:noFill/>
                        </a:ln>
                      </wps:spPr>
                      <wps:txbx>
                        <w:txbxContent>
                          <w:p w:rsidR="00167ABF" w:rsidRPr="00002CA8" w:rsidRDefault="00167ABF" w:rsidP="00002CA8">
                            <w:pPr>
                              <w:pStyle w:val="SingleTxtG"/>
                              <w:spacing w:afterLines="50" w:line="160" w:lineRule="atLeast"/>
                              <w:ind w:left="0" w:right="0"/>
                              <w:jc w:val="right"/>
                              <w:rPr>
                                <w:noProof/>
                                <w:sz w:val="16"/>
                                <w:szCs w:val="16"/>
                                <w:lang w:eastAsia="fr-CH"/>
                              </w:rPr>
                            </w:pPr>
                            <w:r w:rsidRPr="00002CA8">
                              <w:rPr>
                                <w:noProof/>
                                <w:sz w:val="16"/>
                                <w:szCs w:val="16"/>
                                <w:lang w:eastAsia="fr-CH"/>
                              </w:rPr>
                              <w:t>a) Ensemble de l’économie</w:t>
                            </w:r>
                          </w:p>
                          <w:p w:rsidR="00167ABF" w:rsidRPr="00002CA8" w:rsidRDefault="00167ABF" w:rsidP="00002CA8">
                            <w:pPr>
                              <w:pStyle w:val="SingleTxtG"/>
                              <w:spacing w:afterLines="50" w:line="160" w:lineRule="atLeast"/>
                              <w:ind w:left="0" w:right="0"/>
                              <w:jc w:val="right"/>
                              <w:rPr>
                                <w:noProof/>
                                <w:sz w:val="16"/>
                                <w:szCs w:val="16"/>
                                <w:lang w:eastAsia="fr-CH"/>
                              </w:rPr>
                            </w:pPr>
                            <w:r w:rsidRPr="00002CA8">
                              <w:rPr>
                                <w:noProof/>
                                <w:sz w:val="16"/>
                                <w:szCs w:val="16"/>
                                <w:lang w:eastAsia="fr-CH"/>
                              </w:rPr>
                              <w:t>b) Villes</w:t>
                            </w:r>
                          </w:p>
                          <w:p w:rsidR="00167ABF" w:rsidRPr="00002CA8" w:rsidRDefault="00167ABF" w:rsidP="00002CA8">
                            <w:pPr>
                              <w:pStyle w:val="SingleTxtG"/>
                              <w:spacing w:afterLines="50" w:line="160" w:lineRule="atLeast"/>
                              <w:ind w:left="0" w:right="0"/>
                              <w:jc w:val="right"/>
                              <w:rPr>
                                <w:noProof/>
                                <w:sz w:val="16"/>
                                <w:szCs w:val="16"/>
                                <w:lang w:eastAsia="fr-CH"/>
                              </w:rPr>
                            </w:pPr>
                            <w:r w:rsidRPr="00002CA8">
                              <w:rPr>
                                <w:noProof/>
                                <w:sz w:val="16"/>
                                <w:szCs w:val="16"/>
                                <w:lang w:eastAsia="fr-CH"/>
                              </w:rPr>
                              <w:t>Agriculture</w:t>
                            </w:r>
                          </w:p>
                          <w:p w:rsidR="00167ABF" w:rsidRPr="00002CA8" w:rsidRDefault="00167ABF" w:rsidP="00002CA8">
                            <w:pPr>
                              <w:pStyle w:val="SingleTxtG"/>
                              <w:spacing w:afterLines="50" w:line="160" w:lineRule="atLeast"/>
                              <w:ind w:left="0" w:right="0"/>
                              <w:jc w:val="right"/>
                              <w:rPr>
                                <w:noProof/>
                                <w:sz w:val="16"/>
                                <w:szCs w:val="16"/>
                                <w:lang w:eastAsia="fr-CH"/>
                              </w:rPr>
                            </w:pPr>
                            <w:r w:rsidRPr="00002CA8">
                              <w:rPr>
                                <w:noProof/>
                                <w:sz w:val="16"/>
                                <w:szCs w:val="16"/>
                                <w:lang w:eastAsia="fr-CH"/>
                              </w:rPr>
                              <w:t>Sylviculture et pêche</w:t>
                            </w:r>
                          </w:p>
                          <w:p w:rsidR="00167ABF" w:rsidRPr="00002CA8" w:rsidRDefault="00167ABF" w:rsidP="00002CA8">
                            <w:pPr>
                              <w:pStyle w:val="SingleTxtG"/>
                              <w:spacing w:afterLines="50" w:line="160" w:lineRule="atLeast"/>
                              <w:ind w:left="0" w:right="0"/>
                              <w:jc w:val="right"/>
                              <w:rPr>
                                <w:noProof/>
                                <w:sz w:val="16"/>
                                <w:szCs w:val="16"/>
                                <w:lang w:eastAsia="fr-CH"/>
                              </w:rPr>
                            </w:pPr>
                            <w:r w:rsidRPr="00002CA8">
                              <w:rPr>
                                <w:noProof/>
                                <w:sz w:val="16"/>
                                <w:szCs w:val="16"/>
                                <w:lang w:eastAsia="fr-CH"/>
                              </w:rPr>
                              <w:t>Énergie</w:t>
                            </w:r>
                          </w:p>
                          <w:p w:rsidR="00167ABF" w:rsidRPr="00002CA8" w:rsidRDefault="00167ABF" w:rsidP="00002CA8">
                            <w:pPr>
                              <w:pStyle w:val="SingleTxtG"/>
                              <w:spacing w:afterLines="50" w:line="160" w:lineRule="atLeast"/>
                              <w:ind w:left="0" w:right="0"/>
                              <w:jc w:val="right"/>
                              <w:rPr>
                                <w:noProof/>
                                <w:sz w:val="16"/>
                                <w:szCs w:val="16"/>
                                <w:lang w:eastAsia="fr-CH"/>
                              </w:rPr>
                            </w:pPr>
                            <w:r w:rsidRPr="00002CA8">
                              <w:rPr>
                                <w:noProof/>
                                <w:sz w:val="16"/>
                                <w:szCs w:val="16"/>
                                <w:lang w:eastAsia="fr-CH"/>
                              </w:rPr>
                              <w:t>Secteur minier</w:t>
                            </w:r>
                          </w:p>
                          <w:p w:rsidR="00167ABF" w:rsidRPr="00002CA8" w:rsidRDefault="00167ABF" w:rsidP="00002CA8">
                            <w:pPr>
                              <w:pStyle w:val="SingleTxtG"/>
                              <w:spacing w:afterLines="50" w:line="160" w:lineRule="atLeast"/>
                              <w:ind w:left="0" w:right="0"/>
                              <w:jc w:val="right"/>
                              <w:rPr>
                                <w:noProof/>
                                <w:sz w:val="16"/>
                                <w:szCs w:val="16"/>
                                <w:lang w:eastAsia="fr-CH"/>
                              </w:rPr>
                            </w:pPr>
                            <w:r w:rsidRPr="00002CA8">
                              <w:rPr>
                                <w:noProof/>
                                <w:sz w:val="16"/>
                                <w:szCs w:val="16"/>
                                <w:lang w:eastAsia="fr-CH"/>
                              </w:rPr>
                              <w:t>Secteur manufacturier</w:t>
                            </w:r>
                          </w:p>
                          <w:p w:rsidR="00167ABF" w:rsidRPr="00002CA8" w:rsidRDefault="00167ABF" w:rsidP="00002CA8">
                            <w:pPr>
                              <w:pStyle w:val="SingleTxtG"/>
                              <w:spacing w:afterLines="50" w:line="160" w:lineRule="atLeast"/>
                              <w:ind w:left="0" w:right="0"/>
                              <w:jc w:val="right"/>
                              <w:rPr>
                                <w:noProof/>
                                <w:sz w:val="16"/>
                                <w:szCs w:val="16"/>
                                <w:lang w:eastAsia="fr-CH"/>
                              </w:rPr>
                            </w:pPr>
                            <w:r w:rsidRPr="00002CA8">
                              <w:rPr>
                                <w:noProof/>
                                <w:sz w:val="16"/>
                                <w:szCs w:val="16"/>
                                <w:lang w:eastAsia="fr-CH"/>
                              </w:rPr>
                              <w:t>Transports</w:t>
                            </w:r>
                          </w:p>
                          <w:p w:rsidR="00167ABF" w:rsidRPr="00002CA8" w:rsidRDefault="00167ABF" w:rsidP="00002CA8">
                            <w:pPr>
                              <w:pStyle w:val="SingleTxtG"/>
                              <w:spacing w:afterLines="50" w:line="160" w:lineRule="atLeast"/>
                              <w:ind w:left="0" w:right="0"/>
                              <w:jc w:val="right"/>
                              <w:rPr>
                                <w:noProof/>
                                <w:sz w:val="16"/>
                                <w:szCs w:val="16"/>
                                <w:lang w:eastAsia="fr-CH"/>
                              </w:rPr>
                            </w:pPr>
                            <w:r w:rsidRPr="00002CA8">
                              <w:rPr>
                                <w:noProof/>
                                <w:sz w:val="16"/>
                                <w:szCs w:val="16"/>
                                <w:lang w:eastAsia="fr-CH"/>
                              </w:rPr>
                              <w:t>Eau</w:t>
                            </w:r>
                          </w:p>
                          <w:p w:rsidR="00167ABF" w:rsidRPr="00002CA8" w:rsidRDefault="00167ABF" w:rsidP="00002CA8">
                            <w:pPr>
                              <w:pStyle w:val="SingleTxtG"/>
                              <w:spacing w:afterLines="50" w:line="160" w:lineRule="atLeast"/>
                              <w:ind w:left="0" w:right="0"/>
                              <w:jc w:val="right"/>
                              <w:rPr>
                                <w:noProof/>
                                <w:sz w:val="16"/>
                                <w:szCs w:val="16"/>
                                <w:lang w:eastAsia="fr-CH"/>
                              </w:rPr>
                            </w:pPr>
                            <w:r w:rsidRPr="00002CA8">
                              <w:rPr>
                                <w:noProof/>
                                <w:sz w:val="16"/>
                                <w:szCs w:val="16"/>
                                <w:lang w:eastAsia="fr-CH"/>
                              </w:rPr>
                              <w:t>Déchets</w:t>
                            </w:r>
                          </w:p>
                          <w:p w:rsidR="00167ABF" w:rsidRPr="00002CA8" w:rsidRDefault="00167ABF" w:rsidP="00002CA8">
                            <w:pPr>
                              <w:pStyle w:val="SingleTxtG"/>
                              <w:spacing w:afterLines="50" w:line="160" w:lineRule="atLeast"/>
                              <w:ind w:left="0" w:right="0"/>
                              <w:jc w:val="right"/>
                              <w:rPr>
                                <w:noProof/>
                                <w:sz w:val="16"/>
                                <w:szCs w:val="16"/>
                                <w:lang w:eastAsia="fr-CH"/>
                              </w:rPr>
                            </w:pPr>
                            <w:r w:rsidRPr="00002CA8">
                              <w:rPr>
                                <w:noProof/>
                                <w:sz w:val="16"/>
                                <w:szCs w:val="16"/>
                                <w:lang w:eastAsia="fr-CH"/>
                              </w:rPr>
                              <w:t>Tourisme</w:t>
                            </w:r>
                          </w:p>
                          <w:p w:rsidR="00167ABF" w:rsidRPr="00002CA8" w:rsidRDefault="00167ABF" w:rsidP="00002CA8">
                            <w:pPr>
                              <w:pStyle w:val="SingleTxtG"/>
                              <w:spacing w:afterLines="50" w:line="160" w:lineRule="atLeast"/>
                              <w:ind w:left="0" w:right="0"/>
                              <w:jc w:val="right"/>
                              <w:rPr>
                                <w:sz w:val="16"/>
                                <w:szCs w:val="16"/>
                              </w:rPr>
                            </w:pPr>
                            <w:r w:rsidRPr="00002CA8">
                              <w:rPr>
                                <w:noProof/>
                                <w:sz w:val="16"/>
                                <w:szCs w:val="16"/>
                                <w:lang w:eastAsia="fr-CH"/>
                              </w:rPr>
                              <w:t>Logement, bâtiments et construction</w:t>
                            </w:r>
                          </w:p>
                          <w:p w:rsidR="00167ABF" w:rsidRPr="00002CA8" w:rsidRDefault="00167ABF" w:rsidP="00002CA8">
                            <w:pPr>
                              <w:pStyle w:val="NormalWeb"/>
                              <w:kinsoku w:val="0"/>
                              <w:overflowPunct w:val="0"/>
                              <w:spacing w:before="0" w:beforeAutospacing="0" w:afterLines="50" w:after="120" w:afterAutospacing="0" w:line="160" w:lineRule="atLeast"/>
                              <w:ind w:left="0" w:right="0"/>
                              <w:jc w:val="right"/>
                              <w:rPr>
                                <w:sz w:val="16"/>
                                <w:szCs w:val="16"/>
                                <w:lang w:val="fr-CH"/>
                              </w:rPr>
                            </w:pPr>
                            <w:r w:rsidRPr="00002CA8">
                              <w:rPr>
                                <w:sz w:val="16"/>
                                <w:szCs w:val="16"/>
                              </w:rPr>
                              <w:t>Divers</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B34F2" id="_x0000_s1037" type="#_x0000_t202" style="position:absolute;left:0;text-align:left;margin-left:58.65pt;margin-top:25.7pt;width:132.4pt;height:198.2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" fillcolor="white [3201]" stroked="f" strokeweight=".5pt">
                <v:textbox inset="0,0,0,0">
                  <w:txbxContent>
                    <w:p w:rsidR="00167ABF" w:rsidRPr="00002CA8" w:rsidRDefault="00167ABF" w:rsidP="00002CA8">
                      <w:pPr>
                        <w:pStyle w:val="SingleTxtG"/>
                        <w:spacing w:afterLines="50" w:line="160" w:lineRule="atLeast"/>
                        <w:ind w:left="0" w:right="0"/>
                        <w:jc w:val="right"/>
                        <w:rPr>
                          <w:noProof/>
                          <w:sz w:val="16"/>
                          <w:szCs w:val="16"/>
                          <w:lang w:eastAsia="fr-CH"/>
                        </w:rPr>
                      </w:pPr>
                      <w:r w:rsidRPr="00002CA8">
                        <w:rPr>
                          <w:noProof/>
                          <w:sz w:val="16"/>
                          <w:szCs w:val="16"/>
                          <w:lang w:eastAsia="fr-CH"/>
                        </w:rPr>
                        <w:t>a) Ensemble de l’économie</w:t>
                      </w:r>
                    </w:p>
                    <w:p w:rsidR="00167ABF" w:rsidRPr="00002CA8" w:rsidRDefault="00167ABF" w:rsidP="00002CA8">
                      <w:pPr>
                        <w:pStyle w:val="SingleTxtG"/>
                        <w:spacing w:afterLines="50" w:line="160" w:lineRule="atLeast"/>
                        <w:ind w:left="0" w:right="0"/>
                        <w:jc w:val="right"/>
                        <w:rPr>
                          <w:noProof/>
                          <w:sz w:val="16"/>
                          <w:szCs w:val="16"/>
                          <w:lang w:eastAsia="fr-CH"/>
                        </w:rPr>
                      </w:pPr>
                      <w:r w:rsidRPr="00002CA8">
                        <w:rPr>
                          <w:noProof/>
                          <w:sz w:val="16"/>
                          <w:szCs w:val="16"/>
                          <w:lang w:eastAsia="fr-CH"/>
                        </w:rPr>
                        <w:t>b) Villes</w:t>
                      </w:r>
                    </w:p>
                    <w:p w:rsidR="00167ABF" w:rsidRPr="00002CA8" w:rsidRDefault="00167ABF" w:rsidP="00002CA8">
                      <w:pPr>
                        <w:pStyle w:val="SingleTxtG"/>
                        <w:spacing w:afterLines="50" w:line="160" w:lineRule="atLeast"/>
                        <w:ind w:left="0" w:right="0"/>
                        <w:jc w:val="right"/>
                        <w:rPr>
                          <w:noProof/>
                          <w:sz w:val="16"/>
                          <w:szCs w:val="16"/>
                          <w:lang w:eastAsia="fr-CH"/>
                        </w:rPr>
                      </w:pPr>
                      <w:r w:rsidRPr="00002CA8">
                        <w:rPr>
                          <w:noProof/>
                          <w:sz w:val="16"/>
                          <w:szCs w:val="16"/>
                          <w:lang w:eastAsia="fr-CH"/>
                        </w:rPr>
                        <w:t>Agriculture</w:t>
                      </w:r>
                    </w:p>
                    <w:p w:rsidR="00167ABF" w:rsidRPr="00002CA8" w:rsidRDefault="00167ABF" w:rsidP="00002CA8">
                      <w:pPr>
                        <w:pStyle w:val="SingleTxtG"/>
                        <w:spacing w:afterLines="50" w:line="160" w:lineRule="atLeast"/>
                        <w:ind w:left="0" w:right="0"/>
                        <w:jc w:val="right"/>
                        <w:rPr>
                          <w:noProof/>
                          <w:sz w:val="16"/>
                          <w:szCs w:val="16"/>
                          <w:lang w:eastAsia="fr-CH"/>
                        </w:rPr>
                      </w:pPr>
                      <w:r w:rsidRPr="00002CA8">
                        <w:rPr>
                          <w:noProof/>
                          <w:sz w:val="16"/>
                          <w:szCs w:val="16"/>
                          <w:lang w:eastAsia="fr-CH"/>
                        </w:rPr>
                        <w:t>Sylviculture et pêche</w:t>
                      </w:r>
                    </w:p>
                    <w:p w:rsidR="00167ABF" w:rsidRPr="00002CA8" w:rsidRDefault="00167ABF" w:rsidP="00002CA8">
                      <w:pPr>
                        <w:pStyle w:val="SingleTxtG"/>
                        <w:spacing w:afterLines="50" w:line="160" w:lineRule="atLeast"/>
                        <w:ind w:left="0" w:right="0"/>
                        <w:jc w:val="right"/>
                        <w:rPr>
                          <w:noProof/>
                          <w:sz w:val="16"/>
                          <w:szCs w:val="16"/>
                          <w:lang w:eastAsia="fr-CH"/>
                        </w:rPr>
                      </w:pPr>
                      <w:r w:rsidRPr="00002CA8">
                        <w:rPr>
                          <w:noProof/>
                          <w:sz w:val="16"/>
                          <w:szCs w:val="16"/>
                          <w:lang w:eastAsia="fr-CH"/>
                        </w:rPr>
                        <w:t>Énergie</w:t>
                      </w:r>
                    </w:p>
                    <w:p w:rsidR="00167ABF" w:rsidRPr="00002CA8" w:rsidRDefault="00167ABF" w:rsidP="00002CA8">
                      <w:pPr>
                        <w:pStyle w:val="SingleTxtG"/>
                        <w:spacing w:afterLines="50" w:line="160" w:lineRule="atLeast"/>
                        <w:ind w:left="0" w:right="0"/>
                        <w:jc w:val="right"/>
                        <w:rPr>
                          <w:noProof/>
                          <w:sz w:val="16"/>
                          <w:szCs w:val="16"/>
                          <w:lang w:eastAsia="fr-CH"/>
                        </w:rPr>
                      </w:pPr>
                      <w:r w:rsidRPr="00002CA8">
                        <w:rPr>
                          <w:noProof/>
                          <w:sz w:val="16"/>
                          <w:szCs w:val="16"/>
                          <w:lang w:eastAsia="fr-CH"/>
                        </w:rPr>
                        <w:t>Secteur minier</w:t>
                      </w:r>
                    </w:p>
                    <w:p w:rsidR="00167ABF" w:rsidRPr="00002CA8" w:rsidRDefault="00167ABF" w:rsidP="00002CA8">
                      <w:pPr>
                        <w:pStyle w:val="SingleTxtG"/>
                        <w:spacing w:afterLines="50" w:line="160" w:lineRule="atLeast"/>
                        <w:ind w:left="0" w:right="0"/>
                        <w:jc w:val="right"/>
                        <w:rPr>
                          <w:noProof/>
                          <w:sz w:val="16"/>
                          <w:szCs w:val="16"/>
                          <w:lang w:eastAsia="fr-CH"/>
                        </w:rPr>
                      </w:pPr>
                      <w:r w:rsidRPr="00002CA8">
                        <w:rPr>
                          <w:noProof/>
                          <w:sz w:val="16"/>
                          <w:szCs w:val="16"/>
                          <w:lang w:eastAsia="fr-CH"/>
                        </w:rPr>
                        <w:t>Secteur manufacturier</w:t>
                      </w:r>
                    </w:p>
                    <w:p w:rsidR="00167ABF" w:rsidRPr="00002CA8" w:rsidRDefault="00167ABF" w:rsidP="00002CA8">
                      <w:pPr>
                        <w:pStyle w:val="SingleTxtG"/>
                        <w:spacing w:afterLines="50" w:line="160" w:lineRule="atLeast"/>
                        <w:ind w:left="0" w:right="0"/>
                        <w:jc w:val="right"/>
                        <w:rPr>
                          <w:noProof/>
                          <w:sz w:val="16"/>
                          <w:szCs w:val="16"/>
                          <w:lang w:eastAsia="fr-CH"/>
                        </w:rPr>
                      </w:pPr>
                      <w:r w:rsidRPr="00002CA8">
                        <w:rPr>
                          <w:noProof/>
                          <w:sz w:val="16"/>
                          <w:szCs w:val="16"/>
                          <w:lang w:eastAsia="fr-CH"/>
                        </w:rPr>
                        <w:t>Transports</w:t>
                      </w:r>
                    </w:p>
                    <w:p w:rsidR="00167ABF" w:rsidRPr="00002CA8" w:rsidRDefault="00167ABF" w:rsidP="00002CA8">
                      <w:pPr>
                        <w:pStyle w:val="SingleTxtG"/>
                        <w:spacing w:afterLines="50" w:line="160" w:lineRule="atLeast"/>
                        <w:ind w:left="0" w:right="0"/>
                        <w:jc w:val="right"/>
                        <w:rPr>
                          <w:noProof/>
                          <w:sz w:val="16"/>
                          <w:szCs w:val="16"/>
                          <w:lang w:eastAsia="fr-CH"/>
                        </w:rPr>
                      </w:pPr>
                      <w:r w:rsidRPr="00002CA8">
                        <w:rPr>
                          <w:noProof/>
                          <w:sz w:val="16"/>
                          <w:szCs w:val="16"/>
                          <w:lang w:eastAsia="fr-CH"/>
                        </w:rPr>
                        <w:t>Eau</w:t>
                      </w:r>
                    </w:p>
                    <w:p w:rsidR="00167ABF" w:rsidRPr="00002CA8" w:rsidRDefault="00167ABF" w:rsidP="00002CA8">
                      <w:pPr>
                        <w:pStyle w:val="SingleTxtG"/>
                        <w:spacing w:afterLines="50" w:line="160" w:lineRule="atLeast"/>
                        <w:ind w:left="0" w:right="0"/>
                        <w:jc w:val="right"/>
                        <w:rPr>
                          <w:noProof/>
                          <w:sz w:val="16"/>
                          <w:szCs w:val="16"/>
                          <w:lang w:eastAsia="fr-CH"/>
                        </w:rPr>
                      </w:pPr>
                      <w:r w:rsidRPr="00002CA8">
                        <w:rPr>
                          <w:noProof/>
                          <w:sz w:val="16"/>
                          <w:szCs w:val="16"/>
                          <w:lang w:eastAsia="fr-CH"/>
                        </w:rPr>
                        <w:t>Déchets</w:t>
                      </w:r>
                    </w:p>
                    <w:p w:rsidR="00167ABF" w:rsidRPr="00002CA8" w:rsidRDefault="00167ABF" w:rsidP="00002CA8">
                      <w:pPr>
                        <w:pStyle w:val="SingleTxtG"/>
                        <w:spacing w:afterLines="50" w:line="160" w:lineRule="atLeast"/>
                        <w:ind w:left="0" w:right="0"/>
                        <w:jc w:val="right"/>
                        <w:rPr>
                          <w:noProof/>
                          <w:sz w:val="16"/>
                          <w:szCs w:val="16"/>
                          <w:lang w:eastAsia="fr-CH"/>
                        </w:rPr>
                      </w:pPr>
                      <w:r w:rsidRPr="00002CA8">
                        <w:rPr>
                          <w:noProof/>
                          <w:sz w:val="16"/>
                          <w:szCs w:val="16"/>
                          <w:lang w:eastAsia="fr-CH"/>
                        </w:rPr>
                        <w:t>Tourisme</w:t>
                      </w:r>
                    </w:p>
                    <w:p w:rsidR="00167ABF" w:rsidRPr="00002CA8" w:rsidRDefault="00167ABF" w:rsidP="00002CA8">
                      <w:pPr>
                        <w:pStyle w:val="SingleTxtG"/>
                        <w:spacing w:afterLines="50" w:line="160" w:lineRule="atLeast"/>
                        <w:ind w:left="0" w:right="0"/>
                        <w:jc w:val="right"/>
                        <w:rPr>
                          <w:sz w:val="16"/>
                          <w:szCs w:val="16"/>
                        </w:rPr>
                      </w:pPr>
                      <w:r w:rsidRPr="00002CA8">
                        <w:rPr>
                          <w:noProof/>
                          <w:sz w:val="16"/>
                          <w:szCs w:val="16"/>
                          <w:lang w:eastAsia="fr-CH"/>
                        </w:rPr>
                        <w:t>Logement, bâtiments et construction</w:t>
                      </w:r>
                    </w:p>
                    <w:p w:rsidR="00167ABF" w:rsidRPr="00002CA8" w:rsidRDefault="00167ABF" w:rsidP="00002CA8">
                      <w:pPr>
                        <w:pStyle w:val="NormalWeb"/>
                        <w:kinsoku w:val="0"/>
                        <w:overflowPunct w:val="0"/>
                        <w:spacing w:before="0" w:beforeAutospacing="0" w:afterLines="50" w:after="120" w:afterAutospacing="0" w:line="160" w:lineRule="atLeast"/>
                        <w:ind w:left="0" w:right="0"/>
                        <w:jc w:val="right"/>
                        <w:rPr>
                          <w:sz w:val="16"/>
                          <w:szCs w:val="16"/>
                          <w:lang w:val="fr-CH"/>
                        </w:rPr>
                      </w:pPr>
                      <w:r w:rsidRPr="00002CA8">
                        <w:rPr>
                          <w:sz w:val="16"/>
                          <w:szCs w:val="16"/>
                        </w:rPr>
                        <w:t>Divers</w:t>
                      </w:r>
                    </w:p>
                  </w:txbxContent>
                </v:textbox>
              </v:shape>
            </w:pict>
          </mc:Fallback>
        </mc:AlternateContent>
      </w:r>
      <w:r w:rsidR="006D64D1" w:rsidRPr="00957933">
        <w:rPr>
          <w:noProof/>
          <w:lang w:eastAsia="fr-CH"/>
        </w:rPr>
        <w:drawing>
          <wp:inline distT="0" distB="0" distL="0" distR="0" wp14:anchorId="0DBC7112" wp14:editId="114A75DE">
            <wp:extent cx="4680000" cy="3236400"/>
            <wp:effectExtent l="0" t="0" r="6350" b="2540"/>
            <wp:docPr id="5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D64D1" w:rsidRPr="00957933" w:rsidRDefault="006D64D1" w:rsidP="00167ABF">
      <w:pPr>
        <w:pStyle w:val="Titre1"/>
      </w:pPr>
      <w:r w:rsidRPr="00957933">
        <w:t>Figure V</w:t>
      </w:r>
    </w:p>
    <w:p w:rsidR="006D64D1" w:rsidRPr="00167ABF" w:rsidRDefault="006D64D1" w:rsidP="00167ABF">
      <w:pPr>
        <w:pStyle w:val="SingleTxtG"/>
        <w:jc w:val="left"/>
        <w:rPr>
          <w:b/>
        </w:rPr>
      </w:pPr>
      <w:r w:rsidRPr="00167ABF">
        <w:rPr>
          <w:b/>
        </w:rPr>
        <w:t xml:space="preserve">Engagements au titre de l’Initiative de Batumi, par objectif </w:t>
      </w:r>
      <w:r w:rsidR="00C90704">
        <w:rPr>
          <w:b/>
        </w:rPr>
        <w:br/>
      </w:r>
      <w:r w:rsidRPr="00167ABF">
        <w:rPr>
          <w:b/>
        </w:rPr>
        <w:t>de développement durable</w:t>
      </w:r>
    </w:p>
    <w:p w:rsidR="006D64D1" w:rsidRPr="00957933" w:rsidRDefault="00B62355" w:rsidP="00B62355">
      <w:pPr>
        <w:pStyle w:val="SingleTxtG"/>
        <w:spacing w:after="240"/>
      </w:pPr>
      <w:r w:rsidRPr="00002CA8">
        <w:rPr>
          <w:noProof/>
          <w:lang w:eastAsia="fr-CH"/>
        </w:rPr>
        <mc:AlternateContent>
          <mc:Choice Requires="wps">
            <w:drawing>
              <wp:anchor distT="0" distB="0" distL="114300" distR="114300" simplePos="0" relativeHeight="251580416" behindDoc="0" locked="0" layoutInCell="1" allowOverlap="1" wp14:anchorId="09D454FB" wp14:editId="31CCC4A0">
                <wp:simplePos x="0" y="0"/>
                <wp:positionH relativeFrom="column">
                  <wp:posOffset>3128192</wp:posOffset>
                </wp:positionH>
                <wp:positionV relativeFrom="paragraph">
                  <wp:posOffset>3583967</wp:posOffset>
                </wp:positionV>
                <wp:extent cx="1780506" cy="158750"/>
                <wp:effectExtent l="0" t="0" r="0" b="0"/>
                <wp:wrapNone/>
                <wp:docPr id="77" name="Zone de texte 72"/>
                <wp:cNvGraphicFramePr/>
                <a:graphic xmlns:a="http://schemas.openxmlformats.org/drawingml/2006/main">
                  <a:graphicData uri="http://schemas.microsoft.com/office/word/2010/wordprocessingShape">
                    <wps:wsp>
                      <wps:cNvSpPr txBox="1"/>
                      <wps:spPr>
                        <a:xfrm>
                          <a:off x="0" y="0"/>
                          <a:ext cx="1780506" cy="158750"/>
                        </a:xfrm>
                        <a:prstGeom prst="rect">
                          <a:avLst/>
                        </a:prstGeom>
                        <a:solidFill>
                          <a:schemeClr val="lt1"/>
                        </a:solidFill>
                        <a:ln w="6350">
                          <a:noFill/>
                        </a:ln>
                      </wps:spPr>
                      <wps:txbx>
                        <w:txbxContent>
                          <w:p w:rsidR="00A21C35" w:rsidRPr="00A21C35" w:rsidRDefault="00A21C35" w:rsidP="00A21C35">
                            <w:pPr>
                              <w:pStyle w:val="NormalWeb"/>
                              <w:kinsoku w:val="0"/>
                              <w:overflowPunct w:val="0"/>
                              <w:spacing w:before="0" w:beforeAutospacing="0" w:afterLines="50" w:after="120" w:afterAutospacing="0" w:line="160" w:lineRule="atLeast"/>
                              <w:ind w:left="0" w:right="0"/>
                              <w:rPr>
                                <w:sz w:val="16"/>
                                <w:szCs w:val="16"/>
                                <w:lang w:val="fr-CH"/>
                              </w:rPr>
                            </w:pPr>
                            <w:r w:rsidRPr="00A21C35">
                              <w:rPr>
                                <w:sz w:val="16"/>
                                <w:szCs w:val="16"/>
                                <w:lang w:val="fr-CH"/>
                              </w:rPr>
                              <w:t>Parties prenantes non gouvernementales</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454FB" id="_x0000_s1038" type="#_x0000_t202" style="position:absolute;left:0;text-align:left;margin-left:246.3pt;margin-top:282.2pt;width:140.2pt;height:12.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" fillcolor="white [3201]" stroked="f" strokeweight=".5pt">
                <v:textbox inset="0,0,0,0">
                  <w:txbxContent>
                    <w:p w:rsidR="00A21C35" w:rsidRPr="00A21C35" w:rsidRDefault="00A21C35" w:rsidP="00A21C35">
                      <w:pPr>
                        <w:pStyle w:val="NormalWeb"/>
                        <w:kinsoku w:val="0"/>
                        <w:overflowPunct w:val="0"/>
                        <w:spacing w:before="0" w:beforeAutospacing="0" w:afterLines="50" w:after="120" w:afterAutospacing="0" w:line="160" w:lineRule="atLeast"/>
                        <w:ind w:left="0" w:right="0"/>
                        <w:rPr>
                          <w:sz w:val="16"/>
                          <w:szCs w:val="16"/>
                          <w:lang w:val="fr-CH"/>
                        </w:rPr>
                      </w:pPr>
                      <w:r w:rsidRPr="00A21C35">
                        <w:rPr>
                          <w:sz w:val="16"/>
                          <w:szCs w:val="16"/>
                          <w:lang w:val="fr-CH"/>
                        </w:rPr>
                        <w:t>Parties prenantes non gouvernementales</w:t>
                      </w:r>
                    </w:p>
                  </w:txbxContent>
                </v:textbox>
              </v:shape>
            </w:pict>
          </mc:Fallback>
        </mc:AlternateContent>
      </w:r>
      <w:r w:rsidR="00A21C35" w:rsidRPr="00002CA8">
        <w:rPr>
          <w:noProof/>
          <w:lang w:eastAsia="fr-CH"/>
        </w:rPr>
        <mc:AlternateContent>
          <mc:Choice Requires="wps">
            <w:drawing>
              <wp:anchor distT="0" distB="0" distL="114300" distR="114300" simplePos="0" relativeHeight="251554816" behindDoc="0" locked="0" layoutInCell="1" allowOverlap="1" wp14:anchorId="09D454FB" wp14:editId="31CCC4A0">
                <wp:simplePos x="0" y="0"/>
                <wp:positionH relativeFrom="column">
                  <wp:posOffset>2300465</wp:posOffset>
                </wp:positionH>
                <wp:positionV relativeFrom="paragraph">
                  <wp:posOffset>3579633</wp:posOffset>
                </wp:positionV>
                <wp:extent cx="740900" cy="167974"/>
                <wp:effectExtent l="0" t="0" r="2540" b="3810"/>
                <wp:wrapNone/>
                <wp:docPr id="74" name="Zone de texte 72"/>
                <wp:cNvGraphicFramePr/>
                <a:graphic xmlns:a="http://schemas.openxmlformats.org/drawingml/2006/main">
                  <a:graphicData uri="http://schemas.microsoft.com/office/word/2010/wordprocessingShape">
                    <wps:wsp>
                      <wps:cNvSpPr txBox="1"/>
                      <wps:spPr>
                        <a:xfrm>
                          <a:off x="0" y="0"/>
                          <a:ext cx="740900" cy="167974"/>
                        </a:xfrm>
                        <a:prstGeom prst="rect">
                          <a:avLst/>
                        </a:prstGeom>
                        <a:solidFill>
                          <a:schemeClr val="lt1"/>
                        </a:solidFill>
                        <a:ln w="6350">
                          <a:noFill/>
                        </a:ln>
                      </wps:spPr>
                      <wps:txbx>
                        <w:txbxContent>
                          <w:p w:rsidR="00A21C35" w:rsidRPr="00A21C35" w:rsidRDefault="00A21C35" w:rsidP="00A21C35">
                            <w:pPr>
                              <w:pStyle w:val="NormalWeb"/>
                              <w:kinsoku w:val="0"/>
                              <w:overflowPunct w:val="0"/>
                              <w:spacing w:before="0" w:beforeAutospacing="0" w:afterLines="50" w:after="120" w:afterAutospacing="0" w:line="160" w:lineRule="atLeast"/>
                              <w:ind w:left="0" w:right="0"/>
                              <w:rPr>
                                <w:sz w:val="16"/>
                                <w:szCs w:val="16"/>
                                <w:lang w:val="fr-CH"/>
                              </w:rPr>
                            </w:pPr>
                            <w:r w:rsidRPr="00A21C35">
                              <w:rPr>
                                <w:sz w:val="16"/>
                                <w:szCs w:val="16"/>
                                <w:lang w:val="fr-CH"/>
                              </w:rPr>
                              <w:t>Gouvernements</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454FB" id="_x0000_s1039" type="#_x0000_t202" style="position:absolute;left:0;text-align:left;margin-left:181.15pt;margin-top:281.85pt;width:58.35pt;height:13.2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" fillcolor="white [3201]" stroked="f" strokeweight=".5pt">
                <v:textbox inset="0,0,0,0">
                  <w:txbxContent>
                    <w:p w:rsidR="00A21C35" w:rsidRPr="00A21C35" w:rsidRDefault="00A21C35" w:rsidP="00A21C35">
                      <w:pPr>
                        <w:pStyle w:val="NormalWeb"/>
                        <w:kinsoku w:val="0"/>
                        <w:overflowPunct w:val="0"/>
                        <w:spacing w:before="0" w:beforeAutospacing="0" w:afterLines="50" w:after="120" w:afterAutospacing="0" w:line="160" w:lineRule="atLeast"/>
                        <w:ind w:left="0" w:right="0"/>
                        <w:rPr>
                          <w:sz w:val="16"/>
                          <w:szCs w:val="16"/>
                          <w:lang w:val="fr-CH"/>
                        </w:rPr>
                      </w:pPr>
                      <w:r w:rsidRPr="00A21C35">
                        <w:rPr>
                          <w:sz w:val="16"/>
                          <w:szCs w:val="16"/>
                          <w:lang w:val="fr-CH"/>
                        </w:rPr>
                        <w:t>Gouvernements</w:t>
                      </w:r>
                    </w:p>
                  </w:txbxContent>
                </v:textbox>
              </v:shape>
            </w:pict>
          </mc:Fallback>
        </mc:AlternateContent>
      </w:r>
      <w:r w:rsidR="006D64D1" w:rsidRPr="00957933">
        <w:rPr>
          <w:noProof/>
          <w:lang w:eastAsia="fr-CH"/>
        </w:rPr>
        <w:drawing>
          <wp:inline distT="0" distB="0" distL="0" distR="0" wp14:anchorId="70986D35" wp14:editId="22A286DD">
            <wp:extent cx="4680000" cy="3830400"/>
            <wp:effectExtent l="0" t="0" r="6350" b="17780"/>
            <wp:docPr id="65"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D64D1" w:rsidRPr="00957933" w:rsidRDefault="00685C8C" w:rsidP="00C90704">
      <w:pPr>
        <w:pStyle w:val="Titre1"/>
      </w:pPr>
      <w:r>
        <w:br w:type="page"/>
      </w:r>
      <w:r w:rsidR="006D64D1" w:rsidRPr="00957933">
        <w:lastRenderedPageBreak/>
        <w:t>Figure VI</w:t>
      </w:r>
    </w:p>
    <w:p w:rsidR="006D64D1" w:rsidRDefault="006D64D1" w:rsidP="00685C8C">
      <w:pPr>
        <w:pStyle w:val="SingleTxtG"/>
        <w:jc w:val="left"/>
        <w:rPr>
          <w:noProof/>
          <w:lang w:eastAsia="fr-CH"/>
        </w:rPr>
      </w:pPr>
      <w:r w:rsidRPr="00C90704">
        <w:rPr>
          <w:b/>
        </w:rPr>
        <w:t xml:space="preserve">Progression de la mise en œuvre des engagements pris au titre </w:t>
      </w:r>
      <w:r w:rsidR="00C90704">
        <w:rPr>
          <w:b/>
        </w:rPr>
        <w:br/>
      </w:r>
      <w:r w:rsidRPr="00C90704">
        <w:rPr>
          <w:b/>
        </w:rPr>
        <w:t xml:space="preserve">de l’Initiative de Batumi </w:t>
      </w:r>
    </w:p>
    <w:p w:rsidR="00685C8C" w:rsidRDefault="000927D5" w:rsidP="00685C8C">
      <w:r w:rsidRPr="00002CA8">
        <w:rPr>
          <w:noProof/>
          <w:lang w:eastAsia="fr-CH"/>
        </w:rPr>
        <mc:AlternateContent>
          <mc:Choice Requires="wps">
            <w:drawing>
              <wp:anchor distT="0" distB="0" distL="114300" distR="114300" simplePos="0" relativeHeight="251641344" behindDoc="0" locked="0" layoutInCell="1" allowOverlap="1" wp14:anchorId="2CBFC9FC" wp14:editId="54B495B9">
                <wp:simplePos x="0" y="0"/>
                <wp:positionH relativeFrom="column">
                  <wp:posOffset>2744181</wp:posOffset>
                </wp:positionH>
                <wp:positionV relativeFrom="paragraph">
                  <wp:posOffset>2444986</wp:posOffset>
                </wp:positionV>
                <wp:extent cx="1280160" cy="282158"/>
                <wp:effectExtent l="0" t="0" r="0" b="3810"/>
                <wp:wrapNone/>
                <wp:docPr id="78" name="Zone de texte 72"/>
                <wp:cNvGraphicFramePr/>
                <a:graphic xmlns:a="http://schemas.openxmlformats.org/drawingml/2006/main">
                  <a:graphicData uri="http://schemas.microsoft.com/office/word/2010/wordprocessingShape">
                    <wps:wsp>
                      <wps:cNvSpPr txBox="1"/>
                      <wps:spPr>
                        <a:xfrm>
                          <a:off x="0" y="0"/>
                          <a:ext cx="1280160" cy="282158"/>
                        </a:xfrm>
                        <a:prstGeom prst="rect">
                          <a:avLst/>
                        </a:prstGeom>
                        <a:solidFill>
                          <a:schemeClr val="lt1"/>
                        </a:solidFill>
                        <a:ln w="6350">
                          <a:noFill/>
                        </a:ln>
                      </wps:spPr>
                      <wps:txbx>
                        <w:txbxContent>
                          <w:p w:rsidR="00C90704" w:rsidRPr="00A21C35" w:rsidRDefault="00C90704" w:rsidP="00C90704">
                            <w:pPr>
                              <w:pStyle w:val="NormalWeb"/>
                              <w:kinsoku w:val="0"/>
                              <w:overflowPunct w:val="0"/>
                              <w:spacing w:before="0" w:beforeAutospacing="0" w:afterLines="50" w:after="120" w:afterAutospacing="0" w:line="160" w:lineRule="atLeast"/>
                              <w:ind w:left="0" w:right="0"/>
                              <w:jc w:val="center"/>
                              <w:rPr>
                                <w:sz w:val="16"/>
                                <w:szCs w:val="16"/>
                                <w:lang w:val="fr-CH"/>
                              </w:rPr>
                            </w:pPr>
                            <w:r w:rsidRPr="00A21C35">
                              <w:rPr>
                                <w:sz w:val="16"/>
                                <w:szCs w:val="16"/>
                                <w:lang w:val="fr-CH"/>
                              </w:rPr>
                              <w:t xml:space="preserve">Parties prenantes </w:t>
                            </w:r>
                            <w:r>
                              <w:rPr>
                                <w:sz w:val="16"/>
                                <w:szCs w:val="16"/>
                                <w:lang w:val="fr-CH"/>
                              </w:rPr>
                              <w:br/>
                            </w:r>
                            <w:r w:rsidRPr="00A21C35">
                              <w:rPr>
                                <w:sz w:val="16"/>
                                <w:szCs w:val="16"/>
                                <w:lang w:val="fr-CH"/>
                              </w:rPr>
                              <w:t>non gouvernementales</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FC9FC" id="_x0000_s1040" type="#_x0000_t202" style="position:absolute;left:0;text-align:left;margin-left:216.1pt;margin-top:192.5pt;width:100.8pt;height:22.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" fillcolor="white [3201]" stroked="f" strokeweight=".5pt">
                <v:textbox inset="0,0,0,0">
                  <w:txbxContent>
                    <w:p w:rsidR="00C90704" w:rsidRPr="00A21C35" w:rsidRDefault="00C90704" w:rsidP="00C90704">
                      <w:pPr>
                        <w:pStyle w:val="NormalWeb"/>
                        <w:kinsoku w:val="0"/>
                        <w:overflowPunct w:val="0"/>
                        <w:spacing w:before="0" w:beforeAutospacing="0" w:afterLines="50" w:after="120" w:afterAutospacing="0" w:line="160" w:lineRule="atLeast"/>
                        <w:ind w:left="0" w:right="0"/>
                        <w:jc w:val="center"/>
                        <w:rPr>
                          <w:sz w:val="16"/>
                          <w:szCs w:val="16"/>
                          <w:lang w:val="fr-CH"/>
                        </w:rPr>
                      </w:pPr>
                      <w:r w:rsidRPr="00A21C35">
                        <w:rPr>
                          <w:sz w:val="16"/>
                          <w:szCs w:val="16"/>
                          <w:lang w:val="fr-CH"/>
                        </w:rPr>
                        <w:t xml:space="preserve">Parties prenantes </w:t>
                      </w:r>
                      <w:r>
                        <w:rPr>
                          <w:sz w:val="16"/>
                          <w:szCs w:val="16"/>
                          <w:lang w:val="fr-CH"/>
                        </w:rPr>
                        <w:br/>
                      </w:r>
                      <w:r w:rsidRPr="00A21C35">
                        <w:rPr>
                          <w:sz w:val="16"/>
                          <w:szCs w:val="16"/>
                          <w:lang w:val="fr-CH"/>
                        </w:rPr>
                        <w:t>non gouvernementales</w:t>
                      </w:r>
                    </w:p>
                  </w:txbxContent>
                </v:textbox>
              </v:shape>
            </w:pict>
          </mc:Fallback>
        </mc:AlternateContent>
      </w:r>
      <w:r w:rsidR="00685C8C" w:rsidRPr="00002CA8">
        <w:rPr>
          <w:noProof/>
          <w:lang w:eastAsia="fr-CH"/>
        </w:rPr>
        <mc:AlternateContent>
          <mc:Choice Requires="wps">
            <w:drawing>
              <wp:anchor distT="0" distB="0" distL="114300" distR="114300" simplePos="0" relativeHeight="251642368" behindDoc="0" locked="0" layoutInCell="1" allowOverlap="1" wp14:anchorId="14C30CD7" wp14:editId="19D040D7">
                <wp:simplePos x="0" y="0"/>
                <wp:positionH relativeFrom="column">
                  <wp:posOffset>4462091</wp:posOffset>
                </wp:positionH>
                <wp:positionV relativeFrom="paragraph">
                  <wp:posOffset>844296</wp:posOffset>
                </wp:positionV>
                <wp:extent cx="922734" cy="1079078"/>
                <wp:effectExtent l="0" t="0" r="0" b="6985"/>
                <wp:wrapNone/>
                <wp:docPr id="79" name="Zone de texte 72"/>
                <wp:cNvGraphicFramePr/>
                <a:graphic xmlns:a="http://schemas.openxmlformats.org/drawingml/2006/main">
                  <a:graphicData uri="http://schemas.microsoft.com/office/word/2010/wordprocessingShape">
                    <wps:wsp>
                      <wps:cNvSpPr txBox="1"/>
                      <wps:spPr>
                        <a:xfrm>
                          <a:off x="0" y="0"/>
                          <a:ext cx="922734" cy="1079078"/>
                        </a:xfrm>
                        <a:prstGeom prst="rect">
                          <a:avLst/>
                        </a:prstGeom>
                        <a:solidFill>
                          <a:schemeClr val="lt1"/>
                        </a:solidFill>
                        <a:ln w="6350">
                          <a:noFill/>
                        </a:ln>
                      </wps:spPr>
                      <wps:txbx>
                        <w:txbxContent>
                          <w:p w:rsidR="00C90704" w:rsidRPr="00C90704" w:rsidRDefault="00C90704" w:rsidP="00C90704">
                            <w:pPr>
                              <w:pStyle w:val="SingleTxtG"/>
                              <w:spacing w:after="180" w:line="240" w:lineRule="auto"/>
                              <w:ind w:left="0" w:right="0"/>
                              <w:jc w:val="left"/>
                              <w:rPr>
                                <w:sz w:val="16"/>
                                <w:szCs w:val="16"/>
                              </w:rPr>
                            </w:pPr>
                            <w:r w:rsidRPr="00C90704">
                              <w:rPr>
                                <w:sz w:val="16"/>
                                <w:szCs w:val="16"/>
                              </w:rPr>
                              <w:t>Non</w:t>
                            </w:r>
                          </w:p>
                          <w:p w:rsidR="00C90704" w:rsidRPr="00C90704" w:rsidRDefault="00C90704" w:rsidP="00C90704">
                            <w:pPr>
                              <w:pStyle w:val="SingleTxtG"/>
                              <w:spacing w:after="180" w:line="240" w:lineRule="auto"/>
                              <w:ind w:left="0" w:right="0"/>
                              <w:jc w:val="left"/>
                              <w:rPr>
                                <w:sz w:val="16"/>
                                <w:szCs w:val="16"/>
                              </w:rPr>
                            </w:pPr>
                            <w:r w:rsidRPr="00C90704">
                              <w:rPr>
                                <w:sz w:val="16"/>
                                <w:szCs w:val="16"/>
                              </w:rPr>
                              <w:t>En cours</w:t>
                            </w:r>
                            <w:r w:rsidR="00E731D1">
                              <w:rPr>
                                <w:sz w:val="16"/>
                                <w:szCs w:val="16"/>
                              </w:rPr>
                              <w:t xml:space="preserve"> </w:t>
                            </w:r>
                            <w:r w:rsidRPr="00C90704">
                              <w:rPr>
                                <w:sz w:val="16"/>
                                <w:szCs w:val="16"/>
                              </w:rPr>
                              <w:t>+</w:t>
                            </w:r>
                            <w:r w:rsidR="00E731D1">
                              <w:rPr>
                                <w:sz w:val="16"/>
                                <w:szCs w:val="16"/>
                              </w:rPr>
                              <w:t xml:space="preserve"> </w:t>
                            </w:r>
                            <w:r w:rsidRPr="00C90704">
                              <w:rPr>
                                <w:sz w:val="16"/>
                                <w:szCs w:val="16"/>
                              </w:rPr>
                              <w:t>non</w:t>
                            </w:r>
                          </w:p>
                          <w:p w:rsidR="00C90704" w:rsidRPr="00C90704" w:rsidRDefault="00C90704" w:rsidP="00C90704">
                            <w:pPr>
                              <w:pStyle w:val="SingleTxtG"/>
                              <w:spacing w:after="180" w:line="240" w:lineRule="auto"/>
                              <w:ind w:left="0" w:right="0"/>
                              <w:jc w:val="left"/>
                              <w:rPr>
                                <w:sz w:val="16"/>
                                <w:szCs w:val="16"/>
                              </w:rPr>
                            </w:pPr>
                            <w:r w:rsidRPr="00C90704">
                              <w:rPr>
                                <w:sz w:val="16"/>
                                <w:szCs w:val="16"/>
                              </w:rPr>
                              <w:t>En cours</w:t>
                            </w:r>
                          </w:p>
                          <w:p w:rsidR="00C90704" w:rsidRPr="00C90704" w:rsidRDefault="00C90704" w:rsidP="00C90704">
                            <w:pPr>
                              <w:pStyle w:val="SingleTxtG"/>
                              <w:spacing w:after="180" w:line="240" w:lineRule="auto"/>
                              <w:ind w:left="0" w:right="0"/>
                              <w:jc w:val="left"/>
                              <w:rPr>
                                <w:sz w:val="16"/>
                                <w:szCs w:val="16"/>
                              </w:rPr>
                            </w:pPr>
                            <w:r w:rsidRPr="00C90704">
                              <w:rPr>
                                <w:sz w:val="16"/>
                                <w:szCs w:val="16"/>
                              </w:rPr>
                              <w:t>Oui</w:t>
                            </w:r>
                            <w:r w:rsidR="00E731D1">
                              <w:rPr>
                                <w:sz w:val="16"/>
                                <w:szCs w:val="16"/>
                              </w:rPr>
                              <w:t xml:space="preserve"> </w:t>
                            </w:r>
                            <w:r w:rsidRPr="00C90704">
                              <w:rPr>
                                <w:sz w:val="16"/>
                                <w:szCs w:val="16"/>
                              </w:rPr>
                              <w:t>+</w:t>
                            </w:r>
                            <w:r w:rsidR="00E731D1">
                              <w:rPr>
                                <w:sz w:val="16"/>
                                <w:szCs w:val="16"/>
                              </w:rPr>
                              <w:t xml:space="preserve"> </w:t>
                            </w:r>
                            <w:r w:rsidRPr="00C90704">
                              <w:rPr>
                                <w:sz w:val="16"/>
                                <w:szCs w:val="16"/>
                              </w:rPr>
                              <w:t>en cours</w:t>
                            </w:r>
                          </w:p>
                          <w:p w:rsidR="00C90704" w:rsidRPr="00C90704" w:rsidRDefault="00C90704" w:rsidP="00C90704">
                            <w:pPr>
                              <w:pStyle w:val="SingleTxtG"/>
                              <w:spacing w:after="180" w:line="240" w:lineRule="auto"/>
                              <w:ind w:left="0" w:right="0"/>
                              <w:jc w:val="left"/>
                              <w:rPr>
                                <w:sz w:val="16"/>
                                <w:szCs w:val="16"/>
                              </w:rPr>
                            </w:pPr>
                            <w:r w:rsidRPr="00C90704">
                              <w:rPr>
                                <w:sz w:val="16"/>
                                <w:szCs w:val="16"/>
                              </w:rPr>
                              <w:t>Oui</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30CD7" id="_x0000_s1041" type="#_x0000_t202" style="position:absolute;left:0;text-align:left;margin-left:351.35pt;margin-top:66.5pt;width:72.65pt;height:84.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" fillcolor="white [3201]" stroked="f" strokeweight=".5pt">
                <v:textbox inset="0,0,0,0">
                  <w:txbxContent>
                    <w:p w:rsidR="00C90704" w:rsidRPr="00C90704" w:rsidRDefault="00C90704" w:rsidP="00C90704">
                      <w:pPr>
                        <w:pStyle w:val="SingleTxtG"/>
                        <w:spacing w:after="180" w:line="240" w:lineRule="auto"/>
                        <w:ind w:left="0" w:right="0"/>
                        <w:jc w:val="left"/>
                        <w:rPr>
                          <w:sz w:val="16"/>
                          <w:szCs w:val="16"/>
                        </w:rPr>
                      </w:pPr>
                      <w:r w:rsidRPr="00C90704">
                        <w:rPr>
                          <w:sz w:val="16"/>
                          <w:szCs w:val="16"/>
                        </w:rPr>
                        <w:t>Non</w:t>
                      </w:r>
                    </w:p>
                    <w:p w:rsidR="00C90704" w:rsidRPr="00C90704" w:rsidRDefault="00C90704" w:rsidP="00C90704">
                      <w:pPr>
                        <w:pStyle w:val="SingleTxtG"/>
                        <w:spacing w:after="180" w:line="240" w:lineRule="auto"/>
                        <w:ind w:left="0" w:right="0"/>
                        <w:jc w:val="left"/>
                        <w:rPr>
                          <w:sz w:val="16"/>
                          <w:szCs w:val="16"/>
                        </w:rPr>
                      </w:pPr>
                      <w:r w:rsidRPr="00C90704">
                        <w:rPr>
                          <w:sz w:val="16"/>
                          <w:szCs w:val="16"/>
                        </w:rPr>
                        <w:t>En cours</w:t>
                      </w:r>
                      <w:r w:rsidR="00E731D1">
                        <w:rPr>
                          <w:sz w:val="16"/>
                          <w:szCs w:val="16"/>
                        </w:rPr>
                        <w:t xml:space="preserve"> </w:t>
                      </w:r>
                      <w:r w:rsidRPr="00C90704">
                        <w:rPr>
                          <w:sz w:val="16"/>
                          <w:szCs w:val="16"/>
                        </w:rPr>
                        <w:t>+</w:t>
                      </w:r>
                      <w:r w:rsidR="00E731D1">
                        <w:rPr>
                          <w:sz w:val="16"/>
                          <w:szCs w:val="16"/>
                        </w:rPr>
                        <w:t xml:space="preserve"> </w:t>
                      </w:r>
                      <w:r w:rsidRPr="00C90704">
                        <w:rPr>
                          <w:sz w:val="16"/>
                          <w:szCs w:val="16"/>
                        </w:rPr>
                        <w:t>non</w:t>
                      </w:r>
                    </w:p>
                    <w:p w:rsidR="00C90704" w:rsidRPr="00C90704" w:rsidRDefault="00C90704" w:rsidP="00C90704">
                      <w:pPr>
                        <w:pStyle w:val="SingleTxtG"/>
                        <w:spacing w:after="180" w:line="240" w:lineRule="auto"/>
                        <w:ind w:left="0" w:right="0"/>
                        <w:jc w:val="left"/>
                        <w:rPr>
                          <w:sz w:val="16"/>
                          <w:szCs w:val="16"/>
                        </w:rPr>
                      </w:pPr>
                      <w:r w:rsidRPr="00C90704">
                        <w:rPr>
                          <w:sz w:val="16"/>
                          <w:szCs w:val="16"/>
                        </w:rPr>
                        <w:t>En cours</w:t>
                      </w:r>
                    </w:p>
                    <w:p w:rsidR="00C90704" w:rsidRPr="00C90704" w:rsidRDefault="00C90704" w:rsidP="00C90704">
                      <w:pPr>
                        <w:pStyle w:val="SingleTxtG"/>
                        <w:spacing w:after="180" w:line="240" w:lineRule="auto"/>
                        <w:ind w:left="0" w:right="0"/>
                        <w:jc w:val="left"/>
                        <w:rPr>
                          <w:sz w:val="16"/>
                          <w:szCs w:val="16"/>
                        </w:rPr>
                      </w:pPr>
                      <w:r w:rsidRPr="00C90704">
                        <w:rPr>
                          <w:sz w:val="16"/>
                          <w:szCs w:val="16"/>
                        </w:rPr>
                        <w:t>Oui</w:t>
                      </w:r>
                      <w:r w:rsidR="00E731D1">
                        <w:rPr>
                          <w:sz w:val="16"/>
                          <w:szCs w:val="16"/>
                        </w:rPr>
                        <w:t xml:space="preserve"> </w:t>
                      </w:r>
                      <w:r w:rsidRPr="00C90704">
                        <w:rPr>
                          <w:sz w:val="16"/>
                          <w:szCs w:val="16"/>
                        </w:rPr>
                        <w:t>+</w:t>
                      </w:r>
                      <w:r w:rsidR="00E731D1">
                        <w:rPr>
                          <w:sz w:val="16"/>
                          <w:szCs w:val="16"/>
                        </w:rPr>
                        <w:t xml:space="preserve"> </w:t>
                      </w:r>
                      <w:r w:rsidRPr="00C90704">
                        <w:rPr>
                          <w:sz w:val="16"/>
                          <w:szCs w:val="16"/>
                        </w:rPr>
                        <w:t>en cours</w:t>
                      </w:r>
                    </w:p>
                    <w:p w:rsidR="00C90704" w:rsidRPr="00C90704" w:rsidRDefault="00C90704" w:rsidP="00C90704">
                      <w:pPr>
                        <w:pStyle w:val="SingleTxtG"/>
                        <w:spacing w:after="180" w:line="240" w:lineRule="auto"/>
                        <w:ind w:left="0" w:right="0"/>
                        <w:jc w:val="left"/>
                        <w:rPr>
                          <w:sz w:val="16"/>
                          <w:szCs w:val="16"/>
                        </w:rPr>
                      </w:pPr>
                      <w:r w:rsidRPr="00C90704">
                        <w:rPr>
                          <w:sz w:val="16"/>
                          <w:szCs w:val="16"/>
                        </w:rPr>
                        <w:t>Oui</w:t>
                      </w:r>
                    </w:p>
                  </w:txbxContent>
                </v:textbox>
              </v:shape>
            </w:pict>
          </mc:Fallback>
        </mc:AlternateContent>
      </w:r>
      <w:r w:rsidR="00685C8C" w:rsidRPr="00957933">
        <w:rPr>
          <w:noProof/>
          <w:lang w:eastAsia="fr-CH"/>
        </w:rPr>
        <w:drawing>
          <wp:inline distT="0" distB="0" distL="0" distR="0" wp14:anchorId="0CEBC730" wp14:editId="4C453AA1">
            <wp:extent cx="4680000" cy="2743200"/>
            <wp:effectExtent l="0" t="0" r="6350" b="0"/>
            <wp:docPr id="66"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824EB" w:rsidRPr="003824EB" w:rsidRDefault="003824EB" w:rsidP="003824EB">
      <w:pPr>
        <w:pStyle w:val="SingleTxtG"/>
        <w:suppressAutoHyphens/>
        <w:spacing w:before="240" w:after="0"/>
        <w:jc w:val="center"/>
        <w:rPr>
          <w:u w:val="single"/>
        </w:rPr>
      </w:pPr>
      <w:r>
        <w:rPr>
          <w:u w:val="single"/>
        </w:rPr>
        <w:tab/>
      </w:r>
      <w:r>
        <w:rPr>
          <w:u w:val="single"/>
        </w:rPr>
        <w:tab/>
      </w:r>
      <w:r>
        <w:rPr>
          <w:u w:val="single"/>
        </w:rPr>
        <w:tab/>
      </w:r>
    </w:p>
    <w:sectPr w:rsidR="003824EB" w:rsidRPr="003824EB" w:rsidSect="006D64D1">
      <w:headerReference w:type="even" r:id="rId22"/>
      <w:headerReference w:type="default" r:id="rId23"/>
      <w:footerReference w:type="even" r:id="rId24"/>
      <w:footerReference w:type="default" r:id="rId25"/>
      <w:footerReference w:type="first" r:id="rId26"/>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ABF" w:rsidRDefault="00167ABF" w:rsidP="00F95C08">
      <w:pPr>
        <w:spacing w:line="240" w:lineRule="auto"/>
      </w:pPr>
    </w:p>
  </w:endnote>
  <w:endnote w:type="continuationSeparator" w:id="0">
    <w:p w:rsidR="00167ABF" w:rsidRPr="00AC3823" w:rsidRDefault="00167ABF" w:rsidP="00AC3823">
      <w:pPr>
        <w:pStyle w:val="Pieddepage"/>
      </w:pPr>
    </w:p>
  </w:endnote>
  <w:endnote w:type="continuationNotice" w:id="1">
    <w:p w:rsidR="00167ABF" w:rsidRDefault="00167A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ABF" w:rsidRPr="0059379A" w:rsidRDefault="00167ABF" w:rsidP="007D6890">
    <w:pPr>
      <w:pStyle w:val="Pieddepage"/>
      <w:tabs>
        <w:tab w:val="right" w:pos="9638"/>
      </w:tabs>
      <w:ind w:left="0" w:right="0"/>
    </w:pPr>
    <w:r w:rsidRPr="0059379A">
      <w:rPr>
        <w:b/>
        <w:sz w:val="18"/>
      </w:rPr>
      <w:fldChar w:fldCharType="begin"/>
    </w:r>
    <w:r w:rsidRPr="0059379A">
      <w:rPr>
        <w:b/>
        <w:sz w:val="18"/>
      </w:rPr>
      <w:instrText xml:space="preserve"> PAGE  \* MERGEFORMAT </w:instrText>
    </w:r>
    <w:r w:rsidRPr="0059379A">
      <w:rPr>
        <w:b/>
        <w:sz w:val="18"/>
      </w:rPr>
      <w:fldChar w:fldCharType="separate"/>
    </w:r>
    <w:r w:rsidR="00B372D4">
      <w:rPr>
        <w:b/>
        <w:noProof/>
        <w:sz w:val="18"/>
      </w:rPr>
      <w:t>2</w:t>
    </w:r>
    <w:r w:rsidRPr="0059379A">
      <w:rPr>
        <w:b/>
        <w:sz w:val="18"/>
      </w:rPr>
      <w:fldChar w:fldCharType="end"/>
    </w:r>
    <w:r>
      <w:rPr>
        <w:b/>
        <w:sz w:val="18"/>
      </w:rPr>
      <w:tab/>
    </w:r>
    <w:r>
      <w:t>GE.18-19867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ABF" w:rsidRPr="0059379A" w:rsidRDefault="00167ABF" w:rsidP="007D6890">
    <w:pPr>
      <w:pStyle w:val="Pieddepage"/>
      <w:tabs>
        <w:tab w:val="right" w:pos="9638"/>
      </w:tabs>
      <w:ind w:left="0" w:right="0"/>
      <w:rPr>
        <w:b/>
        <w:sz w:val="18"/>
      </w:rPr>
    </w:pPr>
    <w:r>
      <w:t>GE.18-19867</w:t>
    </w:r>
    <w:r>
      <w:tab/>
    </w:r>
    <w:r w:rsidRPr="0059379A">
      <w:rPr>
        <w:b/>
        <w:sz w:val="18"/>
      </w:rPr>
      <w:fldChar w:fldCharType="begin"/>
    </w:r>
    <w:r w:rsidRPr="0059379A">
      <w:rPr>
        <w:b/>
        <w:sz w:val="18"/>
      </w:rPr>
      <w:instrText xml:space="preserve"> PAGE  \* MERGEFORMAT </w:instrText>
    </w:r>
    <w:r w:rsidRPr="0059379A">
      <w:rPr>
        <w:b/>
        <w:sz w:val="18"/>
      </w:rPr>
      <w:fldChar w:fldCharType="separate"/>
    </w:r>
    <w:r w:rsidR="00B372D4">
      <w:rPr>
        <w:b/>
        <w:noProof/>
        <w:sz w:val="18"/>
      </w:rPr>
      <w:t>13</w:t>
    </w:r>
    <w:r w:rsidRPr="005937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ABF" w:rsidRPr="0059379A" w:rsidRDefault="00167ABF" w:rsidP="004A3BDE">
    <w:pPr>
      <w:pStyle w:val="Pieddepage"/>
      <w:spacing w:before="120"/>
      <w:ind w:left="0" w:right="0"/>
      <w:rPr>
        <w:sz w:val="20"/>
      </w:rPr>
    </w:pPr>
    <w:r>
      <w:rPr>
        <w:sz w:val="20"/>
      </w:rPr>
      <w:t>GE.</w:t>
    </w:r>
    <w:r>
      <w:rPr>
        <w:noProof/>
        <w:lang w:eastAsia="fr-CH"/>
      </w:rPr>
      <w:drawing>
        <wp:anchor distT="0" distB="0" distL="114300" distR="114300" simplePos="0" relativeHeight="251665408"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3A0D">
      <w:rPr>
        <w:sz w:val="20"/>
      </w:rPr>
      <w:t>18-19867  (F)    261118    14</w:t>
    </w:r>
    <w:r>
      <w:rPr>
        <w:sz w:val="20"/>
      </w:rPr>
      <w:t>1218</w:t>
    </w:r>
    <w:r>
      <w:rPr>
        <w:sz w:val="20"/>
      </w:rPr>
      <w:br/>
    </w:r>
    <w:r w:rsidRPr="0059379A">
      <w:rPr>
        <w:rFonts w:ascii="C39T30Lfz" w:hAnsi="C39T30Lfz"/>
        <w:sz w:val="56"/>
      </w:rPr>
      <w:t></w:t>
    </w:r>
    <w:r w:rsidRPr="0059379A">
      <w:rPr>
        <w:rFonts w:ascii="C39T30Lfz" w:hAnsi="C39T30Lfz"/>
        <w:sz w:val="56"/>
      </w:rPr>
      <w:t></w:t>
    </w:r>
    <w:r w:rsidRPr="0059379A">
      <w:rPr>
        <w:rFonts w:ascii="C39T30Lfz" w:hAnsi="C39T30Lfz"/>
        <w:sz w:val="56"/>
      </w:rPr>
      <w:t></w:t>
    </w:r>
    <w:r w:rsidRPr="0059379A">
      <w:rPr>
        <w:rFonts w:ascii="C39T30Lfz" w:hAnsi="C39T30Lfz"/>
        <w:sz w:val="56"/>
      </w:rPr>
      <w:t></w:t>
    </w:r>
    <w:r w:rsidRPr="0059379A">
      <w:rPr>
        <w:rFonts w:ascii="C39T30Lfz" w:hAnsi="C39T30Lfz"/>
        <w:sz w:val="56"/>
      </w:rPr>
      <w:t></w:t>
    </w:r>
    <w:r w:rsidRPr="0059379A">
      <w:rPr>
        <w:rFonts w:ascii="C39T30Lfz" w:hAnsi="C39T30Lfz"/>
        <w:sz w:val="56"/>
      </w:rPr>
      <w:t></w:t>
    </w:r>
    <w:r w:rsidRPr="0059379A">
      <w:rPr>
        <w:rFonts w:ascii="C39T30Lfz" w:hAnsi="C39T30Lfz"/>
        <w:sz w:val="56"/>
      </w:rPr>
      <w:t></w:t>
    </w:r>
    <w:r w:rsidRPr="0059379A">
      <w:rPr>
        <w:rFonts w:ascii="C39T30Lfz" w:hAnsi="C39T30Lfz"/>
        <w:sz w:val="56"/>
      </w:rPr>
      <w:t></w:t>
    </w:r>
    <w:r w:rsidRPr="0059379A">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CEP/2019/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9/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ABF" w:rsidRPr="00FB5D21" w:rsidRDefault="00167ABF" w:rsidP="00C95A10">
    <w:pPr>
      <w:pStyle w:val="Pieddepage"/>
      <w:tabs>
        <w:tab w:val="right" w:pos="9638"/>
      </w:tabs>
      <w:ind w:left="0" w:right="0"/>
    </w:pPr>
    <w:r w:rsidRPr="00FB5D21">
      <w:rPr>
        <w:b/>
        <w:sz w:val="18"/>
      </w:rPr>
      <w:fldChar w:fldCharType="begin"/>
    </w:r>
    <w:r w:rsidRPr="00FB5D21">
      <w:rPr>
        <w:b/>
        <w:sz w:val="18"/>
      </w:rPr>
      <w:instrText xml:space="preserve"> PAGE  \* MERGEFORMAT </w:instrText>
    </w:r>
    <w:r w:rsidRPr="00FB5D21">
      <w:rPr>
        <w:b/>
        <w:sz w:val="18"/>
      </w:rPr>
      <w:fldChar w:fldCharType="separate"/>
    </w:r>
    <w:r w:rsidR="00B372D4">
      <w:rPr>
        <w:b/>
        <w:noProof/>
        <w:sz w:val="18"/>
      </w:rPr>
      <w:t>18</w:t>
    </w:r>
    <w:r w:rsidRPr="00FB5D21">
      <w:rPr>
        <w:b/>
        <w:sz w:val="18"/>
      </w:rPr>
      <w:fldChar w:fldCharType="end"/>
    </w:r>
    <w:r>
      <w:rPr>
        <w:b/>
        <w:sz w:val="18"/>
      </w:rPr>
      <w:tab/>
    </w:r>
    <w:r>
      <w:t>GE.18-19867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ABF" w:rsidRPr="00FB5D21" w:rsidRDefault="00167ABF" w:rsidP="00C95A10">
    <w:pPr>
      <w:pStyle w:val="Pieddepage"/>
      <w:tabs>
        <w:tab w:val="right" w:pos="9638"/>
      </w:tabs>
      <w:ind w:left="0" w:right="0"/>
      <w:rPr>
        <w:b/>
        <w:sz w:val="18"/>
      </w:rPr>
    </w:pPr>
    <w:r>
      <w:t>GE.18-19867</w:t>
    </w:r>
    <w:r>
      <w:tab/>
    </w:r>
    <w:r w:rsidRPr="00FB5D21">
      <w:rPr>
        <w:b/>
        <w:sz w:val="18"/>
      </w:rPr>
      <w:fldChar w:fldCharType="begin"/>
    </w:r>
    <w:r w:rsidRPr="00FB5D21">
      <w:rPr>
        <w:b/>
        <w:sz w:val="18"/>
      </w:rPr>
      <w:instrText xml:space="preserve"> PAGE  \* MERGEFORMAT </w:instrText>
    </w:r>
    <w:r w:rsidRPr="00FB5D21">
      <w:rPr>
        <w:b/>
        <w:sz w:val="18"/>
      </w:rPr>
      <w:fldChar w:fldCharType="separate"/>
    </w:r>
    <w:r w:rsidR="00B372D4">
      <w:rPr>
        <w:b/>
        <w:noProof/>
        <w:sz w:val="18"/>
      </w:rPr>
      <w:t>17</w:t>
    </w:r>
    <w:r w:rsidRPr="00FB5D21">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ABF" w:rsidRPr="00FB5D21" w:rsidRDefault="00167ABF" w:rsidP="00C24DEA">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0D97FE15" wp14:editId="1AFB2361">
          <wp:simplePos x="0" y="0"/>
          <wp:positionH relativeFrom="margin">
            <wp:posOffset>4319905</wp:posOffset>
          </wp:positionH>
          <wp:positionV relativeFrom="margin">
            <wp:posOffset>9144000</wp:posOffset>
          </wp:positionV>
          <wp:extent cx="1105200" cy="234000"/>
          <wp:effectExtent l="0" t="0" r="0" b="0"/>
          <wp:wrapNone/>
          <wp:docPr id="67" name="Image 67"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18-19867  (F)    261118    131218</w:t>
    </w:r>
    <w:r>
      <w:rPr>
        <w:sz w:val="20"/>
      </w:rPr>
      <w:br/>
    </w:r>
    <w:r w:rsidRPr="00FB5D21">
      <w:rPr>
        <w:rFonts w:ascii="C39T30Lfz" w:hAnsi="C39T30Lfz"/>
        <w:sz w:val="56"/>
      </w:rPr>
      <w:t></w:t>
    </w:r>
    <w:r w:rsidRPr="00FB5D21">
      <w:rPr>
        <w:rFonts w:ascii="C39T30Lfz" w:hAnsi="C39T30Lfz"/>
        <w:sz w:val="56"/>
      </w:rPr>
      <w:t></w:t>
    </w:r>
    <w:r w:rsidRPr="00FB5D21">
      <w:rPr>
        <w:rFonts w:ascii="C39T30Lfz" w:hAnsi="C39T30Lfz"/>
        <w:sz w:val="56"/>
      </w:rPr>
      <w:t></w:t>
    </w:r>
    <w:r w:rsidRPr="00FB5D21">
      <w:rPr>
        <w:rFonts w:ascii="C39T30Lfz" w:hAnsi="C39T30Lfz"/>
        <w:sz w:val="56"/>
      </w:rPr>
      <w:t></w:t>
    </w:r>
    <w:r w:rsidRPr="00FB5D21">
      <w:rPr>
        <w:rFonts w:ascii="C39T30Lfz" w:hAnsi="C39T30Lfz"/>
        <w:sz w:val="56"/>
      </w:rPr>
      <w:t></w:t>
    </w:r>
    <w:r w:rsidRPr="00FB5D21">
      <w:rPr>
        <w:rFonts w:ascii="C39T30Lfz" w:hAnsi="C39T30Lfz"/>
        <w:sz w:val="56"/>
      </w:rPr>
      <w:t></w:t>
    </w:r>
    <w:r w:rsidRPr="00FB5D21">
      <w:rPr>
        <w:rFonts w:ascii="C39T30Lfz" w:hAnsi="C39T30Lfz"/>
        <w:sz w:val="56"/>
      </w:rPr>
      <w:t></w:t>
    </w:r>
    <w:r w:rsidRPr="00FB5D21">
      <w:rPr>
        <w:rFonts w:ascii="C39T30Lfz" w:hAnsi="C39T30Lfz"/>
        <w:sz w:val="56"/>
      </w:rPr>
      <w:t></w:t>
    </w:r>
    <w:r w:rsidRPr="00FB5D21">
      <w:rPr>
        <w:rFonts w:ascii="C39T30Lfz" w:hAnsi="C39T30Lfz"/>
        <w:sz w:val="56"/>
      </w:rPr>
      <w:t></w:t>
    </w:r>
    <w:r>
      <w:rPr>
        <w:noProof/>
        <w:sz w:val="20"/>
        <w:lang w:eastAsia="fr-CH"/>
      </w:rPr>
      <w:drawing>
        <wp:anchor distT="0" distB="0" distL="114300" distR="114300" simplePos="0" relativeHeight="251652096" behindDoc="0" locked="0" layoutInCell="1" allowOverlap="1" wp14:anchorId="2F88F91C" wp14:editId="34C97BD8">
          <wp:simplePos x="0" y="0"/>
          <wp:positionH relativeFrom="margin">
            <wp:posOffset>5489575</wp:posOffset>
          </wp:positionH>
          <wp:positionV relativeFrom="margin">
            <wp:posOffset>8891905</wp:posOffset>
          </wp:positionV>
          <wp:extent cx="638175" cy="638175"/>
          <wp:effectExtent l="0" t="0" r="9525" b="9525"/>
          <wp:wrapNone/>
          <wp:docPr id="69" name="Image 1" descr="https://undocs.org/m2/QRCode.ashx?DS=ECE/CEP/2019/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9/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ABF" w:rsidRPr="00AC3823" w:rsidRDefault="00167ABF" w:rsidP="00AC3823">
      <w:pPr>
        <w:pStyle w:val="Pieddepage"/>
        <w:tabs>
          <w:tab w:val="right" w:pos="2155"/>
        </w:tabs>
        <w:spacing w:after="80" w:line="240" w:lineRule="atLeast"/>
        <w:ind w:left="680"/>
        <w:rPr>
          <w:u w:val="single"/>
        </w:rPr>
      </w:pPr>
      <w:r>
        <w:rPr>
          <w:u w:val="single"/>
        </w:rPr>
        <w:tab/>
      </w:r>
    </w:p>
  </w:footnote>
  <w:footnote w:type="continuationSeparator" w:id="0">
    <w:p w:rsidR="00167ABF" w:rsidRPr="00AC3823" w:rsidRDefault="00167ABF" w:rsidP="00AC3823">
      <w:pPr>
        <w:pStyle w:val="Pieddepage"/>
        <w:tabs>
          <w:tab w:val="right" w:pos="2155"/>
        </w:tabs>
        <w:spacing w:after="80" w:line="240" w:lineRule="atLeast"/>
        <w:ind w:left="680"/>
        <w:rPr>
          <w:u w:val="single"/>
        </w:rPr>
      </w:pPr>
      <w:r>
        <w:rPr>
          <w:u w:val="single"/>
        </w:rPr>
        <w:tab/>
      </w:r>
    </w:p>
  </w:footnote>
  <w:footnote w:type="continuationNotice" w:id="1">
    <w:p w:rsidR="00167ABF" w:rsidRPr="00AC3823" w:rsidRDefault="00167ABF">
      <w:pPr>
        <w:spacing w:line="240" w:lineRule="auto"/>
        <w:rPr>
          <w:sz w:val="2"/>
          <w:szCs w:val="2"/>
        </w:rPr>
      </w:pPr>
    </w:p>
  </w:footnote>
  <w:footnote w:id="2">
    <w:p w:rsidR="00167ABF" w:rsidRPr="004A3BDE" w:rsidRDefault="00167ABF" w:rsidP="004A3BDE">
      <w:pPr>
        <w:pStyle w:val="Notedebasdepage"/>
        <w:spacing w:after="0"/>
      </w:pPr>
      <w:r w:rsidRPr="004A3BDE">
        <w:tab/>
      </w:r>
      <w:r w:rsidRPr="004A3BDE">
        <w:rPr>
          <w:rStyle w:val="Appelnotedebasdep"/>
        </w:rPr>
        <w:footnoteRef/>
      </w:r>
      <w:r w:rsidRPr="004A3BDE">
        <w:tab/>
        <w:t xml:space="preserve">Plusieurs actions seront menées en partenariat avec d’autres organisations citées dans les engagements ; le présent document ne fait état que des organisations chefs de file. </w:t>
      </w:r>
    </w:p>
  </w:footnote>
  <w:footnote w:id="3">
    <w:p w:rsidR="00167ABF" w:rsidRPr="004A3BDE" w:rsidRDefault="00167ABF" w:rsidP="004A3BDE">
      <w:pPr>
        <w:pStyle w:val="Notedebasdepage"/>
        <w:spacing w:after="0"/>
      </w:pPr>
      <w:r w:rsidRPr="004A3BDE">
        <w:tab/>
      </w:r>
      <w:r w:rsidRPr="004A3BDE">
        <w:rPr>
          <w:rStyle w:val="Appelnotedebasdep"/>
        </w:rPr>
        <w:footnoteRef/>
      </w:r>
      <w:r w:rsidRPr="004A3BDE">
        <w:tab/>
        <w:t>Voir www.unece.org/environmental-policy/environment-for-europe/initiatives/big-e.</w:t>
      </w:r>
    </w:p>
  </w:footnote>
  <w:footnote w:id="4">
    <w:p w:rsidR="00167ABF" w:rsidRPr="004A3BDE" w:rsidRDefault="00167ABF" w:rsidP="004A3BDE">
      <w:pPr>
        <w:pStyle w:val="Notedebasdepage"/>
        <w:spacing w:after="0"/>
      </w:pPr>
      <w:r w:rsidRPr="004A3BDE">
        <w:tab/>
      </w:r>
      <w:r w:rsidRPr="004A3BDE">
        <w:rPr>
          <w:rStyle w:val="Appelnotedebasdep"/>
        </w:rPr>
        <w:footnoteRef/>
      </w:r>
      <w:r w:rsidRPr="004A3BDE">
        <w:tab/>
        <w:t>Voir www.greengrowthknowledge.org/big-e.</w:t>
      </w:r>
    </w:p>
  </w:footnote>
  <w:footnote w:id="5">
    <w:p w:rsidR="00167ABF" w:rsidRPr="004A3BDE" w:rsidRDefault="00167ABF" w:rsidP="004A3BDE">
      <w:pPr>
        <w:pStyle w:val="Notedebasdepage"/>
        <w:spacing w:after="0"/>
      </w:pPr>
      <w:r w:rsidRPr="004A3BDE">
        <w:tab/>
      </w:r>
      <w:r w:rsidRPr="007D6890">
        <w:rPr>
          <w:rStyle w:val="Appelnotedebasdep"/>
        </w:rPr>
        <w:footnoteRef/>
      </w:r>
      <w:r w:rsidRPr="004A3BDE">
        <w:tab/>
        <w:t>Les critères de sélection devant aider à identifier les actions à mener pour favoriser le passage à l’économie verte sont spécifiés dans l’appendice du cadre stratégique.</w:t>
      </w:r>
    </w:p>
  </w:footnote>
  <w:footnote w:id="6">
    <w:p w:rsidR="00167ABF" w:rsidRPr="004A3BDE" w:rsidRDefault="00167ABF" w:rsidP="004A3BDE">
      <w:pPr>
        <w:pStyle w:val="Notedebasdepage"/>
        <w:spacing w:after="0"/>
      </w:pPr>
      <w:r w:rsidRPr="004A3BDE">
        <w:tab/>
      </w:r>
      <w:r w:rsidRPr="00D5633D">
        <w:rPr>
          <w:rStyle w:val="Appelnotedebasdep"/>
        </w:rPr>
        <w:footnoteRef/>
      </w:r>
      <w:r w:rsidRPr="004A3BDE">
        <w:tab/>
        <w:t>Consultable en anglais sur la page Web relative à la vingt-quatrième session du Comité (www.unece.org/index.php?id=50063).</w:t>
      </w:r>
    </w:p>
  </w:footnote>
  <w:footnote w:id="7">
    <w:p w:rsidR="00167ABF" w:rsidRPr="004A3BDE" w:rsidRDefault="00167ABF" w:rsidP="004A3BDE">
      <w:pPr>
        <w:pStyle w:val="Notedebasdepage"/>
        <w:spacing w:after="0"/>
      </w:pPr>
      <w:r w:rsidRPr="004A3BDE">
        <w:tab/>
      </w:r>
      <w:r w:rsidRPr="00D5633D">
        <w:rPr>
          <w:rStyle w:val="Appelnotedebasdep"/>
        </w:rPr>
        <w:footnoteRef/>
      </w:r>
      <w:r w:rsidRPr="004A3BDE">
        <w:tab/>
        <w:t>Tels que définis dans le Cadre stratégique, par. 18.</w:t>
      </w:r>
    </w:p>
  </w:footnote>
  <w:footnote w:id="8">
    <w:p w:rsidR="00167ABF" w:rsidRPr="004A3BDE" w:rsidRDefault="00167ABF" w:rsidP="004A3BDE">
      <w:pPr>
        <w:pStyle w:val="Notedebasdepage"/>
        <w:spacing w:after="0"/>
      </w:pPr>
      <w:r w:rsidRPr="004A3BDE">
        <w:tab/>
      </w:r>
      <w:r w:rsidRPr="00D5633D">
        <w:rPr>
          <w:rStyle w:val="Appelnotedebasdep"/>
        </w:rPr>
        <w:footnoteRef/>
      </w:r>
      <w:r w:rsidRPr="004A3BDE">
        <w:tab/>
        <w:t xml:space="preserve">La plupart des engagements portent sur plusieurs domaines d’intervention, de sorte que le nombre total de domaines d’intervention et d’objectifs énoncés dans les engagements dépasse le nombre des engagements eux-mêmes ; c’est pourquoi on a un total dépassant les 100 % dans certains paragraphes. </w:t>
      </w:r>
    </w:p>
  </w:footnote>
  <w:footnote w:id="9">
    <w:p w:rsidR="00167ABF" w:rsidRPr="004A3BDE" w:rsidRDefault="00167ABF" w:rsidP="004A3BDE">
      <w:pPr>
        <w:pStyle w:val="Notedebasdepage"/>
        <w:spacing w:after="0"/>
      </w:pPr>
      <w:r w:rsidRPr="004A3BDE">
        <w:tab/>
      </w:r>
      <w:r w:rsidRPr="00D5633D">
        <w:rPr>
          <w:rStyle w:val="Appelnotedebasdep"/>
        </w:rPr>
        <w:footnoteRef/>
      </w:r>
      <w:r w:rsidRPr="004A3BDE">
        <w:tab/>
        <w:t>Telles que définies dans le Cadre stratégique, annexe, par. 8.</w:t>
      </w:r>
    </w:p>
  </w:footnote>
  <w:footnote w:id="10">
    <w:p w:rsidR="00167ABF" w:rsidRPr="004A3BDE" w:rsidRDefault="00167ABF" w:rsidP="004A3BDE">
      <w:pPr>
        <w:pStyle w:val="Notedebasdepage"/>
        <w:spacing w:after="0"/>
      </w:pPr>
      <w:r w:rsidRPr="004A3BDE">
        <w:tab/>
      </w:r>
      <w:r w:rsidRPr="00D5633D">
        <w:rPr>
          <w:rStyle w:val="Appelnotedebasdep"/>
        </w:rPr>
        <w:footnoteRef/>
      </w:r>
      <w:r w:rsidRPr="004A3BDE">
        <w:tab/>
        <w:t xml:space="preserve">Tels que définis dans le Cadre stratégique, appendice, par. 6 </w:t>
      </w:r>
      <w:r w:rsidR="002E3FA3">
        <w:t>et</w:t>
      </w:r>
      <w:r w:rsidRPr="004A3BDE">
        <w:t xml:space="preserve"> note de bas de page c.</w:t>
      </w:r>
    </w:p>
  </w:footnote>
  <w:footnote w:id="11">
    <w:p w:rsidR="00167ABF" w:rsidRPr="004A3BDE" w:rsidRDefault="00167ABF" w:rsidP="004A3BDE">
      <w:pPr>
        <w:pStyle w:val="Notedebasdepage"/>
        <w:spacing w:after="0"/>
      </w:pPr>
      <w:r w:rsidRPr="004A3BDE">
        <w:tab/>
      </w:r>
      <w:r w:rsidRPr="00D5633D">
        <w:rPr>
          <w:rStyle w:val="Appelnotedebasdep"/>
        </w:rPr>
        <w:footnoteRef/>
      </w:r>
      <w:r w:rsidRPr="004A3BDE">
        <w:tab/>
        <w:t xml:space="preserve">Étant donné le délai donné pour répondre, le taux réel de mise en œuvre des engagements pourrait être supérieur à celui reflété dans le présent document, à paraître en novembre 2018. </w:t>
      </w:r>
    </w:p>
  </w:footnote>
  <w:footnote w:id="12">
    <w:p w:rsidR="00167ABF" w:rsidRPr="004A3BDE" w:rsidRDefault="00167ABF" w:rsidP="004A3BDE">
      <w:pPr>
        <w:pStyle w:val="Notedebasdepage"/>
        <w:spacing w:after="0"/>
      </w:pPr>
      <w:r w:rsidRPr="004A3BDE">
        <w:rPr>
          <w:rStyle w:val="Appelnotedebasdep"/>
          <w:vertAlign w:val="baseline"/>
        </w:rPr>
        <w:tab/>
      </w:r>
      <w:r w:rsidRPr="00255991">
        <w:rPr>
          <w:rStyle w:val="Appelnotedebasdep"/>
          <w:vertAlign w:val="baseline"/>
        </w:rPr>
        <w:t>*</w:t>
      </w:r>
      <w:r w:rsidRPr="004A3BDE">
        <w:rPr>
          <w:rStyle w:val="Appelnotedebasdep"/>
          <w:vertAlign w:val="baseline"/>
        </w:rPr>
        <w:tab/>
      </w:r>
      <w:r w:rsidRPr="004A3BDE">
        <w:t>Le texte original de l’annexe en langue anglaise n’a pas été soumis aux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ABF" w:rsidRPr="0059379A" w:rsidRDefault="00B372D4" w:rsidP="004A3BDE">
    <w:pPr>
      <w:pStyle w:val="En-tte"/>
      <w:ind w:left="0" w:right="0"/>
    </w:pPr>
    <w:r>
      <w:fldChar w:fldCharType="begin"/>
    </w:r>
    <w:r>
      <w:instrText xml:space="preserve"> TITLE  \* MERGEFORMAT </w:instrText>
    </w:r>
    <w:r>
      <w:fldChar w:fldCharType="separate"/>
    </w:r>
    <w:r>
      <w:t>ECE/CEP/2019/4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ABF" w:rsidRPr="0059379A" w:rsidRDefault="00B372D4" w:rsidP="004A3BDE">
    <w:pPr>
      <w:pStyle w:val="En-tte"/>
      <w:ind w:left="0" w:right="0"/>
      <w:jc w:val="right"/>
    </w:pPr>
    <w:r>
      <w:fldChar w:fldCharType="begin"/>
    </w:r>
    <w:r>
      <w:instrText xml:space="preserve"> TITLE  \* MERGEFORMAT </w:instrText>
    </w:r>
    <w:r>
      <w:fldChar w:fldCharType="separate"/>
    </w:r>
    <w:r>
      <w:t>ECE/CEP/2019/4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ABF" w:rsidRPr="00FB5D21" w:rsidRDefault="00B372D4" w:rsidP="00C95A10">
    <w:pPr>
      <w:pStyle w:val="En-tte"/>
      <w:ind w:left="0" w:right="0"/>
    </w:pPr>
    <w:r>
      <w:fldChar w:fldCharType="begin"/>
    </w:r>
    <w:r>
      <w:instrText xml:space="preserve"> TITLE  \* MERGEFORMAT </w:instrText>
    </w:r>
    <w:r>
      <w:fldChar w:fldCharType="separate"/>
    </w:r>
    <w:r>
      <w:t>ECE/CEP/2019/4</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ABF" w:rsidRPr="00FB5D21" w:rsidRDefault="00B372D4" w:rsidP="00C95A10">
    <w:pPr>
      <w:pStyle w:val="En-tte"/>
      <w:ind w:left="0" w:right="0"/>
      <w:jc w:val="right"/>
    </w:pPr>
    <w:r>
      <w:fldChar w:fldCharType="begin"/>
    </w:r>
    <w:r>
      <w:instrText xml:space="preserve"> TITLE  \* MERGEFORMAT </w:instrText>
    </w:r>
    <w:r>
      <w:fldChar w:fldCharType="separate"/>
    </w:r>
    <w:r>
      <w:t>ECE/CEP/2019/4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displayBackgroundShape/>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E5"/>
    <w:rsid w:val="00002CA8"/>
    <w:rsid w:val="00013270"/>
    <w:rsid w:val="00017F94"/>
    <w:rsid w:val="00023842"/>
    <w:rsid w:val="000334F9"/>
    <w:rsid w:val="000352E5"/>
    <w:rsid w:val="00053936"/>
    <w:rsid w:val="00062887"/>
    <w:rsid w:val="0007796D"/>
    <w:rsid w:val="00082EE0"/>
    <w:rsid w:val="000927D5"/>
    <w:rsid w:val="0009701C"/>
    <w:rsid w:val="000B7790"/>
    <w:rsid w:val="000D3EE9"/>
    <w:rsid w:val="000F608C"/>
    <w:rsid w:val="00111F2F"/>
    <w:rsid w:val="00126FCE"/>
    <w:rsid w:val="001433FD"/>
    <w:rsid w:val="0014365E"/>
    <w:rsid w:val="00144EE0"/>
    <w:rsid w:val="001541D3"/>
    <w:rsid w:val="00167ABF"/>
    <w:rsid w:val="00176178"/>
    <w:rsid w:val="001922D1"/>
    <w:rsid w:val="001E72E3"/>
    <w:rsid w:val="001F525A"/>
    <w:rsid w:val="00212988"/>
    <w:rsid w:val="00223272"/>
    <w:rsid w:val="0024779E"/>
    <w:rsid w:val="00255991"/>
    <w:rsid w:val="002832AC"/>
    <w:rsid w:val="00291AB5"/>
    <w:rsid w:val="00295CCA"/>
    <w:rsid w:val="002C515D"/>
    <w:rsid w:val="002D248D"/>
    <w:rsid w:val="002D49A4"/>
    <w:rsid w:val="002D7C93"/>
    <w:rsid w:val="002E3FA3"/>
    <w:rsid w:val="003409D3"/>
    <w:rsid w:val="00341C1B"/>
    <w:rsid w:val="003824EB"/>
    <w:rsid w:val="003B2F96"/>
    <w:rsid w:val="003D35C8"/>
    <w:rsid w:val="003D5C4D"/>
    <w:rsid w:val="003F5F8E"/>
    <w:rsid w:val="00406AE0"/>
    <w:rsid w:val="00441C3B"/>
    <w:rsid w:val="00446B0A"/>
    <w:rsid w:val="00446FE5"/>
    <w:rsid w:val="004502AD"/>
    <w:rsid w:val="00452396"/>
    <w:rsid w:val="00471366"/>
    <w:rsid w:val="00490821"/>
    <w:rsid w:val="004A3BDE"/>
    <w:rsid w:val="004E468C"/>
    <w:rsid w:val="004E6241"/>
    <w:rsid w:val="00506BE1"/>
    <w:rsid w:val="00507612"/>
    <w:rsid w:val="005303AA"/>
    <w:rsid w:val="005316B0"/>
    <w:rsid w:val="005505B7"/>
    <w:rsid w:val="00552783"/>
    <w:rsid w:val="00561D90"/>
    <w:rsid w:val="00573BE5"/>
    <w:rsid w:val="0058588F"/>
    <w:rsid w:val="00586ED3"/>
    <w:rsid w:val="0059379A"/>
    <w:rsid w:val="0059663F"/>
    <w:rsid w:val="00596AA9"/>
    <w:rsid w:val="005E7668"/>
    <w:rsid w:val="005F2353"/>
    <w:rsid w:val="00683CC1"/>
    <w:rsid w:val="00685C8C"/>
    <w:rsid w:val="006D64D1"/>
    <w:rsid w:val="00706363"/>
    <w:rsid w:val="0071601D"/>
    <w:rsid w:val="00730441"/>
    <w:rsid w:val="0074674C"/>
    <w:rsid w:val="0076756E"/>
    <w:rsid w:val="00796398"/>
    <w:rsid w:val="00796CF6"/>
    <w:rsid w:val="007A62E6"/>
    <w:rsid w:val="007D6890"/>
    <w:rsid w:val="00804A2F"/>
    <w:rsid w:val="00805744"/>
    <w:rsid w:val="008063E3"/>
    <w:rsid w:val="0080684C"/>
    <w:rsid w:val="00871C75"/>
    <w:rsid w:val="00871CB6"/>
    <w:rsid w:val="008776DC"/>
    <w:rsid w:val="00891493"/>
    <w:rsid w:val="008975D5"/>
    <w:rsid w:val="009705C8"/>
    <w:rsid w:val="0099461C"/>
    <w:rsid w:val="009C1CF4"/>
    <w:rsid w:val="009D59E2"/>
    <w:rsid w:val="00A013A9"/>
    <w:rsid w:val="00A21C35"/>
    <w:rsid w:val="00A30353"/>
    <w:rsid w:val="00A60711"/>
    <w:rsid w:val="00A64959"/>
    <w:rsid w:val="00AA113A"/>
    <w:rsid w:val="00AA2C78"/>
    <w:rsid w:val="00AA5580"/>
    <w:rsid w:val="00AC3823"/>
    <w:rsid w:val="00AE323C"/>
    <w:rsid w:val="00B00181"/>
    <w:rsid w:val="00B00B0D"/>
    <w:rsid w:val="00B02FE8"/>
    <w:rsid w:val="00B223CD"/>
    <w:rsid w:val="00B372D4"/>
    <w:rsid w:val="00B62355"/>
    <w:rsid w:val="00B765F7"/>
    <w:rsid w:val="00BA0CA9"/>
    <w:rsid w:val="00BB3DBD"/>
    <w:rsid w:val="00C02897"/>
    <w:rsid w:val="00C22F6A"/>
    <w:rsid w:val="00C24DEA"/>
    <w:rsid w:val="00C7683E"/>
    <w:rsid w:val="00C90704"/>
    <w:rsid w:val="00C95A10"/>
    <w:rsid w:val="00CA220F"/>
    <w:rsid w:val="00CD64C5"/>
    <w:rsid w:val="00CE3EC1"/>
    <w:rsid w:val="00D12767"/>
    <w:rsid w:val="00D17F28"/>
    <w:rsid w:val="00D24E00"/>
    <w:rsid w:val="00D3439C"/>
    <w:rsid w:val="00D45A7C"/>
    <w:rsid w:val="00D55C74"/>
    <w:rsid w:val="00D5633D"/>
    <w:rsid w:val="00DB1831"/>
    <w:rsid w:val="00DD3BFD"/>
    <w:rsid w:val="00DF6678"/>
    <w:rsid w:val="00E568CC"/>
    <w:rsid w:val="00E60679"/>
    <w:rsid w:val="00E731D1"/>
    <w:rsid w:val="00EA2132"/>
    <w:rsid w:val="00EB5439"/>
    <w:rsid w:val="00EC704A"/>
    <w:rsid w:val="00EE3A0D"/>
    <w:rsid w:val="00EF2E22"/>
    <w:rsid w:val="00F07388"/>
    <w:rsid w:val="00F34759"/>
    <w:rsid w:val="00F4281A"/>
    <w:rsid w:val="00F57847"/>
    <w:rsid w:val="00F63BC7"/>
    <w:rsid w:val="00F660DF"/>
    <w:rsid w:val="00F73445"/>
    <w:rsid w:val="00F92369"/>
    <w:rsid w:val="00F95C08"/>
    <w:rsid w:val="00FE2A9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5369D9"/>
  <w15:docId w15:val="{C69412F8-D97D-4547-A07F-A7FBE357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120" w:line="240" w:lineRule="atLeast"/>
        <w:ind w:left="1134" w:right="1134"/>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674C"/>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hanging="1134"/>
    </w:pPr>
    <w:rPr>
      <w:b/>
      <w:sz w:val="24"/>
    </w:rPr>
  </w:style>
  <w:style w:type="paragraph" w:customStyle="1" w:styleId="H23G">
    <w:name w:val="_ H_2/3_G"/>
    <w:basedOn w:val="Normal"/>
    <w:next w:val="Normal"/>
    <w:qFormat/>
    <w:rsid w:val="0074674C"/>
    <w:pPr>
      <w:keepNext/>
      <w:keepLines/>
      <w:tabs>
        <w:tab w:val="right" w:pos="851"/>
      </w:tabs>
      <w:spacing w:before="240" w:line="240" w:lineRule="exact"/>
      <w:ind w:hanging="1134"/>
    </w:pPr>
    <w:rPr>
      <w:b/>
    </w:rPr>
  </w:style>
  <w:style w:type="paragraph" w:customStyle="1" w:styleId="H4G">
    <w:name w:val="_ H_4_G"/>
    <w:basedOn w:val="Normal"/>
    <w:next w:val="Normal"/>
    <w:qFormat/>
    <w:rsid w:val="0074674C"/>
    <w:pPr>
      <w:keepNext/>
      <w:keepLines/>
      <w:tabs>
        <w:tab w:val="right" w:pos="851"/>
      </w:tabs>
      <w:spacing w:before="240" w:line="240" w:lineRule="exact"/>
      <w:ind w:hanging="1134"/>
    </w:pPr>
    <w:rPr>
      <w:i/>
    </w:rPr>
  </w:style>
  <w:style w:type="paragraph" w:customStyle="1" w:styleId="H56G">
    <w:name w:val="_ H_5/6_G"/>
    <w:basedOn w:val="Normal"/>
    <w:next w:val="Normal"/>
    <w:qFormat/>
    <w:rsid w:val="0074674C"/>
    <w:pPr>
      <w:keepNext/>
      <w:keepLines/>
      <w:tabs>
        <w:tab w:val="right" w:pos="851"/>
      </w:tabs>
      <w:spacing w:before="240" w:line="240" w:lineRule="exact"/>
      <w:ind w:hanging="1134"/>
    </w:pPr>
  </w:style>
  <w:style w:type="paragraph" w:customStyle="1" w:styleId="SingleTxtG">
    <w:name w:val="_ Single Txt_G"/>
    <w:basedOn w:val="Normal"/>
    <w:link w:val="SingleTxtGChar"/>
    <w:qFormat/>
    <w:rsid w:val="0074674C"/>
    <w:pPr>
      <w:jc w:val="both"/>
    </w:pPr>
  </w:style>
  <w:style w:type="paragraph" w:customStyle="1" w:styleId="SLG">
    <w:name w:val="__S_L_G"/>
    <w:basedOn w:val="Normal"/>
    <w:next w:val="Normal"/>
    <w:rsid w:val="0074674C"/>
    <w:pPr>
      <w:keepNext/>
      <w:keepLines/>
      <w:spacing w:before="240" w:after="240" w:line="580" w:lineRule="exact"/>
    </w:pPr>
    <w:rPr>
      <w:b/>
      <w:sz w:val="56"/>
    </w:rPr>
  </w:style>
  <w:style w:type="paragraph" w:customStyle="1" w:styleId="SMG">
    <w:name w:val="__S_M_G"/>
    <w:basedOn w:val="Normal"/>
    <w:next w:val="Normal"/>
    <w:rsid w:val="0074674C"/>
    <w:pPr>
      <w:keepNext/>
      <w:keepLines/>
      <w:spacing w:before="240" w:after="240" w:line="420" w:lineRule="exact"/>
    </w:pPr>
    <w:rPr>
      <w:b/>
      <w:sz w:val="40"/>
    </w:rPr>
  </w:style>
  <w:style w:type="paragraph" w:customStyle="1" w:styleId="SSG">
    <w:name w:val="__S_S_G"/>
    <w:basedOn w:val="Normal"/>
    <w:next w:val="Normal"/>
    <w:rsid w:val="0074674C"/>
    <w:pPr>
      <w:keepNext/>
      <w:keepLines/>
      <w:spacing w:before="240" w:after="240" w:line="300" w:lineRule="exact"/>
    </w:pPr>
    <w:rPr>
      <w:b/>
      <w:sz w:val="28"/>
    </w:rPr>
  </w:style>
  <w:style w:type="paragraph" w:customStyle="1" w:styleId="XLargeG">
    <w:name w:val="__XLarge_G"/>
    <w:basedOn w:val="Normal"/>
    <w:next w:val="Normal"/>
    <w:rsid w:val="0074674C"/>
    <w:pPr>
      <w:keepNext/>
      <w:keepLines/>
      <w:spacing w:before="240" w:after="240" w:line="420" w:lineRule="exact"/>
    </w:pPr>
    <w:rPr>
      <w:b/>
      <w:sz w:val="40"/>
    </w:rPr>
  </w:style>
  <w:style w:type="paragraph" w:customStyle="1" w:styleId="Bullet1G">
    <w:name w:val="_Bullet 1_G"/>
    <w:basedOn w:val="Normal"/>
    <w:qFormat/>
    <w:rsid w:val="0074674C"/>
    <w:pPr>
      <w:numPr>
        <w:numId w:val="14"/>
      </w:numPr>
      <w:jc w:val="both"/>
    </w:pPr>
  </w:style>
  <w:style w:type="paragraph" w:customStyle="1" w:styleId="Bullet2G">
    <w:name w:val="_Bullet 2_G"/>
    <w:basedOn w:val="Normal"/>
    <w:qFormat/>
    <w:rsid w:val="0074674C"/>
    <w:pPr>
      <w:numPr>
        <w:numId w:val="15"/>
      </w:numPr>
      <w:jc w:val="both"/>
    </w:pPr>
  </w:style>
  <w:style w:type="paragraph" w:customStyle="1" w:styleId="ParNoG">
    <w:name w:val="_ParNo_G"/>
    <w:basedOn w:val="Normal"/>
    <w:qFormat/>
    <w:rsid w:val="0074674C"/>
    <w:pPr>
      <w:numPr>
        <w:numId w:val="16"/>
      </w:numPr>
      <w:tabs>
        <w:tab w:val="clear" w:pos="1701"/>
      </w:tabs>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1922D1"/>
    <w:rPr>
      <w:rFonts w:ascii="Times New Roman" w:eastAsiaTheme="minorHAnsi" w:hAnsi="Times New Roman" w:cs="Times New Roman"/>
      <w:sz w:val="20"/>
      <w:szCs w:val="20"/>
      <w:lang w:eastAsia="en-US"/>
    </w:rPr>
  </w:style>
  <w:style w:type="character" w:customStyle="1" w:styleId="fr">
    <w:name w:val="fr"/>
    <w:basedOn w:val="Policepardfaut"/>
    <w:rsid w:val="002D248D"/>
  </w:style>
  <w:style w:type="paragraph" w:styleId="NormalWeb">
    <w:name w:val="Normal (Web)"/>
    <w:basedOn w:val="Normal"/>
    <w:uiPriority w:val="99"/>
    <w:unhideWhenUsed/>
    <w:rsid w:val="00B223CD"/>
    <w:pPr>
      <w:spacing w:before="100" w:beforeAutospacing="1" w:after="100" w:afterAutospacing="1" w:line="240" w:lineRule="auto"/>
    </w:pPr>
    <w:rPr>
      <w:rFonts w:eastAsiaTheme="minorEastAsia"/>
      <w:sz w:val="24"/>
      <w:szCs w:val="24"/>
      <w:lang w:val="en-CA" w:eastAsia="en-CA"/>
    </w:rPr>
  </w:style>
  <w:style w:type="paragraph" w:styleId="Lgende">
    <w:name w:val="caption"/>
    <w:basedOn w:val="Normal"/>
    <w:next w:val="Normal"/>
    <w:unhideWhenUsed/>
    <w:qFormat/>
    <w:rsid w:val="00C24DEA"/>
    <w:pPr>
      <w:spacing w:after="200" w:line="240" w:lineRule="auto"/>
    </w:pPr>
    <w:rPr>
      <w:rFonts w:eastAsia="Times New Roman"/>
      <w:b/>
      <w:bCs/>
      <w:color w:val="4F81BD" w:themeColor="accent1"/>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chart" Target="charts/chart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F:\Zaal%2012%20A\UNECE\Meetings%20&amp;%20Conferences\2019.01.27-29%20CEP-24\Reporting%20on%20initiatives\BIG-E\Paper\Graphs%20for%20the%20paper%2011.20.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F:\Zaal%2012%20A\UNECE\Meetings%20&amp;%20Conferences\2019.01.27-29%20CEP-24\Reporting%20on%20initiatives\BIG-E\Paper\Graphs%20for%20the%20paper%2011.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2514851168718055E-2"/>
          <c:y val="4.615543974825604E-2"/>
          <c:w val="0.7008002771744235"/>
          <c:h val="0.66598591842686328"/>
        </c:manualLayout>
      </c:layout>
      <c:barChart>
        <c:barDir val="col"/>
        <c:grouping val="stacked"/>
        <c:varyColors val="0"/>
        <c:ser>
          <c:idx val="2"/>
          <c:order val="0"/>
          <c:tx>
            <c:strRef>
              <c:f>'Participation and reporting'!$B$6</c:f>
              <c:strCache>
                <c:ptCount val="1"/>
                <c:pt idx="0">
                  <c:v>UNECE member States participating and reporting</c:v>
                </c:pt>
              </c:strCache>
            </c:strRef>
          </c:tx>
          <c:spPr>
            <a:solidFill>
              <a:schemeClr val="accent5">
                <a:lumMod val="75000"/>
              </a:schemeClr>
            </a:solidFill>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0-F199-43EF-BBC5-A52A4548B35B}"/>
                </c:ext>
              </c:extLst>
            </c:dLbl>
            <c:dLbl>
              <c:idx val="3"/>
              <c:delete val="1"/>
              <c:extLst>
                <c:ext xmlns:c15="http://schemas.microsoft.com/office/drawing/2012/chart" uri="{CE6537A1-D6FC-4f65-9D91-7224C49458BB}"/>
                <c:ext xmlns:c16="http://schemas.microsoft.com/office/drawing/2014/chart" uri="{C3380CC4-5D6E-409C-BE32-E72D297353CC}">
                  <c16:uniqueId val="{00000001-F199-43EF-BBC5-A52A4548B35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'Participation and reporting'!$C$4:$G$4</c:f>
              <c:strCache>
                <c:ptCount val="5"/>
                <c:pt idx="0">
                  <c:v>EU</c:v>
                </c:pt>
                <c:pt idx="1">
                  <c:v>Eastern Europe, Caucasus, and Central Asia</c:v>
                </c:pt>
                <c:pt idx="2">
                  <c:v>South-Eastern Europe (non-EU)</c:v>
                </c:pt>
                <c:pt idx="3">
                  <c:v>North America</c:v>
                </c:pt>
                <c:pt idx="4">
                  <c:v>Other member States</c:v>
                </c:pt>
              </c:strCache>
            </c:strRef>
          </c:cat>
          <c:val>
            <c:numRef>
              <c:f>'Participation and reporting'!$C$6:$G$6</c:f>
              <c:numCache>
                <c:formatCode>General</c:formatCode>
                <c:ptCount val="5"/>
                <c:pt idx="0">
                  <c:v>16</c:v>
                </c:pt>
                <c:pt idx="1">
                  <c:v>6</c:v>
                </c:pt>
                <c:pt idx="2">
                  <c:v>0</c:v>
                </c:pt>
                <c:pt idx="3">
                  <c:v>0</c:v>
                </c:pt>
                <c:pt idx="4">
                  <c:v>1</c:v>
                </c:pt>
              </c:numCache>
            </c:numRef>
          </c:val>
          <c:extLst>
            <c:ext xmlns:c16="http://schemas.microsoft.com/office/drawing/2014/chart" uri="{C3380CC4-5D6E-409C-BE32-E72D297353CC}">
              <c16:uniqueId val="{00000002-F199-43EF-BBC5-A52A4548B35B}"/>
            </c:ext>
          </c:extLst>
        </c:ser>
        <c:ser>
          <c:idx val="0"/>
          <c:order val="1"/>
          <c:tx>
            <c:strRef>
              <c:f>'Participation and reporting'!$B$7</c:f>
              <c:strCache>
                <c:ptCount val="1"/>
                <c:pt idx="0">
                  <c:v>UNECE member States participating but not yet reporting</c:v>
                </c:pt>
              </c:strCache>
            </c:strRef>
          </c:tx>
          <c:spPr>
            <a:solidFill>
              <a:schemeClr val="accent5">
                <a:lumMod val="60000"/>
                <a:lumOff val="40000"/>
              </a:schemeClr>
            </a:solidFill>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3-F199-43EF-BBC5-A52A4548B35B}"/>
                </c:ext>
              </c:extLst>
            </c:dLbl>
            <c:dLbl>
              <c:idx val="3"/>
              <c:delete val="1"/>
              <c:extLst>
                <c:ext xmlns:c15="http://schemas.microsoft.com/office/drawing/2012/chart" uri="{CE6537A1-D6FC-4f65-9D91-7224C49458BB}"/>
                <c:ext xmlns:c16="http://schemas.microsoft.com/office/drawing/2014/chart" uri="{C3380CC4-5D6E-409C-BE32-E72D297353CC}">
                  <c16:uniqueId val="{00000004-F199-43EF-BBC5-A52A4548B35B}"/>
                </c:ext>
              </c:extLst>
            </c:dLbl>
            <c:dLbl>
              <c:idx val="4"/>
              <c:delete val="1"/>
              <c:extLst>
                <c:ext xmlns:c15="http://schemas.microsoft.com/office/drawing/2012/chart" uri="{CE6537A1-D6FC-4f65-9D91-7224C49458BB}"/>
                <c:ext xmlns:c16="http://schemas.microsoft.com/office/drawing/2014/chart" uri="{C3380CC4-5D6E-409C-BE32-E72D297353CC}">
                  <c16:uniqueId val="{00000005-F199-43EF-BBC5-A52A4548B35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'Participation and reporting'!$C$4:$G$4</c:f>
              <c:strCache>
                <c:ptCount val="5"/>
                <c:pt idx="0">
                  <c:v>EU</c:v>
                </c:pt>
                <c:pt idx="1">
                  <c:v>Eastern Europe, Caucasus, and Central Asia</c:v>
                </c:pt>
                <c:pt idx="2">
                  <c:v>South-Eastern Europe (non-EU)</c:v>
                </c:pt>
                <c:pt idx="3">
                  <c:v>North America</c:v>
                </c:pt>
                <c:pt idx="4">
                  <c:v>Other member States</c:v>
                </c:pt>
              </c:strCache>
            </c:strRef>
          </c:cat>
          <c:val>
            <c:numRef>
              <c:f>'Participation and reporting'!$C$7:$G$7</c:f>
              <c:numCache>
                <c:formatCode>General</c:formatCode>
                <c:ptCount val="5"/>
                <c:pt idx="0">
                  <c:v>2</c:v>
                </c:pt>
                <c:pt idx="1">
                  <c:v>2</c:v>
                </c:pt>
                <c:pt idx="2">
                  <c:v>0</c:v>
                </c:pt>
                <c:pt idx="3">
                  <c:v>0</c:v>
                </c:pt>
                <c:pt idx="4">
                  <c:v>0</c:v>
                </c:pt>
              </c:numCache>
            </c:numRef>
          </c:val>
          <c:extLst>
            <c:ext xmlns:c16="http://schemas.microsoft.com/office/drawing/2014/chart" uri="{C3380CC4-5D6E-409C-BE32-E72D297353CC}">
              <c16:uniqueId val="{00000006-F199-43EF-BBC5-A52A4548B35B}"/>
            </c:ext>
          </c:extLst>
        </c:ser>
        <c:ser>
          <c:idx val="1"/>
          <c:order val="2"/>
          <c:tx>
            <c:strRef>
              <c:f>'Participation and reporting'!$B$8</c:f>
              <c:strCache>
                <c:ptCount val="1"/>
                <c:pt idx="0">
                  <c:v>UNECE member States not yet participating</c:v>
                </c:pt>
              </c:strCache>
            </c:strRef>
          </c:tx>
          <c:spPr>
            <a:solidFill>
              <a:schemeClr val="accent6">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'Participation and reporting'!$C$4:$G$4</c:f>
              <c:strCache>
                <c:ptCount val="5"/>
                <c:pt idx="0">
                  <c:v>EU</c:v>
                </c:pt>
                <c:pt idx="1">
                  <c:v>Eastern Europe, Caucasus, and Central Asia</c:v>
                </c:pt>
                <c:pt idx="2">
                  <c:v>South-Eastern Europe (non-EU)</c:v>
                </c:pt>
                <c:pt idx="3">
                  <c:v>North America</c:v>
                </c:pt>
                <c:pt idx="4">
                  <c:v>Other member States</c:v>
                </c:pt>
              </c:strCache>
            </c:strRef>
          </c:cat>
          <c:val>
            <c:numRef>
              <c:f>'Participation and reporting'!$C$8:$G$8</c:f>
              <c:numCache>
                <c:formatCode>General</c:formatCode>
                <c:ptCount val="5"/>
                <c:pt idx="0">
                  <c:v>10</c:v>
                </c:pt>
                <c:pt idx="1">
                  <c:v>3</c:v>
                </c:pt>
                <c:pt idx="2">
                  <c:v>5</c:v>
                </c:pt>
                <c:pt idx="3">
                  <c:v>2</c:v>
                </c:pt>
                <c:pt idx="4">
                  <c:v>9</c:v>
                </c:pt>
              </c:numCache>
            </c:numRef>
          </c:val>
          <c:extLst>
            <c:ext xmlns:c16="http://schemas.microsoft.com/office/drawing/2014/chart" uri="{C3380CC4-5D6E-409C-BE32-E72D297353CC}">
              <c16:uniqueId val="{00000007-F199-43EF-BBC5-A52A4548B35B}"/>
            </c:ext>
          </c:extLst>
        </c:ser>
        <c:dLbls>
          <c:showLegendKey val="0"/>
          <c:showVal val="0"/>
          <c:showCatName val="0"/>
          <c:showSerName val="0"/>
          <c:showPercent val="0"/>
          <c:showBubbleSize val="0"/>
        </c:dLbls>
        <c:gapWidth val="150"/>
        <c:overlap val="100"/>
        <c:axId val="169811456"/>
        <c:axId val="52688512"/>
      </c:barChart>
      <c:catAx>
        <c:axId val="169811456"/>
        <c:scaling>
          <c:orientation val="minMax"/>
        </c:scaling>
        <c:delete val="1"/>
        <c:axPos val="b"/>
        <c:numFmt formatCode="General" sourceLinked="0"/>
        <c:majorTickMark val="out"/>
        <c:minorTickMark val="none"/>
        <c:tickLblPos val="nextTo"/>
        <c:crossAx val="52688512"/>
        <c:crosses val="autoZero"/>
        <c:auto val="1"/>
        <c:lblAlgn val="ctr"/>
        <c:lblOffset val="100"/>
        <c:noMultiLvlLbl val="0"/>
      </c:catAx>
      <c:valAx>
        <c:axId val="52688512"/>
        <c:scaling>
          <c:orientation val="minMax"/>
        </c:scaling>
        <c:delete val="0"/>
        <c:axPos val="l"/>
        <c:majorGridlines/>
        <c:numFmt formatCode="General" sourceLinked="1"/>
        <c:majorTickMark val="out"/>
        <c:minorTickMark val="none"/>
        <c:tickLblPos val="nextTo"/>
        <c:crossAx val="169811456"/>
        <c:crosses val="autoZero"/>
        <c:crossBetween val="between"/>
      </c:valAx>
    </c:plotArea>
    <c:legend>
      <c:legendPos val="r"/>
      <c:layout>
        <c:manualLayout>
          <c:xMode val="edge"/>
          <c:yMode val="edge"/>
          <c:x val="0.77079355320304477"/>
          <c:y val="4.5955021150870495E-2"/>
          <c:w val="0.20644382922454327"/>
          <c:h val="0.90235591213558874"/>
        </c:manualLayout>
      </c:layout>
      <c:overlay val="0"/>
    </c:legend>
    <c:plotVisOnly val="1"/>
    <c:dispBlanksAs val="gap"/>
    <c:showDLblsOverMax val="0"/>
  </c:chart>
  <c:txPr>
    <a:bodyPr/>
    <a:lstStyle/>
    <a:p>
      <a:pPr>
        <a:defRPr sz="900"/>
      </a:pPr>
      <a:endParaRPr lang="fr-FR"/>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7752047527578253E-3"/>
          <c:y val="0.14617246014979834"/>
          <c:w val="0.44434023092558117"/>
          <c:h val="0.72670810272884401"/>
        </c:manualLayout>
      </c:layout>
      <c:pieChart>
        <c:varyColors val="1"/>
        <c:ser>
          <c:idx val="0"/>
          <c:order val="0"/>
          <c:spPr>
            <a:ln w="25400" cmpd="sng">
              <a:noFill/>
            </a:ln>
          </c:spPr>
          <c:explosion val="24"/>
          <c:dPt>
            <c:idx val="0"/>
            <c:bubble3D val="0"/>
            <c:spPr>
              <a:solidFill>
                <a:schemeClr val="accent4">
                  <a:lumMod val="75000"/>
                </a:schemeClr>
              </a:solidFill>
              <a:ln w="25400" cmpd="sng">
                <a:noFill/>
              </a:ln>
            </c:spPr>
            <c:extLst>
              <c:ext xmlns:c16="http://schemas.microsoft.com/office/drawing/2014/chart" uri="{C3380CC4-5D6E-409C-BE32-E72D297353CC}">
                <c16:uniqueId val="{00000001-B615-4643-8A7B-D92B51DD4585}"/>
              </c:ext>
            </c:extLst>
          </c:dPt>
          <c:dPt>
            <c:idx val="1"/>
            <c:bubble3D val="0"/>
            <c:spPr>
              <a:solidFill>
                <a:schemeClr val="accent3">
                  <a:lumMod val="50000"/>
                </a:schemeClr>
              </a:solidFill>
              <a:ln w="25400" cmpd="sng">
                <a:noFill/>
              </a:ln>
            </c:spPr>
            <c:extLst>
              <c:ext xmlns:c16="http://schemas.microsoft.com/office/drawing/2014/chart" uri="{C3380CC4-5D6E-409C-BE32-E72D297353CC}">
                <c16:uniqueId val="{00000003-B615-4643-8A7B-D92B51DD4585}"/>
              </c:ext>
            </c:extLst>
          </c:dPt>
          <c:dPt>
            <c:idx val="2"/>
            <c:bubble3D val="0"/>
            <c:spPr>
              <a:solidFill>
                <a:schemeClr val="accent3">
                  <a:lumMod val="75000"/>
                </a:schemeClr>
              </a:solidFill>
              <a:ln w="25400" cmpd="sng">
                <a:noFill/>
              </a:ln>
            </c:spPr>
            <c:extLst>
              <c:ext xmlns:c16="http://schemas.microsoft.com/office/drawing/2014/chart" uri="{C3380CC4-5D6E-409C-BE32-E72D297353CC}">
                <c16:uniqueId val="{00000005-B615-4643-8A7B-D92B51DD4585}"/>
              </c:ext>
            </c:extLst>
          </c:dPt>
          <c:dPt>
            <c:idx val="3"/>
            <c:bubble3D val="0"/>
            <c:spPr>
              <a:solidFill>
                <a:schemeClr val="accent3">
                  <a:lumMod val="60000"/>
                  <a:lumOff val="40000"/>
                </a:schemeClr>
              </a:solidFill>
              <a:ln w="25400" cmpd="sng">
                <a:noFill/>
              </a:ln>
            </c:spPr>
            <c:extLst>
              <c:ext xmlns:c16="http://schemas.microsoft.com/office/drawing/2014/chart" uri="{C3380CC4-5D6E-409C-BE32-E72D297353CC}">
                <c16:uniqueId val="{00000007-B615-4643-8A7B-D92B51DD4585}"/>
              </c:ext>
            </c:extLst>
          </c:dPt>
          <c:dPt>
            <c:idx val="4"/>
            <c:bubble3D val="0"/>
            <c:spPr>
              <a:solidFill>
                <a:schemeClr val="bg2">
                  <a:lumMod val="25000"/>
                </a:schemeClr>
              </a:solidFill>
              <a:ln w="25400" cmpd="sng">
                <a:noFill/>
              </a:ln>
            </c:spPr>
            <c:extLst>
              <c:ext xmlns:c16="http://schemas.microsoft.com/office/drawing/2014/chart" uri="{C3380CC4-5D6E-409C-BE32-E72D297353CC}">
                <c16:uniqueId val="{00000009-B615-4643-8A7B-D92B51DD4585}"/>
              </c:ext>
            </c:extLst>
          </c:dPt>
          <c:dPt>
            <c:idx val="5"/>
            <c:bubble3D val="0"/>
            <c:spPr>
              <a:solidFill>
                <a:schemeClr val="bg2">
                  <a:lumMod val="50000"/>
                </a:schemeClr>
              </a:solidFill>
              <a:ln w="25400" cmpd="sng">
                <a:noFill/>
              </a:ln>
            </c:spPr>
            <c:extLst>
              <c:ext xmlns:c16="http://schemas.microsoft.com/office/drawing/2014/chart" uri="{C3380CC4-5D6E-409C-BE32-E72D297353CC}">
                <c16:uniqueId val="{0000000B-B615-4643-8A7B-D92B51DD4585}"/>
              </c:ext>
            </c:extLst>
          </c:dPt>
          <c:dPt>
            <c:idx val="6"/>
            <c:bubble3D val="0"/>
            <c:spPr>
              <a:solidFill>
                <a:schemeClr val="bg2">
                  <a:lumMod val="75000"/>
                </a:schemeClr>
              </a:solidFill>
              <a:ln w="25400" cmpd="sng">
                <a:noFill/>
              </a:ln>
            </c:spPr>
            <c:extLst>
              <c:ext xmlns:c16="http://schemas.microsoft.com/office/drawing/2014/chart" uri="{C3380CC4-5D6E-409C-BE32-E72D297353CC}">
                <c16:uniqueId val="{0000000D-B615-4643-8A7B-D92B51DD4585}"/>
              </c:ext>
            </c:extLst>
          </c:dPt>
          <c:dPt>
            <c:idx val="7"/>
            <c:bubble3D val="0"/>
            <c:spPr>
              <a:solidFill>
                <a:schemeClr val="accent1">
                  <a:lumMod val="75000"/>
                </a:schemeClr>
              </a:solidFill>
              <a:ln w="25400" cmpd="sng">
                <a:noFill/>
              </a:ln>
            </c:spPr>
            <c:extLst>
              <c:ext xmlns:c16="http://schemas.microsoft.com/office/drawing/2014/chart" uri="{C3380CC4-5D6E-409C-BE32-E72D297353CC}">
                <c16:uniqueId val="{0000000F-B615-4643-8A7B-D92B51DD4585}"/>
              </c:ext>
            </c:extLst>
          </c:dPt>
          <c:dPt>
            <c:idx val="8"/>
            <c:bubble3D val="0"/>
            <c:spPr>
              <a:solidFill>
                <a:schemeClr val="accent1">
                  <a:lumMod val="60000"/>
                  <a:lumOff val="40000"/>
                </a:schemeClr>
              </a:solidFill>
              <a:ln w="25400" cmpd="sng">
                <a:noFill/>
              </a:ln>
            </c:spPr>
            <c:extLst>
              <c:ext xmlns:c16="http://schemas.microsoft.com/office/drawing/2014/chart" uri="{C3380CC4-5D6E-409C-BE32-E72D297353CC}">
                <c16:uniqueId val="{00000011-B615-4643-8A7B-D92B51DD4585}"/>
              </c:ext>
            </c:extLst>
          </c:dPt>
          <c:dPt>
            <c:idx val="9"/>
            <c:bubble3D val="0"/>
            <c:spPr>
              <a:solidFill>
                <a:schemeClr val="accent1">
                  <a:lumMod val="40000"/>
                  <a:lumOff val="60000"/>
                </a:schemeClr>
              </a:solidFill>
              <a:ln w="25400" cmpd="sng">
                <a:noFill/>
              </a:ln>
            </c:spPr>
            <c:extLst>
              <c:ext xmlns:c16="http://schemas.microsoft.com/office/drawing/2014/chart" uri="{C3380CC4-5D6E-409C-BE32-E72D297353CC}">
                <c16:uniqueId val="{00000013-B615-4643-8A7B-D92B51DD4585}"/>
              </c:ext>
            </c:extLst>
          </c:dPt>
          <c:dLbls>
            <c:dLbl>
              <c:idx val="4"/>
              <c:layout>
                <c:manualLayout>
                  <c:x val="3.7166311692395766E-2"/>
                  <c:y val="-2.0883256767094894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B615-4643-8A7B-D92B51DD4585}"/>
                </c:ext>
              </c:extLst>
            </c:dLbl>
            <c:spPr>
              <a:noFill/>
              <a:ln>
                <a:noFill/>
              </a:ln>
              <a:effectLst/>
            </c:spPr>
            <c:txPr>
              <a:bodyPr/>
              <a:lstStyle/>
              <a:p>
                <a:pPr>
                  <a:defRPr sz="1200" b="0"/>
                </a:pPr>
                <a:endParaRPr lang="fr-FR"/>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'Focus areas &amp; Objectives'!$C$3:$L$3</c:f>
              <c:strCache>
                <c:ptCount val="10"/>
                <c:pt idx="0">
                  <c:v>Overarching actions</c:v>
                </c:pt>
                <c:pt idx="1">
                  <c:v>I.1. Improve the measurement and valuation of natural capital</c:v>
                </c:pt>
                <c:pt idx="2">
                  <c:v>I.2. Promote the internalization of negative externalities and the sustainable use of natural capital</c:v>
                </c:pt>
                <c:pt idx="3">
                  <c:v>I.3. Enhance ecosystems and ecosystem services as part of ecological infrastructure;</c:v>
                </c:pt>
                <c:pt idx="4">
                  <c:v>II.1. Shift consumer behaviours towards sustainable consumptionpatterns</c:v>
                </c:pt>
                <c:pt idx="5">
                  <c:v>II.2. Develop clean physical capital for sustainable production patterns</c:v>
                </c:pt>
                <c:pt idx="6">
                  <c:v>II.3. Promote green and fair trade</c:v>
                </c:pt>
                <c:pt idx="7">
                  <c:v>III.1. Increase green and decent jobs, while developing the necessary human capital</c:v>
                </c:pt>
                <c:pt idx="8">
                  <c:v>III.2. Improve access to services, healthy living and well-being</c:v>
                </c:pt>
                <c:pt idx="9">
                  <c:v>III.3. Promote public participation and education for sustainable development</c:v>
                </c:pt>
              </c:strCache>
            </c:strRef>
          </c:cat>
          <c:val>
            <c:numRef>
              <c:f>'Focus areas &amp; Objectives'!$C$4:$L$4</c:f>
              <c:numCache>
                <c:formatCode>General</c:formatCode>
                <c:ptCount val="10"/>
                <c:pt idx="0">
                  <c:v>11</c:v>
                </c:pt>
                <c:pt idx="1">
                  <c:v>25</c:v>
                </c:pt>
                <c:pt idx="2">
                  <c:v>32</c:v>
                </c:pt>
                <c:pt idx="3">
                  <c:v>16</c:v>
                </c:pt>
                <c:pt idx="4">
                  <c:v>42</c:v>
                </c:pt>
                <c:pt idx="5">
                  <c:v>49</c:v>
                </c:pt>
                <c:pt idx="6">
                  <c:v>14</c:v>
                </c:pt>
                <c:pt idx="7">
                  <c:v>12</c:v>
                </c:pt>
                <c:pt idx="8">
                  <c:v>17</c:v>
                </c:pt>
                <c:pt idx="9">
                  <c:v>19</c:v>
                </c:pt>
              </c:numCache>
            </c:numRef>
          </c:val>
          <c:extLst>
            <c:ext xmlns:c16="http://schemas.microsoft.com/office/drawing/2014/chart" uri="{C3380CC4-5D6E-409C-BE32-E72D297353CC}">
              <c16:uniqueId val="{00000014-B615-4643-8A7B-D92B51DD4585}"/>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44680427854288629"/>
          <c:y val="4.4555406183983265E-4"/>
          <c:w val="0.55222214630980226"/>
          <c:h val="0.99944796907788835"/>
        </c:manualLayout>
      </c:layout>
      <c:overlay val="0"/>
      <c:txPr>
        <a:bodyPr/>
        <a:lstStyle/>
        <a:p>
          <a:pPr algn="l">
            <a:defRPr sz="800"/>
          </a:pPr>
          <a:endParaRPr lang="fr-FR"/>
        </a:p>
      </c:txPr>
    </c:legend>
    <c:plotVisOnly val="1"/>
    <c:dispBlanksAs val="gap"/>
    <c:showDLblsOverMax val="0"/>
  </c:chart>
  <c:spPr>
    <a:ln>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023570583088879E-3"/>
          <c:y val="2.9498396033829106E-2"/>
          <c:w val="0.48491941181149145"/>
          <c:h val="0.94458260425780116"/>
        </c:manualLayout>
      </c:layout>
      <c:doughnutChart>
        <c:varyColors val="1"/>
        <c:ser>
          <c:idx val="0"/>
          <c:order val="0"/>
          <c:dPt>
            <c:idx val="0"/>
            <c:bubble3D val="0"/>
            <c:spPr>
              <a:solidFill>
                <a:schemeClr val="accent4">
                  <a:lumMod val="75000"/>
                </a:schemeClr>
              </a:solidFill>
            </c:spPr>
            <c:extLst>
              <c:ext xmlns:c16="http://schemas.microsoft.com/office/drawing/2014/chart" uri="{C3380CC4-5D6E-409C-BE32-E72D297353CC}">
                <c16:uniqueId val="{00000001-2AC1-4A77-A4CD-7D3C715F0819}"/>
              </c:ext>
            </c:extLst>
          </c:dPt>
          <c:dPt>
            <c:idx val="1"/>
            <c:bubble3D val="0"/>
            <c:spPr>
              <a:solidFill>
                <a:schemeClr val="accent4">
                  <a:lumMod val="60000"/>
                  <a:lumOff val="40000"/>
                </a:schemeClr>
              </a:solidFill>
            </c:spPr>
            <c:extLst>
              <c:ext xmlns:c16="http://schemas.microsoft.com/office/drawing/2014/chart" uri="{C3380CC4-5D6E-409C-BE32-E72D297353CC}">
                <c16:uniqueId val="{00000003-2AC1-4A77-A4CD-7D3C715F0819}"/>
              </c:ext>
            </c:extLst>
          </c:dPt>
          <c:dPt>
            <c:idx val="2"/>
            <c:bubble3D val="0"/>
            <c:spPr>
              <a:solidFill>
                <a:schemeClr val="accent5">
                  <a:lumMod val="75000"/>
                </a:schemeClr>
              </a:solidFill>
            </c:spPr>
            <c:extLst>
              <c:ext xmlns:c16="http://schemas.microsoft.com/office/drawing/2014/chart" uri="{C3380CC4-5D6E-409C-BE32-E72D297353CC}">
                <c16:uniqueId val="{00000005-2AC1-4A77-A4CD-7D3C715F0819}"/>
              </c:ext>
            </c:extLst>
          </c:dPt>
          <c:dPt>
            <c:idx val="3"/>
            <c:bubble3D val="0"/>
            <c:spPr>
              <a:solidFill>
                <a:schemeClr val="accent5">
                  <a:lumMod val="60000"/>
                  <a:lumOff val="40000"/>
                </a:schemeClr>
              </a:solidFill>
            </c:spPr>
            <c:extLst>
              <c:ext xmlns:c16="http://schemas.microsoft.com/office/drawing/2014/chart" uri="{C3380CC4-5D6E-409C-BE32-E72D297353CC}">
                <c16:uniqueId val="{00000007-2AC1-4A77-A4CD-7D3C715F0819}"/>
              </c:ext>
            </c:extLst>
          </c:dPt>
          <c:dPt>
            <c:idx val="4"/>
            <c:bubble3D val="0"/>
            <c:spPr>
              <a:solidFill>
                <a:schemeClr val="accent3">
                  <a:lumMod val="75000"/>
                </a:schemeClr>
              </a:solidFill>
            </c:spPr>
            <c:extLst>
              <c:ext xmlns:c16="http://schemas.microsoft.com/office/drawing/2014/chart" uri="{C3380CC4-5D6E-409C-BE32-E72D297353CC}">
                <c16:uniqueId val="{00000009-2AC1-4A77-A4CD-7D3C715F0819}"/>
              </c:ext>
            </c:extLst>
          </c:dPt>
          <c:dPt>
            <c:idx val="5"/>
            <c:bubble3D val="0"/>
            <c:spPr>
              <a:solidFill>
                <a:schemeClr val="accent3">
                  <a:lumMod val="60000"/>
                  <a:lumOff val="40000"/>
                </a:schemeClr>
              </a:solidFill>
            </c:spPr>
            <c:extLst>
              <c:ext xmlns:c16="http://schemas.microsoft.com/office/drawing/2014/chart" uri="{C3380CC4-5D6E-409C-BE32-E72D297353CC}">
                <c16:uniqueId val="{0000000B-2AC1-4A77-A4CD-7D3C715F0819}"/>
              </c:ext>
            </c:extLst>
          </c:dPt>
          <c:dLbls>
            <c:spPr>
              <a:noFill/>
              <a:ln>
                <a:noFill/>
              </a:ln>
              <a:effectLst/>
            </c:sp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'Action types'!$N$2:$S$2</c:f>
              <c:strCache>
                <c:ptCount val="6"/>
                <c:pt idx="0">
                  <c:v>(a) legal, regulatory and policy instruments (Government)</c:v>
                </c:pt>
                <c:pt idx="1">
                  <c:v>(a) (Non-government)</c:v>
                </c:pt>
                <c:pt idx="2">
                  <c:v>(b) economy and fiscal instruments (Government)</c:v>
                </c:pt>
                <c:pt idx="3">
                  <c:v>(b) (Non-government)</c:v>
                </c:pt>
                <c:pt idx="4">
                  <c:v>(c) information, education-based, capacity-building and voluntary instruments (Government)</c:v>
                </c:pt>
                <c:pt idx="5">
                  <c:v>(c) (Non-government)</c:v>
                </c:pt>
              </c:strCache>
            </c:strRef>
          </c:cat>
          <c:val>
            <c:numRef>
              <c:f>'Action types'!$N$3:$S$3</c:f>
              <c:numCache>
                <c:formatCode>General</c:formatCode>
                <c:ptCount val="6"/>
                <c:pt idx="0">
                  <c:v>55</c:v>
                </c:pt>
                <c:pt idx="1">
                  <c:v>9</c:v>
                </c:pt>
                <c:pt idx="2">
                  <c:v>27</c:v>
                </c:pt>
                <c:pt idx="3">
                  <c:v>2</c:v>
                </c:pt>
                <c:pt idx="4">
                  <c:v>41</c:v>
                </c:pt>
                <c:pt idx="5">
                  <c:v>33</c:v>
                </c:pt>
              </c:numCache>
            </c:numRef>
          </c:val>
          <c:extLst>
            <c:ext xmlns:c16="http://schemas.microsoft.com/office/drawing/2014/chart" uri="{C3380CC4-5D6E-409C-BE32-E72D297353CC}">
              <c16:uniqueId val="{0000000C-2AC1-4A77-A4CD-7D3C715F0819}"/>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4512225851085766"/>
          <c:y val="6.545218076801561E-3"/>
          <c:w val="0.54500778923495941"/>
          <c:h val="0.95869386118401845"/>
        </c:manualLayout>
      </c:layout>
      <c:overlay val="0"/>
    </c:legend>
    <c:plotVisOnly val="1"/>
    <c:dispBlanksAs val="gap"/>
    <c:showDLblsOverMax val="0"/>
  </c:chart>
  <c:txPr>
    <a:bodyPr/>
    <a:lstStyle/>
    <a:p>
      <a:pPr>
        <a:defRPr sz="900"/>
      </a:pPr>
      <a:endParaRPr lang="fr-F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'Econ Sectors'!$A$13</c:f>
              <c:strCache>
                <c:ptCount val="1"/>
                <c:pt idx="0">
                  <c:v>Government</c:v>
                </c:pt>
              </c:strCache>
            </c:strRef>
          </c:tx>
          <c:spPr>
            <a:solidFill>
              <a:schemeClr val="accent5">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'Econ Sectors'!$B$11:$N$11</c:f>
              <c:strCache>
                <c:ptCount val="13"/>
                <c:pt idx="0">
                  <c:v>(a) Economy-wide</c:v>
                </c:pt>
                <c:pt idx="1">
                  <c:v>(b) Cities</c:v>
                </c:pt>
                <c:pt idx="2">
                  <c:v>Agriculture</c:v>
                </c:pt>
                <c:pt idx="3">
                  <c:v>Forestry and fishing</c:v>
                </c:pt>
                <c:pt idx="4">
                  <c:v>Energy</c:v>
                </c:pt>
                <c:pt idx="5">
                  <c:v>Mining</c:v>
                </c:pt>
                <c:pt idx="6">
                  <c:v>Manufacturing</c:v>
                </c:pt>
                <c:pt idx="7">
                  <c:v>Transport</c:v>
                </c:pt>
                <c:pt idx="8">
                  <c:v>Water</c:v>
                </c:pt>
                <c:pt idx="9">
                  <c:v>Waste</c:v>
                </c:pt>
                <c:pt idx="10">
                  <c:v>Tourism</c:v>
                </c:pt>
                <c:pt idx="11">
                  <c:v>Housing, buildings &amp; construction</c:v>
                </c:pt>
                <c:pt idx="12">
                  <c:v>Other</c:v>
                </c:pt>
              </c:strCache>
            </c:strRef>
          </c:cat>
          <c:val>
            <c:numRef>
              <c:f>'Econ Sectors'!$B$13:$N$13</c:f>
              <c:numCache>
                <c:formatCode>General</c:formatCode>
                <c:ptCount val="13"/>
                <c:pt idx="0">
                  <c:v>53</c:v>
                </c:pt>
                <c:pt idx="1">
                  <c:v>4</c:v>
                </c:pt>
                <c:pt idx="2">
                  <c:v>13</c:v>
                </c:pt>
                <c:pt idx="3">
                  <c:v>6</c:v>
                </c:pt>
                <c:pt idx="4">
                  <c:v>15</c:v>
                </c:pt>
                <c:pt idx="5">
                  <c:v>3</c:v>
                </c:pt>
                <c:pt idx="6">
                  <c:v>6</c:v>
                </c:pt>
                <c:pt idx="7">
                  <c:v>12</c:v>
                </c:pt>
                <c:pt idx="8">
                  <c:v>10</c:v>
                </c:pt>
                <c:pt idx="9">
                  <c:v>9</c:v>
                </c:pt>
                <c:pt idx="10">
                  <c:v>5</c:v>
                </c:pt>
                <c:pt idx="11">
                  <c:v>9</c:v>
                </c:pt>
                <c:pt idx="12">
                  <c:v>8</c:v>
                </c:pt>
              </c:numCache>
            </c:numRef>
          </c:val>
          <c:extLst>
            <c:ext xmlns:c16="http://schemas.microsoft.com/office/drawing/2014/chart" uri="{C3380CC4-5D6E-409C-BE32-E72D297353CC}">
              <c16:uniqueId val="{00000000-D4D6-4120-8AC9-1C4CDF8EC514}"/>
            </c:ext>
          </c:extLst>
        </c:ser>
        <c:ser>
          <c:idx val="1"/>
          <c:order val="1"/>
          <c:tx>
            <c:strRef>
              <c:f>'Econ Sectors'!$A$14</c:f>
              <c:strCache>
                <c:ptCount val="1"/>
                <c:pt idx="0">
                  <c:v>Non-government</c:v>
                </c:pt>
              </c:strCache>
            </c:strRef>
          </c:tx>
          <c:spPr>
            <a:solidFill>
              <a:schemeClr val="accent6">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'Econ Sectors'!$B$11:$N$11</c:f>
              <c:strCache>
                <c:ptCount val="13"/>
                <c:pt idx="0">
                  <c:v>(a) Economy-wide</c:v>
                </c:pt>
                <c:pt idx="1">
                  <c:v>(b) Cities</c:v>
                </c:pt>
                <c:pt idx="2">
                  <c:v>Agriculture</c:v>
                </c:pt>
                <c:pt idx="3">
                  <c:v>Forestry and fishing</c:v>
                </c:pt>
                <c:pt idx="4">
                  <c:v>Energy</c:v>
                </c:pt>
                <c:pt idx="5">
                  <c:v>Mining</c:v>
                </c:pt>
                <c:pt idx="6">
                  <c:v>Manufacturing</c:v>
                </c:pt>
                <c:pt idx="7">
                  <c:v>Transport</c:v>
                </c:pt>
                <c:pt idx="8">
                  <c:v>Water</c:v>
                </c:pt>
                <c:pt idx="9">
                  <c:v>Waste</c:v>
                </c:pt>
                <c:pt idx="10">
                  <c:v>Tourism</c:v>
                </c:pt>
                <c:pt idx="11">
                  <c:v>Housing, buildings &amp; construction</c:v>
                </c:pt>
                <c:pt idx="12">
                  <c:v>Other</c:v>
                </c:pt>
              </c:strCache>
            </c:strRef>
          </c:cat>
          <c:val>
            <c:numRef>
              <c:f>'Econ Sectors'!$B$14:$N$14</c:f>
              <c:numCache>
                <c:formatCode>General</c:formatCode>
                <c:ptCount val="13"/>
                <c:pt idx="0">
                  <c:v>15</c:v>
                </c:pt>
                <c:pt idx="1">
                  <c:v>6</c:v>
                </c:pt>
                <c:pt idx="2">
                  <c:v>19</c:v>
                </c:pt>
                <c:pt idx="3">
                  <c:v>15</c:v>
                </c:pt>
                <c:pt idx="4">
                  <c:v>18</c:v>
                </c:pt>
                <c:pt idx="5">
                  <c:v>16</c:v>
                </c:pt>
                <c:pt idx="6">
                  <c:v>20</c:v>
                </c:pt>
                <c:pt idx="7">
                  <c:v>16</c:v>
                </c:pt>
                <c:pt idx="8">
                  <c:v>19</c:v>
                </c:pt>
                <c:pt idx="9">
                  <c:v>18</c:v>
                </c:pt>
                <c:pt idx="10">
                  <c:v>16</c:v>
                </c:pt>
                <c:pt idx="11">
                  <c:v>15</c:v>
                </c:pt>
                <c:pt idx="12">
                  <c:v>18</c:v>
                </c:pt>
              </c:numCache>
            </c:numRef>
          </c:val>
          <c:extLst>
            <c:ext xmlns:c16="http://schemas.microsoft.com/office/drawing/2014/chart" uri="{C3380CC4-5D6E-409C-BE32-E72D297353CC}">
              <c16:uniqueId val="{00000001-D4D6-4120-8AC9-1C4CDF8EC514}"/>
            </c:ext>
          </c:extLst>
        </c:ser>
        <c:dLbls>
          <c:showLegendKey val="0"/>
          <c:showVal val="0"/>
          <c:showCatName val="0"/>
          <c:showSerName val="0"/>
          <c:showPercent val="0"/>
          <c:showBubbleSize val="0"/>
        </c:dLbls>
        <c:gapWidth val="150"/>
        <c:overlap val="100"/>
        <c:axId val="216386048"/>
        <c:axId val="53796864"/>
      </c:barChart>
      <c:catAx>
        <c:axId val="216386048"/>
        <c:scaling>
          <c:orientation val="maxMin"/>
        </c:scaling>
        <c:delete val="0"/>
        <c:axPos val="l"/>
        <c:numFmt formatCode="General" sourceLinked="0"/>
        <c:majorTickMark val="out"/>
        <c:minorTickMark val="none"/>
        <c:tickLblPos val="nextTo"/>
        <c:crossAx val="53796864"/>
        <c:crosses val="autoZero"/>
        <c:auto val="1"/>
        <c:lblAlgn val="ctr"/>
        <c:lblOffset val="100"/>
        <c:noMultiLvlLbl val="0"/>
      </c:catAx>
      <c:valAx>
        <c:axId val="53796864"/>
        <c:scaling>
          <c:orientation val="minMax"/>
        </c:scaling>
        <c:delete val="0"/>
        <c:axPos val="t"/>
        <c:majorGridlines/>
        <c:numFmt formatCode="General" sourceLinked="1"/>
        <c:majorTickMark val="out"/>
        <c:minorTickMark val="none"/>
        <c:tickLblPos val="nextTo"/>
        <c:crossAx val="216386048"/>
        <c:crosses val="autoZero"/>
        <c:crossBetween val="between"/>
      </c:valAx>
    </c:plotArea>
    <c:legend>
      <c:legendPos val="b"/>
      <c:layout>
        <c:manualLayout>
          <c:xMode val="edge"/>
          <c:yMode val="edge"/>
          <c:x val="0.23045566726140237"/>
          <c:y val="0.89452465419844496"/>
          <c:w val="0.57436660648083848"/>
          <c:h val="8.9776758674396454E-2"/>
        </c:manualLayout>
      </c:layout>
      <c:overlay val="0"/>
    </c:legend>
    <c:plotVisOnly val="1"/>
    <c:dispBlanksAs val="gap"/>
    <c:showDLblsOverMax val="0"/>
  </c:chart>
  <c:txPr>
    <a:bodyPr/>
    <a:lstStyle/>
    <a:p>
      <a:pPr>
        <a:defRPr sz="900"/>
      </a:pPr>
      <a:endParaRPr lang="fr-FR"/>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SDGs!$A$8</c:f>
              <c:strCache>
                <c:ptCount val="1"/>
                <c:pt idx="0">
                  <c:v>Government</c:v>
                </c:pt>
              </c:strCache>
            </c:strRef>
          </c:tx>
          <c:spPr>
            <a:solidFill>
              <a:schemeClr val="accent5">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SDGs!$B$3:$R$3</c:f>
              <c:strCache>
                <c:ptCount val="17"/>
                <c:pt idx="0">
                  <c:v>GOAL 1: No Poverty</c:v>
                </c:pt>
                <c:pt idx="1">
                  <c:v>GOAL 2: Zero Hunger</c:v>
                </c:pt>
                <c:pt idx="2">
                  <c:v>GOAL 3: Good Health and Well-being</c:v>
                </c:pt>
                <c:pt idx="3">
                  <c:v>GOAL 4: Quality Education</c:v>
                </c:pt>
                <c:pt idx="4">
                  <c:v>GOAL 5: Gender Equality</c:v>
                </c:pt>
                <c:pt idx="5">
                  <c:v>GOAL 6: Clean Water and Sanitation</c:v>
                </c:pt>
                <c:pt idx="6">
                  <c:v>GOAL 7: Affordable and Clean Energy</c:v>
                </c:pt>
                <c:pt idx="7">
                  <c:v>GOAL 8: Decent Work and Economic Growth</c:v>
                </c:pt>
                <c:pt idx="8">
                  <c:v>GOAL 9: Industry, Innovation and Infrastructure</c:v>
                </c:pt>
                <c:pt idx="9">
                  <c:v>GOAL 10: Reduced Inequality</c:v>
                </c:pt>
                <c:pt idx="10">
                  <c:v>GOAL 11: Sustainable Cities and Communities</c:v>
                </c:pt>
                <c:pt idx="11">
                  <c:v>GOAL 12: Responsible Consumption and Production</c:v>
                </c:pt>
                <c:pt idx="12">
                  <c:v>GOAL 13: Climate Action</c:v>
                </c:pt>
                <c:pt idx="13">
                  <c:v>GOAL 14: Life Below Water</c:v>
                </c:pt>
                <c:pt idx="14">
                  <c:v>GOAL 15: Life on Land</c:v>
                </c:pt>
                <c:pt idx="15">
                  <c:v>GOAL 16: Peace and Justice Strong Institutions</c:v>
                </c:pt>
                <c:pt idx="16">
                  <c:v>GOAL 17: Partnerships to achieve the Goal</c:v>
                </c:pt>
              </c:strCache>
            </c:strRef>
          </c:cat>
          <c:val>
            <c:numRef>
              <c:f>SDGs!$B$8:$R$8</c:f>
              <c:numCache>
                <c:formatCode>General</c:formatCode>
                <c:ptCount val="17"/>
                <c:pt idx="0">
                  <c:v>4</c:v>
                </c:pt>
                <c:pt idx="1">
                  <c:v>9</c:v>
                </c:pt>
                <c:pt idx="2">
                  <c:v>15</c:v>
                </c:pt>
                <c:pt idx="3">
                  <c:v>6</c:v>
                </c:pt>
                <c:pt idx="4">
                  <c:v>1</c:v>
                </c:pt>
                <c:pt idx="5">
                  <c:v>21</c:v>
                </c:pt>
                <c:pt idx="6">
                  <c:v>33</c:v>
                </c:pt>
                <c:pt idx="7">
                  <c:v>29</c:v>
                </c:pt>
                <c:pt idx="8">
                  <c:v>34</c:v>
                </c:pt>
                <c:pt idx="9">
                  <c:v>3</c:v>
                </c:pt>
                <c:pt idx="10">
                  <c:v>30</c:v>
                </c:pt>
                <c:pt idx="11">
                  <c:v>57</c:v>
                </c:pt>
                <c:pt idx="12">
                  <c:v>31</c:v>
                </c:pt>
                <c:pt idx="13">
                  <c:v>14</c:v>
                </c:pt>
                <c:pt idx="14">
                  <c:v>22</c:v>
                </c:pt>
                <c:pt idx="15">
                  <c:v>8</c:v>
                </c:pt>
                <c:pt idx="16">
                  <c:v>10</c:v>
                </c:pt>
              </c:numCache>
            </c:numRef>
          </c:val>
          <c:extLst>
            <c:ext xmlns:c16="http://schemas.microsoft.com/office/drawing/2014/chart" uri="{C3380CC4-5D6E-409C-BE32-E72D297353CC}">
              <c16:uniqueId val="{00000000-5A62-44B3-85D9-71B200E15BF0}"/>
            </c:ext>
          </c:extLst>
        </c:ser>
        <c:ser>
          <c:idx val="1"/>
          <c:order val="1"/>
          <c:tx>
            <c:strRef>
              <c:f>SDGs!$A$11</c:f>
              <c:strCache>
                <c:ptCount val="1"/>
                <c:pt idx="0">
                  <c:v>Non-Government</c:v>
                </c:pt>
              </c:strCache>
            </c:strRef>
          </c:tx>
          <c:spPr>
            <a:solidFill>
              <a:schemeClr val="accent6">
                <a:lumMod val="60000"/>
                <a:lumOff val="40000"/>
              </a:schemeClr>
            </a:solidFill>
          </c:spPr>
          <c:invertIfNegative val="0"/>
          <c:dLbls>
            <c:dLbl>
              <c:idx val="4"/>
              <c:layout>
                <c:manualLayout>
                  <c:x val="1.3408420488066506E-2"/>
                  <c:y val="3.03981454941946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A62-44B3-85D9-71B200E15BF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SDGs!$B$3:$R$3</c:f>
              <c:strCache>
                <c:ptCount val="17"/>
                <c:pt idx="0">
                  <c:v>GOAL 1: No Poverty</c:v>
                </c:pt>
                <c:pt idx="1">
                  <c:v>GOAL 2: Zero Hunger</c:v>
                </c:pt>
                <c:pt idx="2">
                  <c:v>GOAL 3: Good Health and Well-being</c:v>
                </c:pt>
                <c:pt idx="3">
                  <c:v>GOAL 4: Quality Education</c:v>
                </c:pt>
                <c:pt idx="4">
                  <c:v>GOAL 5: Gender Equality</c:v>
                </c:pt>
                <c:pt idx="5">
                  <c:v>GOAL 6: Clean Water and Sanitation</c:v>
                </c:pt>
                <c:pt idx="6">
                  <c:v>GOAL 7: Affordable and Clean Energy</c:v>
                </c:pt>
                <c:pt idx="7">
                  <c:v>GOAL 8: Decent Work and Economic Growth</c:v>
                </c:pt>
                <c:pt idx="8">
                  <c:v>GOAL 9: Industry, Innovation and Infrastructure</c:v>
                </c:pt>
                <c:pt idx="9">
                  <c:v>GOAL 10: Reduced Inequality</c:v>
                </c:pt>
                <c:pt idx="10">
                  <c:v>GOAL 11: Sustainable Cities and Communities</c:v>
                </c:pt>
                <c:pt idx="11">
                  <c:v>GOAL 12: Responsible Consumption and Production</c:v>
                </c:pt>
                <c:pt idx="12">
                  <c:v>GOAL 13: Climate Action</c:v>
                </c:pt>
                <c:pt idx="13">
                  <c:v>GOAL 14: Life Below Water</c:v>
                </c:pt>
                <c:pt idx="14">
                  <c:v>GOAL 15: Life on Land</c:v>
                </c:pt>
                <c:pt idx="15">
                  <c:v>GOAL 16: Peace and Justice Strong Institutions</c:v>
                </c:pt>
                <c:pt idx="16">
                  <c:v>GOAL 17: Partnerships to achieve the Goal</c:v>
                </c:pt>
              </c:strCache>
            </c:strRef>
          </c:cat>
          <c:val>
            <c:numRef>
              <c:f>SDGs!$B$11:$R$11</c:f>
              <c:numCache>
                <c:formatCode>General</c:formatCode>
                <c:ptCount val="17"/>
                <c:pt idx="0">
                  <c:v>3</c:v>
                </c:pt>
                <c:pt idx="1">
                  <c:v>6</c:v>
                </c:pt>
                <c:pt idx="2">
                  <c:v>12</c:v>
                </c:pt>
                <c:pt idx="3">
                  <c:v>6</c:v>
                </c:pt>
                <c:pt idx="4">
                  <c:v>0</c:v>
                </c:pt>
                <c:pt idx="5">
                  <c:v>13</c:v>
                </c:pt>
                <c:pt idx="6">
                  <c:v>11</c:v>
                </c:pt>
                <c:pt idx="7">
                  <c:v>11</c:v>
                </c:pt>
                <c:pt idx="8">
                  <c:v>14</c:v>
                </c:pt>
                <c:pt idx="9">
                  <c:v>1</c:v>
                </c:pt>
                <c:pt idx="10">
                  <c:v>12</c:v>
                </c:pt>
                <c:pt idx="11">
                  <c:v>21</c:v>
                </c:pt>
                <c:pt idx="12">
                  <c:v>14</c:v>
                </c:pt>
                <c:pt idx="13">
                  <c:v>11</c:v>
                </c:pt>
                <c:pt idx="14">
                  <c:v>12</c:v>
                </c:pt>
                <c:pt idx="15">
                  <c:v>3</c:v>
                </c:pt>
                <c:pt idx="16">
                  <c:v>15</c:v>
                </c:pt>
              </c:numCache>
            </c:numRef>
          </c:val>
          <c:extLst>
            <c:ext xmlns:c16="http://schemas.microsoft.com/office/drawing/2014/chart" uri="{C3380CC4-5D6E-409C-BE32-E72D297353CC}">
              <c16:uniqueId val="{00000002-5A62-44B3-85D9-71B200E15BF0}"/>
            </c:ext>
          </c:extLst>
        </c:ser>
        <c:dLbls>
          <c:showLegendKey val="0"/>
          <c:showVal val="0"/>
          <c:showCatName val="0"/>
          <c:showSerName val="0"/>
          <c:showPercent val="0"/>
          <c:showBubbleSize val="0"/>
        </c:dLbls>
        <c:gapWidth val="150"/>
        <c:overlap val="100"/>
        <c:axId val="43079680"/>
        <c:axId val="53798592"/>
      </c:barChart>
      <c:catAx>
        <c:axId val="43079680"/>
        <c:scaling>
          <c:orientation val="maxMin"/>
        </c:scaling>
        <c:delete val="0"/>
        <c:axPos val="l"/>
        <c:numFmt formatCode="General" sourceLinked="0"/>
        <c:majorTickMark val="out"/>
        <c:minorTickMark val="none"/>
        <c:tickLblPos val="nextTo"/>
        <c:crossAx val="53798592"/>
        <c:crosses val="autoZero"/>
        <c:auto val="1"/>
        <c:lblAlgn val="ctr"/>
        <c:lblOffset val="100"/>
        <c:noMultiLvlLbl val="0"/>
      </c:catAx>
      <c:valAx>
        <c:axId val="53798592"/>
        <c:scaling>
          <c:orientation val="minMax"/>
          <c:max val="80"/>
        </c:scaling>
        <c:delete val="0"/>
        <c:axPos val="t"/>
        <c:majorGridlines/>
        <c:numFmt formatCode="General" sourceLinked="1"/>
        <c:majorTickMark val="out"/>
        <c:minorTickMark val="none"/>
        <c:tickLblPos val="nextTo"/>
        <c:crossAx val="43079680"/>
        <c:crosses val="autoZero"/>
        <c:crossBetween val="between"/>
      </c:valAx>
    </c:plotArea>
    <c:legend>
      <c:legendPos val="b"/>
      <c:overlay val="0"/>
    </c:legend>
    <c:plotVisOnly val="1"/>
    <c:dispBlanksAs val="gap"/>
    <c:showDLblsOverMax val="0"/>
  </c:chart>
  <c:txPr>
    <a:bodyPr/>
    <a:lstStyle/>
    <a:p>
      <a:pPr>
        <a:defRPr sz="900"/>
      </a:pPr>
      <a:endParaRPr lang="fr-FR"/>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'Impl. progress'!$U$3</c:f>
              <c:strCache>
                <c:ptCount val="1"/>
                <c:pt idx="0">
                  <c:v>Yes</c:v>
                </c:pt>
              </c:strCache>
            </c:strRef>
          </c:tx>
          <c:spPr>
            <a:solidFill>
              <a:schemeClr val="accent5">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'Impl. progress'!$R$4:$T$5</c:f>
              <c:strCache>
                <c:ptCount val="2"/>
                <c:pt idx="0">
                  <c:v>Government</c:v>
                </c:pt>
                <c:pt idx="1">
                  <c:v>Non-government</c:v>
                </c:pt>
              </c:strCache>
            </c:strRef>
          </c:cat>
          <c:val>
            <c:numRef>
              <c:f>'Impl. progress'!$U$4:$U$5</c:f>
              <c:numCache>
                <c:formatCode>General</c:formatCode>
                <c:ptCount val="2"/>
                <c:pt idx="0">
                  <c:v>23</c:v>
                </c:pt>
                <c:pt idx="1">
                  <c:v>5</c:v>
                </c:pt>
              </c:numCache>
            </c:numRef>
          </c:val>
          <c:extLst>
            <c:ext xmlns:c16="http://schemas.microsoft.com/office/drawing/2014/chart" uri="{C3380CC4-5D6E-409C-BE32-E72D297353CC}">
              <c16:uniqueId val="{00000000-EA53-4BF5-8383-748191A2D9E2}"/>
            </c:ext>
          </c:extLst>
        </c:ser>
        <c:ser>
          <c:idx val="1"/>
          <c:order val="1"/>
          <c:tx>
            <c:strRef>
              <c:f>'Impl. progress'!$V$3</c:f>
              <c:strCache>
                <c:ptCount val="1"/>
                <c:pt idx="0">
                  <c:v>Yes+In progress</c:v>
                </c:pt>
              </c:strCache>
            </c:strRef>
          </c:tx>
          <c:spPr>
            <a:pattFill prst="wdUpDiag">
              <a:fgClr>
                <a:schemeClr val="tx2">
                  <a:lumMod val="60000"/>
                  <a:lumOff val="40000"/>
                </a:schemeClr>
              </a:fgClr>
              <a:bgClr>
                <a:schemeClr val="accent3">
                  <a:lumMod val="60000"/>
                  <a:lumOff val="40000"/>
                </a:schemeClr>
              </a:bgClr>
            </a:pattFill>
          </c:spPr>
          <c:invertIfNegative val="0"/>
          <c:dLbls>
            <c:dLbl>
              <c:idx val="0"/>
              <c:layout>
                <c:manualLayout>
                  <c:x val="8.333333333333332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53-4BF5-8383-748191A2D9E2}"/>
                </c:ext>
              </c:extLst>
            </c:dLbl>
            <c:dLbl>
              <c:idx val="1"/>
              <c:layout>
                <c:manualLayout>
                  <c:x val="8.3333333333333329E-2"/>
                  <c:y val="9.1727249385084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A53-4BF5-8383-748191A2D9E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'Impl. progress'!$R$4:$T$5</c:f>
              <c:strCache>
                <c:ptCount val="2"/>
                <c:pt idx="0">
                  <c:v>Government</c:v>
                </c:pt>
                <c:pt idx="1">
                  <c:v>Non-government</c:v>
                </c:pt>
              </c:strCache>
            </c:strRef>
          </c:cat>
          <c:val>
            <c:numRef>
              <c:f>'Impl. progress'!$V$4:$V$5</c:f>
              <c:numCache>
                <c:formatCode>General</c:formatCode>
                <c:ptCount val="2"/>
                <c:pt idx="0">
                  <c:v>8</c:v>
                </c:pt>
                <c:pt idx="1">
                  <c:v>7</c:v>
                </c:pt>
              </c:numCache>
            </c:numRef>
          </c:val>
          <c:extLst>
            <c:ext xmlns:c16="http://schemas.microsoft.com/office/drawing/2014/chart" uri="{C3380CC4-5D6E-409C-BE32-E72D297353CC}">
              <c16:uniqueId val="{00000003-EA53-4BF5-8383-748191A2D9E2}"/>
            </c:ext>
          </c:extLst>
        </c:ser>
        <c:ser>
          <c:idx val="2"/>
          <c:order val="2"/>
          <c:tx>
            <c:strRef>
              <c:f>'Impl. progress'!$W$3</c:f>
              <c:strCache>
                <c:ptCount val="1"/>
                <c:pt idx="0">
                  <c:v>In progress</c:v>
                </c:pt>
              </c:strCache>
            </c:strRef>
          </c:tx>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'Impl. progress'!$R$4:$T$5</c:f>
              <c:strCache>
                <c:ptCount val="2"/>
                <c:pt idx="0">
                  <c:v>Government</c:v>
                </c:pt>
                <c:pt idx="1">
                  <c:v>Non-government</c:v>
                </c:pt>
              </c:strCache>
            </c:strRef>
          </c:cat>
          <c:val>
            <c:numRef>
              <c:f>'Impl. progress'!$W$4:$W$5</c:f>
              <c:numCache>
                <c:formatCode>General</c:formatCode>
                <c:ptCount val="2"/>
                <c:pt idx="0">
                  <c:v>34</c:v>
                </c:pt>
                <c:pt idx="1">
                  <c:v>14</c:v>
                </c:pt>
              </c:numCache>
            </c:numRef>
          </c:val>
          <c:extLst>
            <c:ext xmlns:c16="http://schemas.microsoft.com/office/drawing/2014/chart" uri="{C3380CC4-5D6E-409C-BE32-E72D297353CC}">
              <c16:uniqueId val="{00000004-EA53-4BF5-8383-748191A2D9E2}"/>
            </c:ext>
          </c:extLst>
        </c:ser>
        <c:ser>
          <c:idx val="3"/>
          <c:order val="3"/>
          <c:tx>
            <c:strRef>
              <c:f>'Impl. progress'!$X$3</c:f>
              <c:strCache>
                <c:ptCount val="1"/>
                <c:pt idx="0">
                  <c:v>In progress+No</c:v>
                </c:pt>
              </c:strCache>
            </c:strRef>
          </c:tx>
          <c:spPr>
            <a:pattFill prst="wdUpDiag">
              <a:fgClr>
                <a:srgbClr val="FF0000"/>
              </a:fgClr>
              <a:bgClr>
                <a:schemeClr val="accent3">
                  <a:lumMod val="60000"/>
                  <a:lumOff val="40000"/>
                </a:schemeClr>
              </a:bgClr>
            </a:pattFill>
          </c:spPr>
          <c:invertIfNegative val="0"/>
          <c:dLbls>
            <c:dLbl>
              <c:idx val="0"/>
              <c:layout>
                <c:manualLayout>
                  <c:x val="-2.5000000000000001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A53-4BF5-8383-748191A2D9E2}"/>
                </c:ext>
              </c:extLst>
            </c:dLbl>
            <c:dLbl>
              <c:idx val="1"/>
              <c:delete val="1"/>
              <c:extLst>
                <c:ext xmlns:c15="http://schemas.microsoft.com/office/drawing/2012/chart" uri="{CE6537A1-D6FC-4f65-9D91-7224C49458BB}"/>
                <c:ext xmlns:c16="http://schemas.microsoft.com/office/drawing/2014/chart" uri="{C3380CC4-5D6E-409C-BE32-E72D297353CC}">
                  <c16:uniqueId val="{00000006-EA53-4BF5-8383-748191A2D9E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'Impl. progress'!$R$4:$T$5</c:f>
              <c:strCache>
                <c:ptCount val="2"/>
                <c:pt idx="0">
                  <c:v>Government</c:v>
                </c:pt>
                <c:pt idx="1">
                  <c:v>Non-government</c:v>
                </c:pt>
              </c:strCache>
            </c:strRef>
          </c:cat>
          <c:val>
            <c:numRef>
              <c:f>'Impl. progress'!$X$4:$X$5</c:f>
              <c:numCache>
                <c:formatCode>General</c:formatCode>
                <c:ptCount val="2"/>
                <c:pt idx="0">
                  <c:v>1</c:v>
                </c:pt>
                <c:pt idx="1">
                  <c:v>0</c:v>
                </c:pt>
              </c:numCache>
            </c:numRef>
          </c:val>
          <c:extLst>
            <c:ext xmlns:c16="http://schemas.microsoft.com/office/drawing/2014/chart" uri="{C3380CC4-5D6E-409C-BE32-E72D297353CC}">
              <c16:uniqueId val="{00000007-EA53-4BF5-8383-748191A2D9E2}"/>
            </c:ext>
          </c:extLst>
        </c:ser>
        <c:ser>
          <c:idx val="4"/>
          <c:order val="4"/>
          <c:tx>
            <c:strRef>
              <c:f>'Impl. progress'!$Y$3</c:f>
              <c:strCache>
                <c:ptCount val="1"/>
                <c:pt idx="0">
                  <c:v>No</c:v>
                </c:pt>
              </c:strCache>
            </c:strRef>
          </c:tx>
          <c:spPr>
            <a:solidFill>
              <a:srgbClr val="FF0000"/>
            </a:solidFill>
          </c:spPr>
          <c:invertIfNegative val="0"/>
          <c:dLbls>
            <c:dLbl>
              <c:idx val="0"/>
              <c:layout>
                <c:manualLayout>
                  <c:x val="4.7222222222222221E-2"/>
                  <c:y val="9.25889472149314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A53-4BF5-8383-748191A2D9E2}"/>
                </c:ext>
              </c:extLst>
            </c:dLbl>
            <c:dLbl>
              <c:idx val="1"/>
              <c:layout>
                <c:manualLayout>
                  <c:x val="-3.3333333333333333E-2"/>
                  <c:y val="-4.16666666666667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A53-4BF5-8383-748191A2D9E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'Impl. progress'!$R$4:$T$5</c:f>
              <c:strCache>
                <c:ptCount val="2"/>
                <c:pt idx="0">
                  <c:v>Government</c:v>
                </c:pt>
                <c:pt idx="1">
                  <c:v>Non-government</c:v>
                </c:pt>
              </c:strCache>
            </c:strRef>
          </c:cat>
          <c:val>
            <c:numRef>
              <c:f>'Impl. progress'!$Y$4:$Y$5</c:f>
              <c:numCache>
                <c:formatCode>General</c:formatCode>
                <c:ptCount val="2"/>
                <c:pt idx="0">
                  <c:v>1</c:v>
                </c:pt>
                <c:pt idx="1">
                  <c:v>3</c:v>
                </c:pt>
              </c:numCache>
            </c:numRef>
          </c:val>
          <c:extLst>
            <c:ext xmlns:c16="http://schemas.microsoft.com/office/drawing/2014/chart" uri="{C3380CC4-5D6E-409C-BE32-E72D297353CC}">
              <c16:uniqueId val="{0000000A-EA53-4BF5-8383-748191A2D9E2}"/>
            </c:ext>
          </c:extLst>
        </c:ser>
        <c:dLbls>
          <c:showLegendKey val="0"/>
          <c:showVal val="0"/>
          <c:showCatName val="0"/>
          <c:showSerName val="0"/>
          <c:showPercent val="0"/>
          <c:showBubbleSize val="0"/>
        </c:dLbls>
        <c:gapWidth val="150"/>
        <c:overlap val="100"/>
        <c:axId val="197146112"/>
        <c:axId val="53802048"/>
      </c:barChart>
      <c:catAx>
        <c:axId val="197146112"/>
        <c:scaling>
          <c:orientation val="minMax"/>
        </c:scaling>
        <c:delete val="0"/>
        <c:axPos val="b"/>
        <c:numFmt formatCode="General" sourceLinked="0"/>
        <c:majorTickMark val="out"/>
        <c:minorTickMark val="none"/>
        <c:tickLblPos val="nextTo"/>
        <c:crossAx val="53802048"/>
        <c:crosses val="autoZero"/>
        <c:auto val="1"/>
        <c:lblAlgn val="ctr"/>
        <c:lblOffset val="100"/>
        <c:noMultiLvlLbl val="0"/>
      </c:catAx>
      <c:valAx>
        <c:axId val="53802048"/>
        <c:scaling>
          <c:orientation val="minMax"/>
        </c:scaling>
        <c:delete val="0"/>
        <c:axPos val="l"/>
        <c:majorGridlines/>
        <c:numFmt formatCode="General" sourceLinked="1"/>
        <c:majorTickMark val="out"/>
        <c:minorTickMark val="none"/>
        <c:tickLblPos val="nextTo"/>
        <c:crossAx val="197146112"/>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0.03827</cdr:x>
      <cdr:y>0.7566</cdr:y>
    </cdr:from>
    <cdr:to>
      <cdr:x>0.7566</cdr:x>
      <cdr:y>0.9709</cdr:y>
    </cdr:to>
    <cdr:sp macro="" textlink="">
      <cdr:nvSpPr>
        <cdr:cNvPr id="2" name="Zone de texte 1"/>
        <cdr:cNvSpPr txBox="1"/>
      </cdr:nvSpPr>
      <cdr:spPr>
        <a:xfrm xmlns:a="http://schemas.openxmlformats.org/drawingml/2006/main">
          <a:off x="182880" y="1807899"/>
          <a:ext cx="3432919" cy="5120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fr-CH" sz="1100"/>
        </a:p>
      </cdr:txBody>
    </cdr:sp>
  </cdr:relSizeAnchor>
  <cdr:relSizeAnchor xmlns:cdr="http://schemas.openxmlformats.org/drawingml/2006/chartDrawing">
    <cdr:from>
      <cdr:x>0.05139</cdr:x>
      <cdr:y>0.77191</cdr:y>
    </cdr:from>
    <cdr:to>
      <cdr:x>0.73036</cdr:x>
      <cdr:y>0.94903</cdr:y>
    </cdr:to>
    <cdr:sp macro="" textlink="">
      <cdr:nvSpPr>
        <cdr:cNvPr id="3" name="Zone de texte 2"/>
        <cdr:cNvSpPr txBox="1"/>
      </cdr:nvSpPr>
      <cdr:spPr>
        <a:xfrm xmlns:a="http://schemas.openxmlformats.org/drawingml/2006/main">
          <a:off x="245582" y="1844475"/>
          <a:ext cx="3244813" cy="4232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fr-CH" sz="1100"/>
        </a:p>
      </cdr:txBody>
    </cdr:sp>
  </cdr:relSizeAnchor>
  <cdr:relSizeAnchor xmlns:cdr="http://schemas.openxmlformats.org/drawingml/2006/chartDrawing">
    <cdr:from>
      <cdr:x>0.18259</cdr:x>
      <cdr:y>0.73126</cdr:y>
    </cdr:from>
    <cdr:to>
      <cdr:x>0.34987</cdr:x>
      <cdr:y>0.90092</cdr:y>
    </cdr:to>
    <cdr:sp macro="" textlink="">
      <cdr:nvSpPr>
        <cdr:cNvPr id="4" name="Zone de texte 72"/>
        <cdr:cNvSpPr txBox="1"/>
      </cdr:nvSpPr>
      <cdr:spPr>
        <a:xfrm xmlns:a="http://schemas.openxmlformats.org/drawingml/2006/main">
          <a:off x="872599" y="1747340"/>
          <a:ext cx="799447" cy="405419"/>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lgn="ctr" eaLnBrk="0" hangingPunct="0">
            <a:lnSpc>
              <a:spcPts val="800"/>
            </a:lnSpc>
            <a:spcAft>
              <a:spcPts val="0"/>
            </a:spcAft>
          </a:pPr>
          <a:r>
            <a:rPr lang="fr-CH" sz="800">
              <a:effectLst/>
              <a:latin typeface="Times New Roman" panose="02020603050405020304" pitchFamily="18" charset="0"/>
              <a:ea typeface="+mn-ea"/>
              <a:cs typeface="Times New Roman" panose="02020603050405020304" pitchFamily="18" charset="0"/>
            </a:rPr>
            <a:t>Europe orientale, Caucase et Asie centrale</a:t>
          </a:r>
          <a:endParaRPr lang="fr-CH" sz="8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0.33754</cdr:x>
      <cdr:y>0.73065</cdr:y>
    </cdr:from>
    <cdr:to>
      <cdr:x>0.46358</cdr:x>
      <cdr:y>0.90031</cdr:y>
    </cdr:to>
    <cdr:sp macro="" textlink="">
      <cdr:nvSpPr>
        <cdr:cNvPr id="5" name="Zone de texte 72"/>
        <cdr:cNvSpPr txBox="1"/>
      </cdr:nvSpPr>
      <cdr:spPr>
        <a:xfrm xmlns:a="http://schemas.openxmlformats.org/drawingml/2006/main">
          <a:off x="1613118" y="1745888"/>
          <a:ext cx="602343" cy="405419"/>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eaLnBrk="0" hangingPunct="0">
            <a:lnSpc>
              <a:spcPts val="800"/>
            </a:lnSpc>
            <a:spcAft>
              <a:spcPts val="0"/>
            </a:spcAft>
          </a:pPr>
          <a:r>
            <a:rPr lang="fr-CH" sz="800">
              <a:effectLst/>
              <a:latin typeface="Times New Roman" panose="02020603050405020304" pitchFamily="18" charset="0"/>
              <a:ea typeface="+mn-ea"/>
              <a:cs typeface="Times New Roman" panose="02020603050405020304" pitchFamily="18" charset="0"/>
            </a:rPr>
            <a:t>Europe </a:t>
          </a:r>
          <a:br>
            <a:rPr lang="fr-CH" sz="800">
              <a:effectLst/>
              <a:latin typeface="Times New Roman" panose="02020603050405020304" pitchFamily="18" charset="0"/>
              <a:ea typeface="+mn-ea"/>
              <a:cs typeface="Times New Roman" panose="02020603050405020304" pitchFamily="18" charset="0"/>
            </a:rPr>
          </a:br>
          <a:r>
            <a:rPr lang="fr-CH" sz="800">
              <a:effectLst/>
              <a:latin typeface="Times New Roman" panose="02020603050405020304" pitchFamily="18" charset="0"/>
              <a:ea typeface="+mn-ea"/>
              <a:cs typeface="Times New Roman" panose="02020603050405020304" pitchFamily="18" charset="0"/>
            </a:rPr>
            <a:t>du Sud-Est </a:t>
          </a:r>
          <a:br>
            <a:rPr lang="fr-CH" sz="800">
              <a:effectLst/>
              <a:latin typeface="Times New Roman" panose="02020603050405020304" pitchFamily="18" charset="0"/>
              <a:ea typeface="+mn-ea"/>
              <a:cs typeface="Times New Roman" panose="02020603050405020304" pitchFamily="18" charset="0"/>
            </a:rPr>
          </a:br>
          <a:r>
            <a:rPr lang="fr-CH" sz="800">
              <a:effectLst/>
              <a:latin typeface="Times New Roman" panose="02020603050405020304" pitchFamily="18" charset="0"/>
              <a:ea typeface="+mn-ea"/>
              <a:cs typeface="Times New Roman" panose="02020603050405020304" pitchFamily="18" charset="0"/>
            </a:rPr>
            <a:t>(hors UE)</a:t>
          </a:r>
          <a:endParaRPr lang="fr-CH" sz="8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0.47281</cdr:x>
      <cdr:y>0.7366</cdr:y>
    </cdr:from>
    <cdr:to>
      <cdr:x>0.59885</cdr:x>
      <cdr:y>0.90627</cdr:y>
    </cdr:to>
    <cdr:sp macro="" textlink="">
      <cdr:nvSpPr>
        <cdr:cNvPr id="6" name="Zone de texte 72"/>
        <cdr:cNvSpPr txBox="1"/>
      </cdr:nvSpPr>
      <cdr:spPr>
        <a:xfrm xmlns:a="http://schemas.openxmlformats.org/drawingml/2006/main">
          <a:off x="2259585" y="1760112"/>
          <a:ext cx="602343" cy="405419"/>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eaLnBrk="0" hangingPunct="0">
            <a:lnSpc>
              <a:spcPts val="800"/>
            </a:lnSpc>
            <a:spcAft>
              <a:spcPts val="0"/>
            </a:spcAft>
          </a:pPr>
          <a:r>
            <a:rPr lang="fr-CH" sz="800">
              <a:effectLst/>
              <a:latin typeface="Times New Roman" panose="02020603050405020304" pitchFamily="18" charset="0"/>
              <a:ea typeface="+mn-ea"/>
              <a:cs typeface="Times New Roman" panose="02020603050405020304" pitchFamily="18" charset="0"/>
            </a:rPr>
            <a:t>Amérique </a:t>
          </a:r>
          <a:br>
            <a:rPr lang="fr-CH" sz="800">
              <a:effectLst/>
              <a:latin typeface="Times New Roman" panose="02020603050405020304" pitchFamily="18" charset="0"/>
              <a:ea typeface="+mn-ea"/>
              <a:cs typeface="Times New Roman" panose="02020603050405020304" pitchFamily="18" charset="0"/>
            </a:rPr>
          </a:br>
          <a:r>
            <a:rPr lang="fr-CH" sz="800">
              <a:effectLst/>
              <a:latin typeface="Times New Roman" panose="02020603050405020304" pitchFamily="18" charset="0"/>
              <a:ea typeface="+mn-ea"/>
              <a:cs typeface="Times New Roman" panose="02020603050405020304" pitchFamily="18" charset="0"/>
            </a:rPr>
            <a:t>du Nord</a:t>
          </a:r>
          <a:endParaRPr lang="fr-CH" sz="8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0.62042</cdr:x>
      <cdr:y>0.73441</cdr:y>
    </cdr:from>
    <cdr:to>
      <cdr:x>0.74646</cdr:x>
      <cdr:y>0.84188</cdr:y>
    </cdr:to>
    <cdr:sp macro="" textlink="">
      <cdr:nvSpPr>
        <cdr:cNvPr id="7" name="Zone de texte 72"/>
        <cdr:cNvSpPr txBox="1"/>
      </cdr:nvSpPr>
      <cdr:spPr>
        <a:xfrm xmlns:a="http://schemas.openxmlformats.org/drawingml/2006/main">
          <a:off x="2964978" y="1754887"/>
          <a:ext cx="602343" cy="256793"/>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eaLnBrk="0" hangingPunct="0">
            <a:lnSpc>
              <a:spcPts val="800"/>
            </a:lnSpc>
            <a:spcAft>
              <a:spcPts val="0"/>
            </a:spcAft>
          </a:pPr>
          <a:r>
            <a:rPr lang="fr-CH" sz="800">
              <a:effectLst/>
              <a:latin typeface="Times New Roman" panose="02020603050405020304" pitchFamily="18" charset="0"/>
              <a:ea typeface="+mn-ea"/>
              <a:cs typeface="Times New Roman" panose="02020603050405020304" pitchFamily="18" charset="0"/>
            </a:rPr>
            <a:t>Autres États membres</a:t>
          </a:r>
          <a:endParaRPr lang="fr-CH" sz="8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0.80217</cdr:x>
      <cdr:y>0.38705</cdr:y>
    </cdr:from>
    <cdr:to>
      <cdr:x>0.98141</cdr:x>
      <cdr:y>0.62977</cdr:y>
    </cdr:to>
    <cdr:sp macro="" textlink="">
      <cdr:nvSpPr>
        <cdr:cNvPr id="8" name="Zone de texte 72"/>
        <cdr:cNvSpPr txBox="1"/>
      </cdr:nvSpPr>
      <cdr:spPr>
        <a:xfrm xmlns:a="http://schemas.openxmlformats.org/drawingml/2006/main">
          <a:off x="3833568" y="924850"/>
          <a:ext cx="856615" cy="579992"/>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eaLnBrk="0" hangingPunct="0">
            <a:lnSpc>
              <a:spcPts val="800"/>
            </a:lnSpc>
            <a:spcAft>
              <a:spcPts val="0"/>
            </a:spcAft>
          </a:pPr>
          <a:r>
            <a:rPr lang="fr-CH" sz="800">
              <a:effectLst/>
              <a:latin typeface="Times New Roman" panose="02020603050405020304" pitchFamily="18" charset="0"/>
              <a:ea typeface="+mn-ea"/>
              <a:cs typeface="Times New Roman" panose="02020603050405020304" pitchFamily="18" charset="0"/>
            </a:rPr>
            <a:t>États membres </a:t>
          </a:r>
          <a:br>
            <a:rPr lang="fr-CH" sz="800">
              <a:effectLst/>
              <a:latin typeface="Times New Roman" panose="02020603050405020304" pitchFamily="18" charset="0"/>
              <a:ea typeface="+mn-ea"/>
              <a:cs typeface="Times New Roman" panose="02020603050405020304" pitchFamily="18" charset="0"/>
            </a:rPr>
          </a:br>
          <a:r>
            <a:rPr lang="fr-CH" sz="800">
              <a:effectLst/>
              <a:latin typeface="Times New Roman" panose="02020603050405020304" pitchFamily="18" charset="0"/>
              <a:ea typeface="+mn-ea"/>
              <a:cs typeface="Times New Roman" panose="02020603050405020304" pitchFamily="18" charset="0"/>
            </a:rPr>
            <a:t>de la CEE participant mais n’ayant pas encore rendu compte</a:t>
          </a:r>
          <a:endParaRPr lang="fr-CH" sz="800">
            <a:effectLst/>
            <a:latin typeface="Times New Roman" panose="02020603050405020304" pitchFamily="18" charset="0"/>
            <a:ea typeface="SimSun" panose="02010600030101010101" pitchFamily="2" charset="-122"/>
            <a:cs typeface="Times New Roman" panose="02020603050405020304" pitchFamily="18" charset="0"/>
          </a:endParaRPr>
        </a:p>
      </cdr:txBody>
    </cdr:sp>
  </cdr:relSizeAnchor>
  <cdr:relSizeAnchor xmlns:cdr="http://schemas.openxmlformats.org/drawingml/2006/chartDrawing">
    <cdr:from>
      <cdr:x>0.80186</cdr:x>
      <cdr:y>0.67727</cdr:y>
    </cdr:from>
    <cdr:to>
      <cdr:x>0.98111</cdr:x>
      <cdr:y>0.94903</cdr:y>
    </cdr:to>
    <cdr:sp macro="" textlink="">
      <cdr:nvSpPr>
        <cdr:cNvPr id="9" name="Zone de texte 72"/>
        <cdr:cNvSpPr txBox="1"/>
      </cdr:nvSpPr>
      <cdr:spPr>
        <a:xfrm xmlns:a="http://schemas.openxmlformats.org/drawingml/2006/main">
          <a:off x="3832117" y="1618342"/>
          <a:ext cx="856615" cy="649369"/>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eaLnBrk="0" hangingPunct="0">
            <a:lnSpc>
              <a:spcPts val="800"/>
            </a:lnSpc>
            <a:spcAft>
              <a:spcPts val="0"/>
            </a:spcAft>
          </a:pPr>
          <a:r>
            <a:rPr lang="fr-CH" sz="800">
              <a:effectLst/>
              <a:latin typeface="Times New Roman" panose="02020603050405020304" pitchFamily="18" charset="0"/>
              <a:ea typeface="+mn-ea"/>
              <a:cs typeface="Times New Roman" panose="02020603050405020304" pitchFamily="18" charset="0"/>
            </a:rPr>
            <a:t>États membres </a:t>
          </a:r>
          <a:br>
            <a:rPr lang="fr-CH" sz="800">
              <a:effectLst/>
              <a:latin typeface="Times New Roman" panose="02020603050405020304" pitchFamily="18" charset="0"/>
              <a:ea typeface="+mn-ea"/>
              <a:cs typeface="Times New Roman" panose="02020603050405020304" pitchFamily="18" charset="0"/>
            </a:rPr>
          </a:br>
          <a:r>
            <a:rPr lang="fr-CH" sz="800">
              <a:effectLst/>
              <a:latin typeface="Times New Roman" panose="02020603050405020304" pitchFamily="18" charset="0"/>
              <a:ea typeface="+mn-ea"/>
              <a:cs typeface="Times New Roman" panose="02020603050405020304" pitchFamily="18" charset="0"/>
            </a:rPr>
            <a:t>de la CEE participant </a:t>
          </a:r>
          <a:br>
            <a:rPr lang="fr-CH" sz="800">
              <a:effectLst/>
              <a:latin typeface="Times New Roman" panose="02020603050405020304" pitchFamily="18" charset="0"/>
              <a:ea typeface="+mn-ea"/>
              <a:cs typeface="Times New Roman" panose="02020603050405020304" pitchFamily="18" charset="0"/>
            </a:rPr>
          </a:br>
          <a:r>
            <a:rPr lang="fr-CH" sz="800">
              <a:effectLst/>
              <a:latin typeface="Times New Roman" panose="02020603050405020304" pitchFamily="18" charset="0"/>
              <a:ea typeface="+mn-ea"/>
              <a:cs typeface="Times New Roman" panose="02020603050405020304" pitchFamily="18" charset="0"/>
            </a:rPr>
            <a:t>et rendant compte</a:t>
          </a:r>
          <a:endParaRPr lang="fr-CH" sz="800">
            <a:effectLst/>
            <a:latin typeface="Times New Roman" panose="02020603050405020304" pitchFamily="18" charset="0"/>
            <a:ea typeface="SimSun" panose="02010600030101010101" pitchFamily="2" charset="-122"/>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0.48092</cdr:x>
      <cdr:y>0.01282</cdr:y>
    </cdr:from>
    <cdr:to>
      <cdr:x>0.98922</cdr:x>
      <cdr:y>0.98051</cdr:y>
    </cdr:to>
    <cdr:sp macro="" textlink="">
      <cdr:nvSpPr>
        <cdr:cNvPr id="2" name="Zone de texte 72"/>
        <cdr:cNvSpPr txBox="1"/>
      </cdr:nvSpPr>
      <cdr:spPr>
        <a:xfrm xmlns:a="http://schemas.openxmlformats.org/drawingml/2006/main">
          <a:off x="2250677" y="20900"/>
          <a:ext cx="2378800" cy="1577993"/>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lgn="l" eaLnBrk="0" hangingPunct="0">
            <a:lnSpc>
              <a:spcPts val="800"/>
            </a:lnSpc>
            <a:spcAft>
              <a:spcPts val="400"/>
            </a:spcAft>
          </a:pPr>
          <a:r>
            <a:rPr lang="fr-CH" sz="800">
              <a:effectLst/>
              <a:latin typeface="Times New Roman" panose="02020603050405020304" pitchFamily="18" charset="0"/>
              <a:ea typeface="+mn-ea"/>
              <a:cs typeface="Times New Roman" panose="02020603050405020304" pitchFamily="18" charset="0"/>
            </a:rPr>
            <a:t>a) instruments juridiques, réglementaires et politiques (gouvernements)</a:t>
          </a:r>
        </a:p>
        <a:p xmlns:a="http://schemas.openxmlformats.org/drawingml/2006/main">
          <a:pPr algn="l" eaLnBrk="0" hangingPunct="0">
            <a:lnSpc>
              <a:spcPts val="800"/>
            </a:lnSpc>
            <a:spcAft>
              <a:spcPts val="1300"/>
            </a:spcAft>
          </a:pPr>
          <a:r>
            <a:rPr lang="fr-CH" sz="800">
              <a:effectLst/>
              <a:latin typeface="Times New Roman" panose="02020603050405020304" pitchFamily="18" charset="0"/>
              <a:ea typeface="+mn-ea"/>
              <a:cs typeface="Times New Roman" panose="02020603050405020304" pitchFamily="18" charset="0"/>
            </a:rPr>
            <a:t>a) (parties prenantes non gouvernementales)</a:t>
          </a:r>
        </a:p>
        <a:p xmlns:a="http://schemas.openxmlformats.org/drawingml/2006/main">
          <a:pPr algn="l" eaLnBrk="0" hangingPunct="0">
            <a:lnSpc>
              <a:spcPts val="800"/>
            </a:lnSpc>
            <a:spcAft>
              <a:spcPts val="400"/>
            </a:spcAft>
          </a:pPr>
          <a:r>
            <a:rPr lang="fr-CH" sz="800">
              <a:effectLst/>
              <a:latin typeface="Times New Roman" panose="02020603050405020304" pitchFamily="18" charset="0"/>
              <a:ea typeface="+mn-ea"/>
              <a:cs typeface="Times New Roman" panose="02020603050405020304" pitchFamily="18" charset="0"/>
            </a:rPr>
            <a:t>b) instruments économiques et budgétaires (gouvernements)</a:t>
          </a:r>
        </a:p>
        <a:p xmlns:a="http://schemas.openxmlformats.org/drawingml/2006/main">
          <a:pPr algn="l" eaLnBrk="0" hangingPunct="0">
            <a:lnSpc>
              <a:spcPts val="800"/>
            </a:lnSpc>
            <a:spcAft>
              <a:spcPts val="900"/>
            </a:spcAft>
          </a:pPr>
          <a:r>
            <a:rPr lang="fr-CH" sz="800">
              <a:effectLst/>
              <a:latin typeface="Times New Roman" panose="02020603050405020304" pitchFamily="18" charset="0"/>
              <a:ea typeface="+mn-ea"/>
              <a:cs typeface="Times New Roman" panose="02020603050405020304" pitchFamily="18" charset="0"/>
            </a:rPr>
            <a:t>b) (parties prenantes non gouvernementales)</a:t>
          </a:r>
        </a:p>
        <a:p xmlns:a="http://schemas.openxmlformats.org/drawingml/2006/main">
          <a:pPr algn="l" eaLnBrk="0" hangingPunct="0">
            <a:lnSpc>
              <a:spcPts val="800"/>
            </a:lnSpc>
            <a:spcAft>
              <a:spcPts val="100"/>
            </a:spcAft>
          </a:pPr>
          <a:r>
            <a:rPr lang="fr-CH" sz="800">
              <a:effectLst/>
              <a:latin typeface="Times New Roman" panose="02020603050405020304" pitchFamily="18" charset="0"/>
              <a:ea typeface="+mn-ea"/>
              <a:cs typeface="Times New Roman" panose="02020603050405020304" pitchFamily="18" charset="0"/>
            </a:rPr>
            <a:t>c) Instrument d’information, fondés sur l’éducation, </a:t>
          </a:r>
          <a:br>
            <a:rPr lang="fr-CH" sz="800">
              <a:effectLst/>
              <a:latin typeface="Times New Roman" panose="02020603050405020304" pitchFamily="18" charset="0"/>
              <a:ea typeface="+mn-ea"/>
              <a:cs typeface="Times New Roman" panose="02020603050405020304" pitchFamily="18" charset="0"/>
            </a:rPr>
          </a:br>
          <a:r>
            <a:rPr lang="fr-CH" sz="800">
              <a:effectLst/>
              <a:latin typeface="Times New Roman" panose="02020603050405020304" pitchFamily="18" charset="0"/>
              <a:ea typeface="+mn-ea"/>
              <a:cs typeface="Times New Roman" panose="02020603050405020304" pitchFamily="18" charset="0"/>
            </a:rPr>
            <a:t>de renforcement des capacités et d’application volontaire (gouvernements)</a:t>
          </a:r>
        </a:p>
        <a:p xmlns:a="http://schemas.openxmlformats.org/drawingml/2006/main">
          <a:pPr algn="l" eaLnBrk="0" hangingPunct="0">
            <a:lnSpc>
              <a:spcPts val="800"/>
            </a:lnSpc>
            <a:spcAft>
              <a:spcPts val="1300"/>
            </a:spcAft>
          </a:pPr>
          <a:r>
            <a:rPr lang="fr-CH" sz="800">
              <a:effectLst/>
              <a:latin typeface="Times New Roman" panose="02020603050405020304" pitchFamily="18" charset="0"/>
              <a:ea typeface="+mn-ea"/>
              <a:cs typeface="Times New Roman" panose="02020603050405020304" pitchFamily="18" charset="0"/>
            </a:rPr>
            <a:t>c) (parties prenantes non gouvernementales)</a:t>
          </a:r>
        </a:p>
        <a:p xmlns:a="http://schemas.openxmlformats.org/drawingml/2006/main">
          <a:pPr algn="l" eaLnBrk="0" hangingPunct="0">
            <a:lnSpc>
              <a:spcPts val="800"/>
            </a:lnSpc>
            <a:spcAft>
              <a:spcPts val="1300"/>
            </a:spcAft>
          </a:pPr>
          <a:endParaRPr lang="fr-CH" sz="800">
            <a:effectLst/>
            <a:latin typeface="Times New Roman" panose="02020603050405020304" pitchFamily="18" charset="0"/>
            <a:ea typeface="+mn-ea"/>
            <a:cs typeface="Times New Roman" panose="02020603050405020304" pitchFamily="18" charset="0"/>
          </a:endParaRPr>
        </a:p>
        <a:p xmlns:a="http://schemas.openxmlformats.org/drawingml/2006/main">
          <a:pPr algn="l" eaLnBrk="0" hangingPunct="0">
            <a:lnSpc>
              <a:spcPts val="800"/>
            </a:lnSpc>
            <a:spcAft>
              <a:spcPts val="1300"/>
            </a:spcAft>
          </a:pPr>
          <a:endParaRPr lang="fr-CH" sz="800">
            <a:effectLst/>
            <a:latin typeface="Times New Roman" panose="02020603050405020304" pitchFamily="18" charset="0"/>
            <a:ea typeface="+mn-ea"/>
            <a:cs typeface="Times New Roman" panose="02020603050405020304" pitchFamily="18" charset="0"/>
          </a:endParaRPr>
        </a:p>
        <a:p xmlns:a="http://schemas.openxmlformats.org/drawingml/2006/main">
          <a:pPr algn="l" eaLnBrk="0" hangingPunct="0">
            <a:lnSpc>
              <a:spcPts val="800"/>
            </a:lnSpc>
            <a:spcAft>
              <a:spcPts val="1300"/>
            </a:spcAft>
          </a:pPr>
          <a:endParaRPr lang="fr-CH" sz="800">
            <a:effectLst/>
            <a:latin typeface="Times New Roman" panose="02020603050405020304" pitchFamily="18" charset="0"/>
            <a:ea typeface="+mn-ea"/>
            <a:cs typeface="Times New Roman" panose="02020603050405020304" pitchFamily="18" charset="0"/>
          </a:endParaRPr>
        </a:p>
        <a:p xmlns:a="http://schemas.openxmlformats.org/drawingml/2006/main">
          <a:pPr algn="l" eaLnBrk="0" hangingPunct="0">
            <a:lnSpc>
              <a:spcPts val="800"/>
            </a:lnSpc>
            <a:spcAft>
              <a:spcPts val="1300"/>
            </a:spcAft>
          </a:pPr>
          <a:endParaRPr lang="fr-CH" sz="8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0.56306</cdr:x>
      <cdr:y>0.92406</cdr:y>
    </cdr:from>
    <cdr:to>
      <cdr:x>0.91674</cdr:x>
      <cdr:y>0.97723</cdr:y>
    </cdr:to>
    <cdr:sp macro="" textlink="">
      <cdr:nvSpPr>
        <cdr:cNvPr id="2" name="Zone de texte 72"/>
        <cdr:cNvSpPr txBox="1"/>
      </cdr:nvSpPr>
      <cdr:spPr>
        <a:xfrm xmlns:a="http://schemas.openxmlformats.org/drawingml/2006/main">
          <a:off x="2635080" y="2990218"/>
          <a:ext cx="1655231" cy="17205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marL="0" marR="0" lvl="0" indent="0" algn="l" defTabSz="914400" eaLnBrk="0" fontAlgn="auto" latinLnBrk="0" hangingPunct="0">
            <a:lnSpc>
              <a:spcPts val="800"/>
            </a:lnSpc>
            <a:spcBef>
              <a:spcPts val="0"/>
            </a:spcBef>
            <a:spcAft>
              <a:spcPts val="600"/>
            </a:spcAft>
            <a:buClrTx/>
            <a:buSzTx/>
            <a:buFontTx/>
            <a:buNone/>
            <a:tabLst/>
            <a:defRPr/>
          </a:pPr>
          <a:r>
            <a:rPr lang="fr-CH" sz="800">
              <a:effectLst/>
              <a:latin typeface="Times New Roman" panose="02020603050405020304" pitchFamily="18" charset="0"/>
              <a:ea typeface="+mn-ea"/>
              <a:cs typeface="Times New Roman" panose="02020603050405020304" pitchFamily="18" charset="0"/>
            </a:rPr>
            <a:t>Parties prenantes non gouvernementales</a:t>
          </a:r>
        </a:p>
        <a:p xmlns:a="http://schemas.openxmlformats.org/drawingml/2006/main">
          <a:pPr algn="l" eaLnBrk="0" hangingPunct="0">
            <a:lnSpc>
              <a:spcPts val="800"/>
            </a:lnSpc>
            <a:spcAft>
              <a:spcPts val="600"/>
            </a:spcAft>
          </a:pPr>
          <a:r>
            <a:rPr lang="fr-CH" sz="800">
              <a:effectLst/>
              <a:latin typeface="Times New Roman" panose="02020603050405020304" pitchFamily="18" charset="0"/>
              <a:ea typeface="SimSun" panose="02010600030101010101" pitchFamily="2" charset="-122"/>
              <a:cs typeface="Times New Roman" panose="02020603050405020304" pitchFamily="18" charset="0"/>
            </a:rPr>
            <a:t> </a:t>
          </a:r>
        </a:p>
      </cdr:txBody>
    </cdr:sp>
  </cdr:relSizeAnchor>
</c:userShapes>
</file>

<file path=word/drawings/drawing4.xml><?xml version="1.0" encoding="utf-8"?>
<c:userShapes xmlns:c="http://schemas.openxmlformats.org/drawingml/2006/chart">
  <cdr:relSizeAnchor xmlns:cdr="http://schemas.openxmlformats.org/drawingml/2006/chartDrawing">
    <cdr:from>
      <cdr:x>0.01574</cdr:x>
      <cdr:y>0.08487</cdr:y>
    </cdr:from>
    <cdr:to>
      <cdr:x>0.49337</cdr:x>
      <cdr:y>0.89509</cdr:y>
    </cdr:to>
    <cdr:sp macro="" textlink="">
      <cdr:nvSpPr>
        <cdr:cNvPr id="2" name="Zone de texte 72"/>
        <cdr:cNvSpPr txBox="1"/>
      </cdr:nvSpPr>
      <cdr:spPr>
        <a:xfrm xmlns:a="http://schemas.openxmlformats.org/drawingml/2006/main">
          <a:off x="73672" y="325077"/>
          <a:ext cx="2235267" cy="3103408"/>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lgn="r">
            <a:lnSpc>
              <a:spcPct val="100000"/>
            </a:lnSpc>
            <a:spcAft>
              <a:spcPts val="500"/>
            </a:spcAft>
          </a:pPr>
          <a:r>
            <a:rPr lang="fr-CH" sz="800">
              <a:effectLst/>
              <a:latin typeface="Times New Roman" panose="02020603050405020304" pitchFamily="18" charset="0"/>
              <a:ea typeface="+mn-ea"/>
              <a:cs typeface="Times New Roman" panose="02020603050405020304" pitchFamily="18" charset="0"/>
            </a:rPr>
            <a:t>ODD 1: pas de pauvreté</a:t>
          </a:r>
        </a:p>
        <a:p xmlns:a="http://schemas.openxmlformats.org/drawingml/2006/main">
          <a:pPr algn="r">
            <a:lnSpc>
              <a:spcPct val="100000"/>
            </a:lnSpc>
            <a:spcAft>
              <a:spcPts val="500"/>
            </a:spcAft>
          </a:pPr>
          <a:r>
            <a:rPr lang="fr-CH" sz="800">
              <a:effectLst/>
              <a:latin typeface="Times New Roman" panose="02020603050405020304" pitchFamily="18" charset="0"/>
              <a:ea typeface="+mn-ea"/>
              <a:cs typeface="Times New Roman" panose="02020603050405020304" pitchFamily="18" charset="0"/>
            </a:rPr>
            <a:t>ODD 2 : faim « zéro »</a:t>
          </a:r>
        </a:p>
        <a:p xmlns:a="http://schemas.openxmlformats.org/drawingml/2006/main">
          <a:pPr algn="r">
            <a:lnSpc>
              <a:spcPct val="100000"/>
            </a:lnSpc>
            <a:spcAft>
              <a:spcPts val="500"/>
            </a:spcAft>
          </a:pPr>
          <a:r>
            <a:rPr lang="fr-CH" sz="800">
              <a:effectLst/>
              <a:latin typeface="Times New Roman" panose="02020603050405020304" pitchFamily="18" charset="0"/>
              <a:ea typeface="+mn-ea"/>
              <a:cs typeface="Times New Roman" panose="02020603050405020304" pitchFamily="18" charset="0"/>
            </a:rPr>
            <a:t>ODD 3 : bonne santé et bien-être</a:t>
          </a:r>
        </a:p>
        <a:p xmlns:a="http://schemas.openxmlformats.org/drawingml/2006/main">
          <a:pPr algn="r">
            <a:lnSpc>
              <a:spcPct val="100000"/>
            </a:lnSpc>
            <a:spcAft>
              <a:spcPts val="500"/>
            </a:spcAft>
          </a:pPr>
          <a:r>
            <a:rPr lang="fr-CH" sz="800">
              <a:effectLst/>
              <a:latin typeface="Times New Roman" panose="02020603050405020304" pitchFamily="18" charset="0"/>
              <a:ea typeface="+mn-ea"/>
              <a:cs typeface="Times New Roman" panose="02020603050405020304" pitchFamily="18" charset="0"/>
            </a:rPr>
            <a:t>ODD 4 : éducation de qualité</a:t>
          </a:r>
        </a:p>
        <a:p xmlns:a="http://schemas.openxmlformats.org/drawingml/2006/main">
          <a:pPr algn="r">
            <a:lnSpc>
              <a:spcPct val="100000"/>
            </a:lnSpc>
            <a:spcAft>
              <a:spcPts val="500"/>
            </a:spcAft>
          </a:pPr>
          <a:r>
            <a:rPr lang="fr-CH" sz="800">
              <a:effectLst/>
              <a:latin typeface="Times New Roman" panose="02020603050405020304" pitchFamily="18" charset="0"/>
              <a:ea typeface="+mn-ea"/>
              <a:cs typeface="Times New Roman" panose="02020603050405020304" pitchFamily="18" charset="0"/>
            </a:rPr>
            <a:t>ODD 5 : égalité entre les sexes</a:t>
          </a:r>
        </a:p>
        <a:p xmlns:a="http://schemas.openxmlformats.org/drawingml/2006/main">
          <a:pPr algn="r">
            <a:lnSpc>
              <a:spcPct val="100000"/>
            </a:lnSpc>
            <a:spcAft>
              <a:spcPts val="600"/>
            </a:spcAft>
          </a:pPr>
          <a:r>
            <a:rPr lang="fr-CH" sz="800">
              <a:effectLst/>
              <a:latin typeface="Times New Roman" panose="02020603050405020304" pitchFamily="18" charset="0"/>
              <a:ea typeface="+mn-ea"/>
              <a:cs typeface="Times New Roman" panose="02020603050405020304" pitchFamily="18" charset="0"/>
            </a:rPr>
            <a:t>ODD 6 : eau propre et assainissement</a:t>
          </a:r>
        </a:p>
        <a:p xmlns:a="http://schemas.openxmlformats.org/drawingml/2006/main">
          <a:pPr algn="r">
            <a:lnSpc>
              <a:spcPct val="100000"/>
            </a:lnSpc>
            <a:spcAft>
              <a:spcPts val="500"/>
            </a:spcAft>
          </a:pPr>
          <a:r>
            <a:rPr lang="fr-CH" sz="800">
              <a:effectLst/>
              <a:latin typeface="Times New Roman" panose="02020603050405020304" pitchFamily="18" charset="0"/>
              <a:ea typeface="+mn-ea"/>
              <a:cs typeface="Times New Roman" panose="02020603050405020304" pitchFamily="18" charset="0"/>
            </a:rPr>
            <a:t>ODD 7 : énergie propre et d’un coût abordable</a:t>
          </a:r>
        </a:p>
        <a:p xmlns:a="http://schemas.openxmlformats.org/drawingml/2006/main">
          <a:pPr algn="r">
            <a:lnSpc>
              <a:spcPct val="100000"/>
            </a:lnSpc>
            <a:spcAft>
              <a:spcPts val="500"/>
            </a:spcAft>
          </a:pPr>
          <a:r>
            <a:rPr lang="fr-CH" sz="800">
              <a:effectLst/>
              <a:latin typeface="Times New Roman" panose="02020603050405020304" pitchFamily="18" charset="0"/>
              <a:ea typeface="+mn-ea"/>
              <a:cs typeface="Times New Roman" panose="02020603050405020304" pitchFamily="18" charset="0"/>
            </a:rPr>
            <a:t>ODD 8 : travail décent et croissance économique</a:t>
          </a:r>
        </a:p>
        <a:p xmlns:a="http://schemas.openxmlformats.org/drawingml/2006/main">
          <a:pPr algn="r">
            <a:lnSpc>
              <a:spcPct val="100000"/>
            </a:lnSpc>
            <a:spcAft>
              <a:spcPts val="500"/>
            </a:spcAft>
          </a:pPr>
          <a:r>
            <a:rPr lang="fr-CH" sz="800">
              <a:effectLst/>
              <a:latin typeface="Times New Roman" panose="02020603050405020304" pitchFamily="18" charset="0"/>
              <a:ea typeface="+mn-ea"/>
              <a:cs typeface="Times New Roman" panose="02020603050405020304" pitchFamily="18" charset="0"/>
            </a:rPr>
            <a:t>ODD 9 : industrie, innovation et infrastructure</a:t>
          </a:r>
        </a:p>
        <a:p xmlns:a="http://schemas.openxmlformats.org/drawingml/2006/main">
          <a:pPr algn="r">
            <a:lnSpc>
              <a:spcPct val="100000"/>
            </a:lnSpc>
            <a:spcAft>
              <a:spcPts val="600"/>
            </a:spcAft>
          </a:pPr>
          <a:r>
            <a:rPr lang="fr-CH" sz="800">
              <a:effectLst/>
              <a:latin typeface="Times New Roman" panose="02020603050405020304" pitchFamily="18" charset="0"/>
              <a:ea typeface="+mn-ea"/>
              <a:cs typeface="Times New Roman" panose="02020603050405020304" pitchFamily="18" charset="0"/>
            </a:rPr>
            <a:t>ODD 10</a:t>
          </a:r>
          <a:r>
            <a:rPr lang="fr-CH" sz="800" baseline="0">
              <a:effectLst/>
              <a:latin typeface="Times New Roman" panose="02020603050405020304" pitchFamily="18" charset="0"/>
              <a:ea typeface="+mn-ea"/>
              <a:cs typeface="Times New Roman" panose="02020603050405020304" pitchFamily="18" charset="0"/>
            </a:rPr>
            <a:t> :</a:t>
          </a:r>
          <a:r>
            <a:rPr lang="fr-CH" sz="800">
              <a:effectLst/>
              <a:latin typeface="Times New Roman" panose="02020603050405020304" pitchFamily="18" charset="0"/>
              <a:ea typeface="+mn-ea"/>
              <a:cs typeface="Times New Roman" panose="02020603050405020304" pitchFamily="18" charset="0"/>
            </a:rPr>
            <a:t> inégalités réduites</a:t>
          </a:r>
        </a:p>
        <a:p xmlns:a="http://schemas.openxmlformats.org/drawingml/2006/main">
          <a:pPr algn="r">
            <a:lnSpc>
              <a:spcPct val="100000"/>
            </a:lnSpc>
            <a:spcAft>
              <a:spcPts val="500"/>
            </a:spcAft>
          </a:pPr>
          <a:r>
            <a:rPr lang="fr-CH" sz="800">
              <a:effectLst/>
              <a:latin typeface="Times New Roman" panose="02020603050405020304" pitchFamily="18" charset="0"/>
              <a:ea typeface="+mn-ea"/>
              <a:cs typeface="Times New Roman" panose="02020603050405020304" pitchFamily="18" charset="0"/>
            </a:rPr>
            <a:t>ODD 11 : villes et communautés durables</a:t>
          </a:r>
        </a:p>
        <a:p xmlns:a="http://schemas.openxmlformats.org/drawingml/2006/main">
          <a:pPr algn="r">
            <a:lnSpc>
              <a:spcPct val="100000"/>
            </a:lnSpc>
            <a:spcAft>
              <a:spcPts val="500"/>
            </a:spcAft>
          </a:pPr>
          <a:r>
            <a:rPr lang="fr-CH" sz="800">
              <a:effectLst/>
              <a:latin typeface="Times New Roman" panose="02020603050405020304" pitchFamily="18" charset="0"/>
              <a:ea typeface="+mn-ea"/>
              <a:cs typeface="Times New Roman" panose="02020603050405020304" pitchFamily="18" charset="0"/>
            </a:rPr>
            <a:t>ODD 12 : consommation et production responsables</a:t>
          </a:r>
        </a:p>
        <a:p xmlns:a="http://schemas.openxmlformats.org/drawingml/2006/main">
          <a:pPr algn="r">
            <a:lnSpc>
              <a:spcPct val="100000"/>
            </a:lnSpc>
            <a:spcAft>
              <a:spcPts val="500"/>
            </a:spcAft>
          </a:pPr>
          <a:r>
            <a:rPr lang="fr-CH" sz="800">
              <a:effectLst/>
              <a:latin typeface="Times New Roman" panose="02020603050405020304" pitchFamily="18" charset="0"/>
              <a:ea typeface="+mn-ea"/>
              <a:cs typeface="Times New Roman" panose="02020603050405020304" pitchFamily="18" charset="0"/>
            </a:rPr>
            <a:t>ODD 13 : action climatique</a:t>
          </a:r>
        </a:p>
        <a:p xmlns:a="http://schemas.openxmlformats.org/drawingml/2006/main">
          <a:pPr algn="r">
            <a:lnSpc>
              <a:spcPct val="100000"/>
            </a:lnSpc>
            <a:spcAft>
              <a:spcPts val="500"/>
            </a:spcAft>
          </a:pPr>
          <a:r>
            <a:rPr lang="fr-CH" sz="800">
              <a:effectLst/>
              <a:latin typeface="Times New Roman" panose="02020603050405020304" pitchFamily="18" charset="0"/>
              <a:ea typeface="+mn-ea"/>
              <a:cs typeface="Times New Roman" panose="02020603050405020304" pitchFamily="18" charset="0"/>
            </a:rPr>
            <a:t>ODD 14 : vie aquatique</a:t>
          </a:r>
        </a:p>
        <a:p xmlns:a="http://schemas.openxmlformats.org/drawingml/2006/main">
          <a:pPr algn="r">
            <a:lnSpc>
              <a:spcPct val="100000"/>
            </a:lnSpc>
            <a:spcAft>
              <a:spcPts val="500"/>
            </a:spcAft>
          </a:pPr>
          <a:r>
            <a:rPr lang="fr-CH" sz="800">
              <a:effectLst/>
              <a:latin typeface="Times New Roman" panose="02020603050405020304" pitchFamily="18" charset="0"/>
              <a:ea typeface="+mn-ea"/>
              <a:cs typeface="Times New Roman" panose="02020603050405020304" pitchFamily="18" charset="0"/>
            </a:rPr>
            <a:t>ODD 15 : vie terrestre</a:t>
          </a:r>
        </a:p>
        <a:p xmlns:a="http://schemas.openxmlformats.org/drawingml/2006/main">
          <a:pPr algn="r">
            <a:lnSpc>
              <a:spcPct val="100000"/>
            </a:lnSpc>
            <a:spcAft>
              <a:spcPts val="500"/>
            </a:spcAft>
          </a:pPr>
          <a:r>
            <a:rPr lang="fr-CH" sz="800">
              <a:effectLst/>
              <a:latin typeface="Times New Roman" panose="02020603050405020304" pitchFamily="18" charset="0"/>
              <a:ea typeface="+mn-ea"/>
              <a:cs typeface="Times New Roman" panose="02020603050405020304" pitchFamily="18" charset="0"/>
            </a:rPr>
            <a:t>ODD 16 : paix, justice et institutions efficaces</a:t>
          </a:r>
        </a:p>
        <a:p xmlns:a="http://schemas.openxmlformats.org/drawingml/2006/main">
          <a:pPr algn="r">
            <a:lnSpc>
              <a:spcPct val="100000"/>
            </a:lnSpc>
            <a:spcAft>
              <a:spcPts val="500"/>
            </a:spcAft>
          </a:pPr>
          <a:r>
            <a:rPr lang="fr-CH" sz="800">
              <a:effectLst/>
              <a:latin typeface="Times New Roman" panose="02020603050405020304" pitchFamily="18" charset="0"/>
              <a:ea typeface="+mn-ea"/>
              <a:cs typeface="Times New Roman" panose="02020603050405020304" pitchFamily="18" charset="0"/>
            </a:rPr>
            <a:t>ODD 17 : partenariats pour la réalisation des objectifs</a:t>
          </a:r>
          <a:endParaRPr lang="fr-CH" sz="800">
            <a:effectLst/>
            <a:latin typeface="Times New Roman" panose="02020603050405020304" pitchFamily="18" charset="0"/>
            <a:ea typeface="SimSun" panose="02010600030101010101" pitchFamily="2" charset="-122"/>
            <a:cs typeface="Times New Roman" panose="02020603050405020304"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0.15001</cdr:x>
      <cdr:y>0.90047</cdr:y>
    </cdr:from>
    <cdr:to>
      <cdr:x>0.33151</cdr:x>
      <cdr:y>0.97472</cdr:y>
    </cdr:to>
    <cdr:sp macro="" textlink="">
      <cdr:nvSpPr>
        <cdr:cNvPr id="2" name="Zone de texte 72"/>
        <cdr:cNvSpPr txBox="1"/>
      </cdr:nvSpPr>
      <cdr:spPr>
        <a:xfrm xmlns:a="http://schemas.openxmlformats.org/drawingml/2006/main">
          <a:off x="702051" y="2470179"/>
          <a:ext cx="849395" cy="203682"/>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lgn="ctr" eaLnBrk="0" hangingPunct="0">
            <a:lnSpc>
              <a:spcPts val="800"/>
            </a:lnSpc>
            <a:spcAft>
              <a:spcPts val="600"/>
            </a:spcAft>
          </a:pPr>
          <a:r>
            <a:rPr lang="fr-CH" sz="800">
              <a:effectLst/>
              <a:latin typeface="Times New Roman" panose="02020603050405020304" pitchFamily="18" charset="0"/>
              <a:ea typeface="SimSun" panose="02010600030101010101" pitchFamily="2" charset="-122"/>
            </a:rPr>
            <a:t>Gouvernements</a:t>
          </a:r>
          <a:endParaRPr lang="fr-CH" sz="1200">
            <a:effectLst/>
            <a:latin typeface="Times New Roman" panose="02020603050405020304" pitchFamily="18" charset="0"/>
            <a:ea typeface="SimSun" panose="02010600030101010101" pitchFamily="2" charset="-122"/>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88681-4DFB-4D31-90AE-2BC6CA75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18</Pages>
  <Words>6827</Words>
  <Characters>36935</Characters>
  <Application>Microsoft Office Word</Application>
  <DocSecurity>0</DocSecurity>
  <Lines>785</Lines>
  <Paragraphs>387</Paragraphs>
  <ScaleCrop>false</ScaleCrop>
  <HeadingPairs>
    <vt:vector size="2" baseType="variant">
      <vt:variant>
        <vt:lpstr>Titre</vt:lpstr>
      </vt:variant>
      <vt:variant>
        <vt:i4>1</vt:i4>
      </vt:variant>
    </vt:vector>
  </HeadingPairs>
  <TitlesOfParts>
    <vt:vector size="1" baseType="lpstr">
      <vt:lpstr>ECE/CEP/2019/4</vt:lpstr>
    </vt:vector>
  </TitlesOfParts>
  <Company>DCM</Company>
  <LinksUpToDate>false</LinksUpToDate>
  <CharactersWithSpaces>43375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ECE/CEP/2019/4</dc:title>
  <dc:subject/>
  <dc:creator>Christine  CHAUTAGNAT</dc:creator>
  <cp:keywords/>
  <cp:lastModifiedBy>Christine Chautagnat</cp:lastModifiedBy>
  <cp:revision>3</cp:revision>
  <cp:lastPrinted>2018-12-14T14:42:00Z</cp:lastPrinted>
  <dcterms:created xsi:type="dcterms:W3CDTF">2018-12-14T14:42:00Z</dcterms:created>
  <dcterms:modified xsi:type="dcterms:W3CDTF">2018-12-14T14:42:00Z</dcterms:modified>
</cp:coreProperties>
</file>