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73EA3">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73EA3" w:rsidP="00573EA3">
            <w:pPr>
              <w:jc w:val="right"/>
            </w:pPr>
            <w:r w:rsidRPr="00573EA3">
              <w:rPr>
                <w:sz w:val="40"/>
              </w:rPr>
              <w:t>ECE</w:t>
            </w:r>
            <w:r>
              <w:t>/CEP/2019/12</w:t>
            </w:r>
          </w:p>
        </w:tc>
      </w:tr>
      <w:tr w:rsidR="002D5AAC" w:rsidRPr="00E71CB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573EA3" w:rsidP="00387CD4">
            <w:pPr>
              <w:spacing w:before="240"/>
              <w:rPr>
                <w:lang w:val="en-US"/>
              </w:rPr>
            </w:pPr>
            <w:r>
              <w:rPr>
                <w:lang w:val="en-US"/>
              </w:rPr>
              <w:t>Distr.: General</w:t>
            </w:r>
          </w:p>
          <w:p w:rsidR="00573EA3" w:rsidRDefault="00573EA3" w:rsidP="00573EA3">
            <w:pPr>
              <w:spacing w:line="240" w:lineRule="exact"/>
              <w:rPr>
                <w:lang w:val="en-US"/>
              </w:rPr>
            </w:pPr>
            <w:r>
              <w:rPr>
                <w:lang w:val="en-US"/>
              </w:rPr>
              <w:t>8 November 2018</w:t>
            </w:r>
          </w:p>
          <w:p w:rsidR="00573EA3" w:rsidRDefault="00573EA3" w:rsidP="00573EA3">
            <w:pPr>
              <w:spacing w:line="240" w:lineRule="exact"/>
              <w:rPr>
                <w:lang w:val="en-US"/>
              </w:rPr>
            </w:pPr>
            <w:r>
              <w:rPr>
                <w:lang w:val="en-US"/>
              </w:rPr>
              <w:t>Russian</w:t>
            </w:r>
          </w:p>
          <w:p w:rsidR="00573EA3" w:rsidRPr="008D53B6" w:rsidRDefault="00573EA3" w:rsidP="00573EA3">
            <w:pPr>
              <w:spacing w:line="240" w:lineRule="exact"/>
              <w:rPr>
                <w:lang w:val="en-US"/>
              </w:rPr>
            </w:pPr>
            <w:r>
              <w:rPr>
                <w:lang w:val="en-US"/>
              </w:rPr>
              <w:t>Original: English</w:t>
            </w:r>
          </w:p>
        </w:tc>
      </w:tr>
    </w:tbl>
    <w:p w:rsidR="00573EA3" w:rsidRDefault="008A37C8" w:rsidP="00255343">
      <w:pPr>
        <w:spacing w:before="120"/>
        <w:rPr>
          <w:b/>
          <w:sz w:val="28"/>
          <w:szCs w:val="28"/>
        </w:rPr>
      </w:pPr>
      <w:r w:rsidRPr="00245892">
        <w:rPr>
          <w:b/>
          <w:sz w:val="28"/>
          <w:szCs w:val="28"/>
        </w:rPr>
        <w:t>Европейская экономическая комиссия</w:t>
      </w:r>
    </w:p>
    <w:p w:rsidR="00573EA3" w:rsidRPr="00573EA3" w:rsidRDefault="00573EA3" w:rsidP="00573EA3">
      <w:pPr>
        <w:spacing w:before="120"/>
        <w:rPr>
          <w:rFonts w:ascii="Times New Roman Bold"/>
          <w:sz w:val="28"/>
          <w:szCs w:val="28"/>
        </w:rPr>
      </w:pPr>
      <w:r w:rsidRPr="00573EA3">
        <w:rPr>
          <w:sz w:val="28"/>
          <w:szCs w:val="28"/>
        </w:rPr>
        <w:t>Комитет по экологической политике</w:t>
      </w:r>
    </w:p>
    <w:p w:rsidR="00573EA3" w:rsidRPr="007324DC" w:rsidRDefault="00573EA3" w:rsidP="00573EA3">
      <w:pPr>
        <w:spacing w:before="120"/>
        <w:rPr>
          <w:rFonts w:asciiTheme="majorBidi" w:hAnsiTheme="majorBidi" w:cstheme="majorBidi"/>
          <w:b/>
          <w:bCs/>
        </w:rPr>
      </w:pPr>
      <w:r>
        <w:rPr>
          <w:b/>
          <w:bCs/>
        </w:rPr>
        <w:t>Двадцать четвертая сессия</w:t>
      </w:r>
    </w:p>
    <w:p w:rsidR="00573EA3" w:rsidRPr="007324DC" w:rsidRDefault="00573EA3" w:rsidP="00573EA3">
      <w:pPr>
        <w:rPr>
          <w:rFonts w:asciiTheme="majorBidi" w:hAnsiTheme="majorBidi" w:cstheme="majorBidi"/>
        </w:rPr>
      </w:pPr>
      <w:r>
        <w:t>Женева, 29</w:t>
      </w:r>
      <w:r w:rsidR="00AB222E">
        <w:t>–</w:t>
      </w:r>
      <w:r>
        <w:t>31 января 2019 года</w:t>
      </w:r>
    </w:p>
    <w:p w:rsidR="00573EA3" w:rsidRPr="007324DC" w:rsidRDefault="00573EA3" w:rsidP="00573EA3">
      <w:r>
        <w:t>Пункт 6 предварительной повестки дня</w:t>
      </w:r>
    </w:p>
    <w:p w:rsidR="00573EA3" w:rsidRPr="007324DC" w:rsidRDefault="00573EA3" w:rsidP="00573EA3">
      <w:pPr>
        <w:pStyle w:val="SingleTxtG"/>
        <w:ind w:left="0"/>
        <w:rPr>
          <w:rFonts w:hAnsi="Times New Roman Bold" w:cs="Times New Roman Bold"/>
          <w:b/>
          <w:bCs/>
        </w:rPr>
      </w:pPr>
      <w:r>
        <w:rPr>
          <w:b/>
          <w:bCs/>
        </w:rPr>
        <w:t>Обзоры результативности экологической деятельности</w:t>
      </w:r>
    </w:p>
    <w:p w:rsidR="00573EA3" w:rsidRPr="007324DC" w:rsidRDefault="00573EA3" w:rsidP="00573EA3">
      <w:pPr>
        <w:pStyle w:val="HChG"/>
      </w:pPr>
      <w:r>
        <w:tab/>
      </w:r>
      <w:r>
        <w:tab/>
        <w:t>Продление мандата Группы экспертов по обзорам результативности экологической деятельности</w:t>
      </w:r>
    </w:p>
    <w:p w:rsidR="00573EA3" w:rsidRDefault="00573EA3" w:rsidP="00573EA3">
      <w:pPr>
        <w:pStyle w:val="H1G"/>
        <w:rPr>
          <w:bCs/>
        </w:rPr>
      </w:pPr>
      <w:r>
        <w:tab/>
      </w:r>
      <w:r>
        <w:tab/>
      </w:r>
      <w:r>
        <w:rPr>
          <w:bCs/>
        </w:rPr>
        <w:t>Записка секретариата</w:t>
      </w:r>
    </w:p>
    <w:tbl>
      <w:tblPr>
        <w:tblStyle w:val="ac"/>
        <w:tblW w:w="0" w:type="auto"/>
        <w:jc w:val="center"/>
        <w:tblLook w:val="05E0" w:firstRow="1" w:lastRow="1" w:firstColumn="1" w:lastColumn="1" w:noHBand="0" w:noVBand="1"/>
      </w:tblPr>
      <w:tblGrid>
        <w:gridCol w:w="9628"/>
      </w:tblGrid>
      <w:tr w:rsidR="00573EA3" w:rsidRPr="00573EA3" w:rsidTr="00850215">
        <w:trPr>
          <w:jc w:val="center"/>
        </w:trPr>
        <w:tc>
          <w:tcPr>
            <w:tcW w:w="9637" w:type="dxa"/>
            <w:tcBorders>
              <w:bottom w:val="nil"/>
            </w:tcBorders>
          </w:tcPr>
          <w:p w:rsidR="00573EA3" w:rsidRPr="00573EA3" w:rsidRDefault="00573EA3" w:rsidP="00850215">
            <w:pPr>
              <w:tabs>
                <w:tab w:val="left" w:pos="255"/>
              </w:tabs>
              <w:spacing w:before="240" w:after="120"/>
              <w:rPr>
                <w:rFonts w:cs="Times New Roman"/>
                <w:sz w:val="24"/>
              </w:rPr>
            </w:pPr>
            <w:r w:rsidRPr="00573EA3">
              <w:rPr>
                <w:rFonts w:cs="Times New Roman"/>
              </w:rPr>
              <w:tab/>
            </w:r>
            <w:r w:rsidRPr="00573EA3">
              <w:rPr>
                <w:rFonts w:cs="Times New Roman"/>
                <w:i/>
                <w:sz w:val="24"/>
              </w:rPr>
              <w:t>Резюме</w:t>
            </w:r>
          </w:p>
        </w:tc>
      </w:tr>
      <w:tr w:rsidR="00573EA3" w:rsidRPr="00573EA3" w:rsidTr="00850215">
        <w:trPr>
          <w:jc w:val="center"/>
        </w:trPr>
        <w:tc>
          <w:tcPr>
            <w:tcW w:w="9637" w:type="dxa"/>
            <w:tcBorders>
              <w:top w:val="nil"/>
              <w:bottom w:val="nil"/>
            </w:tcBorders>
            <w:shd w:val="clear" w:color="auto" w:fill="auto"/>
          </w:tcPr>
          <w:p w:rsidR="00573EA3" w:rsidRPr="00573EA3" w:rsidRDefault="00573EA3" w:rsidP="00573EA3">
            <w:pPr>
              <w:pStyle w:val="SingleTxtG"/>
            </w:pPr>
            <w:r>
              <w:tab/>
            </w:r>
            <w:r>
              <w:tab/>
            </w:r>
            <w:r w:rsidRPr="00573EA3">
              <w:t>Комитет по экологической политике на своей двадцатой сессии, состоявшейся в октябре 2014 года, высоко оценил работу Группы экспертов по обзорам результативности экологической деятельности и одобрил обновленный мандат Группы экспертов на период 2015–2018 годов (ECE/CEP/2014/13). Круг ведения предусматривает, что мандат Группы экспертов охватывает четырехлетний период с 2015 года по конец 2018 года.</w:t>
            </w:r>
          </w:p>
        </w:tc>
      </w:tr>
      <w:tr w:rsidR="00573EA3" w:rsidRPr="00573EA3" w:rsidTr="00850215">
        <w:trPr>
          <w:jc w:val="center"/>
        </w:trPr>
        <w:tc>
          <w:tcPr>
            <w:tcW w:w="9637" w:type="dxa"/>
            <w:tcBorders>
              <w:top w:val="nil"/>
              <w:bottom w:val="nil"/>
            </w:tcBorders>
            <w:shd w:val="clear" w:color="auto" w:fill="auto"/>
          </w:tcPr>
          <w:p w:rsidR="00573EA3" w:rsidRPr="00573EA3" w:rsidRDefault="00573EA3" w:rsidP="00D6488B">
            <w:pPr>
              <w:pStyle w:val="SingleTxtG"/>
            </w:pPr>
            <w:r>
              <w:tab/>
            </w:r>
            <w:r>
              <w:tab/>
              <w:t>В настоящем документе содержится обзор достижений Группы экспертов за охватываемый мандатом период, а в приложении к нему приводится проект решения о продлении мандата Группы на новый четырехлетний период для рассмотрения Комитетом по экологической политике на его двадцать четвертой сессии.</w:t>
            </w:r>
          </w:p>
        </w:tc>
      </w:tr>
      <w:tr w:rsidR="00573EA3" w:rsidRPr="00573EA3" w:rsidTr="00850215">
        <w:trPr>
          <w:jc w:val="center"/>
        </w:trPr>
        <w:tc>
          <w:tcPr>
            <w:tcW w:w="9637" w:type="dxa"/>
            <w:tcBorders>
              <w:top w:val="nil"/>
            </w:tcBorders>
          </w:tcPr>
          <w:p w:rsidR="00573EA3" w:rsidRPr="00573EA3" w:rsidRDefault="00573EA3" w:rsidP="00850215">
            <w:pPr>
              <w:rPr>
                <w:rFonts w:cs="Times New Roman"/>
              </w:rPr>
            </w:pPr>
          </w:p>
        </w:tc>
      </w:tr>
    </w:tbl>
    <w:p w:rsidR="00573EA3" w:rsidRDefault="00573EA3" w:rsidP="00573EA3">
      <w:pPr>
        <w:pStyle w:val="SingleTxtG"/>
      </w:pPr>
    </w:p>
    <w:p w:rsidR="00573EA3" w:rsidRDefault="00573EA3">
      <w:pPr>
        <w:suppressAutoHyphens w:val="0"/>
        <w:spacing w:line="240" w:lineRule="auto"/>
        <w:rPr>
          <w:rFonts w:eastAsia="Times New Roman" w:cs="Times New Roman"/>
          <w:b/>
          <w:sz w:val="28"/>
          <w:szCs w:val="20"/>
          <w:lang w:eastAsia="ru-RU"/>
        </w:rPr>
      </w:pPr>
      <w:r>
        <w:br w:type="page"/>
      </w:r>
      <w:bookmarkStart w:id="0" w:name="_GoBack"/>
      <w:bookmarkEnd w:id="0"/>
    </w:p>
    <w:p w:rsidR="00573EA3" w:rsidRPr="007324DC" w:rsidRDefault="00573EA3" w:rsidP="00573EA3">
      <w:pPr>
        <w:pStyle w:val="HChG"/>
      </w:pPr>
      <w:r>
        <w:lastRenderedPageBreak/>
        <w:tab/>
      </w:r>
      <w:r>
        <w:tab/>
        <w:t xml:space="preserve">Достижения Группой экспертов по обзорам результативности экологической деятельности </w:t>
      </w:r>
      <w:r w:rsidR="0064110A">
        <w:br/>
      </w:r>
      <w:r>
        <w:t>в период 2015–2018 годов</w:t>
      </w:r>
    </w:p>
    <w:p w:rsidR="00573EA3" w:rsidRPr="007324DC" w:rsidRDefault="00573EA3" w:rsidP="00573EA3">
      <w:pPr>
        <w:pStyle w:val="SingleTxtG"/>
      </w:pPr>
      <w:r>
        <w:t>1.</w:t>
      </w:r>
      <w:r>
        <w:tab/>
        <w:t>В целях осуществления своего круга ведения на период 2015–2018 годов (ECE/CEP/2014/13, приложение) Группа экспертов по обзорам результативности экологической деятельности провела ряд мероприятий, посвященных улучшению результативности экологической деятельности в странах Восточной и Юго-Восточной Европы, Кавказа и Центральной Азии и в порядке исключения в Монголии, государстве</w:t>
      </w:r>
      <w:r w:rsidR="00AB222E">
        <w:t xml:space="preserve"> – </w:t>
      </w:r>
      <w:r>
        <w:t xml:space="preserve">члене Экономической и социальной комиссии для Азии и Тихого океана. Группа экспертов ежегодно представляла доклады Комитету по экологической политике о прогрессе, достигнутом в проведении этих мероприятиях. Ниже описываются основные результаты. </w:t>
      </w:r>
    </w:p>
    <w:p w:rsidR="00573EA3" w:rsidRPr="007324DC" w:rsidRDefault="00573EA3" w:rsidP="00573EA3">
      <w:pPr>
        <w:pStyle w:val="SingleTxtG"/>
      </w:pPr>
      <w:r>
        <w:t>2.</w:t>
      </w:r>
      <w:r>
        <w:tab/>
        <w:t>На своем двадцать шестом совещании, состо</w:t>
      </w:r>
      <w:r w:rsidR="0064110A">
        <w:t>явшемся в Женеве в октябре 2015 </w:t>
      </w:r>
      <w:r>
        <w:t>года, Группа экспертов рассмотрела доклад третьего обзора Беларуси, состоящий из 14 глав, и достигла с делегацией Беларуси согласия по 64 рекомендациям. Она также рассмотрела доклад третьего обзора Грузии, состоящий из 14 глав, и достигла с делегацией Грузии согласия по 67 рекомендациям. На своем двадцать седьмом совещании, состоявшемся в Женеве в декабре 2016 года, она рассмотрела доклад третьего обзора Таджикистана, состоящий из 15 глав, и доклад третьего обзора Болгарии, состоящий из 10 глав, и достигла с соответствующими делегациями</w:t>
      </w:r>
      <w:r>
        <w:rPr>
          <w:b/>
          <w:bCs/>
        </w:rPr>
        <w:t xml:space="preserve"> </w:t>
      </w:r>
      <w:r>
        <w:t xml:space="preserve">согласия по 83 и 47 рекомендациям соответственно. </w:t>
      </w:r>
    </w:p>
    <w:p w:rsidR="00573EA3" w:rsidRPr="007324DC" w:rsidRDefault="00573EA3" w:rsidP="00573EA3">
      <w:pPr>
        <w:pStyle w:val="SingleTxtG"/>
      </w:pPr>
      <w:r>
        <w:t>3.</w:t>
      </w:r>
      <w:r>
        <w:tab/>
        <w:t>На своем двадцать восьмом совещании, состо</w:t>
      </w:r>
      <w:r w:rsidR="0064110A">
        <w:t>явшемся в Женеве в октябре 2017 </w:t>
      </w:r>
      <w:r>
        <w:t>года, Группа экспертов рассмотрела доклад третьего обзора Албании, состоящий из 11 глав, доклад третьего обзора Боснии и Герцеговины, состоящий из 12 глав, и доклад обзора Монголии, состоящий из 15 глав. Она достигла с соответствующими делегациями согласия по 58, 72 и 85 рекомендациям соответственно. На своем двадцать девятом совещании, которое состоится в Женеве в январе 2019 года, Группа экспертов рассмотрит доклады третьих обзоров Казахстана и бывшей югославской Республики Макед</w:t>
      </w:r>
      <w:r w:rsidR="00AB222E">
        <w:t>ония, состоящие из 13 и 11 глав</w:t>
      </w:r>
      <w:r>
        <w:t xml:space="preserve"> соответственно. </w:t>
      </w:r>
    </w:p>
    <w:p w:rsidR="00573EA3" w:rsidRPr="007324DC" w:rsidRDefault="00573EA3" w:rsidP="00573EA3">
      <w:pPr>
        <w:pStyle w:val="SingleTxtG"/>
      </w:pPr>
      <w:r>
        <w:t>4.</w:t>
      </w:r>
      <w:r>
        <w:tab/>
        <w:t xml:space="preserve">На восьмой Конференции министров </w:t>
      </w:r>
      <w:r w:rsidR="0064110A">
        <w:t>«</w:t>
      </w:r>
      <w:r>
        <w:t>Окружающая среда для Европы</w:t>
      </w:r>
      <w:r w:rsidR="0064110A">
        <w:t>» (Батуми Грузия, 8</w:t>
      </w:r>
      <w:r>
        <w:t>–10 июня 2016 года) министры особо подчеркнули ту роль, которую Программа обзоров результативности экологической деятельности способна сыграть в оказании поддержки достижению и мониторингу Целей в области устойчивого развития в панъевропейском регионе (ECE/BATUMI.CONF/2016/2/Add.1, пункт 9). Исходя из этого</w:t>
      </w:r>
      <w:r w:rsidR="00AB222E">
        <w:t>,</w:t>
      </w:r>
      <w:r>
        <w:t xml:space="preserve"> Группа экспертов по обзорам результативности экологической деятельности представила рекомендации секретариату ЕЭК и Комитету по экологической политике в отношении процесса отражения Целей в области устойчивого развития в обзорах. На расширенном заседании, которое было приурочено к е</w:t>
      </w:r>
      <w:r w:rsidR="0064110A">
        <w:t>е</w:t>
      </w:r>
      <w:r>
        <w:t xml:space="preserve"> двадцать седьмому совещанию в декабре 2016 года, Группа экспертов подготовила документ о роли обзоров результативности экологической деятельности в оказании поддержки осуществлению и мониторингу Целей в области устойчивого развития в панъевропейском регионе (ECE/CEP/2017/11). Комитет рассмотрел и одобрил этот документ на своей двадцать третьей сессии в 2017 году. </w:t>
      </w:r>
    </w:p>
    <w:p w:rsidR="00573EA3" w:rsidRPr="007324DC" w:rsidRDefault="00573EA3" w:rsidP="00573EA3">
      <w:pPr>
        <w:pStyle w:val="SingleTxtG"/>
      </w:pPr>
      <w:r>
        <w:t>5.</w:t>
      </w:r>
      <w:r>
        <w:tab/>
        <w:t>В октябре 2017 года на открытом заседании, приуроченном к е</w:t>
      </w:r>
      <w:r w:rsidR="0064110A">
        <w:t>е</w:t>
      </w:r>
      <w:r>
        <w:t xml:space="preserve"> двадцать восьмому совещанию, Группа экспертов обсудила опыт интеграции Целей в области устойчивого развития в охват трех обзоров, проведенных в 2017 году (третьи обзоры Албании и Боснии и Герцеговины и обзор Монголии). Она высоко оценила этот первый опыт и представила рекомендации относительно того, каким образом анализ результативности экологической деятельности и соответствующих Целей и задач может быть усовершенствован в ходе будущих обзоров.</w:t>
      </w:r>
    </w:p>
    <w:p w:rsidR="00573EA3" w:rsidRPr="007324DC" w:rsidRDefault="00573EA3" w:rsidP="0064110A">
      <w:pPr>
        <w:pStyle w:val="HChG"/>
        <w:pageBreakBefore/>
      </w:pPr>
      <w:r>
        <w:lastRenderedPageBreak/>
        <w:tab/>
      </w:r>
      <w:r>
        <w:tab/>
      </w:r>
      <w:r>
        <w:rPr>
          <w:bCs/>
        </w:rPr>
        <w:t>Будущая работа</w:t>
      </w:r>
    </w:p>
    <w:p w:rsidR="00573EA3" w:rsidRPr="007324DC" w:rsidRDefault="00573EA3" w:rsidP="00573EA3">
      <w:pPr>
        <w:pStyle w:val="SingleTxtG"/>
      </w:pPr>
      <w:r>
        <w:t>6.</w:t>
      </w:r>
      <w:r>
        <w:tab/>
        <w:t>Поскольку нынешний мандат Группы экспертов истекает в конце 2018 года, секретариат подготовил пересмотренный круг ведения Группы, который содержится в приложении к настоящей записке. Комитету по экологической политике предлагается одобрить этот круг ведения и препроводить его Исполнительному комитету для утверждения.</w:t>
      </w:r>
      <w:bookmarkStart w:id="1" w:name="_Hlk529435595"/>
      <w:bookmarkEnd w:id="1"/>
    </w:p>
    <w:p w:rsidR="0064110A" w:rsidRDefault="0064110A">
      <w:pPr>
        <w:suppressAutoHyphens w:val="0"/>
        <w:spacing w:line="240" w:lineRule="auto"/>
        <w:rPr>
          <w:rFonts w:eastAsia="Times New Roman" w:cs="Times New Roman"/>
          <w:b/>
          <w:bCs/>
          <w:sz w:val="28"/>
          <w:szCs w:val="20"/>
          <w:lang w:eastAsia="ru-RU"/>
        </w:rPr>
      </w:pPr>
      <w:r>
        <w:rPr>
          <w:bCs/>
        </w:rPr>
        <w:br w:type="page"/>
      </w:r>
    </w:p>
    <w:p w:rsidR="00573EA3" w:rsidRPr="007324DC" w:rsidRDefault="00573EA3" w:rsidP="0064110A">
      <w:pPr>
        <w:pStyle w:val="HChG"/>
      </w:pPr>
      <w:r>
        <w:lastRenderedPageBreak/>
        <w:t>Приложение</w:t>
      </w:r>
    </w:p>
    <w:p w:rsidR="00573EA3" w:rsidRPr="007324DC" w:rsidRDefault="00573EA3" w:rsidP="0064110A">
      <w:pPr>
        <w:pStyle w:val="HChG"/>
      </w:pPr>
      <w:r>
        <w:tab/>
      </w:r>
      <w:r>
        <w:tab/>
        <w:t xml:space="preserve">Мандат и круг ведения Группы экспертов по обзорам результативности экологической деятельности </w:t>
      </w:r>
      <w:r w:rsidR="0064110A">
        <w:br/>
      </w:r>
      <w:r>
        <w:t xml:space="preserve">на 2019–2022 годы </w:t>
      </w:r>
    </w:p>
    <w:p w:rsidR="00573EA3" w:rsidRPr="007324DC" w:rsidRDefault="00573EA3" w:rsidP="0064110A">
      <w:pPr>
        <w:pStyle w:val="SingleTxtG"/>
      </w:pPr>
      <w:r>
        <w:t>1.</w:t>
      </w:r>
      <w:r>
        <w:tab/>
        <w:t>Группе экспертов по обзорам результативности экологической деятельности поручено до конца 2022 года оказывать поддержку Программе обзоров результативности экологической деятельности Европейской экономической комиссии Организации Объединенных Наций (ЕЭК) в соответствии с кругом ведения, изложенным ниже.</w:t>
      </w:r>
    </w:p>
    <w:p w:rsidR="00573EA3" w:rsidRPr="007324DC" w:rsidRDefault="00573EA3" w:rsidP="0064110A">
      <w:pPr>
        <w:pStyle w:val="H1G"/>
      </w:pPr>
      <w:r>
        <w:tab/>
      </w:r>
      <w:r>
        <w:tab/>
        <w:t>Членский состав</w:t>
      </w:r>
    </w:p>
    <w:p w:rsidR="00573EA3" w:rsidRPr="007324DC" w:rsidRDefault="00573EA3" w:rsidP="00573EA3">
      <w:pPr>
        <w:pStyle w:val="SingleTxtG"/>
      </w:pPr>
      <w:r>
        <w:t>2.</w:t>
      </w:r>
      <w:r>
        <w:tab/>
        <w:t>Основной состав Группы экспертов в период 20</w:t>
      </w:r>
      <w:r w:rsidR="000F56F5">
        <w:t>1</w:t>
      </w:r>
      <w:r w:rsidR="00AF0E47">
        <w:t>9</w:t>
      </w:r>
      <w:r>
        <w:t>–20</w:t>
      </w:r>
      <w:r w:rsidR="00AF0E47">
        <w:t>22</w:t>
      </w:r>
      <w:r>
        <w:t xml:space="preserve"> годов должен состоять из 10–14 участников, обеспечивая должный учет принципа сбалансированного географического представительства стран региона. При отборе новых членов должное внимание следует уделять экспертам из стран, по которым недавно проводились обзоры, а также из стран, по которым были проведены или вскоре будут проводиться вторые обзоры.</w:t>
      </w:r>
    </w:p>
    <w:p w:rsidR="00573EA3" w:rsidRPr="007324DC" w:rsidRDefault="00573EA3" w:rsidP="00573EA3">
      <w:pPr>
        <w:pStyle w:val="SingleTxtG"/>
      </w:pPr>
      <w:r>
        <w:t>3.</w:t>
      </w:r>
      <w:r>
        <w:tab/>
        <w:t>Члены Комитета по экологической политике могут участвовать в совещаниях Группы экспертов в качестве наблюдателей и выступать в качестве консультантов при рассмотрении доклада и содержащихся в нем рекомендаций.</w:t>
      </w:r>
    </w:p>
    <w:p w:rsidR="00573EA3" w:rsidRPr="007324DC" w:rsidRDefault="00573EA3" w:rsidP="00573EA3">
      <w:pPr>
        <w:pStyle w:val="SingleTxtG"/>
      </w:pPr>
      <w:r>
        <w:t>4.</w:t>
      </w:r>
      <w:r>
        <w:tab/>
        <w:t xml:space="preserve">Кроме того, эксперты, назначенные государствами – членами Комитета по экологической политике и одобренные членами Группы экспертов в консультации с секретариатом, могут принимать участие в совещаниях Группы экспертов, посвященных любой стране, по которой проводится обзор. </w:t>
      </w:r>
    </w:p>
    <w:p w:rsidR="00573EA3" w:rsidRPr="007324DC" w:rsidRDefault="00573EA3" w:rsidP="00573EA3">
      <w:pPr>
        <w:pStyle w:val="H1G"/>
      </w:pPr>
      <w:r>
        <w:tab/>
      </w:r>
      <w:r>
        <w:tab/>
      </w:r>
      <w:r>
        <w:rPr>
          <w:bCs/>
        </w:rPr>
        <w:t>Круг ведения</w:t>
      </w:r>
    </w:p>
    <w:p w:rsidR="00573EA3" w:rsidRPr="007324DC" w:rsidRDefault="00573EA3" w:rsidP="00573EA3">
      <w:pPr>
        <w:pStyle w:val="SingleTxtG"/>
      </w:pPr>
      <w:r>
        <w:t>5.</w:t>
      </w:r>
      <w:r>
        <w:tab/>
        <w:t>Мандат основных членов Группы экспертов продлевается на четырехлетний период в целях:</w:t>
      </w:r>
    </w:p>
    <w:p w:rsidR="00573EA3" w:rsidRPr="007324DC" w:rsidRDefault="00573EA3" w:rsidP="00573EA3">
      <w:pPr>
        <w:pStyle w:val="SingleTxtG"/>
        <w:ind w:firstLine="567"/>
      </w:pPr>
      <w:r>
        <w:t>a)</w:t>
      </w:r>
      <w:r>
        <w:tab/>
        <w:t>осуществления процесса экспертного обзора до коллегиального обзора, который будет проводиться Комитетом по экологической политике;</w:t>
      </w:r>
    </w:p>
    <w:p w:rsidR="00573EA3" w:rsidRPr="007324DC" w:rsidRDefault="00573EA3" w:rsidP="00573EA3">
      <w:pPr>
        <w:pStyle w:val="SingleTxtG"/>
        <w:ind w:firstLine="567"/>
      </w:pPr>
      <w:r>
        <w:t>b)</w:t>
      </w:r>
      <w:r>
        <w:tab/>
        <w:t>предоставления рекомендаций секретариату ЕЭК и Комитету по экологической политике по всем вопросам существа и организационным вопросам, связанным с осуществлением Программы обзоров результативности экологической деятельности ЕЭК;</w:t>
      </w:r>
    </w:p>
    <w:p w:rsidR="00573EA3" w:rsidRPr="007324DC" w:rsidRDefault="00573EA3" w:rsidP="00573EA3">
      <w:pPr>
        <w:pStyle w:val="SingleTxtG"/>
        <w:ind w:firstLine="567"/>
      </w:pPr>
      <w:r>
        <w:t>c)</w:t>
      </w:r>
      <w:r>
        <w:tab/>
        <w:t>оказания помощи секретариату ЕЭК в координации Программы обзоров результативности экологической деятельности с имеющими к ней отношение процессами, которые в настоящее время реализуются другими международными учреждениями, в частности Европейским агентством по окружающей среде, Организацией экономического сотрудничества и развития (ОЭСР), Программой Организации Объединенных Наций по окружающей среде и Всемирной организацией здравоохранения.</w:t>
      </w:r>
    </w:p>
    <w:p w:rsidR="00573EA3" w:rsidRPr="007324DC" w:rsidRDefault="00573EA3" w:rsidP="00573EA3">
      <w:pPr>
        <w:pStyle w:val="SingleTxtG"/>
      </w:pPr>
      <w:r>
        <w:t>6.</w:t>
      </w:r>
      <w:r>
        <w:tab/>
        <w:t>Рекомендации Группы экспертов для секретариата ЕЭК и Комитета по экологической политике будут касаться:</w:t>
      </w:r>
    </w:p>
    <w:p w:rsidR="00573EA3" w:rsidRPr="007324DC" w:rsidRDefault="00573EA3" w:rsidP="00573EA3">
      <w:pPr>
        <w:pStyle w:val="SingleTxtG"/>
        <w:ind w:firstLine="567"/>
      </w:pPr>
      <w:r>
        <w:t>a)</w:t>
      </w:r>
      <w:r>
        <w:tab/>
        <w:t>выявления возможностей и потребностей в плане совершенствования проведения обзоров, в том числе с учетом существующих и назревающих экологических проблем и глобальных процессов, таких как Повестка дня в области устойчивого развития на период до 2030 года;</w:t>
      </w:r>
    </w:p>
    <w:p w:rsidR="00573EA3" w:rsidRPr="007324DC" w:rsidRDefault="00573EA3" w:rsidP="00573EA3">
      <w:pPr>
        <w:pStyle w:val="SingleTxtG"/>
        <w:ind w:firstLine="567"/>
      </w:pPr>
      <w:r>
        <w:lastRenderedPageBreak/>
        <w:t>b)</w:t>
      </w:r>
      <w:r>
        <w:tab/>
        <w:t xml:space="preserve">оценки экологических тенденций, имеющих отношение к процессу обзора результативности экологической деятельности, </w:t>
      </w:r>
      <w:r w:rsidR="000F56F5">
        <w:t xml:space="preserve">в </w:t>
      </w:r>
      <w:r>
        <w:t>не являющихся членами ОЭСР странах, в том числе путем организации совместных совещаний, семинаров и рабочих совещаний на региональном и субрегиональном уровнях, при наличии потребности в них.</w:t>
      </w:r>
    </w:p>
    <w:p w:rsidR="00573EA3" w:rsidRPr="007324DC" w:rsidRDefault="00573EA3" w:rsidP="00573EA3">
      <w:pPr>
        <w:pStyle w:val="SingleTxtG"/>
      </w:pPr>
      <w:r>
        <w:t>7.</w:t>
      </w:r>
      <w:r>
        <w:tab/>
        <w:t>Основные члены Группы экспертов назначаются государствами</w:t>
      </w:r>
      <w:r w:rsidR="000F56F5">
        <w:t xml:space="preserve"> – </w:t>
      </w:r>
      <w:r>
        <w:t>членами ЕЭК. Секретариат будет предлагать международным учреждениям, занимающимся смежной деятельностью, принимать участие в работе Группы экспертов.</w:t>
      </w:r>
    </w:p>
    <w:p w:rsidR="00573EA3" w:rsidRPr="007324DC" w:rsidRDefault="00573EA3" w:rsidP="00573EA3">
      <w:pPr>
        <w:pStyle w:val="SingleTxtG"/>
      </w:pPr>
      <w:r>
        <w:t>8.</w:t>
      </w:r>
      <w:r>
        <w:tab/>
        <w:t xml:space="preserve">При принятии решений по находящемуся на рассмотрении докладу обзора результативности экологической деятельности и </w:t>
      </w:r>
      <w:r w:rsidR="000F56F5">
        <w:t>содержащимся в нем рекомендациям</w:t>
      </w:r>
      <w:r>
        <w:t xml:space="preserve"> Группа экспертов будет учитывать мнения проводящих обзор стран, членов Комитета по экологической политике и делегированных Комитетом экспертов, участвующих в работе совещания.</w:t>
      </w:r>
    </w:p>
    <w:p w:rsidR="00573EA3" w:rsidRPr="007324DC" w:rsidRDefault="00573EA3" w:rsidP="00573EA3">
      <w:pPr>
        <w:pStyle w:val="SingleTxtG"/>
      </w:pPr>
      <w:r>
        <w:t>9.</w:t>
      </w:r>
      <w:r>
        <w:tab/>
        <w:t>Группа экспертов избирает своего Председателя и заместителя(ей) Председателя.</w:t>
      </w:r>
    </w:p>
    <w:p w:rsidR="00573EA3" w:rsidRPr="007324DC" w:rsidRDefault="00573EA3" w:rsidP="00573EA3">
      <w:pPr>
        <w:pStyle w:val="SingleTxtG"/>
      </w:pPr>
      <w:r>
        <w:t>10.</w:t>
      </w:r>
      <w:r>
        <w:tab/>
        <w:t>Группа экспертов представляет ежегодно доклады о своей работе Комитету по экологической политике и может поднять перед Комитетом любой вопрос, который она считает необходимым для осуществления своег</w:t>
      </w:r>
      <w:r w:rsidR="0064110A">
        <w:t>о мандата.</w:t>
      </w:r>
    </w:p>
    <w:p w:rsidR="00573EA3" w:rsidRPr="007324DC" w:rsidRDefault="00573EA3" w:rsidP="00573EA3">
      <w:pPr>
        <w:pStyle w:val="H1G"/>
      </w:pPr>
      <w:r>
        <w:tab/>
      </w:r>
      <w:r>
        <w:tab/>
      </w:r>
      <w:r>
        <w:rPr>
          <w:bCs/>
        </w:rPr>
        <w:t>Срок действия</w:t>
      </w:r>
    </w:p>
    <w:p w:rsidR="00E12C5F" w:rsidRDefault="00573EA3" w:rsidP="00573EA3">
      <w:pPr>
        <w:pStyle w:val="SingleTxtG"/>
      </w:pPr>
      <w:r>
        <w:t>11.</w:t>
      </w:r>
      <w:r>
        <w:tab/>
        <w:t>Мандат Группы экспертов будет охватывать четырехлетний период с начала 2019 года по конец 2022 года.</w:t>
      </w:r>
    </w:p>
    <w:p w:rsidR="00573EA3" w:rsidRPr="00573EA3" w:rsidRDefault="00573EA3" w:rsidP="00573EA3">
      <w:pPr>
        <w:pStyle w:val="SingleTxtG"/>
        <w:spacing w:before="240" w:after="0"/>
        <w:jc w:val="center"/>
        <w:rPr>
          <w:u w:val="single"/>
        </w:rPr>
      </w:pPr>
      <w:r>
        <w:rPr>
          <w:u w:val="single"/>
        </w:rPr>
        <w:tab/>
      </w:r>
      <w:r>
        <w:rPr>
          <w:u w:val="single"/>
        </w:rPr>
        <w:tab/>
      </w:r>
      <w:r>
        <w:rPr>
          <w:u w:val="single"/>
        </w:rPr>
        <w:tab/>
      </w:r>
      <w:r>
        <w:rPr>
          <w:u w:val="single"/>
        </w:rPr>
        <w:tab/>
      </w:r>
    </w:p>
    <w:sectPr w:rsidR="00573EA3" w:rsidRPr="00573EA3" w:rsidSect="00573EA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E8" w:rsidRPr="00A312BC" w:rsidRDefault="00DF3BE8" w:rsidP="00A312BC"/>
  </w:endnote>
  <w:endnote w:type="continuationSeparator" w:id="0">
    <w:p w:rsidR="00DF3BE8" w:rsidRPr="00A312BC" w:rsidRDefault="00DF3B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A3" w:rsidRPr="00573EA3" w:rsidRDefault="00573EA3">
    <w:pPr>
      <w:pStyle w:val="a8"/>
    </w:pPr>
    <w:r w:rsidRPr="00573EA3">
      <w:rPr>
        <w:b/>
        <w:sz w:val="18"/>
      </w:rPr>
      <w:fldChar w:fldCharType="begin"/>
    </w:r>
    <w:r w:rsidRPr="00573EA3">
      <w:rPr>
        <w:b/>
        <w:sz w:val="18"/>
      </w:rPr>
      <w:instrText xml:space="preserve"> PAGE  \* MERGEFORMAT </w:instrText>
    </w:r>
    <w:r w:rsidRPr="00573EA3">
      <w:rPr>
        <w:b/>
        <w:sz w:val="18"/>
      </w:rPr>
      <w:fldChar w:fldCharType="separate"/>
    </w:r>
    <w:r w:rsidR="00135EFC">
      <w:rPr>
        <w:b/>
        <w:noProof/>
        <w:sz w:val="18"/>
      </w:rPr>
      <w:t>2</w:t>
    </w:r>
    <w:r w:rsidRPr="00573EA3">
      <w:rPr>
        <w:b/>
        <w:sz w:val="18"/>
      </w:rPr>
      <w:fldChar w:fldCharType="end"/>
    </w:r>
    <w:r>
      <w:rPr>
        <w:b/>
        <w:sz w:val="18"/>
      </w:rPr>
      <w:tab/>
    </w:r>
    <w:r>
      <w:t>GE.18-18882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A3" w:rsidRPr="00573EA3" w:rsidRDefault="00573EA3" w:rsidP="00573EA3">
    <w:pPr>
      <w:pStyle w:val="a8"/>
      <w:tabs>
        <w:tab w:val="clear" w:pos="9639"/>
        <w:tab w:val="right" w:pos="9638"/>
      </w:tabs>
      <w:rPr>
        <w:b/>
        <w:sz w:val="18"/>
      </w:rPr>
    </w:pPr>
    <w:r>
      <w:t>GE.18-18882</w:t>
    </w:r>
    <w:r>
      <w:tab/>
    </w:r>
    <w:r w:rsidRPr="00573EA3">
      <w:rPr>
        <w:b/>
        <w:sz w:val="18"/>
      </w:rPr>
      <w:fldChar w:fldCharType="begin"/>
    </w:r>
    <w:r w:rsidRPr="00573EA3">
      <w:rPr>
        <w:b/>
        <w:sz w:val="18"/>
      </w:rPr>
      <w:instrText xml:space="preserve"> PAGE  \* MERGEFORMAT </w:instrText>
    </w:r>
    <w:r w:rsidRPr="00573EA3">
      <w:rPr>
        <w:b/>
        <w:sz w:val="18"/>
      </w:rPr>
      <w:fldChar w:fldCharType="separate"/>
    </w:r>
    <w:r w:rsidR="00135EFC">
      <w:rPr>
        <w:b/>
        <w:noProof/>
        <w:sz w:val="18"/>
      </w:rPr>
      <w:t>5</w:t>
    </w:r>
    <w:r w:rsidRPr="00573E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573EA3" w:rsidRDefault="00573EA3" w:rsidP="00573EA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18882  (</w:t>
    </w:r>
    <w:proofErr w:type="gramEnd"/>
    <w:r>
      <w:t>R)</w:t>
    </w:r>
    <w:r w:rsidR="00E71CB9">
      <w:rPr>
        <w:lang w:val="en-US"/>
      </w:rPr>
      <w:t xml:space="preserve">  141118  19</w:t>
    </w:r>
    <w:r>
      <w:rPr>
        <w:lang w:val="en-US"/>
      </w:rPr>
      <w:t>1118</w:t>
    </w:r>
    <w:r>
      <w:br/>
    </w:r>
    <w:r w:rsidRPr="00573EA3">
      <w:rPr>
        <w:rFonts w:ascii="C39T30Lfz" w:hAnsi="C39T30Lfz"/>
        <w:kern w:val="14"/>
        <w:sz w:val="56"/>
      </w:rPr>
      <w:t></w:t>
    </w:r>
    <w:r w:rsidRPr="00573EA3">
      <w:rPr>
        <w:rFonts w:ascii="C39T30Lfz" w:hAnsi="C39T30Lfz"/>
        <w:kern w:val="14"/>
        <w:sz w:val="56"/>
      </w:rPr>
      <w:t></w:t>
    </w:r>
    <w:r w:rsidRPr="00573EA3">
      <w:rPr>
        <w:rFonts w:ascii="C39T30Lfz" w:hAnsi="C39T30Lfz"/>
        <w:kern w:val="14"/>
        <w:sz w:val="56"/>
      </w:rPr>
      <w:t></w:t>
    </w:r>
    <w:r w:rsidRPr="00573EA3">
      <w:rPr>
        <w:rFonts w:ascii="C39T30Lfz" w:hAnsi="C39T30Lfz"/>
        <w:kern w:val="14"/>
        <w:sz w:val="56"/>
      </w:rPr>
      <w:t></w:t>
    </w:r>
    <w:r w:rsidRPr="00573EA3">
      <w:rPr>
        <w:rFonts w:ascii="C39T30Lfz" w:hAnsi="C39T30Lfz"/>
        <w:kern w:val="14"/>
        <w:sz w:val="56"/>
      </w:rPr>
      <w:t></w:t>
    </w:r>
    <w:r w:rsidRPr="00573EA3">
      <w:rPr>
        <w:rFonts w:ascii="C39T30Lfz" w:hAnsi="C39T30Lfz"/>
        <w:kern w:val="14"/>
        <w:sz w:val="56"/>
      </w:rPr>
      <w:t></w:t>
    </w:r>
    <w:r w:rsidRPr="00573EA3">
      <w:rPr>
        <w:rFonts w:ascii="C39T30Lfz" w:hAnsi="C39T30Lfz"/>
        <w:kern w:val="14"/>
        <w:sz w:val="56"/>
      </w:rPr>
      <w:t></w:t>
    </w:r>
    <w:r w:rsidRPr="00573EA3">
      <w:rPr>
        <w:rFonts w:ascii="C39T30Lfz" w:hAnsi="C39T30Lfz"/>
        <w:kern w:val="14"/>
        <w:sz w:val="56"/>
      </w:rPr>
      <w:t></w:t>
    </w:r>
    <w:r w:rsidRPr="00573EA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CEP/2019/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E8" w:rsidRPr="001075E9" w:rsidRDefault="00DF3BE8" w:rsidP="001075E9">
      <w:pPr>
        <w:tabs>
          <w:tab w:val="right" w:pos="2155"/>
        </w:tabs>
        <w:spacing w:after="80" w:line="240" w:lineRule="auto"/>
        <w:ind w:left="680"/>
        <w:rPr>
          <w:u w:val="single"/>
        </w:rPr>
      </w:pPr>
      <w:r>
        <w:rPr>
          <w:u w:val="single"/>
        </w:rPr>
        <w:tab/>
      </w:r>
    </w:p>
  </w:footnote>
  <w:footnote w:type="continuationSeparator" w:id="0">
    <w:p w:rsidR="00DF3BE8" w:rsidRDefault="00DF3BE8"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A3" w:rsidRPr="00573EA3" w:rsidRDefault="00135EFC">
    <w:pPr>
      <w:pStyle w:val="a5"/>
    </w:pPr>
    <w:r>
      <w:fldChar w:fldCharType="begin"/>
    </w:r>
    <w:r>
      <w:instrText xml:space="preserve"> TITLE  \* MERGEFORMAT </w:instrText>
    </w:r>
    <w:r>
      <w:fldChar w:fldCharType="separate"/>
    </w:r>
    <w:r>
      <w:t>ECE/CEP/2019/12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A3" w:rsidRPr="00573EA3" w:rsidRDefault="00135EFC" w:rsidP="00573EA3">
    <w:pPr>
      <w:pStyle w:val="a5"/>
      <w:jc w:val="right"/>
    </w:pPr>
    <w:r>
      <w:fldChar w:fldCharType="begin"/>
    </w:r>
    <w:r>
      <w:instrText xml:space="preserve"> TITLE  \* MERGEFORMAT </w:instrText>
    </w:r>
    <w:r>
      <w:fldChar w:fldCharType="separate"/>
    </w:r>
    <w:r>
      <w:t>ECE/CEP/2019/12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E8"/>
    <w:rsid w:val="00033EE1"/>
    <w:rsid w:val="00042B72"/>
    <w:rsid w:val="000558BD"/>
    <w:rsid w:val="000B57E7"/>
    <w:rsid w:val="000B6373"/>
    <w:rsid w:val="000E4E5B"/>
    <w:rsid w:val="000F09DF"/>
    <w:rsid w:val="000F56F5"/>
    <w:rsid w:val="000F61B2"/>
    <w:rsid w:val="001075E9"/>
    <w:rsid w:val="00135EFC"/>
    <w:rsid w:val="0014152F"/>
    <w:rsid w:val="001679B3"/>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258AB"/>
    <w:rsid w:val="00452493"/>
    <w:rsid w:val="00453318"/>
    <w:rsid w:val="00454AF2"/>
    <w:rsid w:val="00454E07"/>
    <w:rsid w:val="00472C5C"/>
    <w:rsid w:val="004E05B7"/>
    <w:rsid w:val="0050108D"/>
    <w:rsid w:val="00513081"/>
    <w:rsid w:val="00517901"/>
    <w:rsid w:val="00526683"/>
    <w:rsid w:val="005639C1"/>
    <w:rsid w:val="005709E0"/>
    <w:rsid w:val="00572E19"/>
    <w:rsid w:val="00573EA3"/>
    <w:rsid w:val="005961C8"/>
    <w:rsid w:val="005966F1"/>
    <w:rsid w:val="005D7914"/>
    <w:rsid w:val="005E2B41"/>
    <w:rsid w:val="005F0B42"/>
    <w:rsid w:val="00617A43"/>
    <w:rsid w:val="006345DB"/>
    <w:rsid w:val="00640F49"/>
    <w:rsid w:val="0064110A"/>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222E"/>
    <w:rsid w:val="00AB4B51"/>
    <w:rsid w:val="00AF0E47"/>
    <w:rsid w:val="00B10CC7"/>
    <w:rsid w:val="00B36DF7"/>
    <w:rsid w:val="00B539E7"/>
    <w:rsid w:val="00B62458"/>
    <w:rsid w:val="00BC18B2"/>
    <w:rsid w:val="00BD33EE"/>
    <w:rsid w:val="00BE19B1"/>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688B"/>
    <w:rsid w:val="00DD78D1"/>
    <w:rsid w:val="00DE32CD"/>
    <w:rsid w:val="00DF3BE8"/>
    <w:rsid w:val="00DF5767"/>
    <w:rsid w:val="00DF71B9"/>
    <w:rsid w:val="00E12C5F"/>
    <w:rsid w:val="00E71CB9"/>
    <w:rsid w:val="00E73F76"/>
    <w:rsid w:val="00EA2C9F"/>
    <w:rsid w:val="00EA420E"/>
    <w:rsid w:val="00ED0BDA"/>
    <w:rsid w:val="00EE142A"/>
    <w:rsid w:val="00EE5AA2"/>
    <w:rsid w:val="00EF1360"/>
    <w:rsid w:val="00EF3220"/>
    <w:rsid w:val="00F2523A"/>
    <w:rsid w:val="00F43903"/>
    <w:rsid w:val="00F94155"/>
    <w:rsid w:val="00F9783F"/>
    <w:rsid w:val="00FA288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DB111"/>
  <w15:docId w15:val="{B59CCC50-5ABC-4110-8EB3-0E39CCAB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573EA3"/>
    <w:rPr>
      <w:lang w:val="ru-RU" w:eastAsia="en-US"/>
    </w:rPr>
  </w:style>
  <w:style w:type="character" w:customStyle="1" w:styleId="HChGChar">
    <w:name w:val="_ H _Ch_G Char"/>
    <w:link w:val="HChG"/>
    <w:rsid w:val="00573EA3"/>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5</Pages>
  <Words>1232</Words>
  <Characters>7778</Characters>
  <Application>Microsoft Office Word</Application>
  <DocSecurity>0</DocSecurity>
  <Lines>144</Lines>
  <Paragraphs>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ECE/CEP/2019/12</vt:lpstr>
      <vt:lpstr>A/</vt:lpstr>
      <vt:lpstr>A/</vt:lpstr>
    </vt:vector>
  </TitlesOfParts>
  <Company>DCM</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ECE/CEP/2019/12</dc:title>
  <dc:subject/>
  <dc:creator>Elena IZOTOVA</dc:creator>
  <cp:keywords/>
  <cp:lastModifiedBy>Elena Izotova</cp:lastModifiedBy>
  <cp:revision>3</cp:revision>
  <cp:lastPrinted>2018-11-19T10:39:00Z</cp:lastPrinted>
  <dcterms:created xsi:type="dcterms:W3CDTF">2018-11-19T10:39:00Z</dcterms:created>
  <dcterms:modified xsi:type="dcterms:W3CDTF">2018-11-19T10:39:00Z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