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15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158A" w:rsidP="0087158A">
            <w:pPr>
              <w:jc w:val="right"/>
            </w:pPr>
            <w:r w:rsidRPr="0087158A">
              <w:rPr>
                <w:sz w:val="40"/>
              </w:rPr>
              <w:t>ECE</w:t>
            </w:r>
            <w:r>
              <w:t>/CEP/2019/11</w:t>
            </w:r>
          </w:p>
        </w:tc>
      </w:tr>
      <w:tr w:rsidR="002D5AAC" w:rsidRPr="00760A8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158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158A" w:rsidRDefault="0087158A" w:rsidP="008715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87158A" w:rsidRDefault="0087158A" w:rsidP="008715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158A" w:rsidRPr="008D53B6" w:rsidRDefault="0087158A" w:rsidP="008715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7158A" w:rsidRPr="0087158A" w:rsidRDefault="0087158A" w:rsidP="0087158A">
      <w:pPr>
        <w:spacing w:before="120"/>
        <w:rPr>
          <w:sz w:val="28"/>
          <w:szCs w:val="28"/>
        </w:rPr>
      </w:pPr>
      <w:r w:rsidRPr="0087158A">
        <w:rPr>
          <w:sz w:val="28"/>
          <w:szCs w:val="28"/>
        </w:rPr>
        <w:t>Комитет по экологической политике</w:t>
      </w:r>
    </w:p>
    <w:p w:rsidR="0087158A" w:rsidRPr="00A93D8C" w:rsidRDefault="0087158A" w:rsidP="0087158A">
      <w:pPr>
        <w:spacing w:before="120" w:line="240" w:lineRule="auto"/>
        <w:rPr>
          <w:b/>
          <w:bCs/>
        </w:rPr>
      </w:pPr>
      <w:r>
        <w:rPr>
          <w:b/>
          <w:bCs/>
        </w:rPr>
        <w:t>Двадцать четвертая сессия</w:t>
      </w:r>
    </w:p>
    <w:p w:rsidR="0087158A" w:rsidRPr="00A93D8C" w:rsidRDefault="0087158A" w:rsidP="0087158A">
      <w:pPr>
        <w:spacing w:line="240" w:lineRule="auto"/>
      </w:pPr>
      <w:r>
        <w:t>Женева, 29–31 января 2019 года</w:t>
      </w:r>
    </w:p>
    <w:p w:rsidR="0087158A" w:rsidRPr="00A93D8C" w:rsidRDefault="0087158A" w:rsidP="0087158A">
      <w:pPr>
        <w:spacing w:line="240" w:lineRule="auto"/>
      </w:pPr>
      <w:r>
        <w:t>Пункт 7 предварительной повестки дня</w:t>
      </w:r>
    </w:p>
    <w:p w:rsidR="0087158A" w:rsidRDefault="0087158A" w:rsidP="0087158A">
      <w:pPr>
        <w:suppressAutoHyphens w:val="0"/>
        <w:spacing w:line="240" w:lineRule="auto"/>
      </w:pPr>
      <w:r>
        <w:rPr>
          <w:b/>
          <w:bCs/>
        </w:rPr>
        <w:t>Межсекторальная деятельность</w:t>
      </w:r>
    </w:p>
    <w:p w:rsidR="0087158A" w:rsidRPr="0087158A" w:rsidRDefault="0087158A" w:rsidP="0087158A">
      <w:pPr>
        <w:pStyle w:val="HChGR"/>
      </w:pPr>
      <w:r>
        <w:tab/>
      </w:r>
      <w:r>
        <w:tab/>
      </w:r>
      <w:r w:rsidRPr="0087158A">
        <w:t>Межсекторальн</w:t>
      </w:r>
      <w:r w:rsidR="00D965F6">
        <w:t>ая деятельность Подпрограммы по </w:t>
      </w:r>
      <w:r w:rsidRPr="0087158A">
        <w:t>окружающей среде</w:t>
      </w:r>
    </w:p>
    <w:p w:rsidR="0087158A" w:rsidRDefault="0087158A" w:rsidP="0087158A">
      <w:pPr>
        <w:pStyle w:val="H1GR"/>
      </w:pPr>
      <w:r w:rsidRPr="0087158A">
        <w:tab/>
      </w:r>
      <w:r w:rsidRPr="0087158A"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7158A" w:rsidRPr="0087158A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87158A" w:rsidRPr="0087158A" w:rsidRDefault="0087158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7158A">
              <w:rPr>
                <w:rFonts w:cs="Times New Roman"/>
              </w:rPr>
              <w:tab/>
            </w:r>
            <w:r w:rsidRPr="0087158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7158A" w:rsidRPr="0087158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7158A" w:rsidRPr="0087158A" w:rsidRDefault="0087158A" w:rsidP="00D965F6">
            <w:pPr>
              <w:pStyle w:val="SingleTxtGR"/>
            </w:pPr>
            <w:r>
              <w:tab/>
              <w:t>Президиум Комитета по экологической политике, собравшись на совещание в расширенном составе 28 февраля 2018 года, просил секретариат подготовить справочную записку о межсекторальной деятельности, осуществляемой под эгидой Подпрограммы Европейской экономической комиссии по окружающей среде, для рассмотрения Комитетом на его двадцать четвертой сессии. В настоящем документе содержатся информация о последних событиях и планах на будущее в связи с этой деятельностью, а также рекомендации Комитету в отношении будущей работы под их эгидой.</w:t>
            </w:r>
          </w:p>
        </w:tc>
      </w:tr>
      <w:tr w:rsidR="0087158A" w:rsidRPr="0087158A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87158A" w:rsidRPr="0087158A" w:rsidRDefault="0087158A" w:rsidP="00850215">
            <w:pPr>
              <w:rPr>
                <w:rFonts w:cs="Times New Roman"/>
              </w:rPr>
            </w:pPr>
          </w:p>
        </w:tc>
      </w:tr>
    </w:tbl>
    <w:p w:rsidR="0087158A" w:rsidRDefault="0087158A" w:rsidP="0087158A">
      <w:pPr>
        <w:pStyle w:val="SingleTxtGR"/>
      </w:pPr>
    </w:p>
    <w:p w:rsidR="0087158A" w:rsidRDefault="0087158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87158A" w:rsidRPr="00A93D8C" w:rsidRDefault="0087158A" w:rsidP="0087158A">
      <w:pPr>
        <w:pStyle w:val="HChG"/>
        <w:rPr>
          <w:lang w:val="ru-RU"/>
        </w:rPr>
      </w:pPr>
      <w:r>
        <w:rPr>
          <w:bCs/>
          <w:lang w:val="ru-RU"/>
        </w:rPr>
        <w:lastRenderedPageBreak/>
        <w:tab/>
      </w:r>
      <w:r>
        <w:rPr>
          <w:bCs/>
          <w:lang w:val="ru-RU"/>
        </w:rPr>
        <w:tab/>
        <w:t>Введение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В настоящем документе представлена информация о последних событиях, планах на будущее и ожидаемых решениях Комитета в отношении межсекторальной деятельности под эгидой Подпрограммы Европейской экономической комиссии (ЕЭК) Организации Объединенных Наций по окружающей среде. Эта деятельность включает в себя образование в интересах устойчивого развития, Общеевропейскую программу по транспорту, окружающей среде и охране здоровья, Европейский процесс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здоровье</w:t>
      </w:r>
      <w:r w:rsidR="003A18E7">
        <w:rPr>
          <w:lang w:val="ru-RU"/>
        </w:rPr>
        <w:t>»</w:t>
      </w:r>
      <w:r>
        <w:rPr>
          <w:lang w:val="ru-RU"/>
        </w:rPr>
        <w:t>, окружающую среду и безопасность, всесторонний учет гендерных аспектов в природоохранной деятельности и экостроительство. В настоящем документе отражены замечания, высказанные Президиумом на его совещании 26 и 27 сентября 2018 года в Женеве.</w:t>
      </w:r>
    </w:p>
    <w:p w:rsidR="0087158A" w:rsidRPr="00A93D8C" w:rsidRDefault="0087158A" w:rsidP="0087158A">
      <w:pPr>
        <w:pStyle w:val="HChG"/>
        <w:rPr>
          <w:lang w:val="ru-RU"/>
        </w:rPr>
      </w:pPr>
      <w:r>
        <w:rPr>
          <w:lang w:val="ru-RU"/>
        </w:rPr>
        <w:tab/>
        <w:t>I.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Образование в интересах устойчивого развития</w:t>
      </w:r>
    </w:p>
    <w:p w:rsidR="0087158A" w:rsidRPr="00A93D8C" w:rsidRDefault="0087158A" w:rsidP="0087158A">
      <w:pPr>
        <w:pStyle w:val="H1G"/>
        <w:rPr>
          <w:sz w:val="28"/>
          <w:szCs w:val="28"/>
          <w:shd w:val="clear" w:color="auto" w:fill="FFFF00"/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Обзор последних событий</w:t>
      </w:r>
      <w:bookmarkStart w:id="0" w:name="_Hlk518396552"/>
      <w:bookmarkStart w:id="1" w:name="_Hlk528315960"/>
      <w:bookmarkEnd w:id="0"/>
      <w:bookmarkEnd w:id="1"/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 тринадцатом совещании Руководящего комитета по образованию в интересах устойчивого развития (Женева, 3–4 мая 2018 года) приняли участие делегации 21 государства</w:t>
      </w:r>
      <w:r w:rsidRPr="0087158A">
        <w:rPr>
          <w:lang w:val="ru-RU"/>
        </w:rPr>
        <w:t xml:space="preserve"> – </w:t>
      </w:r>
      <w:r>
        <w:rPr>
          <w:lang w:val="ru-RU"/>
        </w:rPr>
        <w:t xml:space="preserve">члена ЕЭК и представители Организации Объединенных Наций по вопросам образования, науки и культуры (ЮНЕСКО), Регионального экологического центра для Центральной Азии и </w:t>
      </w:r>
      <w:r w:rsidRPr="0087158A">
        <w:rPr>
          <w:lang w:val="ru-RU"/>
        </w:rPr>
        <w:t>7</w:t>
      </w:r>
      <w:r>
        <w:rPr>
          <w:lang w:val="ru-RU"/>
        </w:rPr>
        <w:t xml:space="preserve"> неправительственных организаций.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На этом совещании Комитет рассмотрел основные подвижки на региональном уровне в области осуществления Повестки дня в области устойчивого развития на период до 2030 года и прогресс, достигнутый странами в осуществлении Стратегии ЕЭК для образования в интересах устойчивого развития с момента проведения предыдущей сессии Комитета, на основе неофициальных докладов заинтересованных сторон. Участники также обсудили деятельность по наращиванию потенциала, включая рабочее совещание по укреплению потенциала, организованное 19 и 20 апреля 2018 года в Ереване при поддержке Государственного секретариата Швейцарии по образованию, исследованиям и инновациям. Кроме того, участники обменялись информацией об итогах недавних глобальных и региональных мероприятий по содействию образованию в интересах устойчивого развития, в том числе о докладе ЮНЕСКО об организации образования в интересах устойчивого развития (A/72/130) и принятой в этой связи резолюции 72/222 Генеральной Ассамблеи, мониторинге по цели 4 в области устойчивого развития и задаче 4.7 и других процессах, касающихся перспектив образования в интересах устойчивого развития. Кроме того, Комитет рассмотрел вопрос об учете гендерных аспектов в сфере образования в интересах устойчивого развития и финансовые вопросы, включая состояние целевого фонда и потребности в ресурсах. В заключение Руководящий комитет утвердил план работы в рамках первого этапа осуществления Стратегии для образования в интересах устойчивого развития в период после 2015 года (ECE/CEP/AC.13/2018/3).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В рамках текущего сотрудничества по процессам, связанным с образованием в интересах устойчивого развития в регионе, секретариат принял участие в первом совещании Средиземноморского комитета по вопросам образования в интересах устойчивого развития (Никосия, 22–24 ноября 2017 года).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Сотрудничество с ЮНЕСКО в качестве ведущей организации в рамках Глобальной программы действий в области образования в интересах устойчивого развития продолжается посредством участия в партнерских сетях, созданных для содействия осуществлению этой Программы.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Председатель и ряд членов Руководящего комитета приняли активное участие в подготовке и работе организованного ЮНЕСКО технического консультативного совещание по вопросу о будущем образования в интересах устойчивого развития </w:t>
      </w:r>
      <w:r>
        <w:rPr>
          <w:lang w:val="ru-RU"/>
        </w:rPr>
        <w:br/>
        <w:t xml:space="preserve">(9–10 июля 2018 года) в Бангкоке и представили свои замечания для рассмотрения </w:t>
      </w:r>
      <w:r>
        <w:rPr>
          <w:lang w:val="ru-RU"/>
        </w:rPr>
        <w:lastRenderedPageBreak/>
        <w:t>проекта концептуального документа о будущем направлении образования в интересах устойчивого развития, который будет представлен на утверждение Исполнительному совету ЮНЕСКО, Генеральной конференции и Организации Объединенных Наций в 2019 году в рамках их соответствующих процедур.</w:t>
      </w:r>
    </w:p>
    <w:p w:rsidR="0087158A" w:rsidRPr="00A93D8C" w:rsidRDefault="0087158A" w:rsidP="0087158A">
      <w:pPr>
        <w:pStyle w:val="H1G"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Цели и задачи</w:t>
      </w:r>
      <w:bookmarkStart w:id="2" w:name="_Hlk518396039"/>
      <w:bookmarkEnd w:id="2"/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В 2016 году на совещании высокого уровня представителей министерств охраны окружающей среды и образования в Батуми, Грузия, мандат на сотрудничество в области образования в интересах устойчивого развития в регионе был продлен до 2030 года в целях увязки сроков с другими глобальными обязательствами, в том числе целями в области устойчивого развития. За прошедший период были предприняты усилия, с тем чтобы работа в рамках Стратегии ЕЭК была встроена в контекст и способствовала деятельности ЮНЕСКО в рамках Десятилетии образования в интересах устойчивого развития Организации Объединенных Наций (2005–2014 годы) и последующей деятельности в рамках Глобальной программы действий.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Государства</w:t>
      </w:r>
      <w:r w:rsidRPr="0087158A">
        <w:rPr>
          <w:lang w:val="ru-RU"/>
        </w:rPr>
        <w:t xml:space="preserve"> – </w:t>
      </w:r>
      <w:r>
        <w:rPr>
          <w:lang w:val="ru-RU"/>
        </w:rPr>
        <w:t>члены ЕЭК по-прежнему заинтересованы в региональном сотрудничестве в целях осуществления Стратегии ЕЭК для образования в интересах устойчивого развития в рамках усилий по достижению целей в области устойчивого развития, в частности цели 4 и задачи 4.7, а также задачи 12.8. Основные задачи, связанные с этой работой, включают: поощрение сбалансированного участия в субрегионе; обеспечение участия представителей министерств образования и окружающей среды; необходимость принятия нового и более обстоятельного подхода к взаимодействию с темами и процедурам образования в интересах устойчивого развития; оптимизацию формата совещаний, с тем чтобы повысить их эффективность и расширить аудиторию; и возобновление работы групп экспертов в рамках данного процесса, например групп экспертов по мониторингу и оценке и по показателям, поскольку их работа является наиболее полезной и актуальной в контексте потребностей государств-членов и других заинтересованных субъектов в области образования в интересах устойчивого развития.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На своем тринадцатом совещании Руководящий комитет принял решение учредить специальную группу по стратегическому планированию для выработки нового подхода и направления регионального сотрудничества в области образования в интересах устойчивого развития. Совещание специальной группы проведут у себя Нидерланды.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Крайне важно наладить эффективное сотрудничество между членами Руководящего комитета и страновыми координаторами для поддержания связей на национальном уровне с соответствующими органами власти и заинтересованными сторонами и для того, чтобы аспекты образования в интересах устойчивого развития стали частью вклада стран в работу региональных и глобальных мероприятий, таких как Региональный форум ЕЭК по устойчивому развитию и политический форум высокого уровня по устойчивому развитию в Нью-Йорке.</w:t>
      </w:r>
    </w:p>
    <w:p w:rsidR="0087158A" w:rsidRPr="00A93D8C" w:rsidRDefault="0087158A" w:rsidP="0087158A">
      <w:pPr>
        <w:pStyle w:val="H1G"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Запланированная деятельность</w:t>
      </w:r>
      <w:bookmarkStart w:id="3" w:name="_Hlk528315996"/>
      <w:bookmarkEnd w:id="3"/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В настоящее время ведется работа по созданию специальной группы по стратегическому планированию. Группа будет включать в свой состав примерно 12 экспертов на основе заинтересованности со стороны государств-членов и неправительственных организаций при сбалансированном географическом представительстве. Ее первое совещание состоится в конце 2019 года.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В настоящее время заканчивается четвертый цикл обязательного представления докладов в рамках Стратегии ЕЭК ООН для образования в интересах устойчивого развития. 1 ноября 2018 года участвующие государства-члены должны представить свои национальные доклады о работе в рамках н</w:t>
      </w:r>
      <w:r w:rsidR="00D965F6">
        <w:rPr>
          <w:lang w:val="ru-RU"/>
        </w:rPr>
        <w:t>ынешнего этапа осуществления, а </w:t>
      </w:r>
      <w:r>
        <w:rPr>
          <w:lang w:val="ru-RU"/>
        </w:rPr>
        <w:t>также сводный доклад, который будет представлен на четырнадцатом совещании Руководящего комитета в мае 2019 года.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lastRenderedPageBreak/>
        <w:t>13.</w:t>
      </w:r>
      <w:r>
        <w:rPr>
          <w:lang w:val="ru-RU"/>
        </w:rPr>
        <w:tab/>
        <w:t>Секретариат, Председатель Руководящего комитета и Президиум будут работать в рамках процесса подготовки к Региональному форуму по устойчивому развитию в 2019 году в целях поиска оптимальной формы участия.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Будет продолжаться работа по наращиванию потенциала, и следующий семинар планируется провести в Грузии в начале 2019 при поддержке Государственного секретариата Швейцарии по образованию, исследованиям и инновациям.</w:t>
      </w:r>
    </w:p>
    <w:p w:rsidR="0087158A" w:rsidRPr="00A93D8C" w:rsidRDefault="0087158A" w:rsidP="0087158A">
      <w:pPr>
        <w:pStyle w:val="H1G"/>
        <w:rPr>
          <w:lang w:val="ru-RU"/>
        </w:rPr>
      </w:pPr>
      <w:r>
        <w:rPr>
          <w:lang w:val="ru-RU"/>
        </w:rPr>
        <w:tab/>
        <w:t>D.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Ожидаемые решения Комитета по экологической политике</w:t>
      </w:r>
      <w:bookmarkStart w:id="4" w:name="_Hlk528316111"/>
      <w:bookmarkEnd w:id="4"/>
    </w:p>
    <w:p w:rsidR="0087158A" w:rsidRPr="00A93D8C" w:rsidRDefault="0087158A" w:rsidP="0087158A">
      <w:pPr>
        <w:pStyle w:val="SingleTxtG"/>
        <w:rPr>
          <w:bCs/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Комитету по экологической политике предлагается принять к сведению представленную информацию о деятельности Руководящего комитета по образованию в интересах устойчивого развития и призвать своих членов из стран, принимающих участие в деятельности по Стратегии, отслеживать информацию о процессе на национальном уровне путем установления и поддержания рабочих контактов с членами Руководящего комитета и координаторами в своих национальных административных органах и неправительственных организациях.</w:t>
      </w:r>
    </w:p>
    <w:p w:rsidR="0087158A" w:rsidRPr="00A93D8C" w:rsidRDefault="0087158A" w:rsidP="0087158A">
      <w:pPr>
        <w:pStyle w:val="HChG"/>
        <w:rPr>
          <w:lang w:val="ru-RU"/>
        </w:rPr>
      </w:pPr>
      <w:bookmarkStart w:id="5" w:name="_Hlk518396275"/>
      <w:r>
        <w:rPr>
          <w:lang w:val="ru-RU"/>
        </w:rPr>
        <w:tab/>
        <w:t>II.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Общеевропейская программа по транспорту, окружающей среде и охране здоровья</w:t>
      </w:r>
      <w:bookmarkEnd w:id="5"/>
    </w:p>
    <w:p w:rsidR="0087158A" w:rsidRPr="00A93D8C" w:rsidRDefault="0087158A" w:rsidP="0087158A">
      <w:pPr>
        <w:pStyle w:val="H1G"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Обзор последних событий</w:t>
      </w:r>
      <w:bookmarkStart w:id="6" w:name="_Hlk528316056"/>
      <w:bookmarkEnd w:id="6"/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Бюро Руководящего комитета по транспорту, окружающей среде и охране здоровья Общеевропейской программы (ОПТОСОЗ) провело совещание в расширенном составе 10 и 11 июля в Вене. Основной темой совещания стала подготовка совещания высокого уровня по транспорту, охране здоровья и окружающей среде (Вена, 22–24 октября 2019 года).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Участники обсудили: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темы совещания высокого уровня и элементы для включения в проект декларации;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результаты текущей работы и мероприятий, которые будут представлены и утверждены на совещании высокого уровня;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график обсуждения итогового документа совещания высокого уровня.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 xml:space="preserve">Бюро также согласовало проведение рабочих совещаний и других мероприятий до конца года и утвердило проекты документов, которые будут официально представлены на шестнадцатом совещании Руководящего комитета (Женева, </w:t>
      </w:r>
      <w:r>
        <w:rPr>
          <w:lang w:val="ru-RU"/>
        </w:rPr>
        <w:br/>
        <w:t xml:space="preserve">12–14 декабря 2018 года). Кроме того, оно приветствовало публикацию о взаимосвязи Программы с Повесткой дня в области устойчивого развития на период до 2030 года и целями в области устойчивого развития. 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>Партнерство ОПТОСОЗ по велосипедному движению представило третий проект общеевропейского генерального плана развития велосипедного транспорта для принятия на Совещании высокого уровня.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Секретариат также информировал участников о том, </w:t>
      </w:r>
      <w:r w:rsidR="00D965F6">
        <w:rPr>
          <w:lang w:val="ru-RU"/>
        </w:rPr>
        <w:t xml:space="preserve">что </w:t>
      </w:r>
      <w:r>
        <w:rPr>
          <w:lang w:val="ru-RU"/>
        </w:rPr>
        <w:t>28 июня 2018 года министрам, представляющим три программных сектора, через постоянные представительства в Женеве было направлено письмо с просьбой зарезервировать даты проведения совещания высокого уровня. Наряду с информацией для государств-членов о сроках проведения совещания высокого уровня в целях обеспечения участия представителей высокого уровня, письмо также содержит просьбу к государствам-членам назначить или подтвердить координаторов по Программе.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>В ходе шестьдесят восьмой сессии Регионального комитета для Европы Всемирной организации здравоохранения (ВОЗ) (Рим, 17–20 сентября 2018 года) 18</w:t>
      </w:r>
      <w:r>
        <w:rPr>
          <w:lang w:val="en-US"/>
        </w:rPr>
        <w:t> </w:t>
      </w:r>
      <w:r>
        <w:rPr>
          <w:lang w:val="ru-RU"/>
        </w:rPr>
        <w:t xml:space="preserve">сентября состоялся технический брифинг по теме </w:t>
      </w:r>
      <w:r w:rsidR="003A18E7">
        <w:rPr>
          <w:lang w:val="ru-RU"/>
        </w:rPr>
        <w:t>«</w:t>
      </w:r>
      <w:r>
        <w:rPr>
          <w:lang w:val="ru-RU"/>
        </w:rPr>
        <w:t xml:space="preserve">Содействие здоровью населения </w:t>
      </w:r>
      <w:r>
        <w:rPr>
          <w:lang w:val="ru-RU"/>
        </w:rPr>
        <w:lastRenderedPageBreak/>
        <w:t>посредством экологически устойчивого городского транспорта: на пути к пятому Совещанию высокого уровня по транспорту, окружающей среде и охране здоровья</w:t>
      </w:r>
      <w:r w:rsidR="003A18E7">
        <w:rPr>
          <w:lang w:val="ru-RU"/>
        </w:rPr>
        <w:t>»</w:t>
      </w:r>
      <w:r>
        <w:rPr>
          <w:lang w:val="ru-RU"/>
        </w:rPr>
        <w:t xml:space="preserve">. 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 xml:space="preserve">Были проведены два </w:t>
      </w:r>
      <w:r w:rsidR="003A18E7">
        <w:rPr>
          <w:lang w:val="ru-RU"/>
        </w:rPr>
        <w:t>«</w:t>
      </w:r>
      <w:r>
        <w:rPr>
          <w:lang w:val="ru-RU"/>
        </w:rPr>
        <w:t>эстафетных</w:t>
      </w:r>
      <w:r w:rsidR="003A18E7">
        <w:rPr>
          <w:lang w:val="ru-RU"/>
        </w:rPr>
        <w:t>»</w:t>
      </w:r>
      <w:r>
        <w:rPr>
          <w:lang w:val="ru-RU"/>
        </w:rPr>
        <w:t xml:space="preserve"> совещания – в Санкт-Петербурге, Российская Федерация, 23 октября 2018 года</w:t>
      </w:r>
      <w:r w:rsidR="00D965F6">
        <w:rPr>
          <w:lang w:val="ru-RU"/>
        </w:rPr>
        <w:t>,</w:t>
      </w:r>
      <w:r>
        <w:rPr>
          <w:lang w:val="ru-RU"/>
        </w:rPr>
        <w:t xml:space="preserve"> и в Римини, Италия, 6 ноября 2018 года.</w:t>
      </w:r>
    </w:p>
    <w:p w:rsidR="0087158A" w:rsidRPr="00A93D8C" w:rsidRDefault="0087158A" w:rsidP="0087158A">
      <w:pPr>
        <w:pStyle w:val="H1G"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Цели и задачи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 xml:space="preserve">Основная цель работы до конца 2018 года </w:t>
      </w:r>
      <w:r w:rsidR="00D965F6">
        <w:rPr>
          <w:lang w:val="ru-RU"/>
        </w:rPr>
        <w:t>–</w:t>
      </w:r>
      <w:r>
        <w:rPr>
          <w:lang w:val="ru-RU"/>
        </w:rPr>
        <w:t xml:space="preserve"> подготовить хорошо проработанный проект декларации Совещания высокого уровня и согласовать текст проекта общеевропейского генерального плана развития велосипедного транспорта.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Основная трудность связана с необходимостью обеспечить устойчивое финансирование для поддержки государств-членов в деле осуществления приоритетных целей Программы. Члены Бюро также понимают, что осуществление приоритетных целей усложняется различиями между странами региона и связанной с этим необходимостью поиска дифференцированных решений для субрегионов и отдельных стран.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Программа ОПТОСОЗ позиционируется в качестве одного из процессов, которые могут использовать государства-члены для осуществления Парижского соглашения об изменении климата и отдельных целей в области устойчивого развития, в частности в работе по декарбонизации и устойчивому транспорту в устойчивых городах.</w:t>
      </w:r>
    </w:p>
    <w:p w:rsidR="0087158A" w:rsidRPr="00A93D8C" w:rsidRDefault="003A18E7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C.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Запланированная деятельность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>В период с сентября по декабрь 2018 года будут организованы следующие мероприятия по Программе:</w:t>
      </w:r>
    </w:p>
    <w:p w:rsidR="0087158A" w:rsidRPr="00A93D8C" w:rsidRDefault="003A18E7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рабочее совещание на тему «</w:t>
      </w:r>
      <w:r w:rsidR="0087158A">
        <w:rPr>
          <w:lang w:val="ru-RU"/>
        </w:rPr>
        <w:t>Укрепление интеграции аспектов охраны здоровья и окружающей среды в транспортную политику в странах Центральной Азии</w:t>
      </w:r>
      <w:r>
        <w:rPr>
          <w:lang w:val="ru-RU"/>
        </w:rPr>
        <w:t>»</w:t>
      </w:r>
      <w:r w:rsidR="0087158A">
        <w:rPr>
          <w:lang w:val="ru-RU"/>
        </w:rPr>
        <w:t xml:space="preserve"> (Алматы, Казахстан, 20</w:t>
      </w:r>
      <w:r>
        <w:rPr>
          <w:lang w:val="ru-RU"/>
        </w:rPr>
        <w:t>–</w:t>
      </w:r>
      <w:r w:rsidR="0087158A">
        <w:rPr>
          <w:lang w:val="ru-RU"/>
        </w:rPr>
        <w:t>21 ноября 2018 года);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совещание Партнерства ОПТОСОЗ по велосипедному транспорту (Женева, 11 декабря 2018 года); 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шестнадцатая сессия Руководящего комитета (Женева, 12</w:t>
      </w:r>
      <w:r w:rsidR="003A18E7">
        <w:rPr>
          <w:lang w:val="ru-RU"/>
        </w:rPr>
        <w:t>–</w:t>
      </w:r>
      <w:r>
        <w:rPr>
          <w:lang w:val="ru-RU"/>
        </w:rPr>
        <w:t>14 декабря 2018 года).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>В рамках Общеевропейской программы по транспорту, окружающей среде и охране здоровья будет продолжена работа по подготовке исследовани</w:t>
      </w:r>
      <w:r w:rsidR="00D965F6">
        <w:rPr>
          <w:lang w:val="ru-RU"/>
        </w:rPr>
        <w:t>я</w:t>
      </w:r>
      <w:r>
        <w:rPr>
          <w:lang w:val="ru-RU"/>
        </w:rPr>
        <w:t xml:space="preserve"> по вопросам интеграции планирования транспорта в планирование землепользования. Исследование, финансируемое Российской Федерацией, проводится под руководством Отдела устойчивого транспорта ЕЭК. В работе также участвует Комитет ЕЭК по жилищному хозяйству и землепользованию.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 xml:space="preserve">На шестнадцатой сессии Руководящего комитета, как ожидается, будут обсуждаться выводы, сделанные по итогам экономического моделирования для нового исследования в области </w:t>
      </w:r>
      <w:r w:rsidR="003A18E7">
        <w:rPr>
          <w:lang w:val="ru-RU"/>
        </w:rPr>
        <w:t>«</w:t>
      </w:r>
      <w:r>
        <w:rPr>
          <w:lang w:val="ru-RU"/>
        </w:rPr>
        <w:t>зеленых</w:t>
      </w:r>
      <w:r w:rsidR="003A18E7">
        <w:rPr>
          <w:lang w:val="ru-RU"/>
        </w:rPr>
        <w:t>»</w:t>
      </w:r>
      <w:r>
        <w:rPr>
          <w:lang w:val="ru-RU"/>
        </w:rPr>
        <w:t xml:space="preserve"> рабочих мест в </w:t>
      </w:r>
      <w:r w:rsidR="003A18E7">
        <w:rPr>
          <w:lang w:val="ru-RU"/>
        </w:rPr>
        <w:t>«</w:t>
      </w:r>
      <w:r>
        <w:rPr>
          <w:lang w:val="ru-RU"/>
        </w:rPr>
        <w:t>зеленом</w:t>
      </w:r>
      <w:r w:rsidR="003A18E7">
        <w:rPr>
          <w:lang w:val="ru-RU"/>
        </w:rPr>
        <w:t>»</w:t>
      </w:r>
      <w:r>
        <w:rPr>
          <w:lang w:val="ru-RU"/>
        </w:rPr>
        <w:t xml:space="preserve"> транспортном секторе. Основное внимание в исследовании уделяется созданию новых рабочих мест в результате электрификации транспорта и увеличения объема перевозок общественным транспортом. Результаты исследования будут представлены </w:t>
      </w:r>
      <w:r w:rsidR="00D965F6">
        <w:rPr>
          <w:lang w:val="ru-RU"/>
        </w:rPr>
        <w:t xml:space="preserve">на </w:t>
      </w:r>
      <w:r>
        <w:rPr>
          <w:lang w:val="ru-RU"/>
        </w:rPr>
        <w:t>совещании высокого уровня в Лейпциге в 2017 году.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>В 2019 году предусм</w:t>
      </w:r>
      <w:r w:rsidR="003A18E7">
        <w:rPr>
          <w:lang w:val="ru-RU"/>
        </w:rPr>
        <w:t>о</w:t>
      </w:r>
      <w:r>
        <w:rPr>
          <w:lang w:val="ru-RU"/>
        </w:rPr>
        <w:t>трено проведение следующих мероприятий: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два совещания Президиума в расширенном составе, предварительно запланированные на начало весны и июнь или июль 2019 года;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="003A18E7">
        <w:rPr>
          <w:lang w:val="ru-RU"/>
        </w:rPr>
        <w:t>«</w:t>
      </w:r>
      <w:r>
        <w:rPr>
          <w:lang w:val="ru-RU"/>
        </w:rPr>
        <w:t>эстафетное</w:t>
      </w:r>
      <w:r w:rsidR="003A18E7">
        <w:rPr>
          <w:lang w:val="ru-RU"/>
        </w:rPr>
        <w:t>»</w:t>
      </w:r>
      <w:r>
        <w:rPr>
          <w:lang w:val="ru-RU"/>
        </w:rPr>
        <w:t xml:space="preserve"> рабочее совещание, возможно, в конце весны 2019 года;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="00D965F6">
        <w:rPr>
          <w:lang w:val="ru-RU"/>
        </w:rPr>
        <w:t xml:space="preserve">деятельность </w:t>
      </w:r>
      <w:r>
        <w:rPr>
          <w:lang w:val="ru-RU"/>
        </w:rPr>
        <w:t>по содействию проведению совещания высокого уровня, в первой половине 2019 года;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lastRenderedPageBreak/>
        <w:t>d)</w:t>
      </w:r>
      <w:r>
        <w:rPr>
          <w:lang w:val="ru-RU"/>
        </w:rPr>
        <w:tab/>
        <w:t>специальная сессия Руководящего коми</w:t>
      </w:r>
      <w:r w:rsidR="003A18E7">
        <w:rPr>
          <w:lang w:val="ru-RU"/>
        </w:rPr>
        <w:t>тета, которая пройдет в Вене 21 </w:t>
      </w:r>
      <w:r>
        <w:rPr>
          <w:lang w:val="ru-RU"/>
        </w:rPr>
        <w:t>октября 2019 года;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 xml:space="preserve">пятое Совещание высокого уровня по транспорту, окружающей среде и охране здоровья, которое пройдет в Вене </w:t>
      </w:r>
      <w:r w:rsidR="0054121C">
        <w:rPr>
          <w:lang w:val="ru-RU"/>
        </w:rPr>
        <w:t>с 22 по 24 октября</w:t>
      </w:r>
      <w:r>
        <w:rPr>
          <w:lang w:val="ru-RU"/>
        </w:rPr>
        <w:t xml:space="preserve"> 2019 года.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 xml:space="preserve">Государства-члены завершат переговоры по итоговым документам для Совещания высокого уровня в начале лета 2019 года. К этому времени будет завершена работа по подготовке исследований по интегрированию планирования транспорта в планирование землепользования и по </w:t>
      </w:r>
      <w:r w:rsidR="003A18E7">
        <w:rPr>
          <w:lang w:val="ru-RU"/>
        </w:rPr>
        <w:t>«</w:t>
      </w:r>
      <w:r>
        <w:rPr>
          <w:lang w:val="ru-RU"/>
        </w:rPr>
        <w:t>зеленым</w:t>
      </w:r>
      <w:r w:rsidR="003A18E7">
        <w:rPr>
          <w:lang w:val="ru-RU"/>
        </w:rPr>
        <w:t>»</w:t>
      </w:r>
      <w:r>
        <w:rPr>
          <w:lang w:val="ru-RU"/>
        </w:rPr>
        <w:t xml:space="preserve"> рабочим местам в </w:t>
      </w:r>
      <w:r w:rsidR="003A18E7">
        <w:rPr>
          <w:lang w:val="ru-RU"/>
        </w:rPr>
        <w:t>«</w:t>
      </w:r>
      <w:r>
        <w:rPr>
          <w:lang w:val="ru-RU"/>
        </w:rPr>
        <w:t>зеленом</w:t>
      </w:r>
      <w:r w:rsidR="003A18E7">
        <w:rPr>
          <w:lang w:val="ru-RU"/>
        </w:rPr>
        <w:t>»</w:t>
      </w:r>
      <w:r>
        <w:rPr>
          <w:lang w:val="ru-RU"/>
        </w:rPr>
        <w:t xml:space="preserve"> секторе транспорта. В первой половине 2019 года будет издана публикация по партнерствам ОПТОСОЗ. 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D.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Ожидаемые решения Комитета по экологической политике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 xml:space="preserve">Комитету по экологической политике предлагается принять к сведению представленную информацию и приветствовать работу Общеевропейской программы по транспорту, окружающей среде и охране здоровья. Кроме того, ему предлагается поддержать Программу и содействовать участию министров окружающей среды в Совещании высокого уровня в 2019 году, а также экспертов </w:t>
      </w:r>
      <w:r w:rsidR="000F79C9">
        <w:rPr>
          <w:lang w:val="ru-RU"/>
        </w:rPr>
        <w:t>–</w:t>
      </w:r>
      <w:r>
        <w:rPr>
          <w:lang w:val="ru-RU"/>
        </w:rPr>
        <w:t xml:space="preserve"> в процессе подготовки к Совещанию высокого уровня.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  <w:t>Комитету также предлагается содействовать назначению национальных координаторов по Программе по вопросам окружающей среды.</w:t>
      </w:r>
    </w:p>
    <w:p w:rsidR="0087158A" w:rsidRPr="00A93D8C" w:rsidRDefault="000F79C9" w:rsidP="0087158A">
      <w:pPr>
        <w:pStyle w:val="HCh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III.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 xml:space="preserve">Европейский процесс </w:t>
      </w:r>
      <w:r w:rsidR="003A18E7">
        <w:rPr>
          <w:bCs/>
          <w:lang w:val="ru-RU"/>
        </w:rPr>
        <w:t>«</w:t>
      </w:r>
      <w:r w:rsidR="0087158A">
        <w:rPr>
          <w:bCs/>
          <w:lang w:val="ru-RU"/>
        </w:rPr>
        <w:t>Окружающая среда и здоровье</w:t>
      </w:r>
      <w:r w:rsidR="003A18E7">
        <w:rPr>
          <w:bCs/>
          <w:lang w:val="ru-RU"/>
        </w:rPr>
        <w:t>»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A.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Обзор последних событий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  <w:t xml:space="preserve">Целевая группа европейского процесса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здоровье</w:t>
      </w:r>
      <w:r w:rsidR="003A18E7">
        <w:rPr>
          <w:lang w:val="ru-RU"/>
        </w:rPr>
        <w:t>»</w:t>
      </w:r>
      <w:r>
        <w:rPr>
          <w:lang w:val="ru-RU"/>
        </w:rPr>
        <w:t xml:space="preserve"> провела свое восьмое совещание 20 и 21 марта 2018 года в Бонне, Германия. Это было первое совещание Целевой группы после шестой Конференции министров по окружающей среде и охране здоровья (Острава, Чехия, 13</w:t>
      </w:r>
      <w:r w:rsidR="000F79C9">
        <w:rPr>
          <w:lang w:val="ru-RU"/>
        </w:rPr>
        <w:t>–</w:t>
      </w:r>
      <w:r>
        <w:rPr>
          <w:lang w:val="ru-RU"/>
        </w:rPr>
        <w:t>15 июня 2017 года).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  <w:t xml:space="preserve">Представитель Отдела окружающей среды ЕЭК проинформировал членов Целевой группы об итогах обсуждений по процессу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здоровье</w:t>
      </w:r>
      <w:r w:rsidR="003A18E7">
        <w:rPr>
          <w:lang w:val="ru-RU"/>
        </w:rPr>
        <w:t>»</w:t>
      </w:r>
      <w:r>
        <w:rPr>
          <w:lang w:val="ru-RU"/>
        </w:rPr>
        <w:t>, состоявшихся на двадцать третьей сессии Комите</w:t>
      </w:r>
      <w:r w:rsidR="000F79C9">
        <w:rPr>
          <w:lang w:val="ru-RU"/>
        </w:rPr>
        <w:t>та по экологической политике. В </w:t>
      </w:r>
      <w:r>
        <w:rPr>
          <w:lang w:val="ru-RU"/>
        </w:rPr>
        <w:t>частности, он отметил решение Комитета о том, что ЕЭК следует сохранять статус-кво и оставаться надежным партнером процесса, не входя в секретариат процесса в настоящее время, и вновь рассмотреть этот вопрос в случае предоставления внебюджетных ресурсов заинтересованными странами для дополнительной работы ЕЭК по этому процессу.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  <w:t xml:space="preserve">Целевая группа избрала членов Бюро. В Бюро были избраны представители министерств окружающей среды Австрии, Нидерландов и Сербии и представители министерств здравоохранения Армении, Израиля, Республики Молдова, </w:t>
      </w:r>
      <w:r w:rsidR="00D965F6">
        <w:rPr>
          <w:lang w:val="ru-RU"/>
        </w:rPr>
        <w:t xml:space="preserve">Соединенного Королевства Великобритании и Северной Ирландии и </w:t>
      </w:r>
      <w:r>
        <w:rPr>
          <w:lang w:val="ru-RU"/>
        </w:rPr>
        <w:t>Украины. Членами Бюро также являются представители ЕЭК и Программы Организации Объединенных Наций по окружающей среде (ЮНЕП).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  <w:t xml:space="preserve">Кроме того, на сессии Целевая группа утвердила план работы на период </w:t>
      </w:r>
      <w:r w:rsidR="000F79C9">
        <w:rPr>
          <w:lang w:val="ru-RU"/>
        </w:rPr>
        <w:br/>
      </w:r>
      <w:r>
        <w:rPr>
          <w:lang w:val="ru-RU"/>
        </w:rPr>
        <w:t>2018–2019 годов и обсудила вопрос о разработке национальных портфелей мер в области охраны окружающей среды и здоровья человека до конца 2018 года в соответствии с решением, принятым министрами в Остраве, опираясь на перечень возможных мер, включенных в приложение к Декларации Конференции. Ряд делегаций сообщили о прогрессе в разработ</w:t>
      </w:r>
      <w:r w:rsidR="00D965F6">
        <w:rPr>
          <w:lang w:val="ru-RU"/>
        </w:rPr>
        <w:t>ке их национальных портфелей, а </w:t>
      </w:r>
      <w:r>
        <w:rPr>
          <w:lang w:val="ru-RU"/>
        </w:rPr>
        <w:t>участники обсудили вопрос о том, каким образом можно задействовать существующие платформы для поддержки разработки их национальных портфелей.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lastRenderedPageBreak/>
        <w:tab/>
      </w:r>
      <w:r w:rsidR="0087158A">
        <w:rPr>
          <w:lang w:val="ru-RU"/>
        </w:rPr>
        <w:t>B.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Цели и задачи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  <w:t xml:space="preserve">Целевая группа просила свое Бюро выполнить план работы на период </w:t>
      </w:r>
      <w:r w:rsidR="000F79C9">
        <w:rPr>
          <w:lang w:val="ru-RU"/>
        </w:rPr>
        <w:br/>
      </w:r>
      <w:r>
        <w:rPr>
          <w:lang w:val="ru-RU"/>
        </w:rPr>
        <w:t>2018–2019 годы и оказать помощь в разработке коммуникационной стратегии.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  <w:t>Кроме того, Целевая группа также поставила задачу сбора информации об осуществлении портфелей мер без создания дополнительной нагрузки по подготовке отчетности для государств-членов. Целевая группа в целом пришла к согласию использовать обследование, обкатанное ВОЗ, в качестве основы для представления отчетности о разработке национальных портфелей.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C.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Запланированная деятельность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  <w:t>Целевая группа проводит свои совещания ежегодно. Государства-члены просили организовать совещание Бюро осенью 2018 года.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D.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Ожидаемые решения Комитета по экологической политике</w:t>
      </w:r>
      <w:bookmarkStart w:id="7" w:name="_Hlk528316240"/>
      <w:bookmarkEnd w:id="7"/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  <w:t xml:space="preserve">Комитету по экологической политике предлагается принять к сведению представленную информацию по процессу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здоровье</w:t>
      </w:r>
      <w:r w:rsidR="003A18E7">
        <w:rPr>
          <w:lang w:val="ru-RU"/>
        </w:rPr>
        <w:t>»</w:t>
      </w:r>
      <w:r>
        <w:rPr>
          <w:lang w:val="ru-RU"/>
        </w:rPr>
        <w:t xml:space="preserve"> и подтвердить свою готовность содействовать этому процессу.</w:t>
      </w:r>
    </w:p>
    <w:p w:rsidR="0087158A" w:rsidRPr="00A93D8C" w:rsidRDefault="000F79C9" w:rsidP="0087158A">
      <w:pPr>
        <w:pStyle w:val="HCh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IV.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Окружающая среда и безопасность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A.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Обзор последних событий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  <w:t xml:space="preserve">В настоящее время ЕЭК участвует лишь в одном проекте в рамках инициативы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безопасность</w:t>
      </w:r>
      <w:r w:rsidR="003A18E7">
        <w:rPr>
          <w:lang w:val="ru-RU"/>
        </w:rPr>
        <w:t>»</w:t>
      </w:r>
      <w:r>
        <w:rPr>
          <w:lang w:val="ru-RU"/>
        </w:rPr>
        <w:t>. Проект, осуществляемый в сотрудничестве с Организацией по безопасности и сотрудничеству в Европе (ОБСЕ), направлен на оказание помощи Грузии в ратификации и осуществлении Конвенции ЕЭК по охране и использованию трансграничных водотоков и международных озер (Конвенция по трансграничным водам) и укрепление трансграничного сотрудничества в области водных ресурсов между Азербайджаном и Грузией.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  <w:t xml:space="preserve">Главным обязательством Сторон по Конвенции по трансграничным водам по водам является заключение двусторонних соглашений об управлении совместными водными ресурсами в трансграничных бассейнах. Поэтому основным элементом проекта в рамках инициативы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безопасность</w:t>
      </w:r>
      <w:r w:rsidR="003A18E7">
        <w:rPr>
          <w:lang w:val="ru-RU"/>
        </w:rPr>
        <w:t>»</w:t>
      </w:r>
      <w:r>
        <w:rPr>
          <w:lang w:val="ru-RU"/>
        </w:rPr>
        <w:t xml:space="preserve"> является заключение между Азербайджаном и Грузией соглашения о сотрудничестве в области охраны и устойчивого использования водных р</w:t>
      </w:r>
      <w:r w:rsidR="000F79C9">
        <w:rPr>
          <w:lang w:val="ru-RU"/>
        </w:rPr>
        <w:t>есурсов бассейна реки Куры. При </w:t>
      </w:r>
      <w:r>
        <w:rPr>
          <w:lang w:val="ru-RU"/>
        </w:rPr>
        <w:t>поддержке ЕЭК и ОБСЕ были проведены переговоры и подготовлен проект соглашения об управлении бассейном реки Куры.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B.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Цели и задачи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  <w:t xml:space="preserve">31 декабря 2017 года истек срок действия меморандума о взаимопонимании по инициативе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безопасность</w:t>
      </w:r>
      <w:r w:rsidR="003A18E7">
        <w:rPr>
          <w:lang w:val="ru-RU"/>
        </w:rPr>
        <w:t>»</w:t>
      </w:r>
      <w:r>
        <w:rPr>
          <w:lang w:val="ru-RU"/>
        </w:rPr>
        <w:t xml:space="preserve">. С учетом того, что в последние годы объем финансирования сократился до уровня, который не позволяет вести новые виды деятельности по проекту, Совет управляющих постановил пересмотреть соглашение о партнерстве. Таким образом, сегодня партнеры по инициативе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безопасность</w:t>
      </w:r>
      <w:r w:rsidR="003A18E7">
        <w:rPr>
          <w:lang w:val="ru-RU"/>
        </w:rPr>
        <w:t>»</w:t>
      </w:r>
      <w:r>
        <w:rPr>
          <w:lang w:val="ru-RU"/>
        </w:rPr>
        <w:t xml:space="preserve"> работают над новым, облегченным соглашением о сотрудничестве.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C.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Запланированная деятельность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  <w:t>Работа по текущему проекту по содействию ратификации и осуществлению Конвенции по трансграничным водам в Грузии буд</w:t>
      </w:r>
      <w:r w:rsidR="00D965F6">
        <w:rPr>
          <w:lang w:val="ru-RU"/>
        </w:rPr>
        <w:t>е</w:t>
      </w:r>
      <w:r>
        <w:rPr>
          <w:lang w:val="ru-RU"/>
        </w:rPr>
        <w:t xml:space="preserve">т продолжаться до тех пор, пока </w:t>
      </w:r>
      <w:r>
        <w:rPr>
          <w:lang w:val="ru-RU"/>
        </w:rPr>
        <w:lastRenderedPageBreak/>
        <w:t>для этого имеются ресурсы. Хотя в настоящее время работа буксует, ожидается, что при поддержке ЕЭК и ОБСЕ переговоры между Азербайджаном и Грузией продолжаться и сможет быть подготовлен проект соглашения.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  <w:t xml:space="preserve">В рамках инициативы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безопасность</w:t>
      </w:r>
      <w:r w:rsidR="003A18E7">
        <w:rPr>
          <w:lang w:val="ru-RU"/>
        </w:rPr>
        <w:t>»</w:t>
      </w:r>
      <w:r>
        <w:rPr>
          <w:lang w:val="ru-RU"/>
        </w:rPr>
        <w:t xml:space="preserve"> имеется ряд других проектов, однако пока между партнерами </w:t>
      </w:r>
      <w:r w:rsidR="00D965F6">
        <w:rPr>
          <w:lang w:val="ru-RU"/>
        </w:rPr>
        <w:t xml:space="preserve">не </w:t>
      </w:r>
      <w:r>
        <w:rPr>
          <w:lang w:val="ru-RU"/>
        </w:rPr>
        <w:t xml:space="preserve">будет подписано новое соглашение о сотрудничестве, работа ни по одному из них не может быть начата. Вместе с тем, если один из партнеров инициативы </w:t>
      </w:r>
      <w:r w:rsidR="003A18E7">
        <w:rPr>
          <w:lang w:val="ru-RU"/>
        </w:rPr>
        <w:t>«</w:t>
      </w:r>
      <w:r>
        <w:rPr>
          <w:lang w:val="ru-RU"/>
        </w:rPr>
        <w:t>Окружающая среда и безопасность</w:t>
      </w:r>
      <w:r w:rsidR="003A18E7">
        <w:rPr>
          <w:lang w:val="ru-RU"/>
        </w:rPr>
        <w:t>»</w:t>
      </w:r>
      <w:r>
        <w:rPr>
          <w:lang w:val="ru-RU"/>
        </w:rPr>
        <w:t xml:space="preserve"> получит финансовые средства для проекта, то организация-получатель может обратиться с просьбой о сотрудничестве с другими партнерами, чтобы воспользоваться их опытом.</w:t>
      </w:r>
    </w:p>
    <w:p w:rsidR="0087158A" w:rsidRPr="00A93D8C" w:rsidRDefault="000F79C9" w:rsidP="0087158A">
      <w:pPr>
        <w:pStyle w:val="HCh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V.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Учет гендерной проблематики в природоохранной деятельности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A.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Обзор последних событий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  <w:t>В русле принятия мер по выполнению задач, предусмотренных в Плане действий ЕЭК в гендерной области на 2016–2017 годы, Отдел окружающей среды представил информацию об осуществлении деятельности в 2017 году в рамках Общесистемного плана действий Организации Объединенных Наций по обеспечению гендерного равенства и расширению прав и возможностей женщин (ООН-ОСПД).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47.</w:t>
      </w:r>
      <w:r>
        <w:rPr>
          <w:lang w:val="ru-RU"/>
        </w:rPr>
        <w:tab/>
        <w:t>Секретариат ведет постоянную работу по обеспечению гендерного баланса в руководящих</w:t>
      </w:r>
      <w:r w:rsidRPr="00BF2527">
        <w:rPr>
          <w:lang w:val="ru-RU"/>
        </w:rPr>
        <w:t xml:space="preserve"> </w:t>
      </w:r>
      <w:r>
        <w:rPr>
          <w:lang w:val="ru-RU"/>
        </w:rPr>
        <w:t>органах многосторонних природоохранных процессов, которые он обслуживает. В период 2017–2018 годов большинство председателей руководящих органов многосторонних природоохранных согла</w:t>
      </w:r>
      <w:r w:rsidR="000F79C9">
        <w:rPr>
          <w:lang w:val="ru-RU"/>
        </w:rPr>
        <w:t>шений ЕЭК составляли женщины. В </w:t>
      </w:r>
      <w:r>
        <w:rPr>
          <w:lang w:val="ru-RU"/>
        </w:rPr>
        <w:t>тот же период председателями Комитета по экологической политике, Рабочей группы по мониторингу и оценке окружающей среды, Совместной целевой группой по экологической статистике и показателям были женщины, в то время как председателями Группы экспертов по обзорам результативности экологической деятельности и Руководящего комитета ОПТОСОЗ были мужчины. Секретариат также стремится обеспечить равные возможности для участия женщин и мужчин в сессиях, семинарах по наращиванию потенциала, рабочих совещаниях и учебных мероприятий, организованных под эгидой многосторонних природоохранных соглашений ЕЭК.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48.</w:t>
      </w:r>
      <w:r>
        <w:rPr>
          <w:lang w:val="ru-RU"/>
        </w:rPr>
        <w:tab/>
        <w:t>Гендерное измерение было включено в проведенные в 2018 году обзоры результативности экологической деятельности ЕЭК – третьи обзоры по Казахстану и бывшей югославской Республике Македония – путем включения гендерного раздела во введение и в другие главы.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49.</w:t>
      </w:r>
      <w:r>
        <w:rPr>
          <w:lang w:val="ru-RU"/>
        </w:rPr>
        <w:tab/>
        <w:t xml:space="preserve">На совещании Бюро Общеевропейской программы по транспорту, окружающей среде и охране здоровья (Вена, 10–11 июля 2018 года) обсуждался вопрос о том, как включить гендерные вопросы в план работы Программы, и было решено, что подходящим мероприятием для учета гендерных аспектов в работе Программы будет запланированный </w:t>
      </w:r>
      <w:r w:rsidR="003A18E7">
        <w:rPr>
          <w:lang w:val="ru-RU"/>
        </w:rPr>
        <w:t>«</w:t>
      </w:r>
      <w:r>
        <w:rPr>
          <w:lang w:val="ru-RU"/>
        </w:rPr>
        <w:t>эстафетный</w:t>
      </w:r>
      <w:r w:rsidR="003A18E7">
        <w:rPr>
          <w:lang w:val="ru-RU"/>
        </w:rPr>
        <w:t>»</w:t>
      </w:r>
      <w:r>
        <w:rPr>
          <w:lang w:val="ru-RU"/>
        </w:rPr>
        <w:t xml:space="preserve"> семинар (Римини, Италия, ноябрь 2018 года).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50.</w:t>
      </w:r>
      <w:r>
        <w:rPr>
          <w:lang w:val="ru-RU"/>
        </w:rPr>
        <w:tab/>
        <w:t>Гендерная проблематика была включена в деятельность по обеспечению равного доступа к воде и санитарии в соответствии с Протоколом по проблемам воды и здоровья к Конвенции по трансграничным водам. Гендерный аспект рассматривался в ходе оценки положения в области равного доступа в Болгария (январь</w:t>
      </w:r>
      <w:r w:rsidR="000F79C9">
        <w:rPr>
          <w:lang w:val="ru-RU"/>
        </w:rPr>
        <w:t>–</w:t>
      </w:r>
      <w:r>
        <w:rPr>
          <w:lang w:val="ru-RU"/>
        </w:rPr>
        <w:t>июль 2018</w:t>
      </w:r>
      <w:r w:rsidR="000F79C9">
        <w:rPr>
          <w:lang w:val="ru-RU"/>
        </w:rPr>
        <w:t> </w:t>
      </w:r>
      <w:r>
        <w:rPr>
          <w:lang w:val="ru-RU"/>
        </w:rPr>
        <w:t>года), а также в контексте обсуждения достигнутого в регион</w:t>
      </w:r>
      <w:r w:rsidR="00D965F6">
        <w:rPr>
          <w:lang w:val="ru-RU"/>
        </w:rPr>
        <w:t>е</w:t>
      </w:r>
      <w:r>
        <w:rPr>
          <w:lang w:val="ru-RU"/>
        </w:rPr>
        <w:t xml:space="preserve"> прогресса на пятом совещании Группы экспертов по обеспечению равного доступа к воде и санитарии (Париж, 26–27 июня 2018 года).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51.</w:t>
      </w:r>
      <w:r>
        <w:rPr>
          <w:lang w:val="ru-RU"/>
        </w:rPr>
        <w:tab/>
        <w:t xml:space="preserve">Гендерный дисбаланс стал темой для обсуждения на специальной сессии </w:t>
      </w:r>
      <w:r w:rsidR="003A18E7">
        <w:rPr>
          <w:lang w:val="ru-RU"/>
        </w:rPr>
        <w:t>«</w:t>
      </w:r>
      <w:r>
        <w:rPr>
          <w:lang w:val="ru-RU"/>
        </w:rPr>
        <w:t>Международных механизмов и процедур для осуществления прав человека на воду и санитарию</w:t>
      </w:r>
      <w:r w:rsidR="003A18E7">
        <w:rPr>
          <w:lang w:val="ru-RU"/>
        </w:rPr>
        <w:t>»</w:t>
      </w:r>
      <w:r>
        <w:rPr>
          <w:lang w:val="ru-RU"/>
        </w:rPr>
        <w:t>, организованной совместно c</w:t>
      </w:r>
      <w:r w:rsidR="000F79C9">
        <w:rPr>
          <w:lang w:val="ru-RU"/>
        </w:rPr>
        <w:t xml:space="preserve"> </w:t>
      </w:r>
      <w:r>
        <w:rPr>
          <w:lang w:val="ru-RU"/>
        </w:rPr>
        <w:t>секретариатом Протокола по проблемам воды и здоровья и мандатариями специальных процедур Организации Объединенных Наций по правам человека на восьмом Всемирном форуме по водным ресурсам (Бразилиа, 18</w:t>
      </w:r>
      <w:r w:rsidR="000F79C9">
        <w:rPr>
          <w:lang w:val="ru-RU"/>
        </w:rPr>
        <w:t>–</w:t>
      </w:r>
      <w:r>
        <w:rPr>
          <w:lang w:val="ru-RU"/>
        </w:rPr>
        <w:t xml:space="preserve">23 марта 2018 года). Кроме того, в документе </w:t>
      </w:r>
      <w:r w:rsidR="003A18E7">
        <w:rPr>
          <w:lang w:val="ru-RU"/>
        </w:rPr>
        <w:t>«</w:t>
      </w:r>
      <w:r>
        <w:rPr>
          <w:lang w:val="ru-RU"/>
        </w:rPr>
        <w:t xml:space="preserve">Протокол по проблемам </w:t>
      </w:r>
      <w:r>
        <w:rPr>
          <w:lang w:val="ru-RU"/>
        </w:rPr>
        <w:lastRenderedPageBreak/>
        <w:t>воды и здоровья и Повестка дня на период до 2030 года: практическое руководство по совместному осуществлению</w:t>
      </w:r>
      <w:r w:rsidR="003A18E7">
        <w:rPr>
          <w:lang w:val="ru-RU"/>
        </w:rPr>
        <w:t>»</w:t>
      </w:r>
      <w:r>
        <w:rPr>
          <w:lang w:val="ru-RU"/>
        </w:rPr>
        <w:t xml:space="preserve">, в контексте деятельности в области развития в </w:t>
      </w:r>
      <w:r w:rsidR="000F79C9">
        <w:rPr>
          <w:lang w:val="ru-RU"/>
        </w:rPr>
        <w:br/>
      </w:r>
      <w:r>
        <w:rPr>
          <w:lang w:val="ru-RU"/>
        </w:rPr>
        <w:t>2017–2018 годах, подчеркивается гендерное измерение проблем воды и здоровья.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B.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Цели и задачи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52.</w:t>
      </w:r>
      <w:r>
        <w:rPr>
          <w:lang w:val="ru-RU"/>
        </w:rPr>
        <w:tab/>
        <w:t>К основным вызовам в области учета гендерной проблематики в деятельности по охране окружающей среды относятся отсутствие национальной политики по гендерным вопросам и окружающей среде, а также отсутствие данных с разбивкой по полу по таким экологическим проблемам, как доступ к водоснабжению и санитарии, доступ к энергии, доступ к земельным ресурсам и охват системой сбора отходов в странах региона.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C.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Запланированная деятельность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53.</w:t>
      </w:r>
      <w:r>
        <w:rPr>
          <w:lang w:val="ru-RU"/>
        </w:rPr>
        <w:tab/>
        <w:t>В русле выполнения плана на 2016–2017 год</w:t>
      </w:r>
      <w:r w:rsidR="00D965F6">
        <w:rPr>
          <w:lang w:val="ru-RU"/>
        </w:rPr>
        <w:t>ы</w:t>
      </w:r>
      <w:r>
        <w:rPr>
          <w:lang w:val="ru-RU"/>
        </w:rPr>
        <w:t xml:space="preserve"> был разработан новый план действий ЕЭК в гендерной области на 2018–2019 годы для осуществления гендерной политики ЕЭК. Предусмотренные в Плане стратегические действия включают в себя продвижение гендерной проблематики и повышение важности учета гендерной проблематики в различных видах деятельности и в различных мероприятиях Подпрограммы по окружающей среде при наличии такой целесообразности.</w:t>
      </w:r>
    </w:p>
    <w:p w:rsidR="0087158A" w:rsidRPr="00A93D8C" w:rsidRDefault="000F79C9" w:rsidP="0087158A">
      <w:pPr>
        <w:pStyle w:val="H1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D.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Ожидаемые решения Комитета по экологической политике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54.</w:t>
      </w:r>
      <w:r>
        <w:rPr>
          <w:lang w:val="ru-RU"/>
        </w:rPr>
        <w:tab/>
        <w:t>Комитету предлагается принять к сведению представленную информацию об учете гендерной проблематики во всей деятельности ЕЭК и в природоохранной деятельности, проведенной Отделом окружающей среды в период после последней сессии Комитета, и:</w:t>
      </w:r>
      <w:bookmarkStart w:id="8" w:name="_GoBack"/>
      <w:bookmarkEnd w:id="8"/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 xml:space="preserve">признать важное значение учета гендерной проблематики в природоохранной деятельности, особенно в свете Повестки дня </w:t>
      </w:r>
      <w:r w:rsidR="00D965F6">
        <w:rPr>
          <w:lang w:val="ru-RU"/>
        </w:rPr>
        <w:t xml:space="preserve">на период до </w:t>
      </w:r>
      <w:r>
        <w:rPr>
          <w:lang w:val="ru-RU"/>
        </w:rPr>
        <w:t xml:space="preserve">2030 </w:t>
      </w:r>
      <w:r w:rsidR="00D965F6">
        <w:rPr>
          <w:lang w:val="ru-RU"/>
        </w:rPr>
        <w:t xml:space="preserve">года </w:t>
      </w:r>
      <w:r>
        <w:rPr>
          <w:lang w:val="ru-RU"/>
        </w:rPr>
        <w:t>и целей устойчивого развития, и подчеркнуть, что гендерное равенство является как самоцелью, так и средством содействия достижению устойчивого развития;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поддержать международные инициативы по поощрению гендерного равенства и приветствовать продолжение сотрудничества и координации с органами Организации Объединенных Наций и другими соответствующими международными форумами и субъектами для этой цели;</w:t>
      </w:r>
    </w:p>
    <w:p w:rsidR="0087158A" w:rsidRPr="00A93D8C" w:rsidRDefault="0087158A" w:rsidP="0087158A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принять решение продолжать учитывать гендерную проблематику в своей деятельности.</w:t>
      </w:r>
    </w:p>
    <w:p w:rsidR="0087158A" w:rsidRPr="00A93D8C" w:rsidRDefault="000F79C9" w:rsidP="0087158A">
      <w:pPr>
        <w:pStyle w:val="HChG"/>
        <w:rPr>
          <w:lang w:val="ru-RU"/>
        </w:rPr>
      </w:pPr>
      <w:r>
        <w:rPr>
          <w:lang w:val="ru-RU"/>
        </w:rPr>
        <w:tab/>
      </w:r>
      <w:r w:rsidR="0087158A">
        <w:rPr>
          <w:lang w:val="ru-RU"/>
        </w:rPr>
        <w:t>VI.</w:t>
      </w:r>
      <w:r w:rsidR="0087158A">
        <w:rPr>
          <w:lang w:val="ru-RU"/>
        </w:rPr>
        <w:tab/>
      </w:r>
      <w:r w:rsidR="0087158A">
        <w:rPr>
          <w:lang w:val="ru-RU"/>
        </w:rPr>
        <w:tab/>
      </w:r>
      <w:r w:rsidR="0087158A">
        <w:rPr>
          <w:bCs/>
          <w:lang w:val="ru-RU"/>
        </w:rPr>
        <w:t>Экостроительство</w:t>
      </w:r>
    </w:p>
    <w:p w:rsidR="0087158A" w:rsidRPr="00A93D8C" w:rsidRDefault="0087158A" w:rsidP="0087158A">
      <w:pPr>
        <w:pStyle w:val="SingleTxtG"/>
        <w:rPr>
          <w:lang w:val="ru-RU"/>
        </w:rPr>
      </w:pPr>
      <w:r>
        <w:rPr>
          <w:lang w:val="ru-RU"/>
        </w:rPr>
        <w:t>55.</w:t>
      </w:r>
      <w:r>
        <w:rPr>
          <w:lang w:val="ru-RU"/>
        </w:rPr>
        <w:tab/>
        <w:t>Несмотря на то, что деятельность в области экостроительства носит сквозной характер и напрямую связана с окружающей средой, эта деятельность проводятся в рамках других подпрограмм ЕЭК, в том числе подпрограмм по лесам, землепользованию и жилищному строительству и устойчивой энергетики</w:t>
      </w:r>
      <w:r>
        <w:rPr>
          <w:rStyle w:val="aa"/>
          <w:lang w:val="ru-RU"/>
        </w:rPr>
        <w:footnoteReference w:id="1"/>
      </w:r>
      <w:r w:rsidR="000F79C9">
        <w:rPr>
          <w:lang w:val="ru-RU"/>
        </w:rPr>
        <w:t>.</w:t>
      </w:r>
    </w:p>
    <w:p w:rsidR="0087158A" w:rsidRPr="00A93D8C" w:rsidRDefault="0087158A" w:rsidP="0087158A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Ожидаемые решения Комитета по экологической политике</w:t>
      </w:r>
    </w:p>
    <w:p w:rsidR="00E12C5F" w:rsidRDefault="0087158A" w:rsidP="0087158A">
      <w:pPr>
        <w:pStyle w:val="SingleTxtGR"/>
      </w:pPr>
      <w:r>
        <w:t>56.</w:t>
      </w:r>
      <w:r>
        <w:tab/>
        <w:t xml:space="preserve">Комитету по экологической политике предлагается рассмотреть вопрос об организации международной конференции в сотрудничестве со всеми соответствующими подпрограммами ЕЭК, и в частности при поддержке со стороны </w:t>
      </w:r>
      <w:r>
        <w:lastRenderedPageBreak/>
        <w:t>Группы по жилищному хозяйству и землепользованию, ЕЭК и Продовольственной и сельскохозяйственной организацией Объединенных Наций (ФАО), Секции лесного хозяйства и лесоматериалов и Отдела энергетики по вопросам экост</w:t>
      </w:r>
      <w:r w:rsidR="000F79C9">
        <w:t>роительства, в </w:t>
      </w:r>
      <w:r>
        <w:t>целях изучения всех аспектов и возможностей для содействия переходу к экологичному строительству в регионе ЕЭК.</w:t>
      </w:r>
    </w:p>
    <w:p w:rsidR="0087158A" w:rsidRPr="0087158A" w:rsidRDefault="0087158A" w:rsidP="0087158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158A" w:rsidRPr="0087158A" w:rsidSect="008715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40" w:rsidRPr="00A312BC" w:rsidRDefault="00A41840" w:rsidP="00A312BC"/>
  </w:endnote>
  <w:endnote w:type="continuationSeparator" w:id="0">
    <w:p w:rsidR="00A41840" w:rsidRPr="00A312BC" w:rsidRDefault="00A418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8A" w:rsidRPr="0087158A" w:rsidRDefault="0087158A">
    <w:pPr>
      <w:pStyle w:val="a8"/>
    </w:pPr>
    <w:r w:rsidRPr="0087158A">
      <w:rPr>
        <w:b/>
        <w:sz w:val="18"/>
      </w:rPr>
      <w:fldChar w:fldCharType="begin"/>
    </w:r>
    <w:r w:rsidRPr="0087158A">
      <w:rPr>
        <w:b/>
        <w:sz w:val="18"/>
      </w:rPr>
      <w:instrText xml:space="preserve"> PAGE  \* MERGEFORMAT </w:instrText>
    </w:r>
    <w:r w:rsidRPr="0087158A">
      <w:rPr>
        <w:b/>
        <w:sz w:val="18"/>
      </w:rPr>
      <w:fldChar w:fldCharType="separate"/>
    </w:r>
    <w:r w:rsidR="00AD28FE">
      <w:rPr>
        <w:b/>
        <w:noProof/>
        <w:sz w:val="18"/>
      </w:rPr>
      <w:t>10</w:t>
    </w:r>
    <w:r w:rsidRPr="0087158A">
      <w:rPr>
        <w:b/>
        <w:sz w:val="18"/>
      </w:rPr>
      <w:fldChar w:fldCharType="end"/>
    </w:r>
    <w:r>
      <w:rPr>
        <w:b/>
        <w:sz w:val="18"/>
      </w:rPr>
      <w:tab/>
    </w:r>
    <w:r>
      <w:t>GE.18-19693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8A" w:rsidRPr="0087158A" w:rsidRDefault="0087158A" w:rsidP="0087158A">
    <w:pPr>
      <w:pStyle w:val="a8"/>
      <w:tabs>
        <w:tab w:val="clear" w:pos="9639"/>
        <w:tab w:val="right" w:pos="9638"/>
      </w:tabs>
      <w:rPr>
        <w:b/>
        <w:sz w:val="18"/>
      </w:rPr>
    </w:pPr>
    <w:r>
      <w:t>GE.18-19693</w:t>
    </w:r>
    <w:r>
      <w:tab/>
    </w:r>
    <w:r w:rsidRPr="0087158A">
      <w:rPr>
        <w:b/>
        <w:sz w:val="18"/>
      </w:rPr>
      <w:fldChar w:fldCharType="begin"/>
    </w:r>
    <w:r w:rsidRPr="0087158A">
      <w:rPr>
        <w:b/>
        <w:sz w:val="18"/>
      </w:rPr>
      <w:instrText xml:space="preserve"> PAGE  \* MERGEFORMAT </w:instrText>
    </w:r>
    <w:r w:rsidRPr="0087158A">
      <w:rPr>
        <w:b/>
        <w:sz w:val="18"/>
      </w:rPr>
      <w:fldChar w:fldCharType="separate"/>
    </w:r>
    <w:r w:rsidR="00AD28FE">
      <w:rPr>
        <w:b/>
        <w:noProof/>
        <w:sz w:val="18"/>
      </w:rPr>
      <w:t>9</w:t>
    </w:r>
    <w:r w:rsidRPr="008715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7158A" w:rsidRDefault="0087158A" w:rsidP="0087158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18-19693  (R)</w:t>
    </w:r>
    <w:r>
      <w:rPr>
        <w:lang w:val="en-US"/>
      </w:rPr>
      <w:t xml:space="preserve">  281118  291118</w:t>
    </w:r>
    <w:r>
      <w:br/>
    </w:r>
    <w:r w:rsidRPr="0087158A">
      <w:rPr>
        <w:rFonts w:ascii="C39T30Lfz" w:hAnsi="C39T30Lfz"/>
        <w:kern w:val="14"/>
        <w:sz w:val="56"/>
      </w:rPr>
      <w:t></w:t>
    </w:r>
    <w:r w:rsidRPr="0087158A">
      <w:rPr>
        <w:rFonts w:ascii="C39T30Lfz" w:hAnsi="C39T30Lfz"/>
        <w:kern w:val="14"/>
        <w:sz w:val="56"/>
      </w:rPr>
      <w:t></w:t>
    </w:r>
    <w:r w:rsidRPr="0087158A">
      <w:rPr>
        <w:rFonts w:ascii="C39T30Lfz" w:hAnsi="C39T30Lfz"/>
        <w:kern w:val="14"/>
        <w:sz w:val="56"/>
      </w:rPr>
      <w:t></w:t>
    </w:r>
    <w:r w:rsidRPr="0087158A">
      <w:rPr>
        <w:rFonts w:ascii="C39T30Lfz" w:hAnsi="C39T30Lfz"/>
        <w:kern w:val="14"/>
        <w:sz w:val="56"/>
      </w:rPr>
      <w:t></w:t>
    </w:r>
    <w:r w:rsidRPr="0087158A">
      <w:rPr>
        <w:rFonts w:ascii="C39T30Lfz" w:hAnsi="C39T30Lfz"/>
        <w:kern w:val="14"/>
        <w:sz w:val="56"/>
      </w:rPr>
      <w:t></w:t>
    </w:r>
    <w:r w:rsidRPr="0087158A">
      <w:rPr>
        <w:rFonts w:ascii="C39T30Lfz" w:hAnsi="C39T30Lfz"/>
        <w:kern w:val="14"/>
        <w:sz w:val="56"/>
      </w:rPr>
      <w:t></w:t>
    </w:r>
    <w:r w:rsidRPr="0087158A">
      <w:rPr>
        <w:rFonts w:ascii="C39T30Lfz" w:hAnsi="C39T30Lfz"/>
        <w:kern w:val="14"/>
        <w:sz w:val="56"/>
      </w:rPr>
      <w:t></w:t>
    </w:r>
    <w:r w:rsidRPr="0087158A">
      <w:rPr>
        <w:rFonts w:ascii="C39T30Lfz" w:hAnsi="C39T30Lfz"/>
        <w:kern w:val="14"/>
        <w:sz w:val="56"/>
      </w:rPr>
      <w:t></w:t>
    </w:r>
    <w:r w:rsidRPr="0087158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CEP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40" w:rsidRPr="001075E9" w:rsidRDefault="00A418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1840" w:rsidRDefault="00A418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7158A" w:rsidRPr="00A93D8C" w:rsidRDefault="0087158A" w:rsidP="0087158A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 этим информационным документом можно ознакомиться на веб-странице </w:t>
      </w:r>
      <w:r w:rsidR="00D965F6">
        <w:t>двадцать четвертой</w:t>
      </w:r>
      <w:r>
        <w:t xml:space="preserve"> сессии Комитета (</w:t>
      </w:r>
      <w:hyperlink r:id="rId1" w:history="1">
        <w:r w:rsidR="000F79C9" w:rsidRPr="00CB4963">
          <w:rPr>
            <w:rStyle w:val="af1"/>
          </w:rPr>
          <w:t>www.unece.org/index.php?id=50063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8A" w:rsidRPr="0087158A" w:rsidRDefault="00E7010C">
    <w:pPr>
      <w:pStyle w:val="a5"/>
    </w:pPr>
    <w:fldSimple w:instr=" TITLE  \* MERGEFORMAT ">
      <w:r w:rsidR="00AD28FE">
        <w:t>ECE/CEP/2019/11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8A" w:rsidRPr="0087158A" w:rsidRDefault="00E7010C" w:rsidP="0087158A">
    <w:pPr>
      <w:pStyle w:val="a5"/>
      <w:jc w:val="right"/>
    </w:pPr>
    <w:fldSimple w:instr=" TITLE  \* MERGEFORMAT ">
      <w:r w:rsidR="00AD28FE">
        <w:t>ECE/CEP/2019/11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40"/>
    <w:rsid w:val="00033EE1"/>
    <w:rsid w:val="00042B72"/>
    <w:rsid w:val="000558BD"/>
    <w:rsid w:val="000B57E7"/>
    <w:rsid w:val="000B6373"/>
    <w:rsid w:val="000E4E5B"/>
    <w:rsid w:val="000F09DF"/>
    <w:rsid w:val="000F61B2"/>
    <w:rsid w:val="000F79C9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254"/>
    <w:rsid w:val="00377147"/>
    <w:rsid w:val="00381C24"/>
    <w:rsid w:val="00387CD4"/>
    <w:rsid w:val="003958D0"/>
    <w:rsid w:val="003A0D43"/>
    <w:rsid w:val="003A18E7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121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0A8A"/>
    <w:rsid w:val="00792497"/>
    <w:rsid w:val="00806737"/>
    <w:rsid w:val="00825F8D"/>
    <w:rsid w:val="00834B71"/>
    <w:rsid w:val="0086445C"/>
    <w:rsid w:val="0087158A"/>
    <w:rsid w:val="00894693"/>
    <w:rsid w:val="008A08D7"/>
    <w:rsid w:val="008A37C8"/>
    <w:rsid w:val="008B6909"/>
    <w:rsid w:val="008D53B6"/>
    <w:rsid w:val="008F73DA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41840"/>
    <w:rsid w:val="00A84021"/>
    <w:rsid w:val="00A84D35"/>
    <w:rsid w:val="00A917B3"/>
    <w:rsid w:val="00AB4B51"/>
    <w:rsid w:val="00AD28F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65F6"/>
    <w:rsid w:val="00DD78D1"/>
    <w:rsid w:val="00DE32CD"/>
    <w:rsid w:val="00DF5767"/>
    <w:rsid w:val="00DF71B9"/>
    <w:rsid w:val="00E12C5F"/>
    <w:rsid w:val="00E7010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FD100"/>
  <w15:docId w15:val="{D1C73561-A54B-4642-9765-E648427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,Fußnote,Footnote Text Char Char,single space,footnote text,Footnote text,Podrozdział,Footnote,Podrozdzia3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Fußnote Знак,Footnote Text Char Char Знак,single space Знак,footnote text Знак,Footnote text Знак,Podrozdział Знак,Footnote Знак,Podrozdzia3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87158A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rsid w:val="0087158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rsid w:val="0087158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87158A"/>
    <w:rPr>
      <w:lang w:val="en-GB" w:eastAsia="en-US"/>
    </w:rPr>
  </w:style>
  <w:style w:type="character" w:customStyle="1" w:styleId="H1GChar">
    <w:name w:val="_ H_1_G Char"/>
    <w:link w:val="H1G"/>
    <w:rsid w:val="0087158A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index.php?id=500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4002</Words>
  <Characters>22815</Characters>
  <Application>Microsoft Office Word</Application>
  <DocSecurity>0</DocSecurity>
  <Lines>190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ECE/CEP/2019/11</vt:lpstr>
      <vt:lpstr>A/</vt:lpstr>
      <vt:lpstr>A/</vt:lpstr>
    </vt:vector>
  </TitlesOfParts>
  <Company>DCM</Company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ECE/CEP/2019/11</dc:title>
  <dc:subject/>
  <dc:creator>Marina KOROTKOVA</dc:creator>
  <cp:keywords/>
  <cp:lastModifiedBy>Anna Blagodatskikh</cp:lastModifiedBy>
  <cp:revision>3</cp:revision>
  <cp:lastPrinted>2018-11-29T15:21:00Z</cp:lastPrinted>
  <dcterms:created xsi:type="dcterms:W3CDTF">2018-11-29T15:21:00Z</dcterms:created>
  <dcterms:modified xsi:type="dcterms:W3CDTF">2018-11-29T15:22:00Z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