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65" w:rsidRPr="00BB6B65" w:rsidRDefault="00BB6B65" w:rsidP="00BB6B65">
      <w:pPr>
        <w:keepNext/>
        <w:spacing w:before="120" w:after="0" w:line="240" w:lineRule="auto"/>
        <w:rPr>
          <w:rFonts w:ascii="Times New Roman" w:eastAsia="Times New Roman" w:hAnsi="Times New Roman" w:cs="Times New Roman"/>
          <w:b/>
          <w:sz w:val="28"/>
          <w:szCs w:val="28"/>
          <w:lang w:val="en-GB"/>
        </w:rPr>
      </w:pPr>
      <w:r w:rsidRPr="00BB6B65">
        <w:rPr>
          <w:rFonts w:ascii="Times New Roman" w:eastAsia="Times New Roman" w:hAnsi="Times New Roman" w:cs="Times New Roman"/>
          <w:b/>
          <w:sz w:val="28"/>
          <w:szCs w:val="28"/>
          <w:lang w:val="en-GB"/>
        </w:rPr>
        <w:t>Economic Commission for Europe</w:t>
      </w:r>
    </w:p>
    <w:p w:rsidR="00BB6B65" w:rsidRPr="00BB6B65" w:rsidRDefault="00BB6B65" w:rsidP="00BB6B65">
      <w:pPr>
        <w:keepNext/>
        <w:suppressAutoHyphens/>
        <w:spacing w:before="120" w:after="0" w:line="240" w:lineRule="auto"/>
        <w:rPr>
          <w:rFonts w:ascii="Times New Roman" w:eastAsia="Times New Roman" w:hAnsi="Times New Roman" w:cs="Times New Roman"/>
          <w:bCs/>
          <w:sz w:val="28"/>
          <w:szCs w:val="28"/>
          <w:lang w:val="en-GB"/>
        </w:rPr>
      </w:pPr>
      <w:r w:rsidRPr="00BB6B65">
        <w:rPr>
          <w:rFonts w:ascii="Times New Roman" w:eastAsia="Times New Roman" w:hAnsi="Times New Roman" w:cs="Times New Roman"/>
          <w:bCs/>
          <w:sz w:val="28"/>
          <w:szCs w:val="28"/>
          <w:lang w:val="en-GB"/>
        </w:rPr>
        <w:t>Committee on Environmental Policy</w:t>
      </w:r>
    </w:p>
    <w:p w:rsidR="00BB6B65" w:rsidRPr="00BB6B65" w:rsidRDefault="00BB6B65" w:rsidP="00BB6B65">
      <w:pPr>
        <w:keepNext/>
        <w:tabs>
          <w:tab w:val="left" w:pos="3261"/>
        </w:tabs>
        <w:suppressAutoHyphens/>
        <w:spacing w:before="120" w:after="0" w:line="240" w:lineRule="atLeast"/>
        <w:rPr>
          <w:rFonts w:ascii="Times New Roman" w:eastAsia="Times New Roman" w:hAnsi="Times New Roman" w:cs="Times New Roman"/>
          <w:b/>
          <w:sz w:val="20"/>
          <w:szCs w:val="20"/>
          <w:lang w:val="en-GB"/>
        </w:rPr>
      </w:pPr>
      <w:r w:rsidRPr="00BB6B65">
        <w:rPr>
          <w:rFonts w:ascii="Times New Roman" w:eastAsia="Times New Roman" w:hAnsi="Times New Roman" w:cs="Times New Roman"/>
          <w:b/>
          <w:sz w:val="20"/>
          <w:szCs w:val="20"/>
          <w:lang w:val="en-GB"/>
        </w:rPr>
        <w:t>Twenty-fourth session</w:t>
      </w:r>
    </w:p>
    <w:p w:rsidR="00BB6B65" w:rsidRPr="00BB6B65" w:rsidRDefault="00BB6B65" w:rsidP="00BB6B65">
      <w:pPr>
        <w:keepNext/>
        <w:suppressAutoHyphens/>
        <w:spacing w:after="0" w:line="240" w:lineRule="atLeast"/>
        <w:rPr>
          <w:rFonts w:ascii="Times New Roman" w:eastAsia="Times New Roman" w:hAnsi="Times New Roman" w:cs="Times New Roman"/>
          <w:sz w:val="20"/>
          <w:szCs w:val="20"/>
          <w:lang w:val="en-GB"/>
        </w:rPr>
      </w:pPr>
      <w:r w:rsidRPr="00BB6B65">
        <w:rPr>
          <w:rFonts w:ascii="Times New Roman" w:eastAsia="Times New Roman" w:hAnsi="Times New Roman" w:cs="Times New Roman"/>
          <w:sz w:val="20"/>
          <w:szCs w:val="20"/>
          <w:lang w:val="en-GB"/>
        </w:rPr>
        <w:t>Geneva, 29–31 January 2019</w:t>
      </w:r>
    </w:p>
    <w:p w:rsidR="00BB6B65" w:rsidRPr="00BB6B65" w:rsidRDefault="00BB6B65" w:rsidP="00BB6B65">
      <w:pPr>
        <w:keepNext/>
        <w:suppressAutoHyphens/>
        <w:spacing w:after="0" w:line="240" w:lineRule="atLeast"/>
        <w:rPr>
          <w:rFonts w:ascii="Times New Roman" w:eastAsia="Times New Roman" w:hAnsi="Times New Roman" w:cs="Times New Roman"/>
          <w:sz w:val="20"/>
          <w:szCs w:val="20"/>
          <w:lang w:val="en-GB"/>
        </w:rPr>
      </w:pPr>
      <w:r w:rsidRPr="00BB6B65">
        <w:rPr>
          <w:rFonts w:ascii="Times New Roman" w:eastAsia="Times New Roman" w:hAnsi="Times New Roman" w:cs="Times New Roman"/>
          <w:sz w:val="20"/>
          <w:szCs w:val="20"/>
          <w:lang w:val="en-GB"/>
        </w:rPr>
        <w:t xml:space="preserve">Item </w:t>
      </w:r>
      <w:r>
        <w:rPr>
          <w:rFonts w:ascii="Times New Roman" w:eastAsia="Times New Roman" w:hAnsi="Times New Roman" w:cs="Times New Roman"/>
          <w:sz w:val="20"/>
          <w:szCs w:val="20"/>
          <w:lang w:val="en-GB"/>
        </w:rPr>
        <w:t>9</w:t>
      </w:r>
      <w:r w:rsidRPr="00BB6B65">
        <w:rPr>
          <w:rFonts w:ascii="Times New Roman" w:eastAsia="Times New Roman" w:hAnsi="Times New Roman" w:cs="Times New Roman"/>
          <w:sz w:val="20"/>
          <w:szCs w:val="20"/>
          <w:lang w:val="en-GB"/>
        </w:rPr>
        <w:t xml:space="preserve"> of the provisional agenda</w:t>
      </w:r>
    </w:p>
    <w:p w:rsidR="00BB6B65" w:rsidRPr="00BB6B65" w:rsidRDefault="00BB6B65" w:rsidP="00BB6B65">
      <w:pPr>
        <w:keepNext/>
        <w:suppressAutoHyphens/>
        <w:spacing w:after="0" w:line="240" w:lineRule="atLeast"/>
        <w:rPr>
          <w:rFonts w:ascii="Times New Roman" w:eastAsia="Times New Roman" w:hAnsi="Times New Roman" w:cs="Times New Roman"/>
          <w:b/>
          <w:sz w:val="20"/>
          <w:szCs w:val="20"/>
          <w:lang w:val="en-GB"/>
        </w:rPr>
      </w:pPr>
      <w:r w:rsidRPr="00BB6B65">
        <w:rPr>
          <w:rFonts w:ascii="Times New Roman" w:eastAsia="Times New Roman" w:hAnsi="Times New Roman" w:cs="Times New Roman"/>
          <w:b/>
          <w:sz w:val="20"/>
          <w:szCs w:val="20"/>
          <w:lang w:val="en-GB"/>
        </w:rPr>
        <w:t>Reform of the UN planning and budgeting process</w:t>
      </w:r>
    </w:p>
    <w:p w:rsidR="00BB6B65" w:rsidRPr="00BB6B65" w:rsidRDefault="00BB6B65" w:rsidP="00BB6B65">
      <w:pPr>
        <w:keepNext/>
        <w:spacing w:after="0" w:line="240" w:lineRule="auto"/>
        <w:rPr>
          <w:rFonts w:ascii="Times New Roman" w:eastAsia="SimSun" w:hAnsi="Times New Roman" w:cs="Times New Roman"/>
          <w:sz w:val="20"/>
          <w:szCs w:val="20"/>
          <w:lang w:val="en-GB" w:eastAsia="fr-FR"/>
        </w:rPr>
      </w:pPr>
    </w:p>
    <w:p w:rsidR="00BB6B65" w:rsidRPr="00BB6B65" w:rsidRDefault="00BB6B65" w:rsidP="00BB6B65">
      <w:pPr>
        <w:keepNext/>
        <w:spacing w:after="0" w:line="240" w:lineRule="auto"/>
        <w:rPr>
          <w:rFonts w:ascii="Times New Roman" w:eastAsia="SimSun" w:hAnsi="Times New Roman" w:cs="Times New Roman"/>
          <w:sz w:val="20"/>
          <w:szCs w:val="20"/>
          <w:lang w:val="en-GB" w:eastAsia="fr-FR"/>
        </w:rPr>
      </w:pPr>
      <w:r w:rsidRPr="00BB6B65">
        <w:rPr>
          <w:rFonts w:ascii="Times New Roman" w:eastAsia="SimSun" w:hAnsi="Times New Roman" w:cs="Times New Roman"/>
          <w:sz w:val="20"/>
          <w:szCs w:val="20"/>
          <w:lang w:val="en-GB" w:eastAsia="fr-FR"/>
        </w:rPr>
        <w:t>Information paper No.</w:t>
      </w:r>
      <w:r>
        <w:rPr>
          <w:rFonts w:ascii="Times New Roman" w:eastAsia="SimSun" w:hAnsi="Times New Roman" w:cs="Times New Roman"/>
          <w:sz w:val="20"/>
          <w:szCs w:val="20"/>
          <w:lang w:val="en-GB" w:eastAsia="fr-FR"/>
        </w:rPr>
        <w:t>6</w:t>
      </w:r>
    </w:p>
    <w:p w:rsidR="00B17A80" w:rsidRPr="00B17A80" w:rsidRDefault="00BB6B65" w:rsidP="00BB6B65">
      <w:pPr>
        <w:autoSpaceDE w:val="0"/>
        <w:autoSpaceDN w:val="0"/>
        <w:adjustRightInd w:val="0"/>
        <w:spacing w:after="0" w:line="240" w:lineRule="auto"/>
        <w:ind w:right="-540"/>
        <w:rPr>
          <w:rFonts w:ascii="TimesNewRoman" w:hAnsi="TimesNewRoman" w:cs="TimesNewRoman"/>
          <w:sz w:val="24"/>
          <w:szCs w:val="24"/>
        </w:rPr>
      </w:pPr>
      <w:r w:rsidRPr="00BB6B65">
        <w:rPr>
          <w:rFonts w:ascii="Times New Roman" w:eastAsia="SimSun" w:hAnsi="Times New Roman" w:cs="Times New Roman"/>
          <w:sz w:val="20"/>
          <w:szCs w:val="20"/>
          <w:lang w:val="en-GB" w:eastAsia="fr-FR"/>
        </w:rPr>
        <w:t>2</w:t>
      </w:r>
      <w:r>
        <w:rPr>
          <w:rFonts w:ascii="Times New Roman" w:eastAsia="SimSun" w:hAnsi="Times New Roman" w:cs="Times New Roman"/>
          <w:sz w:val="20"/>
          <w:szCs w:val="20"/>
          <w:lang w:val="en-GB" w:eastAsia="fr-FR"/>
        </w:rPr>
        <w:t>1</w:t>
      </w:r>
      <w:r w:rsidRPr="00BB6B65">
        <w:rPr>
          <w:rFonts w:ascii="Times New Roman" w:eastAsia="SimSun" w:hAnsi="Times New Roman" w:cs="Times New Roman"/>
          <w:sz w:val="20"/>
          <w:szCs w:val="20"/>
          <w:lang w:val="en-GB" w:eastAsia="fr-FR"/>
        </w:rPr>
        <w:t xml:space="preserve"> </w:t>
      </w:r>
      <w:r>
        <w:rPr>
          <w:rFonts w:ascii="Times New Roman" w:eastAsia="SimSun" w:hAnsi="Times New Roman" w:cs="Times New Roman"/>
          <w:sz w:val="20"/>
          <w:szCs w:val="20"/>
          <w:lang w:val="en-GB" w:eastAsia="fr-FR"/>
        </w:rPr>
        <w:t>January</w:t>
      </w:r>
      <w:r w:rsidRPr="00BB6B65">
        <w:rPr>
          <w:rFonts w:ascii="Times New Roman" w:eastAsia="SimSun" w:hAnsi="Times New Roman" w:cs="Times New Roman"/>
          <w:sz w:val="20"/>
          <w:szCs w:val="20"/>
          <w:lang w:val="en-GB" w:eastAsia="fr-FR"/>
        </w:rPr>
        <w:t xml:space="preserve"> 201</w:t>
      </w:r>
      <w:r>
        <w:rPr>
          <w:rFonts w:ascii="Times New Roman" w:eastAsia="SimSun" w:hAnsi="Times New Roman" w:cs="Times New Roman"/>
          <w:sz w:val="20"/>
          <w:szCs w:val="20"/>
          <w:lang w:val="en-GB" w:eastAsia="fr-FR"/>
        </w:rPr>
        <w:t>9</w:t>
      </w:r>
      <w:r w:rsidR="00B17A80">
        <w:rPr>
          <w:rFonts w:ascii="TimesNewRoman" w:hAnsi="TimesNewRoman" w:cs="TimesNewRoman"/>
          <w:sz w:val="24"/>
          <w:szCs w:val="24"/>
        </w:rPr>
        <w:t xml:space="preserve"> </w:t>
      </w:r>
    </w:p>
    <w:p w:rsidR="00EB4EFD" w:rsidRDefault="00EB4EFD" w:rsidP="00A77762">
      <w:pPr>
        <w:autoSpaceDE w:val="0"/>
        <w:autoSpaceDN w:val="0"/>
        <w:adjustRightInd w:val="0"/>
        <w:spacing w:after="0" w:line="240" w:lineRule="auto"/>
        <w:ind w:left="2160" w:right="-540" w:firstLine="720"/>
        <w:rPr>
          <w:rFonts w:ascii="TimesNewRoman" w:hAnsi="TimesNewRoman" w:cs="TimesNewRoman"/>
          <w:b/>
          <w:sz w:val="24"/>
          <w:szCs w:val="24"/>
        </w:rPr>
      </w:pPr>
    </w:p>
    <w:p w:rsidR="000376A5" w:rsidRPr="000376A5" w:rsidRDefault="000376A5" w:rsidP="00C62F13">
      <w:pPr>
        <w:autoSpaceDE w:val="0"/>
        <w:autoSpaceDN w:val="0"/>
        <w:adjustRightInd w:val="0"/>
        <w:spacing w:after="0" w:line="240" w:lineRule="auto"/>
        <w:ind w:left="1440" w:right="-540" w:firstLine="720"/>
        <w:rPr>
          <w:rFonts w:ascii="TimesNewRoman" w:hAnsi="TimesNewRoman" w:cs="TimesNewRoman"/>
          <w:b/>
          <w:sz w:val="28"/>
          <w:szCs w:val="28"/>
        </w:rPr>
      </w:pPr>
      <w:r w:rsidRPr="000376A5">
        <w:rPr>
          <w:rFonts w:ascii="Times New Roman" w:eastAsia="Times New Roman" w:hAnsi="Times New Roman" w:cs="Times New Roman"/>
          <w:b/>
          <w:sz w:val="28"/>
          <w:szCs w:val="28"/>
          <w:lang w:val="en-GB"/>
        </w:rPr>
        <w:t>Reform of the UN planning and budgeting process</w:t>
      </w:r>
    </w:p>
    <w:p w:rsidR="000376A5" w:rsidRDefault="000376A5" w:rsidP="00A77762">
      <w:pPr>
        <w:autoSpaceDE w:val="0"/>
        <w:autoSpaceDN w:val="0"/>
        <w:adjustRightInd w:val="0"/>
        <w:spacing w:after="0" w:line="240" w:lineRule="auto"/>
        <w:ind w:left="2160" w:right="-540" w:firstLine="720"/>
        <w:rPr>
          <w:rFonts w:ascii="TimesNewRoman" w:hAnsi="TimesNewRoman" w:cs="TimesNewRoman"/>
          <w:b/>
          <w:sz w:val="24"/>
          <w:szCs w:val="24"/>
        </w:rPr>
      </w:pPr>
    </w:p>
    <w:p w:rsidR="000E7CDC" w:rsidRPr="000E7CDC" w:rsidRDefault="00B17A80" w:rsidP="00C62F13">
      <w:pPr>
        <w:autoSpaceDE w:val="0"/>
        <w:autoSpaceDN w:val="0"/>
        <w:adjustRightInd w:val="0"/>
        <w:spacing w:after="0" w:line="240" w:lineRule="auto"/>
        <w:ind w:left="2880" w:right="-540" w:firstLine="720"/>
        <w:rPr>
          <w:rFonts w:ascii="TimesNewRoman" w:hAnsi="TimesNewRoman" w:cs="TimesNewRoman"/>
          <w:b/>
          <w:sz w:val="24"/>
          <w:szCs w:val="24"/>
        </w:rPr>
      </w:pPr>
      <w:r>
        <w:rPr>
          <w:rFonts w:ascii="TimesNewRoman" w:hAnsi="TimesNewRoman" w:cs="TimesNewRoman"/>
          <w:b/>
          <w:sz w:val="24"/>
          <w:szCs w:val="24"/>
        </w:rPr>
        <w:t>Note by the secretariat</w:t>
      </w:r>
    </w:p>
    <w:p w:rsidR="000E7CDC" w:rsidRDefault="000E7CDC" w:rsidP="00A77762">
      <w:pPr>
        <w:autoSpaceDE w:val="0"/>
        <w:autoSpaceDN w:val="0"/>
        <w:adjustRightInd w:val="0"/>
        <w:spacing w:after="0" w:line="240" w:lineRule="auto"/>
        <w:ind w:right="-540"/>
        <w:rPr>
          <w:rFonts w:ascii="TimesNewRoman" w:hAnsi="TimesNewRoman" w:cs="TimesNewRoman"/>
          <w:sz w:val="24"/>
          <w:szCs w:val="24"/>
        </w:rPr>
      </w:pPr>
    </w:p>
    <w:p w:rsidR="00FA15F5" w:rsidRPr="00C62F13" w:rsidRDefault="005C3376" w:rsidP="00C62F13">
      <w:pPr>
        <w:pStyle w:val="ListParagraph"/>
        <w:numPr>
          <w:ilvl w:val="0"/>
          <w:numId w:val="7"/>
        </w:numPr>
        <w:autoSpaceDE w:val="0"/>
        <w:autoSpaceDN w:val="0"/>
        <w:adjustRightInd w:val="0"/>
        <w:spacing w:after="0" w:line="240" w:lineRule="auto"/>
        <w:ind w:right="-540"/>
        <w:jc w:val="both"/>
        <w:rPr>
          <w:rFonts w:ascii="TimesNewRoman" w:hAnsi="TimesNewRoman" w:cs="TimesNewRoman"/>
          <w:sz w:val="24"/>
          <w:szCs w:val="24"/>
        </w:rPr>
      </w:pPr>
      <w:r w:rsidRPr="00C62F13">
        <w:rPr>
          <w:rFonts w:ascii="TimesNewRoman" w:hAnsi="TimesNewRoman" w:cs="TimesNewRoman"/>
          <w:sz w:val="24"/>
          <w:szCs w:val="24"/>
        </w:rPr>
        <w:t xml:space="preserve">In </w:t>
      </w:r>
      <w:r w:rsidR="00B56100" w:rsidRPr="00C62F13">
        <w:rPr>
          <w:rFonts w:ascii="TimesNewRoman" w:hAnsi="TimesNewRoman" w:cs="TimesNewRoman"/>
          <w:sz w:val="24"/>
          <w:szCs w:val="24"/>
        </w:rPr>
        <w:t xml:space="preserve">its </w:t>
      </w:r>
      <w:r w:rsidRPr="00C62F13">
        <w:rPr>
          <w:rFonts w:ascii="TimesNewRoman" w:hAnsi="TimesNewRoman" w:cs="TimesNewRoman"/>
          <w:sz w:val="24"/>
          <w:szCs w:val="24"/>
        </w:rPr>
        <w:t>resolution</w:t>
      </w:r>
      <w:r w:rsidR="00B56100" w:rsidRPr="00C62F13">
        <w:rPr>
          <w:rFonts w:ascii="TimesNewRoman" w:hAnsi="TimesNewRoman" w:cs="TimesNewRoman"/>
          <w:sz w:val="24"/>
          <w:szCs w:val="24"/>
        </w:rPr>
        <w:t xml:space="preserve"> A/72/266 “Shifting the management paradigm in the United Nations”</w:t>
      </w:r>
      <w:r w:rsidRPr="00C62F13">
        <w:rPr>
          <w:rFonts w:ascii="TimesNewRoman" w:hAnsi="TimesNewRoman" w:cs="TimesNewRoman"/>
          <w:sz w:val="24"/>
          <w:szCs w:val="24"/>
        </w:rPr>
        <w:t xml:space="preserve">, </w:t>
      </w:r>
      <w:r w:rsidR="00B56100" w:rsidRPr="00C62F13">
        <w:rPr>
          <w:rFonts w:ascii="TimesNewRoman" w:hAnsi="TimesNewRoman" w:cs="TimesNewRoman"/>
          <w:sz w:val="24"/>
          <w:szCs w:val="24"/>
        </w:rPr>
        <w:t>the General Assembly (GA)</w:t>
      </w:r>
      <w:r w:rsidRPr="00C62F13">
        <w:rPr>
          <w:rFonts w:ascii="TimesNewRoman" w:hAnsi="TimesNewRoman" w:cs="TimesNewRoman"/>
          <w:sz w:val="24"/>
          <w:szCs w:val="24"/>
        </w:rPr>
        <w:t xml:space="preserve"> approved the proposed change from a biennial to an annual budget period on a trial basis, beginning with the programme budget for 2020</w:t>
      </w:r>
      <w:r w:rsidR="00695F3B" w:rsidRPr="00C62F13">
        <w:rPr>
          <w:rFonts w:ascii="TimesNewRoman" w:hAnsi="TimesNewRoman" w:cs="TimesNewRoman"/>
          <w:sz w:val="24"/>
          <w:szCs w:val="24"/>
        </w:rPr>
        <w:t xml:space="preserve">, and requested the Secretary-General to conduct a review of changes to the budgetary cycle in 2022, following the completion of the first full budgetary cycle. The General Assembly </w:t>
      </w:r>
      <w:r w:rsidR="00B56100" w:rsidRPr="00C62F13">
        <w:rPr>
          <w:rFonts w:ascii="TimesNewRoman" w:hAnsi="TimesNewRoman" w:cs="TimesNewRoman"/>
          <w:sz w:val="24"/>
          <w:szCs w:val="24"/>
        </w:rPr>
        <w:t>further</w:t>
      </w:r>
      <w:r w:rsidR="00695F3B" w:rsidRPr="00C62F13">
        <w:rPr>
          <w:rFonts w:ascii="TimesNewRoman" w:hAnsi="TimesNewRoman" w:cs="TimesNewRoman"/>
          <w:sz w:val="24"/>
          <w:szCs w:val="24"/>
        </w:rPr>
        <w:t xml:space="preserve"> decided to review at its seventy-seventh session, with a view to taking a final decision, the implementation of the annual budget</w:t>
      </w:r>
      <w:r w:rsidR="00FA15F5" w:rsidRPr="00C62F13">
        <w:rPr>
          <w:rFonts w:ascii="TimesNewRoman" w:hAnsi="TimesNewRoman" w:cs="TimesNewRoman"/>
          <w:sz w:val="24"/>
          <w:szCs w:val="24"/>
        </w:rPr>
        <w:t xml:space="preserve">. </w:t>
      </w:r>
    </w:p>
    <w:p w:rsidR="00217DE3" w:rsidRDefault="00217DE3" w:rsidP="00BB6B65">
      <w:pPr>
        <w:autoSpaceDE w:val="0"/>
        <w:autoSpaceDN w:val="0"/>
        <w:adjustRightInd w:val="0"/>
        <w:spacing w:after="0" w:line="240" w:lineRule="auto"/>
        <w:ind w:right="-540"/>
        <w:jc w:val="both"/>
        <w:rPr>
          <w:rFonts w:ascii="TimesNewRoman" w:hAnsi="TimesNewRoman" w:cs="TimesNewRoman"/>
          <w:sz w:val="24"/>
          <w:szCs w:val="24"/>
        </w:rPr>
      </w:pPr>
    </w:p>
    <w:p w:rsidR="00FA15F5" w:rsidRPr="00C62F13" w:rsidRDefault="00D03E91" w:rsidP="00C62F13">
      <w:pPr>
        <w:pStyle w:val="ListParagraph"/>
        <w:numPr>
          <w:ilvl w:val="0"/>
          <w:numId w:val="7"/>
        </w:numPr>
        <w:autoSpaceDE w:val="0"/>
        <w:autoSpaceDN w:val="0"/>
        <w:adjustRightInd w:val="0"/>
        <w:spacing w:after="0" w:line="240" w:lineRule="auto"/>
        <w:ind w:right="-540"/>
        <w:jc w:val="both"/>
        <w:rPr>
          <w:rFonts w:ascii="TimesNewRoman" w:hAnsi="TimesNewRoman" w:cs="TimesNewRoman"/>
          <w:sz w:val="24"/>
          <w:szCs w:val="24"/>
        </w:rPr>
      </w:pPr>
      <w:r w:rsidRPr="00C62F13">
        <w:rPr>
          <w:rFonts w:ascii="TimesNewRoman" w:hAnsi="TimesNewRoman" w:cs="TimesNewRoman"/>
          <w:sz w:val="24"/>
          <w:szCs w:val="24"/>
        </w:rPr>
        <w:t xml:space="preserve">The Proposed Programme Budget </w:t>
      </w:r>
      <w:r w:rsidR="002D7D00" w:rsidRPr="00C62F13">
        <w:rPr>
          <w:rFonts w:ascii="TimesNewRoman" w:hAnsi="TimesNewRoman" w:cs="TimesNewRoman"/>
          <w:sz w:val="24"/>
          <w:szCs w:val="24"/>
        </w:rPr>
        <w:t xml:space="preserve">of the Organization </w:t>
      </w:r>
      <w:r w:rsidRPr="00C62F13">
        <w:rPr>
          <w:rFonts w:ascii="TimesNewRoman" w:hAnsi="TimesNewRoman" w:cs="TimesNewRoman"/>
          <w:sz w:val="24"/>
          <w:szCs w:val="24"/>
        </w:rPr>
        <w:t xml:space="preserve">will consist of the following three parts: </w:t>
      </w:r>
    </w:p>
    <w:p w:rsidR="00D03E91" w:rsidRPr="0007457C" w:rsidRDefault="00D03E91" w:rsidP="00BB6B65">
      <w:pPr>
        <w:pStyle w:val="ListParagraph"/>
        <w:numPr>
          <w:ilvl w:val="0"/>
          <w:numId w:val="1"/>
        </w:numPr>
        <w:autoSpaceDE w:val="0"/>
        <w:autoSpaceDN w:val="0"/>
        <w:adjustRightInd w:val="0"/>
        <w:spacing w:after="0" w:line="240" w:lineRule="auto"/>
        <w:ind w:right="-540"/>
        <w:jc w:val="both"/>
        <w:rPr>
          <w:rFonts w:ascii="TimesNewRoman" w:hAnsi="TimesNewRoman" w:cs="TimesNewRoman"/>
          <w:sz w:val="24"/>
          <w:szCs w:val="24"/>
        </w:rPr>
      </w:pPr>
      <w:r w:rsidRPr="0007457C">
        <w:rPr>
          <w:rFonts w:ascii="TimesNewRoman" w:hAnsi="TimesNewRoman" w:cs="TimesNewRoman"/>
          <w:sz w:val="24"/>
          <w:szCs w:val="24"/>
        </w:rPr>
        <w:t xml:space="preserve">Part I: the plan outline, which </w:t>
      </w:r>
      <w:r w:rsidR="002D7D00" w:rsidRPr="0007457C">
        <w:rPr>
          <w:rFonts w:ascii="TimesNewRoman" w:hAnsi="TimesNewRoman" w:cs="TimesNewRoman"/>
          <w:sz w:val="24"/>
          <w:szCs w:val="24"/>
        </w:rPr>
        <w:t>present</w:t>
      </w:r>
      <w:r w:rsidRPr="0007457C">
        <w:rPr>
          <w:rFonts w:ascii="TimesNewRoman" w:hAnsi="TimesNewRoman" w:cs="TimesNewRoman"/>
          <w:sz w:val="24"/>
          <w:szCs w:val="24"/>
        </w:rPr>
        <w:t>s the long-term priorities and the</w:t>
      </w:r>
      <w:r w:rsidR="00DD1F73" w:rsidRPr="0007457C">
        <w:rPr>
          <w:rFonts w:ascii="TimesNewRoman" w:hAnsi="TimesNewRoman" w:cs="TimesNewRoman"/>
          <w:sz w:val="24"/>
          <w:szCs w:val="24"/>
        </w:rPr>
        <w:t xml:space="preserve"> objectives of the Organization;</w:t>
      </w:r>
    </w:p>
    <w:p w:rsidR="00D03E91" w:rsidRPr="0007457C" w:rsidRDefault="00D03E91" w:rsidP="00BB6B65">
      <w:pPr>
        <w:pStyle w:val="ListParagraph"/>
        <w:numPr>
          <w:ilvl w:val="0"/>
          <w:numId w:val="1"/>
        </w:numPr>
        <w:autoSpaceDE w:val="0"/>
        <w:autoSpaceDN w:val="0"/>
        <w:adjustRightInd w:val="0"/>
        <w:spacing w:after="0" w:line="240" w:lineRule="auto"/>
        <w:ind w:right="-540"/>
        <w:jc w:val="both"/>
        <w:rPr>
          <w:rFonts w:ascii="TimesNewRoman" w:hAnsi="TimesNewRoman" w:cs="TimesNewRoman"/>
          <w:sz w:val="24"/>
          <w:szCs w:val="24"/>
        </w:rPr>
      </w:pPr>
      <w:r w:rsidRPr="0007457C">
        <w:rPr>
          <w:rFonts w:ascii="TimesNewRoman" w:hAnsi="TimesNewRoman" w:cs="TimesNewRoman"/>
          <w:sz w:val="24"/>
          <w:szCs w:val="24"/>
        </w:rPr>
        <w:t>Part II: the programme plan and programme performance information</w:t>
      </w:r>
      <w:r w:rsidR="00C853B0" w:rsidRPr="00C853B0">
        <w:rPr>
          <w:rFonts w:ascii="TimesNewRoman" w:hAnsi="TimesNewRoman" w:cs="TimesNewRoman"/>
          <w:sz w:val="24"/>
          <w:szCs w:val="24"/>
        </w:rPr>
        <w:t xml:space="preserve"> </w:t>
      </w:r>
      <w:r w:rsidR="00C853B0" w:rsidRPr="0007457C">
        <w:rPr>
          <w:rFonts w:ascii="TimesNewRoman" w:hAnsi="TimesNewRoman" w:cs="TimesNewRoman"/>
          <w:sz w:val="24"/>
          <w:szCs w:val="24"/>
        </w:rPr>
        <w:t>for programmes and subprogrammes</w:t>
      </w:r>
      <w:r w:rsidR="002D7D00" w:rsidRPr="0007457C">
        <w:rPr>
          <w:rFonts w:ascii="TimesNewRoman" w:hAnsi="TimesNewRoman" w:cs="TimesNewRoman"/>
          <w:sz w:val="24"/>
          <w:szCs w:val="24"/>
        </w:rPr>
        <w:t>;</w:t>
      </w:r>
      <w:r w:rsidR="00DD1F73" w:rsidRPr="0007457C">
        <w:rPr>
          <w:rFonts w:ascii="TimesNewRoman" w:hAnsi="TimesNewRoman" w:cs="TimesNewRoman"/>
          <w:sz w:val="24"/>
          <w:szCs w:val="24"/>
        </w:rPr>
        <w:t xml:space="preserve"> and</w:t>
      </w:r>
    </w:p>
    <w:p w:rsidR="00D03E91" w:rsidRPr="0007457C" w:rsidRDefault="00D03E91" w:rsidP="00BB6B65">
      <w:pPr>
        <w:pStyle w:val="ListParagraph"/>
        <w:numPr>
          <w:ilvl w:val="0"/>
          <w:numId w:val="1"/>
        </w:numPr>
        <w:autoSpaceDE w:val="0"/>
        <w:autoSpaceDN w:val="0"/>
        <w:adjustRightInd w:val="0"/>
        <w:spacing w:after="0" w:line="240" w:lineRule="auto"/>
        <w:ind w:right="-540"/>
        <w:jc w:val="both"/>
        <w:rPr>
          <w:rFonts w:ascii="TimesNewRoman" w:hAnsi="TimesNewRoman" w:cs="TimesNewRoman"/>
          <w:sz w:val="24"/>
          <w:szCs w:val="24"/>
        </w:rPr>
      </w:pPr>
      <w:r w:rsidRPr="0007457C">
        <w:rPr>
          <w:rFonts w:ascii="TimesNewRoman" w:hAnsi="TimesNewRoman" w:cs="TimesNewRoman"/>
          <w:sz w:val="24"/>
          <w:szCs w:val="24"/>
        </w:rPr>
        <w:t>Part III: the post and non-</w:t>
      </w:r>
      <w:r w:rsidR="00AE6E10">
        <w:rPr>
          <w:rFonts w:ascii="TimesNewRoman" w:hAnsi="TimesNewRoman" w:cs="TimesNewRoman"/>
          <w:sz w:val="24"/>
          <w:szCs w:val="24"/>
        </w:rPr>
        <w:t xml:space="preserve">post resource requirements for </w:t>
      </w:r>
      <w:r w:rsidR="00DD1F73" w:rsidRPr="0007457C">
        <w:rPr>
          <w:rFonts w:ascii="TimesNewRoman" w:hAnsi="TimesNewRoman" w:cs="TimesNewRoman"/>
          <w:sz w:val="24"/>
          <w:szCs w:val="24"/>
        </w:rPr>
        <w:t>programmes and subprogrammes.</w:t>
      </w:r>
    </w:p>
    <w:p w:rsidR="000E4778" w:rsidRDefault="000E4778" w:rsidP="00BB6B65">
      <w:pPr>
        <w:autoSpaceDE w:val="0"/>
        <w:autoSpaceDN w:val="0"/>
        <w:adjustRightInd w:val="0"/>
        <w:spacing w:after="0" w:line="240" w:lineRule="auto"/>
        <w:ind w:right="-540"/>
        <w:jc w:val="both"/>
        <w:rPr>
          <w:rFonts w:ascii="TimesNewRoman" w:hAnsi="TimesNewRoman" w:cs="TimesNewRoman"/>
          <w:sz w:val="24"/>
          <w:szCs w:val="24"/>
        </w:rPr>
      </w:pPr>
    </w:p>
    <w:p w:rsidR="00D27739" w:rsidRPr="00C62F13" w:rsidRDefault="00C2079E" w:rsidP="00C62F13">
      <w:pPr>
        <w:pStyle w:val="ListParagraph"/>
        <w:numPr>
          <w:ilvl w:val="0"/>
          <w:numId w:val="7"/>
        </w:numPr>
        <w:autoSpaceDE w:val="0"/>
        <w:autoSpaceDN w:val="0"/>
        <w:adjustRightInd w:val="0"/>
        <w:spacing w:after="0" w:line="240" w:lineRule="auto"/>
        <w:ind w:right="-540"/>
        <w:jc w:val="both"/>
        <w:rPr>
          <w:rFonts w:ascii="TimesNewRoman" w:hAnsi="TimesNewRoman" w:cs="TimesNewRoman"/>
          <w:sz w:val="24"/>
          <w:szCs w:val="24"/>
        </w:rPr>
      </w:pPr>
      <w:r w:rsidRPr="00C62F13">
        <w:rPr>
          <w:rFonts w:ascii="TimesNewRoman" w:hAnsi="TimesNewRoman" w:cs="TimesNewRoman"/>
          <w:sz w:val="24"/>
          <w:szCs w:val="24"/>
        </w:rPr>
        <w:t xml:space="preserve">Part I will </w:t>
      </w:r>
      <w:r w:rsidR="00EC23E1" w:rsidRPr="00C62F13">
        <w:rPr>
          <w:rFonts w:ascii="TimesNewRoman" w:hAnsi="TimesNewRoman" w:cs="TimesNewRoman"/>
          <w:sz w:val="24"/>
          <w:szCs w:val="24"/>
        </w:rPr>
        <w:t xml:space="preserve">be prepared by the secretariat at the </w:t>
      </w:r>
      <w:r w:rsidR="007E42D8" w:rsidRPr="00C62F13">
        <w:rPr>
          <w:rFonts w:ascii="TimesNewRoman" w:hAnsi="TimesNewRoman" w:cs="TimesNewRoman"/>
          <w:sz w:val="24"/>
          <w:szCs w:val="24"/>
        </w:rPr>
        <w:t xml:space="preserve">UN </w:t>
      </w:r>
      <w:r w:rsidR="00EC23E1" w:rsidRPr="00C62F13">
        <w:rPr>
          <w:rFonts w:ascii="TimesNewRoman" w:hAnsi="TimesNewRoman" w:cs="TimesNewRoman"/>
          <w:sz w:val="24"/>
          <w:szCs w:val="24"/>
        </w:rPr>
        <w:t>Headquarters</w:t>
      </w:r>
      <w:r w:rsidR="003129A8" w:rsidRPr="00C62F13">
        <w:rPr>
          <w:rFonts w:ascii="TimesNewRoman" w:hAnsi="TimesNewRoman" w:cs="TimesNewRoman"/>
          <w:sz w:val="24"/>
          <w:szCs w:val="24"/>
        </w:rPr>
        <w:t>,</w:t>
      </w:r>
      <w:r w:rsidR="00EC23E1" w:rsidRPr="00C62F13">
        <w:rPr>
          <w:rFonts w:ascii="TimesNewRoman" w:hAnsi="TimesNewRoman" w:cs="TimesNewRoman"/>
          <w:sz w:val="24"/>
          <w:szCs w:val="24"/>
        </w:rPr>
        <w:t xml:space="preserve"> and submitted to the General Assembly through the Committee for Programme and Coordination</w:t>
      </w:r>
      <w:r w:rsidR="00B56100" w:rsidRPr="00C62F13">
        <w:rPr>
          <w:rFonts w:ascii="TimesNewRoman" w:hAnsi="TimesNewRoman" w:cs="TimesNewRoman"/>
          <w:sz w:val="24"/>
          <w:szCs w:val="24"/>
        </w:rPr>
        <w:t xml:space="preserve"> as a separate </w:t>
      </w:r>
      <w:r w:rsidR="00DD081C" w:rsidRPr="00C62F13">
        <w:rPr>
          <w:rFonts w:ascii="TimesNewRoman" w:hAnsi="TimesNewRoman" w:cs="TimesNewRoman"/>
          <w:sz w:val="24"/>
          <w:szCs w:val="24"/>
        </w:rPr>
        <w:t>document</w:t>
      </w:r>
      <w:r w:rsidR="00EC23E1" w:rsidRPr="00C62F13">
        <w:rPr>
          <w:rFonts w:ascii="TimesNewRoman" w:hAnsi="TimesNewRoman" w:cs="TimesNewRoman"/>
          <w:sz w:val="24"/>
          <w:szCs w:val="24"/>
        </w:rPr>
        <w:t xml:space="preserve">. </w:t>
      </w:r>
      <w:r w:rsidR="00FA6D8E" w:rsidRPr="00C62F13">
        <w:rPr>
          <w:rFonts w:ascii="TimesNewRoman" w:hAnsi="TimesNewRoman" w:cs="TimesNewRoman"/>
          <w:sz w:val="24"/>
          <w:szCs w:val="24"/>
        </w:rPr>
        <w:t xml:space="preserve">Parts II and III </w:t>
      </w:r>
      <w:r w:rsidR="002D7D00" w:rsidRPr="00C62F13">
        <w:rPr>
          <w:rFonts w:ascii="TimesNewRoman" w:hAnsi="TimesNewRoman" w:cs="TimesNewRoman"/>
          <w:sz w:val="24"/>
          <w:szCs w:val="24"/>
        </w:rPr>
        <w:t xml:space="preserve">will be prepared by </w:t>
      </w:r>
      <w:r w:rsidR="007E42D8" w:rsidRPr="00C62F13">
        <w:rPr>
          <w:rFonts w:ascii="TimesNewRoman" w:hAnsi="TimesNewRoman" w:cs="TimesNewRoman"/>
          <w:sz w:val="24"/>
          <w:szCs w:val="24"/>
        </w:rPr>
        <w:t>Secretariat Departments</w:t>
      </w:r>
      <w:r w:rsidR="00B56100" w:rsidRPr="00C62F13">
        <w:rPr>
          <w:rFonts w:ascii="TimesNewRoman" w:hAnsi="TimesNewRoman" w:cs="TimesNewRoman"/>
          <w:sz w:val="24"/>
          <w:szCs w:val="24"/>
        </w:rPr>
        <w:t xml:space="preserve"> (</w:t>
      </w:r>
      <w:r w:rsidR="008447A0" w:rsidRPr="00C62F13">
        <w:rPr>
          <w:rFonts w:ascii="TimesNewRoman" w:hAnsi="TimesNewRoman" w:cs="TimesNewRoman"/>
          <w:sz w:val="24"/>
          <w:szCs w:val="24"/>
        </w:rPr>
        <w:t>“</w:t>
      </w:r>
      <w:r w:rsidR="00B56100" w:rsidRPr="00C62F13">
        <w:rPr>
          <w:rFonts w:ascii="TimesNewRoman" w:hAnsi="TimesNewRoman" w:cs="TimesNewRoman"/>
          <w:sz w:val="24"/>
          <w:szCs w:val="24"/>
        </w:rPr>
        <w:t>budget sections</w:t>
      </w:r>
      <w:r w:rsidR="008447A0" w:rsidRPr="00C62F13">
        <w:rPr>
          <w:rFonts w:ascii="TimesNewRoman" w:hAnsi="TimesNewRoman" w:cs="TimesNewRoman"/>
          <w:sz w:val="24"/>
          <w:szCs w:val="24"/>
        </w:rPr>
        <w:t>”</w:t>
      </w:r>
      <w:r w:rsidR="00B56100" w:rsidRPr="00C62F13">
        <w:rPr>
          <w:rFonts w:ascii="TimesNewRoman" w:hAnsi="TimesNewRoman" w:cs="TimesNewRoman"/>
          <w:sz w:val="24"/>
          <w:szCs w:val="24"/>
        </w:rPr>
        <w:t>)</w:t>
      </w:r>
      <w:r w:rsidR="002D7D00" w:rsidRPr="00C62F13">
        <w:rPr>
          <w:rFonts w:ascii="TimesNewRoman" w:hAnsi="TimesNewRoman" w:cs="TimesNewRoman"/>
          <w:sz w:val="24"/>
          <w:szCs w:val="24"/>
        </w:rPr>
        <w:t xml:space="preserve">, including ECE, on an annual basis. They will </w:t>
      </w:r>
      <w:r w:rsidR="00FA6D8E" w:rsidRPr="00C62F13">
        <w:rPr>
          <w:rFonts w:ascii="TimesNewRoman" w:hAnsi="TimesNewRoman" w:cs="TimesNewRoman"/>
          <w:sz w:val="24"/>
          <w:szCs w:val="24"/>
        </w:rPr>
        <w:t>be submitted to the G</w:t>
      </w:r>
      <w:r w:rsidR="0007457C" w:rsidRPr="00C62F13">
        <w:rPr>
          <w:rFonts w:ascii="TimesNewRoman" w:hAnsi="TimesNewRoman" w:cs="TimesNewRoman"/>
          <w:sz w:val="24"/>
          <w:szCs w:val="24"/>
        </w:rPr>
        <w:t xml:space="preserve">eneral </w:t>
      </w:r>
      <w:r w:rsidR="00FA6D8E" w:rsidRPr="00C62F13">
        <w:rPr>
          <w:rFonts w:ascii="TimesNewRoman" w:hAnsi="TimesNewRoman" w:cs="TimesNewRoman"/>
          <w:sz w:val="24"/>
          <w:szCs w:val="24"/>
        </w:rPr>
        <w:t>A</w:t>
      </w:r>
      <w:r w:rsidR="0007457C" w:rsidRPr="00C62F13">
        <w:rPr>
          <w:rFonts w:ascii="TimesNewRoman" w:hAnsi="TimesNewRoman" w:cs="TimesNewRoman"/>
          <w:sz w:val="24"/>
          <w:szCs w:val="24"/>
        </w:rPr>
        <w:t>ssembly</w:t>
      </w:r>
      <w:r w:rsidR="00FA6D8E" w:rsidRPr="00C62F13">
        <w:rPr>
          <w:rFonts w:ascii="TimesNewRoman" w:hAnsi="TimesNewRoman" w:cs="TimesNewRoman"/>
          <w:sz w:val="24"/>
          <w:szCs w:val="24"/>
        </w:rPr>
        <w:t xml:space="preserve"> </w:t>
      </w:r>
      <w:r w:rsidR="002D7D00" w:rsidRPr="00C62F13">
        <w:rPr>
          <w:rFonts w:ascii="TimesNewRoman" w:hAnsi="TimesNewRoman" w:cs="TimesNewRoman"/>
          <w:sz w:val="24"/>
          <w:szCs w:val="24"/>
        </w:rPr>
        <w:t>through</w:t>
      </w:r>
      <w:r w:rsidR="00FA6D8E" w:rsidRPr="00C62F13">
        <w:rPr>
          <w:rFonts w:ascii="TimesNewRoman" w:hAnsi="TimesNewRoman" w:cs="TimesNewRoman"/>
          <w:sz w:val="24"/>
          <w:szCs w:val="24"/>
        </w:rPr>
        <w:t xml:space="preserve"> the Committee for Programme and Coordination (Part II) and the A</w:t>
      </w:r>
      <w:r w:rsidR="002D7D00" w:rsidRPr="00C62F13">
        <w:rPr>
          <w:rFonts w:ascii="TimesNewRoman" w:hAnsi="TimesNewRoman" w:cs="TimesNewRoman"/>
          <w:sz w:val="24"/>
          <w:szCs w:val="24"/>
        </w:rPr>
        <w:t xml:space="preserve">dvisory </w:t>
      </w:r>
      <w:r w:rsidR="00FA6D8E" w:rsidRPr="00C62F13">
        <w:rPr>
          <w:rFonts w:ascii="TimesNewRoman" w:hAnsi="TimesNewRoman" w:cs="TimesNewRoman"/>
          <w:sz w:val="24"/>
          <w:szCs w:val="24"/>
        </w:rPr>
        <w:t>C</w:t>
      </w:r>
      <w:r w:rsidR="002D7D00" w:rsidRPr="00C62F13">
        <w:rPr>
          <w:rFonts w:ascii="TimesNewRoman" w:hAnsi="TimesNewRoman" w:cs="TimesNewRoman"/>
          <w:sz w:val="24"/>
          <w:szCs w:val="24"/>
        </w:rPr>
        <w:t xml:space="preserve">ommittee on </w:t>
      </w:r>
      <w:r w:rsidR="00FA6D8E" w:rsidRPr="00C62F13">
        <w:rPr>
          <w:rFonts w:ascii="TimesNewRoman" w:hAnsi="TimesNewRoman" w:cs="TimesNewRoman"/>
          <w:sz w:val="24"/>
          <w:szCs w:val="24"/>
        </w:rPr>
        <w:t>A</w:t>
      </w:r>
      <w:r w:rsidR="002D7D00" w:rsidRPr="00C62F13">
        <w:rPr>
          <w:rFonts w:ascii="TimesNewRoman" w:hAnsi="TimesNewRoman" w:cs="TimesNewRoman"/>
          <w:sz w:val="24"/>
          <w:szCs w:val="24"/>
        </w:rPr>
        <w:t xml:space="preserve">dministrative and </w:t>
      </w:r>
      <w:r w:rsidR="00FA6D8E" w:rsidRPr="00C62F13">
        <w:rPr>
          <w:rFonts w:ascii="TimesNewRoman" w:hAnsi="TimesNewRoman" w:cs="TimesNewRoman"/>
          <w:sz w:val="24"/>
          <w:szCs w:val="24"/>
        </w:rPr>
        <w:t>B</w:t>
      </w:r>
      <w:r w:rsidR="002D7D00" w:rsidRPr="00C62F13">
        <w:rPr>
          <w:rFonts w:ascii="TimesNewRoman" w:hAnsi="TimesNewRoman" w:cs="TimesNewRoman"/>
          <w:sz w:val="24"/>
          <w:szCs w:val="24"/>
        </w:rPr>
        <w:t xml:space="preserve">udgetary </w:t>
      </w:r>
      <w:r w:rsidR="00FA6D8E" w:rsidRPr="00C62F13">
        <w:rPr>
          <w:rFonts w:ascii="TimesNewRoman" w:hAnsi="TimesNewRoman" w:cs="TimesNewRoman"/>
          <w:sz w:val="24"/>
          <w:szCs w:val="24"/>
        </w:rPr>
        <w:t>Q</w:t>
      </w:r>
      <w:r w:rsidR="002D7D00" w:rsidRPr="00C62F13">
        <w:rPr>
          <w:rFonts w:ascii="TimesNewRoman" w:hAnsi="TimesNewRoman" w:cs="TimesNewRoman"/>
          <w:sz w:val="24"/>
          <w:szCs w:val="24"/>
        </w:rPr>
        <w:t>uestions</w:t>
      </w:r>
      <w:r w:rsidR="00FA6D8E" w:rsidRPr="00C62F13">
        <w:rPr>
          <w:rFonts w:ascii="TimesNewRoman" w:hAnsi="TimesNewRoman" w:cs="TimesNewRoman"/>
          <w:sz w:val="24"/>
          <w:szCs w:val="24"/>
        </w:rPr>
        <w:t xml:space="preserve"> (Part III)</w:t>
      </w:r>
      <w:r w:rsidR="00D27739" w:rsidRPr="00C62F13">
        <w:rPr>
          <w:rFonts w:ascii="TimesNewRoman" w:hAnsi="TimesNewRoman" w:cs="TimesNewRoman"/>
          <w:sz w:val="24"/>
          <w:szCs w:val="24"/>
        </w:rPr>
        <w:t>.</w:t>
      </w:r>
    </w:p>
    <w:p w:rsidR="000E4778" w:rsidRDefault="000E4778" w:rsidP="00BB6B65">
      <w:pPr>
        <w:autoSpaceDE w:val="0"/>
        <w:autoSpaceDN w:val="0"/>
        <w:adjustRightInd w:val="0"/>
        <w:spacing w:after="0" w:line="240" w:lineRule="auto"/>
        <w:ind w:right="-540"/>
        <w:jc w:val="both"/>
        <w:rPr>
          <w:rFonts w:ascii="TimesNewRoman" w:hAnsi="TimesNewRoman" w:cs="TimesNewRoman"/>
          <w:sz w:val="24"/>
          <w:szCs w:val="24"/>
        </w:rPr>
      </w:pPr>
    </w:p>
    <w:p w:rsidR="00CF0AF3" w:rsidRPr="00C62F13" w:rsidRDefault="00C0699D" w:rsidP="00C62F13">
      <w:pPr>
        <w:pStyle w:val="ListParagraph"/>
        <w:numPr>
          <w:ilvl w:val="0"/>
          <w:numId w:val="7"/>
        </w:numPr>
        <w:autoSpaceDE w:val="0"/>
        <w:autoSpaceDN w:val="0"/>
        <w:adjustRightInd w:val="0"/>
        <w:spacing w:after="0" w:line="240" w:lineRule="auto"/>
        <w:ind w:right="-540"/>
        <w:jc w:val="both"/>
        <w:rPr>
          <w:rFonts w:ascii="TimesNewRoman" w:hAnsi="TimesNewRoman" w:cs="TimesNewRoman"/>
          <w:sz w:val="24"/>
          <w:szCs w:val="24"/>
        </w:rPr>
      </w:pPr>
      <w:r w:rsidRPr="00C62F13">
        <w:rPr>
          <w:rFonts w:ascii="TimesNewRoman" w:hAnsi="TimesNewRoman" w:cs="TimesNewRoman"/>
          <w:sz w:val="24"/>
          <w:szCs w:val="24"/>
        </w:rPr>
        <w:t>T</w:t>
      </w:r>
      <w:r w:rsidR="00D27739" w:rsidRPr="00C62F13">
        <w:rPr>
          <w:rFonts w:ascii="TimesNewRoman" w:hAnsi="TimesNewRoman" w:cs="TimesNewRoman"/>
          <w:sz w:val="24"/>
          <w:szCs w:val="24"/>
        </w:rPr>
        <w:t xml:space="preserve">he first annual </w:t>
      </w:r>
      <w:r w:rsidR="0007457C" w:rsidRPr="00C62F13">
        <w:rPr>
          <w:rFonts w:ascii="TimesNewRoman" w:hAnsi="TimesNewRoman" w:cs="TimesNewRoman"/>
          <w:sz w:val="24"/>
          <w:szCs w:val="24"/>
        </w:rPr>
        <w:t xml:space="preserve">proposed </w:t>
      </w:r>
      <w:r w:rsidR="00D27739" w:rsidRPr="00C62F13">
        <w:rPr>
          <w:rFonts w:ascii="TimesNewRoman" w:hAnsi="TimesNewRoman" w:cs="TimesNewRoman"/>
          <w:sz w:val="24"/>
          <w:szCs w:val="24"/>
        </w:rPr>
        <w:t xml:space="preserve">programme budget will be </w:t>
      </w:r>
      <w:r w:rsidR="00650E53" w:rsidRPr="00C62F13">
        <w:rPr>
          <w:rFonts w:ascii="TimesNewRoman" w:hAnsi="TimesNewRoman" w:cs="TimesNewRoman"/>
          <w:sz w:val="24"/>
          <w:szCs w:val="24"/>
        </w:rPr>
        <w:t xml:space="preserve">prepared </w:t>
      </w:r>
      <w:r w:rsidR="00D27739" w:rsidRPr="00C62F13">
        <w:rPr>
          <w:rFonts w:ascii="TimesNewRoman" w:hAnsi="TimesNewRoman" w:cs="TimesNewRoman"/>
          <w:sz w:val="24"/>
          <w:szCs w:val="24"/>
        </w:rPr>
        <w:t xml:space="preserve">for 2020. </w:t>
      </w:r>
    </w:p>
    <w:p w:rsidR="00CF0AF3" w:rsidRDefault="00CF0AF3" w:rsidP="00BB6B65">
      <w:pPr>
        <w:autoSpaceDE w:val="0"/>
        <w:autoSpaceDN w:val="0"/>
        <w:adjustRightInd w:val="0"/>
        <w:spacing w:after="0" w:line="240" w:lineRule="auto"/>
        <w:ind w:right="-540"/>
        <w:jc w:val="both"/>
        <w:rPr>
          <w:rFonts w:ascii="TimesNewRoman" w:hAnsi="TimesNewRoman" w:cs="TimesNewRoman"/>
          <w:sz w:val="24"/>
          <w:szCs w:val="24"/>
        </w:rPr>
      </w:pPr>
    </w:p>
    <w:p w:rsidR="00B17728" w:rsidRPr="00C62F13" w:rsidRDefault="00695F3B" w:rsidP="00C62F13">
      <w:pPr>
        <w:pStyle w:val="ListParagraph"/>
        <w:numPr>
          <w:ilvl w:val="0"/>
          <w:numId w:val="7"/>
        </w:numPr>
        <w:autoSpaceDE w:val="0"/>
        <w:autoSpaceDN w:val="0"/>
        <w:adjustRightInd w:val="0"/>
        <w:spacing w:after="0" w:line="240" w:lineRule="auto"/>
        <w:ind w:right="-540"/>
        <w:jc w:val="both"/>
        <w:rPr>
          <w:rFonts w:ascii="TimesNewRoman" w:hAnsi="TimesNewRoman" w:cs="TimesNewRoman"/>
          <w:sz w:val="24"/>
          <w:szCs w:val="24"/>
        </w:rPr>
      </w:pPr>
      <w:r w:rsidRPr="00C62F13">
        <w:rPr>
          <w:rFonts w:ascii="TimesNewRoman" w:hAnsi="TimesNewRoman" w:cs="TimesNewRoman"/>
          <w:sz w:val="24"/>
          <w:szCs w:val="24"/>
        </w:rPr>
        <w:t xml:space="preserve">Based on the </w:t>
      </w:r>
      <w:r w:rsidR="007834D3" w:rsidRPr="00C62F13">
        <w:rPr>
          <w:rFonts w:ascii="TimesNewRoman" w:hAnsi="TimesNewRoman" w:cs="TimesNewRoman"/>
          <w:sz w:val="24"/>
          <w:szCs w:val="24"/>
        </w:rPr>
        <w:t xml:space="preserve">UN Controller’s </w:t>
      </w:r>
      <w:r w:rsidRPr="00C62F13">
        <w:rPr>
          <w:rFonts w:ascii="TimesNewRoman" w:hAnsi="TimesNewRoman" w:cs="TimesNewRoman"/>
          <w:sz w:val="24"/>
          <w:szCs w:val="24"/>
        </w:rPr>
        <w:t>instructions</w:t>
      </w:r>
      <w:r w:rsidR="007834D3" w:rsidRPr="00C62F13">
        <w:rPr>
          <w:rFonts w:ascii="TimesNewRoman" w:hAnsi="TimesNewRoman" w:cs="TimesNewRoman"/>
          <w:sz w:val="24"/>
          <w:szCs w:val="24"/>
        </w:rPr>
        <w:t xml:space="preserve"> issued in late December 2018</w:t>
      </w:r>
      <w:r w:rsidRPr="00C62F13">
        <w:rPr>
          <w:rFonts w:ascii="TimesNewRoman" w:hAnsi="TimesNewRoman" w:cs="TimesNewRoman"/>
          <w:sz w:val="24"/>
          <w:szCs w:val="24"/>
        </w:rPr>
        <w:t>, the ECE secretariat prepare</w:t>
      </w:r>
      <w:r w:rsidR="006D3BF3" w:rsidRPr="00C62F13">
        <w:rPr>
          <w:rFonts w:ascii="TimesNewRoman" w:hAnsi="TimesNewRoman" w:cs="TimesNewRoman"/>
          <w:sz w:val="24"/>
          <w:szCs w:val="24"/>
        </w:rPr>
        <w:t>d</w:t>
      </w:r>
      <w:r w:rsidRPr="00C62F13">
        <w:rPr>
          <w:rFonts w:ascii="TimesNewRoman" w:hAnsi="TimesNewRoman" w:cs="TimesNewRoman"/>
          <w:sz w:val="24"/>
          <w:szCs w:val="24"/>
        </w:rPr>
        <w:t xml:space="preserve"> the proposed programme budget for 2020 </w:t>
      </w:r>
      <w:r w:rsidR="000866DB" w:rsidRPr="00C62F13">
        <w:rPr>
          <w:rFonts w:ascii="TimesNewRoman" w:hAnsi="TimesNewRoman" w:cs="TimesNewRoman"/>
          <w:sz w:val="24"/>
          <w:szCs w:val="24"/>
        </w:rPr>
        <w:t xml:space="preserve">of subprogramme </w:t>
      </w:r>
      <w:r w:rsidR="006D3BF3" w:rsidRPr="00C62F13">
        <w:rPr>
          <w:rFonts w:ascii="TimesNewRoman" w:hAnsi="TimesNewRoman" w:cs="TimesNewRoman"/>
          <w:sz w:val="24"/>
          <w:szCs w:val="24"/>
        </w:rPr>
        <w:t xml:space="preserve">1 Environment which is </w:t>
      </w:r>
      <w:r w:rsidRPr="00C62F13">
        <w:rPr>
          <w:rFonts w:ascii="TimesNewRoman" w:hAnsi="TimesNewRoman" w:cs="TimesNewRoman"/>
          <w:sz w:val="24"/>
          <w:szCs w:val="24"/>
        </w:rPr>
        <w:t>share</w:t>
      </w:r>
      <w:r w:rsidR="006D3BF3" w:rsidRPr="00C62F13">
        <w:rPr>
          <w:rFonts w:ascii="TimesNewRoman" w:hAnsi="TimesNewRoman" w:cs="TimesNewRoman"/>
          <w:sz w:val="24"/>
          <w:szCs w:val="24"/>
        </w:rPr>
        <w:t>d</w:t>
      </w:r>
      <w:r w:rsidRPr="00C62F13">
        <w:rPr>
          <w:rFonts w:ascii="TimesNewRoman" w:hAnsi="TimesNewRoman" w:cs="TimesNewRoman"/>
          <w:sz w:val="24"/>
          <w:szCs w:val="24"/>
        </w:rPr>
        <w:t xml:space="preserve"> </w:t>
      </w:r>
      <w:r w:rsidR="000866DB" w:rsidRPr="00C62F13">
        <w:rPr>
          <w:rFonts w:ascii="TimesNewRoman" w:hAnsi="TimesNewRoman" w:cs="TimesNewRoman"/>
          <w:sz w:val="24"/>
          <w:szCs w:val="24"/>
        </w:rPr>
        <w:t xml:space="preserve">for comments </w:t>
      </w:r>
      <w:r w:rsidRPr="00C62F13">
        <w:rPr>
          <w:rFonts w:ascii="TimesNewRoman" w:hAnsi="TimesNewRoman" w:cs="TimesNewRoman"/>
          <w:sz w:val="24"/>
          <w:szCs w:val="24"/>
        </w:rPr>
        <w:t>with the Committee</w:t>
      </w:r>
      <w:r w:rsidR="000866DB" w:rsidRPr="00C62F13">
        <w:rPr>
          <w:rFonts w:ascii="TimesNewRoman" w:hAnsi="TimesNewRoman" w:cs="TimesNewRoman"/>
          <w:sz w:val="24"/>
          <w:szCs w:val="24"/>
        </w:rPr>
        <w:t xml:space="preserve"> on </w:t>
      </w:r>
      <w:r w:rsidR="006D3BF3" w:rsidRPr="00C62F13">
        <w:rPr>
          <w:rFonts w:ascii="TimesNewRoman" w:hAnsi="TimesNewRoman" w:cs="TimesNewRoman"/>
          <w:sz w:val="24"/>
          <w:szCs w:val="24"/>
        </w:rPr>
        <w:t>Environmental Policy</w:t>
      </w:r>
      <w:r w:rsidRPr="00C62F13">
        <w:rPr>
          <w:rFonts w:ascii="TimesNewRoman" w:hAnsi="TimesNewRoman" w:cs="TimesNewRoman"/>
          <w:sz w:val="24"/>
          <w:szCs w:val="24"/>
        </w:rPr>
        <w:t xml:space="preserve">. </w:t>
      </w:r>
      <w:r w:rsidR="006D3BF3" w:rsidRPr="00C62F13">
        <w:rPr>
          <w:rFonts w:ascii="TimesNewRoman" w:hAnsi="TimesNewRoman" w:cs="TimesNewRoman"/>
          <w:sz w:val="24"/>
          <w:szCs w:val="24"/>
        </w:rPr>
        <w:t>M</w:t>
      </w:r>
      <w:r w:rsidR="000866DB" w:rsidRPr="00C62F13">
        <w:rPr>
          <w:rFonts w:ascii="TimesNewRoman" w:hAnsi="TimesNewRoman" w:cs="TimesNewRoman"/>
          <w:sz w:val="24"/>
          <w:szCs w:val="24"/>
        </w:rPr>
        <w:t>odified as appropriate,</w:t>
      </w:r>
      <w:r w:rsidRPr="00C62F13">
        <w:rPr>
          <w:rFonts w:ascii="TimesNewRoman" w:hAnsi="TimesNewRoman" w:cs="TimesNewRoman"/>
          <w:sz w:val="24"/>
          <w:szCs w:val="24"/>
        </w:rPr>
        <w:t xml:space="preserve"> </w:t>
      </w:r>
      <w:r w:rsidR="006D3BF3" w:rsidRPr="00C62F13">
        <w:rPr>
          <w:rFonts w:ascii="TimesNewRoman" w:hAnsi="TimesNewRoman" w:cs="TimesNewRoman"/>
          <w:sz w:val="24"/>
          <w:szCs w:val="24"/>
        </w:rPr>
        <w:t xml:space="preserve">the proposed programme budget of subprogramme 1 </w:t>
      </w:r>
      <w:r w:rsidRPr="00C62F13">
        <w:rPr>
          <w:rFonts w:ascii="TimesNewRoman" w:hAnsi="TimesNewRoman" w:cs="TimesNewRoman"/>
          <w:sz w:val="24"/>
          <w:szCs w:val="24"/>
        </w:rPr>
        <w:t xml:space="preserve">will subsequently be submitted </w:t>
      </w:r>
      <w:r w:rsidR="006D3BF3" w:rsidRPr="00C62F13">
        <w:rPr>
          <w:rFonts w:ascii="TimesNewRoman" w:hAnsi="TimesNewRoman" w:cs="TimesNewRoman"/>
          <w:sz w:val="24"/>
          <w:szCs w:val="24"/>
        </w:rPr>
        <w:t xml:space="preserve">as part of the ECE budget proposal </w:t>
      </w:r>
      <w:r w:rsidRPr="00C62F13">
        <w:rPr>
          <w:rFonts w:ascii="TimesNewRoman" w:hAnsi="TimesNewRoman" w:cs="TimesNewRoman"/>
          <w:sz w:val="24"/>
          <w:szCs w:val="24"/>
        </w:rPr>
        <w:t>to the Committee for Programme and Coordination and the Advisory Committee on Administrative and Budgetary Questions at their respective sessions in mid-2019. Their conclusions and recommendations therein will be transmitted to the General Assembly at its seventy-fourth session in 2019 when it considers the Secretary-General’s proposed programme budget for 2020.</w:t>
      </w:r>
    </w:p>
    <w:p w:rsidR="006D3BF3" w:rsidRDefault="006D3BF3" w:rsidP="00BB6B65">
      <w:pPr>
        <w:autoSpaceDE w:val="0"/>
        <w:autoSpaceDN w:val="0"/>
        <w:adjustRightInd w:val="0"/>
        <w:spacing w:after="0" w:line="240" w:lineRule="auto"/>
        <w:ind w:right="-540"/>
        <w:jc w:val="both"/>
        <w:rPr>
          <w:rFonts w:ascii="TimesNewRoman" w:hAnsi="TimesNewRoman" w:cs="TimesNewRoman"/>
          <w:sz w:val="24"/>
          <w:szCs w:val="24"/>
        </w:rPr>
      </w:pPr>
    </w:p>
    <w:p w:rsidR="006D3BF3" w:rsidRPr="00C62F13" w:rsidRDefault="00840AEA" w:rsidP="00C62F13">
      <w:pPr>
        <w:pStyle w:val="ListParagraph"/>
        <w:numPr>
          <w:ilvl w:val="0"/>
          <w:numId w:val="7"/>
        </w:numPr>
        <w:autoSpaceDE w:val="0"/>
        <w:autoSpaceDN w:val="0"/>
        <w:adjustRightInd w:val="0"/>
        <w:spacing w:after="0" w:line="240" w:lineRule="auto"/>
        <w:ind w:right="-540"/>
        <w:jc w:val="both"/>
        <w:rPr>
          <w:rFonts w:ascii="TimesNewRoman" w:hAnsi="TimesNewRoman" w:cs="TimesNewRoman"/>
          <w:sz w:val="24"/>
          <w:szCs w:val="24"/>
        </w:rPr>
      </w:pPr>
      <w:r w:rsidRPr="00C62F13">
        <w:rPr>
          <w:rFonts w:ascii="TimesNewRoman" w:hAnsi="TimesNewRoman" w:cs="TimesNewRoman"/>
          <w:sz w:val="24"/>
          <w:szCs w:val="24"/>
        </w:rPr>
        <w:t>A</w:t>
      </w:r>
      <w:r w:rsidR="006D3BF3" w:rsidRPr="00C62F13">
        <w:rPr>
          <w:rFonts w:ascii="TimesNewRoman" w:hAnsi="TimesNewRoman" w:cs="TimesNewRoman"/>
          <w:sz w:val="24"/>
          <w:szCs w:val="24"/>
        </w:rPr>
        <w:t>nnexes</w:t>
      </w:r>
      <w:r w:rsidRPr="00C62F13">
        <w:rPr>
          <w:rFonts w:ascii="TimesNewRoman" w:hAnsi="TimesNewRoman" w:cs="TimesNewRoman"/>
          <w:sz w:val="24"/>
          <w:szCs w:val="24"/>
        </w:rPr>
        <w:t xml:space="preserve"> I and II </w:t>
      </w:r>
      <w:r w:rsidR="00C853B0" w:rsidRPr="00C62F13">
        <w:rPr>
          <w:rFonts w:ascii="TimesNewRoman" w:hAnsi="TimesNewRoman" w:cs="TimesNewRoman"/>
          <w:sz w:val="24"/>
          <w:szCs w:val="24"/>
        </w:rPr>
        <w:t>provide</w:t>
      </w:r>
      <w:r w:rsidRPr="00C62F13">
        <w:rPr>
          <w:rFonts w:ascii="TimesNewRoman" w:hAnsi="TimesNewRoman" w:cs="TimesNewRoman"/>
          <w:sz w:val="24"/>
          <w:szCs w:val="24"/>
        </w:rPr>
        <w:t xml:space="preserve"> extracts from the draft ECE proposed programme budget for 2020 “Part II. Programme plan and </w:t>
      </w:r>
      <w:r w:rsidR="00AE6E10" w:rsidRPr="00C62F13">
        <w:rPr>
          <w:rFonts w:ascii="TimesNewRoman" w:hAnsi="TimesNewRoman" w:cs="TimesNewRoman"/>
          <w:sz w:val="24"/>
          <w:szCs w:val="24"/>
        </w:rPr>
        <w:t xml:space="preserve">programme </w:t>
      </w:r>
      <w:r w:rsidRPr="00C62F13">
        <w:rPr>
          <w:rFonts w:ascii="TimesNewRoman" w:hAnsi="TimesNewRoman" w:cs="TimesNewRoman"/>
          <w:sz w:val="24"/>
          <w:szCs w:val="24"/>
        </w:rPr>
        <w:t xml:space="preserve">performance information” related </w:t>
      </w:r>
      <w:r w:rsidR="00361ACA" w:rsidRPr="00C62F13">
        <w:rPr>
          <w:rFonts w:ascii="TimesNewRoman" w:hAnsi="TimesNewRoman" w:cs="TimesNewRoman"/>
          <w:sz w:val="24"/>
          <w:szCs w:val="24"/>
        </w:rPr>
        <w:t>to subprogramme 1</w:t>
      </w:r>
      <w:r w:rsidR="00C853B0" w:rsidRPr="00C62F13">
        <w:rPr>
          <w:rFonts w:ascii="TimesNewRoman" w:hAnsi="TimesNewRoman" w:cs="TimesNewRoman"/>
          <w:sz w:val="24"/>
          <w:szCs w:val="24"/>
        </w:rPr>
        <w:t xml:space="preserve">. Both the programme plan and supplementary information contained in the annexes were reviewed by the ECE Executive Committee and the Bureau of the Committee on Environmental policy. </w:t>
      </w:r>
    </w:p>
    <w:p w:rsidR="000376A5" w:rsidRDefault="000376A5">
      <w:pPr>
        <w:rPr>
          <w:rFonts w:ascii="TimesNewRoman" w:hAnsi="TimesNewRoman" w:cs="TimesNewRoman"/>
          <w:sz w:val="24"/>
          <w:szCs w:val="24"/>
        </w:rPr>
      </w:pPr>
      <w:r>
        <w:rPr>
          <w:rFonts w:ascii="TimesNewRoman" w:hAnsi="TimesNewRoman" w:cs="TimesNewRoman"/>
          <w:sz w:val="24"/>
          <w:szCs w:val="24"/>
        </w:rPr>
        <w:br w:type="page"/>
      </w:r>
    </w:p>
    <w:p w:rsidR="00C853B0" w:rsidRDefault="00C853B0" w:rsidP="00A77762">
      <w:pPr>
        <w:autoSpaceDE w:val="0"/>
        <w:autoSpaceDN w:val="0"/>
        <w:adjustRightInd w:val="0"/>
        <w:spacing w:after="0" w:line="240" w:lineRule="auto"/>
        <w:ind w:right="-540"/>
        <w:rPr>
          <w:rFonts w:ascii="TimesNewRoman" w:hAnsi="TimesNewRoman" w:cs="TimesNewRoman"/>
          <w:sz w:val="24"/>
          <w:szCs w:val="24"/>
        </w:rPr>
      </w:pPr>
      <w:r>
        <w:rPr>
          <w:rFonts w:ascii="TimesNewRoman" w:hAnsi="TimesNewRoman" w:cs="TimesNewRoman"/>
          <w:sz w:val="24"/>
          <w:szCs w:val="24"/>
        </w:rPr>
        <w:lastRenderedPageBreak/>
        <w:t>Annex I</w:t>
      </w:r>
    </w:p>
    <w:p w:rsidR="00C853B0" w:rsidRDefault="00C853B0" w:rsidP="00A77762">
      <w:pPr>
        <w:autoSpaceDE w:val="0"/>
        <w:autoSpaceDN w:val="0"/>
        <w:adjustRightInd w:val="0"/>
        <w:spacing w:after="0" w:line="240" w:lineRule="auto"/>
        <w:ind w:right="-540"/>
        <w:rPr>
          <w:rFonts w:ascii="TimesNewRoman" w:hAnsi="TimesNewRoman" w:cs="TimesNewRoman"/>
          <w:sz w:val="24"/>
          <w:szCs w:val="24"/>
        </w:rPr>
      </w:pPr>
    </w:p>
    <w:p w:rsidR="00C853B0" w:rsidRDefault="00C853B0" w:rsidP="00A77762">
      <w:pPr>
        <w:autoSpaceDE w:val="0"/>
        <w:autoSpaceDN w:val="0"/>
        <w:adjustRightInd w:val="0"/>
        <w:spacing w:after="0" w:line="240" w:lineRule="auto"/>
        <w:ind w:right="-540"/>
        <w:jc w:val="center"/>
        <w:rPr>
          <w:rFonts w:ascii="TimesNewRoman" w:hAnsi="TimesNewRoman" w:cs="TimesNewRoman"/>
          <w:sz w:val="24"/>
          <w:szCs w:val="24"/>
        </w:rPr>
      </w:pPr>
      <w:r>
        <w:rPr>
          <w:rFonts w:ascii="TimesNewRoman" w:hAnsi="TimesNewRoman" w:cs="TimesNewRoman"/>
          <w:sz w:val="24"/>
          <w:szCs w:val="24"/>
        </w:rPr>
        <w:t>Draft ECE proposed programme budget for 2020</w:t>
      </w:r>
    </w:p>
    <w:p w:rsidR="00C853B0" w:rsidRDefault="00C853B0" w:rsidP="00A77762">
      <w:pPr>
        <w:autoSpaceDE w:val="0"/>
        <w:autoSpaceDN w:val="0"/>
        <w:adjustRightInd w:val="0"/>
        <w:spacing w:after="0" w:line="240" w:lineRule="auto"/>
        <w:ind w:right="-540"/>
        <w:jc w:val="center"/>
        <w:rPr>
          <w:rFonts w:ascii="TimesNewRoman" w:hAnsi="TimesNewRoman" w:cs="TimesNewRoman"/>
          <w:sz w:val="24"/>
          <w:szCs w:val="24"/>
        </w:rPr>
      </w:pPr>
      <w:r>
        <w:rPr>
          <w:rFonts w:ascii="TimesNewRoman" w:hAnsi="TimesNewRoman" w:cs="TimesNewRoman"/>
          <w:sz w:val="24"/>
          <w:szCs w:val="24"/>
        </w:rPr>
        <w:t>Part II. Programme plan and programme performance information</w:t>
      </w:r>
    </w:p>
    <w:p w:rsidR="00C853B0" w:rsidRDefault="00C853B0" w:rsidP="00A77762">
      <w:pPr>
        <w:autoSpaceDE w:val="0"/>
        <w:autoSpaceDN w:val="0"/>
        <w:adjustRightInd w:val="0"/>
        <w:spacing w:after="0" w:line="240" w:lineRule="auto"/>
        <w:ind w:right="-540"/>
        <w:jc w:val="center"/>
        <w:rPr>
          <w:rFonts w:ascii="TimesNewRoman" w:hAnsi="TimesNewRoman" w:cs="TimesNewRoman"/>
          <w:sz w:val="24"/>
          <w:szCs w:val="24"/>
        </w:rPr>
      </w:pPr>
    </w:p>
    <w:p w:rsidR="00C853B0" w:rsidRDefault="00C853B0" w:rsidP="00A77762">
      <w:pPr>
        <w:autoSpaceDE w:val="0"/>
        <w:autoSpaceDN w:val="0"/>
        <w:adjustRightInd w:val="0"/>
        <w:spacing w:after="0" w:line="240" w:lineRule="auto"/>
        <w:ind w:right="-540"/>
        <w:rPr>
          <w:rFonts w:ascii="TimesNewRoman" w:hAnsi="TimesNewRoman" w:cs="TimesNewRoman"/>
          <w:sz w:val="24"/>
          <w:szCs w:val="24"/>
        </w:rPr>
      </w:pPr>
    </w:p>
    <w:p w:rsidR="00BB6B65" w:rsidRPr="003264C4" w:rsidRDefault="00BB6B65" w:rsidP="00BB6B65">
      <w:pPr>
        <w:pStyle w:val="H1"/>
        <w:tabs>
          <w:tab w:val="clear" w:pos="1022"/>
          <w:tab w:val="clear" w:pos="1267"/>
          <w:tab w:val="clear" w:pos="1742"/>
          <w:tab w:val="clear" w:pos="2218"/>
          <w:tab w:val="clear" w:pos="2693"/>
          <w:tab w:val="clear" w:pos="3182"/>
          <w:tab w:val="left" w:pos="426"/>
        </w:tabs>
        <w:spacing w:before="240" w:after="120"/>
        <w:ind w:left="0" w:firstLine="0"/>
        <w:rPr>
          <w:sz w:val="32"/>
          <w:szCs w:val="32"/>
        </w:rPr>
      </w:pPr>
      <w:r w:rsidRPr="003264C4">
        <w:rPr>
          <w:sz w:val="32"/>
          <w:szCs w:val="32"/>
        </w:rPr>
        <w:t>Programme of work</w:t>
      </w:r>
    </w:p>
    <w:p w:rsidR="00BB6B65" w:rsidRPr="00226747" w:rsidRDefault="00BB6B65" w:rsidP="00BB6B65">
      <w:pPr>
        <w:pStyle w:val="SingleTxt"/>
        <w:tabs>
          <w:tab w:val="clear" w:pos="1267"/>
          <w:tab w:val="clear" w:pos="1742"/>
          <w:tab w:val="clear" w:pos="2218"/>
          <w:tab w:val="clear" w:pos="2693"/>
          <w:tab w:val="clear" w:pos="3182"/>
          <w:tab w:val="left" w:pos="426"/>
        </w:tabs>
        <w:ind w:left="0"/>
      </w:pPr>
    </w:p>
    <w:p w:rsidR="00BB6B65" w:rsidRPr="003264C4" w:rsidRDefault="00BB6B65" w:rsidP="00BB6B65">
      <w:pPr>
        <w:pStyle w:val="H1"/>
        <w:tabs>
          <w:tab w:val="clear" w:pos="1022"/>
          <w:tab w:val="clear" w:pos="1267"/>
          <w:tab w:val="clear" w:pos="1742"/>
          <w:tab w:val="clear" w:pos="2218"/>
          <w:tab w:val="clear" w:pos="2693"/>
          <w:tab w:val="clear" w:pos="3182"/>
          <w:tab w:val="left" w:pos="426"/>
        </w:tabs>
        <w:spacing w:before="240"/>
        <w:ind w:left="0" w:firstLine="0"/>
        <w:rPr>
          <w:sz w:val="28"/>
          <w:szCs w:val="28"/>
        </w:rPr>
      </w:pPr>
      <w:bookmarkStart w:id="0" w:name="_Hlk516043077"/>
      <w:r w:rsidRPr="003264C4">
        <w:rPr>
          <w:sz w:val="28"/>
          <w:szCs w:val="28"/>
        </w:rPr>
        <w:t>Subprogramme 1: Environment</w:t>
      </w:r>
      <w:bookmarkEnd w:id="0"/>
    </w:p>
    <w:p w:rsidR="00BB6B65" w:rsidRDefault="00BB6B65" w:rsidP="00BB6B65">
      <w:pPr>
        <w:pStyle w:val="H1"/>
        <w:tabs>
          <w:tab w:val="clear" w:pos="1022"/>
          <w:tab w:val="clear" w:pos="1267"/>
          <w:tab w:val="clear" w:pos="1742"/>
          <w:tab w:val="clear" w:pos="2218"/>
          <w:tab w:val="clear" w:pos="2693"/>
          <w:tab w:val="clear" w:pos="3182"/>
          <w:tab w:val="left" w:pos="426"/>
        </w:tabs>
        <w:spacing w:line="240" w:lineRule="atLeast"/>
        <w:ind w:left="0" w:firstLine="0"/>
      </w:pPr>
    </w:p>
    <w:p w:rsidR="00BB6B65" w:rsidRPr="00225431" w:rsidRDefault="00BB6B65" w:rsidP="00BB6B65">
      <w:pPr>
        <w:pStyle w:val="H1"/>
        <w:tabs>
          <w:tab w:val="clear" w:pos="1022"/>
          <w:tab w:val="clear" w:pos="1267"/>
          <w:tab w:val="clear" w:pos="1742"/>
          <w:tab w:val="clear" w:pos="2218"/>
          <w:tab w:val="clear" w:pos="2693"/>
          <w:tab w:val="clear" w:pos="3182"/>
          <w:tab w:val="left" w:pos="426"/>
        </w:tabs>
        <w:spacing w:line="240" w:lineRule="atLeast"/>
        <w:ind w:left="0" w:firstLine="0"/>
        <w:rPr>
          <w:sz w:val="10"/>
        </w:rPr>
      </w:pPr>
      <w:r>
        <w:rPr>
          <w:noProof/>
          <w:lang w:val="en-US" w:eastAsia="zh-CN"/>
        </w:rPr>
        <w:drawing>
          <wp:inline distT="0" distB="0" distL="0" distR="0" wp14:anchorId="58146CFA" wp14:editId="22A589F7">
            <wp:extent cx="419100" cy="365760"/>
            <wp:effectExtent l="0" t="0" r="0" b="0"/>
            <wp:docPr id="1953021161" name="Picture 1953021161" descr="C:\Users\wannes.lint\AppData\Local\Microsoft\Windows\INetCache\Content.Word\E_SDG goals_icons-individual-rg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wannes.lint\AppData\Local\Microsoft\Windows\INetCache\Content.Word\E_SDG goals_icons-individual-rgb-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365760"/>
                    </a:xfrm>
                    <a:prstGeom prst="rect">
                      <a:avLst/>
                    </a:prstGeom>
                    <a:noFill/>
                    <a:ln>
                      <a:noFill/>
                    </a:ln>
                  </pic:spPr>
                </pic:pic>
              </a:graphicData>
            </a:graphic>
          </wp:inline>
        </w:drawing>
      </w:r>
      <w:r>
        <w:rPr>
          <w:noProof/>
          <w:lang w:val="en-US" w:eastAsia="zh-CN"/>
        </w:rPr>
        <w:drawing>
          <wp:inline distT="0" distB="0" distL="0" distR="0" wp14:anchorId="43AA85B9" wp14:editId="7FD8DE7F">
            <wp:extent cx="419100" cy="363855"/>
            <wp:effectExtent l="0" t="0" r="0" b="0"/>
            <wp:docPr id="1953021170" name="Picture 1953021170" descr="E_SDG goals_icons-individual-rgb-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_SDG goals_icons-individual-rgb-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363855"/>
                    </a:xfrm>
                    <a:prstGeom prst="rect">
                      <a:avLst/>
                    </a:prstGeom>
                    <a:noFill/>
                    <a:ln>
                      <a:noFill/>
                    </a:ln>
                  </pic:spPr>
                </pic:pic>
              </a:graphicData>
            </a:graphic>
          </wp:inline>
        </w:drawing>
      </w:r>
      <w:r>
        <w:rPr>
          <w:noProof/>
          <w:lang w:val="en-US" w:eastAsia="zh-CN"/>
        </w:rPr>
        <w:drawing>
          <wp:inline distT="0" distB="0" distL="0" distR="0" wp14:anchorId="3DDCBB9A" wp14:editId="5815DA63">
            <wp:extent cx="411480" cy="365760"/>
            <wp:effectExtent l="0" t="0" r="7620" b="0"/>
            <wp:docPr id="1953021168" name="Picture 6" descr="E_SDG goals_icons-individual-rg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_SDG goals_icons-individual-rgb-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277" cy="366468"/>
                    </a:xfrm>
                    <a:prstGeom prst="rect">
                      <a:avLst/>
                    </a:prstGeom>
                    <a:noFill/>
                    <a:ln>
                      <a:noFill/>
                    </a:ln>
                  </pic:spPr>
                </pic:pic>
              </a:graphicData>
            </a:graphic>
          </wp:inline>
        </w:drawing>
      </w:r>
      <w:r>
        <w:rPr>
          <w:noProof/>
          <w:lang w:val="en-US" w:eastAsia="zh-CN"/>
        </w:rPr>
        <w:drawing>
          <wp:inline distT="0" distB="0" distL="0" distR="0" wp14:anchorId="5967E0D4" wp14:editId="01290F31">
            <wp:extent cx="419100" cy="364490"/>
            <wp:effectExtent l="0" t="0" r="0" b="0"/>
            <wp:docPr id="1953021182" name="Picture 1953021182" descr="E_SDG goals_icons-individual-rg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_SDG goals_icons-individual-rgb-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774" cy="369425"/>
                    </a:xfrm>
                    <a:prstGeom prst="rect">
                      <a:avLst/>
                    </a:prstGeom>
                    <a:noFill/>
                    <a:ln>
                      <a:noFill/>
                    </a:ln>
                  </pic:spPr>
                </pic:pic>
              </a:graphicData>
            </a:graphic>
          </wp:inline>
        </w:drawing>
      </w:r>
      <w:r>
        <w:rPr>
          <w:noProof/>
          <w:lang w:val="en-US" w:eastAsia="zh-CN"/>
        </w:rPr>
        <w:drawing>
          <wp:inline distT="0" distB="0" distL="0" distR="0" wp14:anchorId="1F388D0A" wp14:editId="578781FD">
            <wp:extent cx="434340" cy="364490"/>
            <wp:effectExtent l="0" t="0" r="3810" b="0"/>
            <wp:docPr id="1953021181" name="Picture 1953021181" descr="E_SDG goals_icons-individual-rg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_SDG goals_icons-individual-rgb-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11" cy="375627"/>
                    </a:xfrm>
                    <a:prstGeom prst="rect">
                      <a:avLst/>
                    </a:prstGeom>
                    <a:noFill/>
                    <a:ln>
                      <a:noFill/>
                    </a:ln>
                  </pic:spPr>
                </pic:pic>
              </a:graphicData>
            </a:graphic>
          </wp:inline>
        </w:drawing>
      </w:r>
      <w:r>
        <w:rPr>
          <w:noProof/>
        </w:rPr>
        <w:drawing>
          <wp:inline distT="0" distB="0" distL="0" distR="0" wp14:anchorId="0492A596" wp14:editId="08E71F0C">
            <wp:extent cx="426720" cy="363220"/>
            <wp:effectExtent l="0" t="0" r="0" b="0"/>
            <wp:docPr id="3" name="Picture 3" descr="E_SDG goals_icons-individual-rg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SDG goals_icons-individual-rgb-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315" cy="380750"/>
                    </a:xfrm>
                    <a:prstGeom prst="rect">
                      <a:avLst/>
                    </a:prstGeom>
                    <a:noFill/>
                    <a:ln>
                      <a:noFill/>
                    </a:ln>
                  </pic:spPr>
                </pic:pic>
              </a:graphicData>
            </a:graphic>
          </wp:inline>
        </w:drawing>
      </w:r>
      <w:r>
        <w:br w:type="textWrapping" w:clear="all"/>
      </w:r>
    </w:p>
    <w:p w:rsidR="00BB6B65" w:rsidRPr="00225431" w:rsidRDefault="00BB6B65" w:rsidP="00BB6B65">
      <w:pPr>
        <w:pStyle w:val="SingleTxt"/>
        <w:tabs>
          <w:tab w:val="clear" w:pos="1267"/>
          <w:tab w:val="clear" w:pos="1742"/>
          <w:tab w:val="clear" w:pos="2218"/>
          <w:tab w:val="clear" w:pos="2693"/>
          <w:tab w:val="clear" w:pos="3182"/>
          <w:tab w:val="left" w:pos="426"/>
        </w:tabs>
        <w:spacing w:after="0" w:line="120" w:lineRule="exact"/>
        <w:ind w:left="0"/>
        <w:rPr>
          <w:sz w:val="10"/>
        </w:rPr>
      </w:pPr>
    </w:p>
    <w:p w:rsidR="00BB6B65" w:rsidRPr="001D0F15" w:rsidRDefault="00BB6B65" w:rsidP="00BB6B65">
      <w:pPr>
        <w:pStyle w:val="H1"/>
        <w:numPr>
          <w:ilvl w:val="0"/>
          <w:numId w:val="2"/>
        </w:numPr>
        <w:tabs>
          <w:tab w:val="clear" w:pos="1022"/>
          <w:tab w:val="clear" w:pos="1267"/>
          <w:tab w:val="clear" w:pos="1742"/>
          <w:tab w:val="clear" w:pos="2218"/>
          <w:tab w:val="clear" w:pos="2693"/>
          <w:tab w:val="clear" w:pos="3182"/>
          <w:tab w:val="left" w:pos="426"/>
        </w:tabs>
        <w:spacing w:line="240" w:lineRule="exact"/>
        <w:ind w:left="0" w:firstLine="0"/>
        <w:rPr>
          <w:sz w:val="20"/>
        </w:rPr>
      </w:pPr>
      <w:r w:rsidRPr="001D0F15">
        <w:rPr>
          <w:sz w:val="20"/>
        </w:rPr>
        <w:t>Objective</w:t>
      </w:r>
    </w:p>
    <w:p w:rsidR="00BB6B65" w:rsidRPr="001D0F15" w:rsidRDefault="00BB6B65" w:rsidP="00BB6B65">
      <w:pPr>
        <w:pStyle w:val="SingleTxt"/>
        <w:tabs>
          <w:tab w:val="clear" w:pos="1267"/>
          <w:tab w:val="clear" w:pos="1742"/>
          <w:tab w:val="clear" w:pos="2218"/>
          <w:tab w:val="clear" w:pos="2693"/>
          <w:tab w:val="clear" w:pos="3182"/>
          <w:tab w:val="left" w:pos="426"/>
        </w:tabs>
        <w:spacing w:after="0" w:line="120" w:lineRule="exact"/>
        <w:ind w:left="0"/>
      </w:pPr>
    </w:p>
    <w:p w:rsidR="00BB6B65" w:rsidRPr="001D0F15" w:rsidRDefault="00BB6B65" w:rsidP="00BB6B65">
      <w:pPr>
        <w:pStyle w:val="ListParagraph"/>
        <w:numPr>
          <w:ilvl w:val="0"/>
          <w:numId w:val="3"/>
        </w:numPr>
        <w:tabs>
          <w:tab w:val="left" w:pos="426"/>
          <w:tab w:val="left" w:pos="3658"/>
          <w:tab w:val="left" w:pos="4133"/>
          <w:tab w:val="left" w:pos="4622"/>
          <w:tab w:val="left" w:pos="5098"/>
          <w:tab w:val="left" w:pos="5573"/>
          <w:tab w:val="left" w:pos="6048"/>
        </w:tabs>
        <w:suppressAutoHyphens/>
        <w:spacing w:after="120" w:line="240" w:lineRule="exact"/>
        <w:ind w:left="0" w:firstLine="0"/>
        <w:jc w:val="both"/>
      </w:pPr>
      <w:r w:rsidRPr="001D0F15">
        <w:t>The objective, to which this subprogramme contributes, is to improve environmental governance and performance throughout the ECE region for safeguarding the environment and human health.</w:t>
      </w:r>
      <w:bookmarkStart w:id="1" w:name="_Hlk509394580"/>
      <w:bookmarkEnd w:id="1"/>
    </w:p>
    <w:p w:rsidR="00BB6B65" w:rsidRPr="001D0F15" w:rsidRDefault="00BB6B65" w:rsidP="00BB6B65">
      <w:pPr>
        <w:pStyle w:val="SingleTxt"/>
        <w:tabs>
          <w:tab w:val="clear" w:pos="1267"/>
          <w:tab w:val="clear" w:pos="1742"/>
          <w:tab w:val="clear" w:pos="2218"/>
          <w:tab w:val="clear" w:pos="2693"/>
          <w:tab w:val="clear" w:pos="3182"/>
          <w:tab w:val="left" w:pos="426"/>
        </w:tabs>
        <w:spacing w:after="0" w:line="120" w:lineRule="exact"/>
        <w:ind w:left="0"/>
      </w:pPr>
    </w:p>
    <w:p w:rsidR="00BB6B65" w:rsidRPr="001D0F15" w:rsidRDefault="00BB6B65" w:rsidP="00BB6B65">
      <w:pPr>
        <w:pStyle w:val="H1"/>
        <w:numPr>
          <w:ilvl w:val="0"/>
          <w:numId w:val="2"/>
        </w:numPr>
        <w:tabs>
          <w:tab w:val="clear" w:pos="1022"/>
          <w:tab w:val="clear" w:pos="1267"/>
          <w:tab w:val="clear" w:pos="1742"/>
          <w:tab w:val="clear" w:pos="2218"/>
          <w:tab w:val="clear" w:pos="2693"/>
          <w:tab w:val="clear" w:pos="3182"/>
          <w:tab w:val="left" w:pos="426"/>
        </w:tabs>
        <w:spacing w:line="240" w:lineRule="exact"/>
        <w:ind w:left="0" w:firstLine="0"/>
        <w:rPr>
          <w:sz w:val="20"/>
        </w:rPr>
      </w:pPr>
      <w:r w:rsidRPr="001D0F15">
        <w:rPr>
          <w:sz w:val="20"/>
        </w:rPr>
        <w:t>Alignment with the Sustainable Development Goals</w:t>
      </w:r>
    </w:p>
    <w:p w:rsidR="00BB6B65" w:rsidRPr="001D0F15" w:rsidRDefault="00BB6B65" w:rsidP="00BB6B65">
      <w:pPr>
        <w:pStyle w:val="SingleTxt"/>
        <w:tabs>
          <w:tab w:val="clear" w:pos="1267"/>
          <w:tab w:val="clear" w:pos="1742"/>
          <w:tab w:val="clear" w:pos="2218"/>
          <w:tab w:val="clear" w:pos="2693"/>
          <w:tab w:val="clear" w:pos="3182"/>
          <w:tab w:val="left" w:pos="426"/>
        </w:tabs>
        <w:spacing w:after="0" w:line="120" w:lineRule="exact"/>
        <w:ind w:left="0"/>
      </w:pPr>
    </w:p>
    <w:p w:rsidR="00BB6B65" w:rsidRPr="001D0F15" w:rsidRDefault="00BB6B65" w:rsidP="00BB6B65">
      <w:pPr>
        <w:pStyle w:val="ListParagraph"/>
        <w:numPr>
          <w:ilvl w:val="0"/>
          <w:numId w:val="3"/>
        </w:numPr>
        <w:tabs>
          <w:tab w:val="left" w:pos="426"/>
          <w:tab w:val="left" w:pos="3658"/>
          <w:tab w:val="left" w:pos="4133"/>
          <w:tab w:val="left" w:pos="4622"/>
          <w:tab w:val="left" w:pos="5098"/>
          <w:tab w:val="left" w:pos="5573"/>
          <w:tab w:val="left" w:pos="6048"/>
        </w:tabs>
        <w:suppressAutoHyphens/>
        <w:spacing w:after="120" w:line="240" w:lineRule="exact"/>
        <w:ind w:left="0" w:firstLine="0"/>
        <w:jc w:val="both"/>
      </w:pPr>
      <w:r w:rsidRPr="001D0F15">
        <w:t xml:space="preserve">Given its broad scope, the objective is aligned with all Sustainable Development Goals, especially Goals 3, 6, 11, 12, 13, and 17. </w:t>
      </w:r>
    </w:p>
    <w:p w:rsidR="00BB6B65" w:rsidRPr="001D0F15" w:rsidRDefault="00BB6B65" w:rsidP="00BB6B65">
      <w:pPr>
        <w:pStyle w:val="ListParagraph"/>
        <w:tabs>
          <w:tab w:val="left" w:pos="426"/>
          <w:tab w:val="left" w:pos="3658"/>
          <w:tab w:val="left" w:pos="4133"/>
          <w:tab w:val="left" w:pos="4622"/>
          <w:tab w:val="left" w:pos="5098"/>
          <w:tab w:val="left" w:pos="5573"/>
          <w:tab w:val="left" w:pos="6048"/>
        </w:tabs>
        <w:spacing w:after="120"/>
        <w:ind w:left="0"/>
        <w:jc w:val="both"/>
      </w:pPr>
    </w:p>
    <w:p w:rsidR="00BB6B65" w:rsidRPr="001D0F15" w:rsidRDefault="00BB6B65" w:rsidP="00BB6B65">
      <w:pPr>
        <w:pStyle w:val="ListParagraph"/>
        <w:numPr>
          <w:ilvl w:val="0"/>
          <w:numId w:val="3"/>
        </w:numPr>
        <w:tabs>
          <w:tab w:val="left" w:pos="426"/>
          <w:tab w:val="left" w:pos="3658"/>
          <w:tab w:val="left" w:pos="4133"/>
          <w:tab w:val="left" w:pos="4622"/>
          <w:tab w:val="left" w:pos="5098"/>
          <w:tab w:val="left" w:pos="5573"/>
          <w:tab w:val="left" w:pos="6048"/>
        </w:tabs>
        <w:suppressAutoHyphens/>
        <w:spacing w:after="120" w:line="240" w:lineRule="exact"/>
        <w:ind w:left="0" w:firstLine="0"/>
        <w:jc w:val="both"/>
      </w:pPr>
      <w:bookmarkStart w:id="2" w:name="_Hlk516225620"/>
      <w:r w:rsidRPr="001D0F15">
        <w:t>Alignment with the Sustainable Development Goals serves as a framework for contributing to the objective of the subprogramme. Within this framework, the subprogramme will develop cross-sectoral activities with other ECE subprogrammes where there is complementarity between the respective SDGs and targets in line with the nexus areas described in para</w:t>
      </w:r>
      <w:r>
        <w:t>graph</w:t>
      </w:r>
      <w:r w:rsidRPr="001D0F15">
        <w:t xml:space="preserve"> 1</w:t>
      </w:r>
      <w:r>
        <w:t>0</w:t>
      </w:r>
      <w:r w:rsidRPr="001D0F15">
        <w:t xml:space="preserve"> above. </w:t>
      </w:r>
    </w:p>
    <w:bookmarkEnd w:id="2"/>
    <w:p w:rsidR="00BB6B65" w:rsidRPr="001D0F15" w:rsidRDefault="00BB6B65" w:rsidP="00BB6B65">
      <w:pPr>
        <w:pStyle w:val="ListParagraph"/>
        <w:tabs>
          <w:tab w:val="left" w:pos="426"/>
          <w:tab w:val="left" w:pos="1134"/>
          <w:tab w:val="left" w:pos="3658"/>
          <w:tab w:val="left" w:pos="4133"/>
          <w:tab w:val="left" w:pos="4622"/>
          <w:tab w:val="left" w:pos="5098"/>
          <w:tab w:val="left" w:pos="5573"/>
          <w:tab w:val="left" w:pos="6048"/>
        </w:tabs>
        <w:spacing w:after="120"/>
        <w:ind w:left="426" w:hanging="426"/>
        <w:jc w:val="both"/>
      </w:pPr>
    </w:p>
    <w:p w:rsidR="00BB6B65" w:rsidRPr="001D0F15" w:rsidRDefault="00BB6B65" w:rsidP="00BB6B65">
      <w:pPr>
        <w:pStyle w:val="ListParagraph"/>
        <w:tabs>
          <w:tab w:val="left" w:pos="426"/>
          <w:tab w:val="left" w:pos="3658"/>
          <w:tab w:val="left" w:pos="4133"/>
          <w:tab w:val="left" w:pos="4622"/>
          <w:tab w:val="left" w:pos="5098"/>
          <w:tab w:val="left" w:pos="5573"/>
          <w:tab w:val="left" w:pos="6048"/>
        </w:tabs>
        <w:spacing w:line="120" w:lineRule="exact"/>
        <w:ind w:left="0"/>
        <w:jc w:val="both"/>
        <w:rPr>
          <w:b/>
          <w:bCs/>
        </w:rPr>
      </w:pPr>
    </w:p>
    <w:p w:rsidR="00BB6B65" w:rsidRDefault="00BB6B65" w:rsidP="00BB6B65">
      <w:pPr>
        <w:pStyle w:val="H1"/>
        <w:numPr>
          <w:ilvl w:val="0"/>
          <w:numId w:val="2"/>
        </w:numPr>
        <w:tabs>
          <w:tab w:val="clear" w:pos="1022"/>
          <w:tab w:val="clear" w:pos="1267"/>
          <w:tab w:val="clear" w:pos="1742"/>
          <w:tab w:val="clear" w:pos="2218"/>
          <w:tab w:val="clear" w:pos="2693"/>
          <w:tab w:val="clear" w:pos="3182"/>
          <w:tab w:val="left" w:pos="426"/>
        </w:tabs>
        <w:spacing w:line="240" w:lineRule="exact"/>
        <w:ind w:left="0" w:firstLine="0"/>
        <w:rPr>
          <w:sz w:val="20"/>
        </w:rPr>
      </w:pPr>
      <w:r>
        <w:rPr>
          <w:sz w:val="20"/>
        </w:rPr>
        <w:t>Highlighted</w:t>
      </w:r>
      <w:r w:rsidRPr="001D0F15">
        <w:rPr>
          <w:sz w:val="20"/>
        </w:rPr>
        <w:t xml:space="preserve"> actual result in 2018</w:t>
      </w:r>
    </w:p>
    <w:p w:rsidR="00BB6B65" w:rsidRPr="005F080F" w:rsidRDefault="00BB6B65" w:rsidP="00BB6B65">
      <w:pPr>
        <w:pStyle w:val="SingleTxt"/>
        <w:pBdr>
          <w:bottom w:val="single" w:sz="4" w:space="1" w:color="auto"/>
        </w:pBdr>
        <w:tabs>
          <w:tab w:val="clear" w:pos="1267"/>
        </w:tabs>
        <w:spacing w:line="240" w:lineRule="auto"/>
        <w:ind w:left="0" w:right="-330"/>
      </w:pPr>
    </w:p>
    <w:p w:rsidR="00BB6B65" w:rsidRPr="001D0F15" w:rsidRDefault="00BB6B65" w:rsidP="00BB6B65">
      <w:pPr>
        <w:tabs>
          <w:tab w:val="left" w:pos="426"/>
        </w:tabs>
        <w:spacing w:before="80" w:after="80" w:line="240" w:lineRule="auto"/>
        <w:rPr>
          <w:rFonts w:eastAsia="Times New Roman"/>
          <w:b/>
          <w:bCs/>
          <w:noProof/>
        </w:rPr>
      </w:pPr>
      <w:r w:rsidRPr="001D0F15">
        <w:rPr>
          <w:rFonts w:eastAsia="Times New Roman"/>
          <w:b/>
          <w:bCs/>
          <w:noProof/>
        </w:rPr>
        <w:t>Environmental Performance Reviews show increased public awareness for air quality</w:t>
      </w:r>
    </w:p>
    <w:p w:rsidR="00BB6B65" w:rsidRPr="00D54710" w:rsidRDefault="00BB6B65" w:rsidP="00BB6B65">
      <w:pPr>
        <w:tabs>
          <w:tab w:val="left" w:pos="426"/>
          <w:tab w:val="left" w:pos="3658"/>
          <w:tab w:val="left" w:pos="4133"/>
          <w:tab w:val="left" w:pos="4622"/>
          <w:tab w:val="left" w:pos="5098"/>
          <w:tab w:val="left" w:pos="5573"/>
          <w:tab w:val="left" w:pos="6048"/>
        </w:tabs>
        <w:spacing w:after="120"/>
        <w:jc w:val="both"/>
        <w:rPr>
          <w:noProof/>
        </w:rPr>
      </w:pPr>
      <w:r w:rsidRPr="00DB503D">
        <w:rPr>
          <w:noProof/>
          <w:lang w:eastAsia="zh-CN"/>
        </w:rPr>
        <w:drawing>
          <wp:anchor distT="0" distB="0" distL="114300" distR="114300" simplePos="0" relativeHeight="251659264" behindDoc="0" locked="0" layoutInCell="1" allowOverlap="1" wp14:anchorId="259EC1A3" wp14:editId="56775F7B">
            <wp:simplePos x="0" y="0"/>
            <wp:positionH relativeFrom="margin">
              <wp:align>right</wp:align>
            </wp:positionH>
            <wp:positionV relativeFrom="paragraph">
              <wp:posOffset>124460</wp:posOffset>
            </wp:positionV>
            <wp:extent cx="2514600" cy="1646555"/>
            <wp:effectExtent l="19050" t="19050" r="19050" b="10795"/>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3" cstate="print">
                      <a:extLst>
                        <a:ext uri="{28A0092B-C50C-407E-A947-70E740481C1C}">
                          <a14:useLocalDpi xmlns:a14="http://schemas.microsoft.com/office/drawing/2010/main" val="0"/>
                        </a:ext>
                      </a:extLst>
                    </a:blip>
                    <a:srcRect b="64013"/>
                    <a:stretch/>
                  </pic:blipFill>
                  <pic:spPr bwMode="auto">
                    <a:xfrm>
                      <a:off x="0" y="0"/>
                      <a:ext cx="2514600" cy="164655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4710">
        <w:rPr>
          <w:noProof/>
        </w:rPr>
        <w:t xml:space="preserve">In 2018, the environmental </w:t>
      </w:r>
      <w:r w:rsidRPr="00C631EC">
        <w:t>performance</w:t>
      </w:r>
      <w:r w:rsidRPr="00D54710">
        <w:rPr>
          <w:noProof/>
        </w:rPr>
        <w:t xml:space="preserve"> of both Kazakhstan and the former Yugoslav Republic of Macedonia was reviewed for the third time under the ECE Environmental Performance Review (EPR) Programme. Based on requests by the Governments of these two countries, ECE teams of international experts from a wide range of countries and organizations visited each of the countries and reviewed progress. The reviews are to help countries identify key environmental challenges,  evaluate advances on relevant SDGs and establish concrete recommendations to improve environmental sustainability across all sectors. </w:t>
      </w:r>
    </w:p>
    <w:p w:rsidR="00BB6B65" w:rsidRDefault="00BB6B65" w:rsidP="00BB6B65">
      <w:pPr>
        <w:pStyle w:val="ListParagraph"/>
        <w:tabs>
          <w:tab w:val="left" w:pos="426"/>
          <w:tab w:val="left" w:pos="3658"/>
          <w:tab w:val="left" w:pos="4133"/>
          <w:tab w:val="left" w:pos="4622"/>
          <w:tab w:val="left" w:pos="5098"/>
          <w:tab w:val="left" w:pos="5573"/>
          <w:tab w:val="left" w:pos="6048"/>
        </w:tabs>
        <w:spacing w:after="120"/>
        <w:ind w:left="0"/>
        <w:jc w:val="both"/>
        <w:rPr>
          <w:noProof/>
        </w:rPr>
      </w:pPr>
      <w:r>
        <w:rPr>
          <w:noProof/>
          <w:lang w:eastAsia="zh-CN"/>
        </w:rPr>
        <w:lastRenderedPageBreak/>
        <mc:AlternateContent>
          <mc:Choice Requires="wps">
            <w:drawing>
              <wp:anchor distT="0" distB="0" distL="114300" distR="114300" simplePos="0" relativeHeight="251660288" behindDoc="0" locked="0" layoutInCell="1" allowOverlap="1" wp14:anchorId="3C96E6A6" wp14:editId="041B368A">
                <wp:simplePos x="0" y="0"/>
                <wp:positionH relativeFrom="margin">
                  <wp:posOffset>3200400</wp:posOffset>
                </wp:positionH>
                <wp:positionV relativeFrom="paragraph">
                  <wp:posOffset>1579245</wp:posOffset>
                </wp:positionV>
                <wp:extent cx="2724785" cy="4451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24785" cy="445135"/>
                        </a:xfrm>
                        <a:prstGeom prst="rect">
                          <a:avLst/>
                        </a:prstGeom>
                        <a:solidFill>
                          <a:schemeClr val="lt1"/>
                        </a:solidFill>
                        <a:ln w="6350">
                          <a:noFill/>
                        </a:ln>
                      </wps:spPr>
                      <wps:txbx>
                        <w:txbxContent>
                          <w:p w:rsidR="00BB6B65" w:rsidRPr="002879A4" w:rsidRDefault="00BB6B65" w:rsidP="00BB6B65">
                            <w:pPr>
                              <w:jc w:val="both"/>
                              <w:rPr>
                                <w:sz w:val="18"/>
                                <w:szCs w:val="18"/>
                              </w:rPr>
                            </w:pPr>
                            <w:r w:rsidRPr="002879A4">
                              <w:rPr>
                                <w:rFonts w:eastAsia="Times New Roman"/>
                                <w:i/>
                                <w:iCs/>
                                <w:noProof/>
                                <w:sz w:val="18"/>
                                <w:szCs w:val="18"/>
                              </w:rPr>
                              <w:t xml:space="preserve">Figure </w:t>
                            </w:r>
                            <w:r>
                              <w:rPr>
                                <w:rFonts w:eastAsia="Times New Roman"/>
                                <w:i/>
                                <w:iCs/>
                                <w:noProof/>
                                <w:sz w:val="18"/>
                                <w:szCs w:val="18"/>
                              </w:rPr>
                              <w:t>20.2</w:t>
                            </w:r>
                            <w:r w:rsidRPr="002879A4">
                              <w:rPr>
                                <w:rFonts w:eastAsia="Times New Roman"/>
                                <w:i/>
                                <w:iCs/>
                                <w:noProof/>
                                <w:sz w:val="18"/>
                                <w:szCs w:val="18"/>
                              </w:rPr>
                              <w:t xml:space="preserve">. Public awareness-raising on air quality through the AirKz smartphone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6E6A6" id="_x0000_t202" coordsize="21600,21600" o:spt="202" path="m,l,21600r21600,l21600,xe">
                <v:stroke joinstyle="miter"/>
                <v:path gradientshapeok="t" o:connecttype="rect"/>
              </v:shapetype>
              <v:shape id="Text Box 10" o:spid="_x0000_s1026" type="#_x0000_t202" style="position:absolute;left:0;text-align:left;margin-left:252pt;margin-top:124.35pt;width:214.55pt;height:3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" fillcolor="white [3201]" stroked="f" strokeweight=".5pt">
                <v:textbox>
                  <w:txbxContent>
                    <w:p w:rsidR="00BB6B65" w:rsidRPr="002879A4" w:rsidRDefault="00BB6B65" w:rsidP="00BB6B65">
                      <w:pPr>
                        <w:jc w:val="both"/>
                        <w:rPr>
                          <w:sz w:val="18"/>
                          <w:szCs w:val="18"/>
                        </w:rPr>
                      </w:pPr>
                      <w:r w:rsidRPr="002879A4">
                        <w:rPr>
                          <w:rFonts w:eastAsia="Times New Roman"/>
                          <w:i/>
                          <w:iCs/>
                          <w:noProof/>
                          <w:sz w:val="18"/>
                          <w:szCs w:val="18"/>
                        </w:rPr>
                        <w:t xml:space="preserve">Figure </w:t>
                      </w:r>
                      <w:r>
                        <w:rPr>
                          <w:rFonts w:eastAsia="Times New Roman"/>
                          <w:i/>
                          <w:iCs/>
                          <w:noProof/>
                          <w:sz w:val="18"/>
                          <w:szCs w:val="18"/>
                        </w:rPr>
                        <w:t>20.2</w:t>
                      </w:r>
                      <w:r w:rsidRPr="002879A4">
                        <w:rPr>
                          <w:rFonts w:eastAsia="Times New Roman"/>
                          <w:i/>
                          <w:iCs/>
                          <w:noProof/>
                          <w:sz w:val="18"/>
                          <w:szCs w:val="18"/>
                        </w:rPr>
                        <w:t xml:space="preserve">. Public awareness-raising on air quality through the AirKz smartphone application </w:t>
                      </w:r>
                    </w:p>
                  </w:txbxContent>
                </v:textbox>
                <w10:wrap type="square" anchorx="margin"/>
              </v:shape>
            </w:pict>
          </mc:Fallback>
        </mc:AlternateContent>
      </w:r>
      <w:r w:rsidRPr="0008788D">
        <w:rPr>
          <w:b/>
          <w:bCs/>
          <w:noProof/>
          <w:lang w:eastAsia="zh-CN"/>
        </w:rPr>
        <w:drawing>
          <wp:anchor distT="0" distB="0" distL="114300" distR="114300" simplePos="0" relativeHeight="251661312" behindDoc="0" locked="0" layoutInCell="1" allowOverlap="1" wp14:anchorId="23080382" wp14:editId="057B4E9F">
            <wp:simplePos x="0" y="0"/>
            <wp:positionH relativeFrom="margin">
              <wp:align>right</wp:align>
            </wp:positionH>
            <wp:positionV relativeFrom="paragraph">
              <wp:posOffset>134620</wp:posOffset>
            </wp:positionV>
            <wp:extent cx="2461260" cy="1301115"/>
            <wp:effectExtent l="19050" t="19050" r="15240" b="13335"/>
            <wp:wrapSquare wrapText="bothSides"/>
            <wp:docPr id="19530211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rcRect t="57925" b="10556"/>
                    <a:stretch>
                      <a:fillRect/>
                    </a:stretch>
                  </pic:blipFill>
                  <pic:spPr bwMode="auto">
                    <a:xfrm>
                      <a:off x="0" y="0"/>
                      <a:ext cx="2461260" cy="130111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4831">
        <w:rPr>
          <w:noProof/>
        </w:rPr>
        <w:t xml:space="preserve">The </w:t>
      </w:r>
      <w:r>
        <w:rPr>
          <w:noProof/>
        </w:rPr>
        <w:t>EPR</w:t>
      </w:r>
      <w:r w:rsidRPr="00D54831">
        <w:rPr>
          <w:noProof/>
        </w:rPr>
        <w:t xml:space="preserve"> of the former Yugoslav Republic of Macedonia assess</w:t>
      </w:r>
      <w:r>
        <w:rPr>
          <w:noProof/>
        </w:rPr>
        <w:t>ed</w:t>
      </w:r>
      <w:r w:rsidRPr="00D54831">
        <w:rPr>
          <w:noProof/>
        </w:rPr>
        <w:t xml:space="preserve"> progress since 2011 on air quality, water management, biodiversity, forestry and protected areas, waste and chemical management, climate change and greening the economy.</w:t>
      </w:r>
      <w:r>
        <w:rPr>
          <w:noProof/>
        </w:rPr>
        <w:t xml:space="preserve"> T</w:t>
      </w:r>
      <w:r w:rsidRPr="00D54831">
        <w:rPr>
          <w:noProof/>
        </w:rPr>
        <w:t>h</w:t>
      </w:r>
      <w:r>
        <w:rPr>
          <w:noProof/>
        </w:rPr>
        <w:t>e</w:t>
      </w:r>
      <w:r w:rsidRPr="00D54831">
        <w:rPr>
          <w:noProof/>
        </w:rPr>
        <w:t xml:space="preserve"> review </w:t>
      </w:r>
      <w:r>
        <w:rPr>
          <w:noProof/>
        </w:rPr>
        <w:t xml:space="preserve">also </w:t>
      </w:r>
      <w:r w:rsidRPr="00D54831">
        <w:rPr>
          <w:noProof/>
        </w:rPr>
        <w:t>assess</w:t>
      </w:r>
      <w:r>
        <w:rPr>
          <w:noProof/>
        </w:rPr>
        <w:t>ed</w:t>
      </w:r>
      <w:r w:rsidRPr="00D54831">
        <w:rPr>
          <w:noProof/>
        </w:rPr>
        <w:t xml:space="preserve"> the country’s progress towards relevant targets and indicators of the SDGs</w:t>
      </w:r>
      <w:r>
        <w:rPr>
          <w:noProof/>
        </w:rPr>
        <w:t>, examined</w:t>
      </w:r>
      <w:r w:rsidRPr="00D54831">
        <w:rPr>
          <w:noProof/>
        </w:rPr>
        <w:t xml:space="preserve"> how the SDGs are being adapted to the national context and put into practice, whether the necessary resources have been allocated and responsibilities are clear, what obstacles have been encountered when targeting the Goals and what concrete results have already been achieved.</w:t>
      </w:r>
    </w:p>
    <w:p w:rsidR="00BB6B65" w:rsidRPr="00C116AA" w:rsidRDefault="00BB6B65" w:rsidP="00BB6B65">
      <w:pPr>
        <w:tabs>
          <w:tab w:val="left" w:pos="3658"/>
          <w:tab w:val="left" w:pos="4133"/>
          <w:tab w:val="left" w:pos="4622"/>
          <w:tab w:val="left" w:pos="5098"/>
          <w:tab w:val="left" w:pos="5573"/>
          <w:tab w:val="left" w:pos="6048"/>
        </w:tabs>
        <w:spacing w:after="120"/>
        <w:jc w:val="both"/>
        <w:rPr>
          <w:noProof/>
        </w:rPr>
      </w:pPr>
      <w:r w:rsidRPr="00C116AA">
        <w:rPr>
          <w:noProof/>
        </w:rPr>
        <w:t xml:space="preserve">In Kazakhstan, the EPR focused on the country’s progress in greening its economy, particularly the energy, industry, agriculture and health sectors. It evaluated past efforts and recommended to the Government actions to address air pollution, improve water quality, reduce waste and manage protected areas. </w:t>
      </w:r>
    </w:p>
    <w:p w:rsidR="00BB6B65" w:rsidRDefault="00BB6B65" w:rsidP="00BB6B65">
      <w:pPr>
        <w:pStyle w:val="ListParagraph"/>
        <w:tabs>
          <w:tab w:val="left" w:pos="3658"/>
          <w:tab w:val="left" w:pos="4133"/>
          <w:tab w:val="left" w:pos="4622"/>
          <w:tab w:val="left" w:pos="5098"/>
          <w:tab w:val="left" w:pos="5573"/>
          <w:tab w:val="left" w:pos="6048"/>
        </w:tabs>
        <w:spacing w:after="120"/>
        <w:ind w:left="426" w:hanging="426"/>
        <w:jc w:val="both"/>
        <w:rPr>
          <w:noProof/>
        </w:rPr>
      </w:pPr>
    </w:p>
    <w:p w:rsidR="00BB6B65" w:rsidRPr="004219BE" w:rsidRDefault="00BB6B65" w:rsidP="00BB6B65">
      <w:pPr>
        <w:tabs>
          <w:tab w:val="left" w:pos="3658"/>
          <w:tab w:val="left" w:pos="4133"/>
          <w:tab w:val="left" w:pos="4622"/>
          <w:tab w:val="left" w:pos="5098"/>
          <w:tab w:val="left" w:pos="5573"/>
          <w:tab w:val="left" w:pos="6048"/>
        </w:tabs>
        <w:spacing w:after="120"/>
        <w:jc w:val="both"/>
        <w:rPr>
          <w:noProof/>
        </w:rPr>
      </w:pPr>
      <w:r w:rsidRPr="00C116AA">
        <w:rPr>
          <w:noProof/>
        </w:rPr>
        <w:t xml:space="preserve">Building on the analysis of progress made in implementing the recommendations from the second EPRs of the countries, the third reviews </w:t>
      </w:r>
      <w:r w:rsidRPr="004219BE">
        <w:rPr>
          <w:noProof/>
        </w:rPr>
        <w:t>resulted in about 120 practical recommendations to improve environmental governance and boost national efforts to implement the 2030 Agenda for Sustainable Development.</w:t>
      </w:r>
    </w:p>
    <w:p w:rsidR="00BB6B65" w:rsidRPr="00C116AA" w:rsidRDefault="00BB6B65" w:rsidP="00BB6B65">
      <w:pPr>
        <w:tabs>
          <w:tab w:val="left" w:pos="3658"/>
          <w:tab w:val="left" w:pos="4133"/>
          <w:tab w:val="left" w:pos="4622"/>
          <w:tab w:val="left" w:pos="5098"/>
          <w:tab w:val="left" w:pos="5573"/>
          <w:tab w:val="left" w:pos="6048"/>
        </w:tabs>
        <w:spacing w:after="120"/>
        <w:jc w:val="both"/>
        <w:rPr>
          <w:noProof/>
        </w:rPr>
      </w:pPr>
      <w:r w:rsidRPr="004219BE">
        <w:rPr>
          <w:noProof/>
        </w:rPr>
        <w:t>Both countries have acted upon the majority of recommendations from the previous EPRs. As illustrated in the review of Kazakhstan, earlier recommendations in the area of public access to environmental information and participation in decision making resulted in improved national legislation and its application in practice. For example, this is evidenced by</w:t>
      </w:r>
      <w:r w:rsidRPr="00C116AA">
        <w:rPr>
          <w:noProof/>
        </w:rPr>
        <w:t xml:space="preserve"> enhanced public information on the quality of air and provision of real-time data from measuring selected air pollutants.</w:t>
      </w:r>
      <w:r w:rsidRPr="00C116AA" w:rsidDel="00CB593A">
        <w:rPr>
          <w:noProof/>
        </w:rPr>
        <w:t xml:space="preserve"> </w:t>
      </w:r>
      <w:r w:rsidRPr="00C116AA">
        <w:rPr>
          <w:noProof/>
        </w:rPr>
        <w:t xml:space="preserve">Kazhydromet, an agency under the Ministery of Energy of Kazakhstan, has developed an application for smartphones called “AirKz” and launched it in January 2018 (as illustrated in </w:t>
      </w:r>
      <w:r>
        <w:rPr>
          <w:noProof/>
        </w:rPr>
        <w:t>f</w:t>
      </w:r>
      <w:r w:rsidRPr="00C116AA">
        <w:rPr>
          <w:noProof/>
        </w:rPr>
        <w:t>igure</w:t>
      </w:r>
      <w:r>
        <w:rPr>
          <w:noProof/>
        </w:rPr>
        <w:t xml:space="preserve"> 20.2</w:t>
      </w:r>
      <w:r w:rsidRPr="00C116AA">
        <w:rPr>
          <w:noProof/>
        </w:rPr>
        <w:t>). This and other actions taken by the Government foster public awareness and debate on air pollution, which may also influence public policy.</w:t>
      </w:r>
    </w:p>
    <w:p w:rsidR="00BB6B65" w:rsidRPr="00C116AA" w:rsidRDefault="00BB6B65" w:rsidP="00BB6B65">
      <w:pPr>
        <w:pBdr>
          <w:bottom w:val="single" w:sz="4" w:space="1" w:color="auto"/>
        </w:pBdr>
        <w:tabs>
          <w:tab w:val="left" w:pos="3658"/>
          <w:tab w:val="left" w:pos="4133"/>
          <w:tab w:val="left" w:pos="4622"/>
          <w:tab w:val="left" w:pos="5098"/>
          <w:tab w:val="left" w:pos="5573"/>
          <w:tab w:val="left" w:pos="6048"/>
        </w:tabs>
        <w:spacing w:after="120"/>
        <w:jc w:val="both"/>
        <w:rPr>
          <w:noProof/>
        </w:rPr>
      </w:pPr>
      <w:r w:rsidRPr="002F7467">
        <w:t>The</w:t>
      </w:r>
      <w:r>
        <w:t xml:space="preserve"> </w:t>
      </w:r>
      <w:r w:rsidRPr="002F7467">
        <w:t>result of applying t</w:t>
      </w:r>
      <w:r w:rsidRPr="00C116AA">
        <w:rPr>
          <w:noProof/>
        </w:rPr>
        <w:t>he EPR methodology</w:t>
      </w:r>
      <w:r w:rsidRPr="002F7467">
        <w:t xml:space="preserve"> demonstrates progress made in 2018 towards collective attainment of the objective </w:t>
      </w:r>
      <w:r>
        <w:t>of the subprogramme</w:t>
      </w:r>
      <w:r w:rsidRPr="002F7467">
        <w:t>.</w:t>
      </w:r>
      <w:r>
        <w:t xml:space="preserve"> </w:t>
      </w:r>
      <w:r w:rsidRPr="00C116AA">
        <w:rPr>
          <w:noProof/>
        </w:rPr>
        <w:t xml:space="preserve">The methodology has continued to attract the attention of countries outside ECE region, leading to requests for a transfer of know-how from ECE to other regions. For example, in 2018, Mongolia launched its Environmental Performance Review carried out by ECE in cooperation with ESCAP.  </w:t>
      </w:r>
    </w:p>
    <w:p w:rsidR="00BB6B65" w:rsidRPr="00DB503D" w:rsidRDefault="00BB6B65" w:rsidP="00BB6B65">
      <w:pPr>
        <w:pStyle w:val="ListParagraph"/>
        <w:tabs>
          <w:tab w:val="left" w:pos="3658"/>
          <w:tab w:val="left" w:pos="4133"/>
          <w:tab w:val="left" w:pos="4622"/>
          <w:tab w:val="left" w:pos="5098"/>
          <w:tab w:val="left" w:pos="5573"/>
          <w:tab w:val="left" w:pos="6048"/>
        </w:tabs>
        <w:spacing w:after="120"/>
        <w:ind w:left="426" w:hanging="426"/>
        <w:jc w:val="both"/>
        <w:rPr>
          <w:noProof/>
        </w:rPr>
      </w:pPr>
    </w:p>
    <w:p w:rsidR="00BB6B65" w:rsidRDefault="00BB6B65" w:rsidP="00BB6B65">
      <w:pPr>
        <w:pStyle w:val="ListParagraph"/>
        <w:numPr>
          <w:ilvl w:val="0"/>
          <w:numId w:val="3"/>
        </w:numPr>
        <w:tabs>
          <w:tab w:val="left" w:pos="426"/>
          <w:tab w:val="left" w:pos="3658"/>
          <w:tab w:val="left" w:pos="4133"/>
          <w:tab w:val="left" w:pos="4622"/>
          <w:tab w:val="left" w:pos="5098"/>
          <w:tab w:val="left" w:pos="5573"/>
          <w:tab w:val="left" w:pos="6048"/>
        </w:tabs>
        <w:suppressAutoHyphens/>
        <w:spacing w:after="120" w:line="240" w:lineRule="exact"/>
        <w:ind w:left="0" w:firstLine="0"/>
        <w:jc w:val="both"/>
        <w:rPr>
          <w:noProof/>
        </w:rPr>
      </w:pPr>
      <w:r>
        <w:rPr>
          <w:noProof/>
        </w:rPr>
        <w:t xml:space="preserve">The planned result for 2018, </w:t>
      </w:r>
      <w:r w:rsidRPr="0085519D">
        <w:rPr>
          <w:noProof/>
        </w:rPr>
        <w:t xml:space="preserve">improved environmental performance of interested countries, </w:t>
      </w:r>
      <w:r>
        <w:rPr>
          <w:noProof/>
        </w:rPr>
        <w:t>referred to in the p</w:t>
      </w:r>
      <w:r w:rsidRPr="0085519D">
        <w:rPr>
          <w:noProof/>
        </w:rPr>
        <w:t xml:space="preserve">roposed </w:t>
      </w:r>
      <w:r>
        <w:rPr>
          <w:noProof/>
        </w:rPr>
        <w:t>p</w:t>
      </w:r>
      <w:r w:rsidRPr="0085519D">
        <w:rPr>
          <w:noProof/>
        </w:rPr>
        <w:t xml:space="preserve">rogramme </w:t>
      </w:r>
      <w:r>
        <w:rPr>
          <w:noProof/>
        </w:rPr>
        <w:t>b</w:t>
      </w:r>
      <w:r w:rsidRPr="0085519D">
        <w:rPr>
          <w:noProof/>
        </w:rPr>
        <w:t xml:space="preserve">udget for 2018-2019, was achieved as planned, as evidenced by </w:t>
      </w:r>
      <w:r>
        <w:rPr>
          <w:noProof/>
        </w:rPr>
        <w:t xml:space="preserve">the implementation of earlier </w:t>
      </w:r>
      <w:r w:rsidRPr="0085519D">
        <w:rPr>
          <w:noProof/>
        </w:rPr>
        <w:t xml:space="preserve">EPR recommendations by the two reviewed countries. </w:t>
      </w:r>
      <w:r w:rsidRPr="00FD7CD9">
        <w:rPr>
          <w:noProof/>
        </w:rPr>
        <w:t>With the EPRs, the subprogramme contributed to the nexus areas on sustainable use of natural resources; sustainable and smart cities; and measuring and monitoring SDGs implementation.</w:t>
      </w:r>
      <w:r w:rsidRPr="00F51588">
        <w:rPr>
          <w:noProof/>
        </w:rPr>
        <w:t xml:space="preserve"> </w:t>
      </w:r>
    </w:p>
    <w:p w:rsidR="00BB6B65" w:rsidRPr="002F4108" w:rsidRDefault="00BB6B65" w:rsidP="00BB6B65">
      <w:pPr>
        <w:pStyle w:val="ListParagraph"/>
        <w:tabs>
          <w:tab w:val="left" w:pos="426"/>
          <w:tab w:val="left" w:pos="3658"/>
          <w:tab w:val="left" w:pos="4133"/>
          <w:tab w:val="left" w:pos="4622"/>
          <w:tab w:val="left" w:pos="5098"/>
          <w:tab w:val="left" w:pos="5573"/>
          <w:tab w:val="left" w:pos="6048"/>
        </w:tabs>
        <w:spacing w:after="120"/>
        <w:ind w:left="0"/>
        <w:jc w:val="both"/>
        <w:rPr>
          <w:noProof/>
        </w:rPr>
      </w:pPr>
    </w:p>
    <w:p w:rsidR="00BB6B65" w:rsidRDefault="00BB6B65" w:rsidP="00BB6B65">
      <w:pPr>
        <w:tabs>
          <w:tab w:val="left" w:pos="426"/>
        </w:tabs>
        <w:spacing w:line="120" w:lineRule="exact"/>
        <w:rPr>
          <w:sz w:val="10"/>
        </w:rPr>
      </w:pPr>
    </w:p>
    <w:p w:rsidR="00BB6B65" w:rsidRPr="005F080F" w:rsidRDefault="00BB6B65" w:rsidP="00BB6B65">
      <w:pPr>
        <w:pStyle w:val="H1"/>
        <w:numPr>
          <w:ilvl w:val="0"/>
          <w:numId w:val="2"/>
        </w:numPr>
        <w:tabs>
          <w:tab w:val="clear" w:pos="1022"/>
          <w:tab w:val="clear" w:pos="1267"/>
          <w:tab w:val="clear" w:pos="1742"/>
          <w:tab w:val="clear" w:pos="2218"/>
          <w:tab w:val="clear" w:pos="2693"/>
          <w:tab w:val="clear" w:pos="3182"/>
          <w:tab w:val="left" w:pos="426"/>
        </w:tabs>
        <w:spacing w:line="240" w:lineRule="exact"/>
        <w:ind w:hanging="2204"/>
        <w:rPr>
          <w:sz w:val="20"/>
        </w:rPr>
      </w:pPr>
      <w:r>
        <w:rPr>
          <w:sz w:val="20"/>
        </w:rPr>
        <w:t>Highlighted</w:t>
      </w:r>
      <w:r w:rsidRPr="005F080F">
        <w:rPr>
          <w:sz w:val="20"/>
        </w:rPr>
        <w:t xml:space="preserve"> planned result for 2020</w:t>
      </w:r>
    </w:p>
    <w:p w:rsidR="00BB6B65" w:rsidRDefault="00BB6B65" w:rsidP="00BB6B65">
      <w:pPr>
        <w:pBdr>
          <w:bottom w:val="single" w:sz="4" w:space="1" w:color="auto"/>
        </w:pBdr>
        <w:tabs>
          <w:tab w:val="left" w:pos="426"/>
          <w:tab w:val="left" w:pos="3658"/>
          <w:tab w:val="left" w:pos="4133"/>
          <w:tab w:val="left" w:pos="4622"/>
          <w:tab w:val="left" w:pos="5098"/>
          <w:tab w:val="left" w:pos="5573"/>
          <w:tab w:val="left" w:pos="6048"/>
        </w:tabs>
        <w:spacing w:after="120"/>
        <w:jc w:val="both"/>
        <w:rPr>
          <w:b/>
          <w:bCs/>
        </w:rPr>
      </w:pPr>
    </w:p>
    <w:p w:rsidR="00BB6B65" w:rsidRPr="00C16106" w:rsidRDefault="00BB6B65" w:rsidP="00BB6B65">
      <w:pPr>
        <w:tabs>
          <w:tab w:val="left" w:pos="426"/>
          <w:tab w:val="left" w:pos="3658"/>
          <w:tab w:val="left" w:pos="4133"/>
          <w:tab w:val="left" w:pos="4622"/>
          <w:tab w:val="left" w:pos="5098"/>
          <w:tab w:val="left" w:pos="5573"/>
          <w:tab w:val="left" w:pos="6048"/>
        </w:tabs>
        <w:spacing w:after="120"/>
        <w:jc w:val="both"/>
        <w:rPr>
          <w:b/>
          <w:bCs/>
        </w:rPr>
      </w:pPr>
      <w:r w:rsidRPr="00C16106">
        <w:rPr>
          <w:b/>
          <w:bCs/>
        </w:rPr>
        <w:lastRenderedPageBreak/>
        <w:t>Life</w:t>
      </w:r>
      <w:r>
        <w:rPr>
          <w:b/>
          <w:bCs/>
        </w:rPr>
        <w:t>time</w:t>
      </w:r>
      <w:r w:rsidRPr="00C16106" w:rsidDel="00CA5300">
        <w:rPr>
          <w:b/>
          <w:bCs/>
        </w:rPr>
        <w:t xml:space="preserve"> </w:t>
      </w:r>
      <w:r>
        <w:rPr>
          <w:b/>
          <w:bCs/>
        </w:rPr>
        <w:t xml:space="preserve">Extension of </w:t>
      </w:r>
      <w:r w:rsidRPr="00C16106">
        <w:rPr>
          <w:b/>
          <w:bCs/>
        </w:rPr>
        <w:t xml:space="preserve">Nuclear Power </w:t>
      </w:r>
      <w:r>
        <w:rPr>
          <w:b/>
          <w:bCs/>
        </w:rPr>
        <w:t>Plants</w:t>
      </w:r>
      <w:r w:rsidRPr="00C16106">
        <w:rPr>
          <w:b/>
          <w:bCs/>
        </w:rPr>
        <w:t xml:space="preserve"> </w:t>
      </w:r>
    </w:p>
    <w:p w:rsidR="00BB6B65" w:rsidRPr="00C16106" w:rsidRDefault="00BB6B65" w:rsidP="00BB6B65">
      <w:pPr>
        <w:tabs>
          <w:tab w:val="left" w:pos="3658"/>
          <w:tab w:val="left" w:pos="4133"/>
          <w:tab w:val="left" w:pos="4622"/>
          <w:tab w:val="left" w:pos="5098"/>
          <w:tab w:val="left" w:pos="5573"/>
          <w:tab w:val="left" w:pos="6048"/>
        </w:tabs>
        <w:spacing w:after="120"/>
        <w:jc w:val="both"/>
        <w:rPr>
          <w:noProof/>
        </w:rPr>
      </w:pPr>
      <w:r w:rsidRPr="00C16106">
        <w:t xml:space="preserve">Despite its Parties having recognized the valuable contribution of the Convention on Environmental Impact Assessment in a Transboundary Context (or Espoo </w:t>
      </w:r>
      <w:r w:rsidRPr="000A3BAB">
        <w:t>Convention</w:t>
      </w:r>
      <w:r w:rsidRPr="00C16106">
        <w:t>) to the achievement of the SDGs, challenges remain in the application of the Convention, both in specific subregions and for addressing key types of economic development. One area where agreement has yet to be reached is on the applicability of the Convention to decisions on the extension of the lifetime of nuclear power plants. The next decade is expected to see many such decisions being taken each year in the ECE region, as a number of operational European reactors will reach their original technical design life-time.</w:t>
      </w:r>
      <w:r w:rsidRPr="00C16106">
        <w:rPr>
          <w:noProof/>
        </w:rPr>
        <w:t xml:space="preserve"> </w:t>
      </w:r>
    </w:p>
    <w:p w:rsidR="00BB6B65" w:rsidRPr="00C16106" w:rsidRDefault="00BB6B65" w:rsidP="00BB6B65">
      <w:pPr>
        <w:tabs>
          <w:tab w:val="left" w:pos="3658"/>
          <w:tab w:val="left" w:pos="4133"/>
          <w:tab w:val="left" w:pos="4622"/>
          <w:tab w:val="left" w:pos="5098"/>
          <w:tab w:val="left" w:pos="5573"/>
          <w:tab w:val="left" w:pos="6048"/>
        </w:tabs>
        <w:spacing w:after="120"/>
        <w:jc w:val="both"/>
      </w:pPr>
      <w:r w:rsidRPr="00C16106">
        <w:rPr>
          <w:noProof/>
        </w:rPr>
        <w:t>At present</w:t>
      </w:r>
      <w:r w:rsidRPr="00C16106">
        <w:rPr>
          <w:b/>
          <w:bCs/>
          <w:noProof/>
        </w:rPr>
        <w:t>,</w:t>
      </w:r>
      <w:r w:rsidRPr="00C16106">
        <w:rPr>
          <w:noProof/>
        </w:rPr>
        <w:t xml:space="preserve"> countries have differing views about when such decisions should be subject to the procedure set out in the Convention. That procedure includes public participation and the notification of other Parties that might be affected by the decision. The workplan adopted by the Convention’s Parties for 2017-2020 addresses such challenges.</w:t>
      </w:r>
    </w:p>
    <w:p w:rsidR="00BB6B65" w:rsidRPr="00C16106" w:rsidRDefault="00BB6B65" w:rsidP="00BB6B65">
      <w:pPr>
        <w:tabs>
          <w:tab w:val="left" w:pos="3658"/>
          <w:tab w:val="left" w:pos="4133"/>
          <w:tab w:val="left" w:pos="4622"/>
          <w:tab w:val="left" w:pos="5098"/>
          <w:tab w:val="left" w:pos="5573"/>
          <w:tab w:val="left" w:pos="6048"/>
        </w:tabs>
        <w:spacing w:after="120"/>
        <w:jc w:val="both"/>
      </w:pPr>
      <w:r w:rsidRPr="00C16106">
        <w:t xml:space="preserve">In response, for 2020, the subprogramme plans to revise guidelines on environmental impact assessment in transboundary </w:t>
      </w:r>
      <w:r w:rsidRPr="00DB503D">
        <w:t>context</w:t>
      </w:r>
      <w:r w:rsidRPr="00C16106">
        <w:t xml:space="preserve"> in Central Asia. In addition, it plans to prepare guidance that will help Parties to the Convention to decide whether and how to apply the Convention to decisions on the lifetime extension of nuclear power plants.</w:t>
      </w:r>
    </w:p>
    <w:p w:rsidR="00BB6B65" w:rsidRPr="00C16106" w:rsidRDefault="00BB6B65" w:rsidP="00BB6B65">
      <w:pPr>
        <w:tabs>
          <w:tab w:val="left" w:pos="3658"/>
          <w:tab w:val="left" w:pos="4133"/>
          <w:tab w:val="left" w:pos="4622"/>
          <w:tab w:val="left" w:pos="5098"/>
          <w:tab w:val="left" w:pos="5573"/>
          <w:tab w:val="left" w:pos="6048"/>
        </w:tabs>
        <w:spacing w:after="120"/>
        <w:jc w:val="both"/>
      </w:pPr>
      <w:r w:rsidRPr="00C16106">
        <w:t xml:space="preserve">In 2020, at their next regular meeting, Parties will take </w:t>
      </w:r>
      <w:r w:rsidRPr="00DB503D">
        <w:t>stock</w:t>
      </w:r>
      <w:r w:rsidRPr="00C16106">
        <w:t xml:space="preserve"> on the delivery of the above planned work. The expected result would be the broad use of these guidance materials, which will clarify and strengthen the application of the Convention, thus more closely aligning economic development with the objectives of the 2030 Agenda. The result</w:t>
      </w:r>
      <w:r>
        <w:t xml:space="preserve">, if achieved, </w:t>
      </w:r>
      <w:r w:rsidRPr="00C16106">
        <w:t>w</w:t>
      </w:r>
      <w:r>
        <w:t>ill</w:t>
      </w:r>
      <w:r w:rsidRPr="00C16106">
        <w:t xml:space="preserve"> be evidenced by the possible consensus decision on the adoption of the guidance materials, as shown in </w:t>
      </w:r>
      <w:r>
        <w:t xml:space="preserve">the </w:t>
      </w:r>
      <w:r w:rsidRPr="00C16106">
        <w:t xml:space="preserve">figure </w:t>
      </w:r>
      <w:r>
        <w:t>below</w:t>
      </w:r>
      <w:r w:rsidRPr="00C16106">
        <w:t xml:space="preserve">. </w:t>
      </w:r>
    </w:p>
    <w:p w:rsidR="00BB6B65" w:rsidRDefault="00BB6B65" w:rsidP="00BB6B65">
      <w:pPr>
        <w:pStyle w:val="ListParagraph"/>
        <w:tabs>
          <w:tab w:val="left" w:pos="851"/>
          <w:tab w:val="left" w:pos="1701"/>
        </w:tabs>
        <w:ind w:left="567"/>
        <w:jc w:val="both"/>
      </w:pPr>
    </w:p>
    <w:tbl>
      <w:tblPr>
        <w:tblStyle w:val="TableGrid"/>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977"/>
        <w:gridCol w:w="2977"/>
        <w:gridCol w:w="2977"/>
      </w:tblGrid>
      <w:tr w:rsidR="00BB6B65" w:rsidTr="00BD15B9">
        <w:tc>
          <w:tcPr>
            <w:tcW w:w="2977" w:type="dxa"/>
            <w:tcBorders>
              <w:top w:val="single" w:sz="4" w:space="0" w:color="auto"/>
              <w:left w:val="single" w:sz="4" w:space="0" w:color="auto"/>
              <w:right w:val="single" w:sz="4" w:space="0" w:color="auto"/>
            </w:tcBorders>
            <w:hideMark/>
          </w:tcPr>
          <w:p w:rsidR="00BB6B65" w:rsidRDefault="00BB6B65" w:rsidP="00BD15B9">
            <w:pPr>
              <w:pStyle w:val="ListParagraph"/>
              <w:tabs>
                <w:tab w:val="left" w:pos="851"/>
              </w:tabs>
              <w:ind w:left="-112"/>
              <w:jc w:val="center"/>
            </w:pPr>
            <w:r>
              <w:t>2018</w:t>
            </w:r>
          </w:p>
        </w:tc>
        <w:tc>
          <w:tcPr>
            <w:tcW w:w="2977" w:type="dxa"/>
            <w:tcBorders>
              <w:top w:val="single" w:sz="4" w:space="0" w:color="auto"/>
              <w:left w:val="single" w:sz="4" w:space="0" w:color="auto"/>
              <w:right w:val="single" w:sz="4" w:space="0" w:color="auto"/>
            </w:tcBorders>
            <w:hideMark/>
          </w:tcPr>
          <w:p w:rsidR="00BB6B65" w:rsidRDefault="00BB6B65" w:rsidP="00BD15B9">
            <w:pPr>
              <w:pStyle w:val="ListParagraph"/>
              <w:tabs>
                <w:tab w:val="left" w:pos="851"/>
              </w:tabs>
              <w:ind w:left="-118"/>
              <w:jc w:val="center"/>
            </w:pPr>
            <w:r>
              <w:t>2019</w:t>
            </w:r>
          </w:p>
        </w:tc>
        <w:tc>
          <w:tcPr>
            <w:tcW w:w="2977" w:type="dxa"/>
            <w:tcBorders>
              <w:top w:val="single" w:sz="4" w:space="0" w:color="auto"/>
              <w:left w:val="single" w:sz="4" w:space="0" w:color="auto"/>
              <w:bottom w:val="single" w:sz="4" w:space="0" w:color="auto"/>
              <w:right w:val="single" w:sz="4" w:space="0" w:color="auto"/>
            </w:tcBorders>
            <w:hideMark/>
          </w:tcPr>
          <w:p w:rsidR="00BB6B65" w:rsidRDefault="00BB6B65" w:rsidP="00BD15B9">
            <w:pPr>
              <w:pStyle w:val="ListParagraph"/>
              <w:tabs>
                <w:tab w:val="left" w:pos="851"/>
              </w:tabs>
              <w:ind w:left="0"/>
              <w:jc w:val="center"/>
            </w:pPr>
            <w:r>
              <w:t>2020</w:t>
            </w:r>
          </w:p>
        </w:tc>
      </w:tr>
      <w:tr w:rsidR="00BB6B65" w:rsidTr="00BD15B9">
        <w:tc>
          <w:tcPr>
            <w:tcW w:w="2977" w:type="dxa"/>
            <w:tcBorders>
              <w:left w:val="single" w:sz="4" w:space="0" w:color="auto"/>
              <w:right w:val="single" w:sz="4" w:space="0" w:color="auto"/>
            </w:tcBorders>
          </w:tcPr>
          <w:p w:rsidR="00BB6B65" w:rsidRDefault="00BB6B65" w:rsidP="00BD15B9">
            <w:pPr>
              <w:pStyle w:val="ListParagraph"/>
              <w:tabs>
                <w:tab w:val="left" w:pos="851"/>
              </w:tabs>
            </w:pPr>
          </w:p>
        </w:tc>
        <w:tc>
          <w:tcPr>
            <w:tcW w:w="2977" w:type="dxa"/>
            <w:tcBorders>
              <w:left w:val="single" w:sz="4" w:space="0" w:color="auto"/>
              <w:bottom w:val="single" w:sz="4" w:space="0" w:color="auto"/>
              <w:right w:val="single" w:sz="4" w:space="0" w:color="auto"/>
            </w:tcBorders>
          </w:tcPr>
          <w:p w:rsidR="00BB6B65" w:rsidRDefault="00BB6B65" w:rsidP="00BD15B9">
            <w:pPr>
              <w:pStyle w:val="ListParagraph"/>
              <w:tabs>
                <w:tab w:val="left" w:pos="851"/>
              </w:tabs>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B6B65" w:rsidRPr="00C16106" w:rsidRDefault="00BB6B65" w:rsidP="00BD15B9">
            <w:pPr>
              <w:pStyle w:val="ListParagraph"/>
              <w:tabs>
                <w:tab w:val="left" w:pos="851"/>
              </w:tabs>
              <w:rPr>
                <w:bCs/>
              </w:rPr>
            </w:pPr>
            <w:r w:rsidRPr="00C16106">
              <w:rPr>
                <w:bCs/>
              </w:rPr>
              <w:t>Guidelines on the lifetime extension of nuclear power plants in place and contributing to decision-making process on the matter</w:t>
            </w:r>
          </w:p>
        </w:tc>
      </w:tr>
      <w:tr w:rsidR="00BB6B65" w:rsidTr="00BD15B9">
        <w:tc>
          <w:tcPr>
            <w:tcW w:w="2977" w:type="dxa"/>
            <w:tcBorders>
              <w:left w:val="single" w:sz="4" w:space="0" w:color="auto"/>
              <w:bottom w:val="single" w:sz="4" w:space="0" w:color="auto"/>
              <w:right w:val="single" w:sz="4" w:space="0" w:color="auto"/>
            </w:tcBorders>
          </w:tcPr>
          <w:p w:rsidR="00BB6B65" w:rsidRDefault="00BB6B65" w:rsidP="00BD15B9">
            <w:pPr>
              <w:pStyle w:val="ListParagraph"/>
              <w:tabs>
                <w:tab w:val="left" w:pos="851"/>
              </w:tabs>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B6B65" w:rsidRDefault="00BB6B65" w:rsidP="00BD15B9">
            <w:pPr>
              <w:pStyle w:val="ListParagraph"/>
              <w:tabs>
                <w:tab w:val="left" w:pos="851"/>
              </w:tabs>
            </w:pPr>
            <w:r>
              <w:t>Development of g</w:t>
            </w:r>
            <w:r w:rsidRPr="00C179D3">
              <w:t>uidelines on the lifetime extension of nuclear power plants</w:t>
            </w:r>
          </w:p>
        </w:tc>
        <w:tc>
          <w:tcPr>
            <w:tcW w:w="2977"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B6B65" w:rsidRPr="00C16106" w:rsidRDefault="00BB6B65" w:rsidP="00BB6B65">
            <w:pPr>
              <w:pStyle w:val="ListParagraph"/>
              <w:numPr>
                <w:ilvl w:val="0"/>
                <w:numId w:val="3"/>
              </w:numPr>
              <w:tabs>
                <w:tab w:val="left" w:pos="851"/>
              </w:tabs>
              <w:rPr>
                <w:b/>
              </w:rPr>
            </w:pPr>
          </w:p>
        </w:tc>
      </w:tr>
      <w:tr w:rsidR="00BB6B65" w:rsidTr="00BD15B9">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B6B65" w:rsidRDefault="00BB6B65" w:rsidP="00BD15B9">
            <w:pPr>
              <w:pStyle w:val="ListParagraph"/>
              <w:tabs>
                <w:tab w:val="left" w:pos="851"/>
              </w:tabs>
            </w:pPr>
            <w:r>
              <w:t>Absence of g</w:t>
            </w:r>
            <w:r w:rsidRPr="00C179D3">
              <w:t>uidelines on the lifetime extension of nuclear power plants</w:t>
            </w:r>
          </w:p>
        </w:tc>
        <w:tc>
          <w:tcPr>
            <w:tcW w:w="2977"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B6B65" w:rsidRDefault="00BB6B65" w:rsidP="00BB6B65">
            <w:pPr>
              <w:pStyle w:val="ListParagraph"/>
              <w:numPr>
                <w:ilvl w:val="0"/>
                <w:numId w:val="3"/>
              </w:numPr>
              <w:tabs>
                <w:tab w:val="left" w:pos="851"/>
              </w:tabs>
            </w:pPr>
          </w:p>
        </w:tc>
        <w:tc>
          <w:tcPr>
            <w:tcW w:w="2977"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B6B65" w:rsidRPr="00C16106" w:rsidRDefault="00BB6B65" w:rsidP="00BB6B65">
            <w:pPr>
              <w:pStyle w:val="ListParagraph"/>
              <w:numPr>
                <w:ilvl w:val="0"/>
                <w:numId w:val="3"/>
              </w:numPr>
              <w:tabs>
                <w:tab w:val="left" w:pos="851"/>
              </w:tabs>
              <w:rPr>
                <w:b/>
              </w:rPr>
            </w:pPr>
          </w:p>
        </w:tc>
      </w:tr>
    </w:tbl>
    <w:p w:rsidR="00BB6B65" w:rsidRPr="002879A4" w:rsidRDefault="00BB6B65" w:rsidP="00BB6B65">
      <w:pPr>
        <w:pStyle w:val="ListParagraph"/>
        <w:tabs>
          <w:tab w:val="left" w:pos="851"/>
          <w:tab w:val="left" w:pos="1701"/>
        </w:tabs>
        <w:jc w:val="both"/>
        <w:rPr>
          <w:i/>
          <w:iCs/>
          <w:sz w:val="18"/>
          <w:szCs w:val="18"/>
        </w:rPr>
      </w:pPr>
      <w:r w:rsidRPr="002879A4">
        <w:rPr>
          <w:i/>
          <w:iCs/>
          <w:sz w:val="18"/>
          <w:szCs w:val="18"/>
        </w:rPr>
        <w:t>Figure 2</w:t>
      </w:r>
      <w:r>
        <w:rPr>
          <w:i/>
          <w:iCs/>
          <w:sz w:val="18"/>
          <w:szCs w:val="18"/>
        </w:rPr>
        <w:t>0.3</w:t>
      </w:r>
      <w:r w:rsidRPr="002879A4">
        <w:rPr>
          <w:i/>
          <w:iCs/>
          <w:sz w:val="18"/>
          <w:szCs w:val="18"/>
        </w:rPr>
        <w:t>: Guidelines on the lifetime extension of nuclear power plants</w:t>
      </w:r>
    </w:p>
    <w:p w:rsidR="00BB6B65" w:rsidRDefault="00BB6B65" w:rsidP="00BB6B65">
      <w:pPr>
        <w:pStyle w:val="ListParagraph"/>
        <w:tabs>
          <w:tab w:val="left" w:pos="851"/>
          <w:tab w:val="left" w:pos="1701"/>
        </w:tabs>
        <w:ind w:left="567"/>
        <w:jc w:val="both"/>
        <w:rPr>
          <w:b/>
          <w:bCs/>
        </w:rPr>
      </w:pPr>
    </w:p>
    <w:p w:rsidR="00BB6B65" w:rsidRDefault="00BB6B65" w:rsidP="00BB6B65">
      <w:pPr>
        <w:pStyle w:val="ListParagraph"/>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0" w:hanging="11"/>
        <w:jc w:val="both"/>
      </w:pPr>
      <w:r w:rsidRPr="00C16106">
        <w:t>The expected result</w:t>
      </w:r>
      <w:r>
        <w:t>, if achieved,</w:t>
      </w:r>
      <w:r w:rsidRPr="00C16106">
        <w:t xml:space="preserve"> will </w:t>
      </w:r>
      <w:r w:rsidRPr="00222C96">
        <w:t>demonstrate</w:t>
      </w:r>
      <w:r w:rsidRPr="00C16106">
        <w:t xml:space="preserve"> progress made in 2020 towards the collective attainment of the objective of the subprogramme. </w:t>
      </w:r>
      <w:r w:rsidRPr="00FD7CD9">
        <w:t>It will contribute to the nexus areas on sustainable use of natural resources; and sustainable and smart cities.</w:t>
      </w:r>
      <w:r>
        <w:t xml:space="preserve"> </w:t>
      </w:r>
    </w:p>
    <w:p w:rsidR="00BB6B65" w:rsidRDefault="00BB6B65" w:rsidP="00BB6B65">
      <w:pPr>
        <w:pStyle w:val="ListParagraph"/>
        <w:pBdr>
          <w:bottom w:val="single" w:sz="4" w:space="1" w:color="auto"/>
        </w:pBdr>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0" w:hanging="11"/>
        <w:jc w:val="both"/>
      </w:pPr>
    </w:p>
    <w:p w:rsidR="00BB6B65" w:rsidRDefault="00BB6B65" w:rsidP="00BB6B65">
      <w:pPr>
        <w:pStyle w:val="ListParagraph"/>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0" w:hanging="11"/>
        <w:jc w:val="both"/>
      </w:pPr>
    </w:p>
    <w:p w:rsidR="00BB6B65" w:rsidRDefault="00BB6B65" w:rsidP="00BB6B65">
      <w:pPr>
        <w:pStyle w:val="ListParagraph"/>
        <w:tabs>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0" w:hanging="11"/>
        <w:jc w:val="both"/>
      </w:pPr>
    </w:p>
    <w:p w:rsidR="00BB6B65" w:rsidRPr="00C16106" w:rsidRDefault="00BB6B65" w:rsidP="00BB6B65">
      <w:pPr>
        <w:pStyle w:val="ListParagraph"/>
        <w:numPr>
          <w:ilvl w:val="0"/>
          <w:numId w:val="3"/>
        </w:numPr>
        <w:tabs>
          <w:tab w:val="left" w:pos="426"/>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0" w:firstLine="0"/>
        <w:jc w:val="both"/>
        <w:rPr>
          <w:sz w:val="10"/>
        </w:rPr>
      </w:pPr>
      <w:r>
        <w:t>T</w:t>
      </w:r>
      <w:r w:rsidRPr="00C16106">
        <w:t>he subprogramme will continue to be guided by all mandates entrusted to it, which provide the legislative framework for its deliverables.</w:t>
      </w:r>
    </w:p>
    <w:p w:rsidR="00BB6B65" w:rsidRDefault="00BB6B65" w:rsidP="00BB6B65">
      <w:pPr>
        <w:pStyle w:val="H1"/>
        <w:tabs>
          <w:tab w:val="clear" w:pos="1267"/>
          <w:tab w:val="left" w:pos="426"/>
        </w:tabs>
        <w:spacing w:line="240" w:lineRule="exact"/>
        <w:ind w:left="0" w:firstLine="0"/>
        <w:rPr>
          <w:sz w:val="20"/>
        </w:rPr>
      </w:pPr>
    </w:p>
    <w:p w:rsidR="00BB6B65" w:rsidRPr="00C16106" w:rsidRDefault="00BB6B65" w:rsidP="00BB6B65">
      <w:pPr>
        <w:pStyle w:val="H1"/>
        <w:numPr>
          <w:ilvl w:val="0"/>
          <w:numId w:val="2"/>
        </w:numPr>
        <w:tabs>
          <w:tab w:val="clear" w:pos="1022"/>
          <w:tab w:val="clear" w:pos="1267"/>
          <w:tab w:val="clear" w:pos="1742"/>
          <w:tab w:val="clear" w:pos="2218"/>
          <w:tab w:val="left" w:pos="426"/>
        </w:tabs>
        <w:spacing w:line="240" w:lineRule="exact"/>
        <w:ind w:left="0" w:firstLine="0"/>
        <w:rPr>
          <w:sz w:val="20"/>
        </w:rPr>
      </w:pPr>
      <w:r w:rsidRPr="00C16106">
        <w:rPr>
          <w:sz w:val="20"/>
        </w:rPr>
        <w:t>Deliverables for the period 2018–2020</w:t>
      </w:r>
    </w:p>
    <w:p w:rsidR="00BB6B65" w:rsidRDefault="00BB6B65" w:rsidP="00BB6B65">
      <w:pPr>
        <w:keepNext/>
        <w:tabs>
          <w:tab w:val="left" w:pos="426"/>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jc w:val="both"/>
        <w:rPr>
          <w:sz w:val="10"/>
        </w:rPr>
      </w:pPr>
    </w:p>
    <w:p w:rsidR="00BB6B65" w:rsidRPr="00E20800" w:rsidRDefault="00BB6B65" w:rsidP="00BB6B65">
      <w:pPr>
        <w:pStyle w:val="ListParagraph"/>
        <w:numPr>
          <w:ilvl w:val="0"/>
          <w:numId w:val="3"/>
        </w:numPr>
        <w:tabs>
          <w:tab w:val="left" w:pos="426"/>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0" w:firstLine="0"/>
        <w:jc w:val="both"/>
      </w:pPr>
      <w:r w:rsidRPr="000772F2">
        <w:t>The below table lists all deliverables, by category and subcategory, for the period 2018-2020 that would contribute to the attainment of the objective stated above.</w:t>
      </w:r>
    </w:p>
    <w:p w:rsidR="00BB6B65" w:rsidRPr="004E560A" w:rsidRDefault="00BB6B65" w:rsidP="00BB6B6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7"/>
        <w:jc w:val="both"/>
        <w:rPr>
          <w:sz w:val="10"/>
        </w:rPr>
      </w:pPr>
    </w:p>
    <w:tbl>
      <w:tblPr>
        <w:tblStyle w:val="TableGrid"/>
        <w:tblW w:w="9356"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37"/>
        <w:gridCol w:w="851"/>
        <w:gridCol w:w="850"/>
        <w:gridCol w:w="709"/>
        <w:gridCol w:w="709"/>
      </w:tblGrid>
      <w:tr w:rsidR="00BB6B65" w:rsidRPr="004E560A" w:rsidTr="00BD15B9">
        <w:trPr>
          <w:trHeight w:val="28"/>
          <w:tblHeader/>
        </w:trPr>
        <w:tc>
          <w:tcPr>
            <w:tcW w:w="6237" w:type="dxa"/>
            <w:vMerge w:val="restart"/>
            <w:tcBorders>
              <w:top w:val="single" w:sz="8" w:space="0" w:color="auto"/>
              <w:bottom w:val="nil"/>
            </w:tcBorders>
            <w:shd w:val="clear" w:color="auto" w:fill="auto"/>
            <w:vAlign w:val="bottom"/>
          </w:tcPr>
          <w:p w:rsidR="00BB6B65" w:rsidRPr="00AE6859" w:rsidRDefault="00BB6B65" w:rsidP="00BD15B9">
            <w:pPr>
              <w:spacing w:before="81" w:after="81" w:line="160" w:lineRule="exact"/>
              <w:ind w:right="40"/>
              <w:rPr>
                <w:rFonts w:eastAsiaTheme="minorEastAsia"/>
                <w:i/>
                <w:sz w:val="14"/>
              </w:rPr>
            </w:pPr>
            <w:r>
              <w:rPr>
                <w:rFonts w:eastAsiaTheme="minorEastAsia"/>
                <w:i/>
                <w:sz w:val="14"/>
              </w:rPr>
              <w:t>Category</w:t>
            </w:r>
          </w:p>
        </w:tc>
        <w:tc>
          <w:tcPr>
            <w:tcW w:w="851" w:type="dxa"/>
            <w:tcBorders>
              <w:top w:val="single" w:sz="8" w:space="0" w:color="auto"/>
              <w:bottom w:val="nil"/>
              <w:right w:val="nil"/>
            </w:tcBorders>
            <w:shd w:val="clear" w:color="auto" w:fill="auto"/>
            <w:vAlign w:val="center"/>
          </w:tcPr>
          <w:p w:rsidR="00BB6B65" w:rsidRPr="001F07AD" w:rsidRDefault="00BB6B65" w:rsidP="00BD15B9">
            <w:pPr>
              <w:spacing w:before="81" w:after="81" w:line="160" w:lineRule="exact"/>
              <w:ind w:right="40"/>
              <w:jc w:val="right"/>
              <w:rPr>
                <w:rFonts w:eastAsiaTheme="minorEastAsia"/>
                <w:i/>
                <w:sz w:val="14"/>
              </w:rPr>
            </w:pPr>
            <w:r w:rsidRPr="001F07AD">
              <w:rPr>
                <w:rFonts w:eastAsiaTheme="minorEastAsia"/>
                <w:i/>
                <w:sz w:val="14"/>
              </w:rPr>
              <w:t>2018</w:t>
            </w:r>
          </w:p>
        </w:tc>
        <w:tc>
          <w:tcPr>
            <w:tcW w:w="850" w:type="dxa"/>
            <w:tcBorders>
              <w:top w:val="single" w:sz="8" w:space="0" w:color="auto"/>
              <w:left w:val="nil"/>
              <w:bottom w:val="nil"/>
            </w:tcBorders>
            <w:shd w:val="clear" w:color="auto" w:fill="auto"/>
            <w:vAlign w:val="center"/>
          </w:tcPr>
          <w:p w:rsidR="00BB6B65" w:rsidRPr="001F07AD" w:rsidRDefault="00BB6B65" w:rsidP="00BD15B9">
            <w:pPr>
              <w:spacing w:before="81" w:after="81" w:line="160" w:lineRule="exact"/>
              <w:ind w:right="40"/>
              <w:jc w:val="right"/>
              <w:rPr>
                <w:rFonts w:eastAsiaTheme="minorEastAsia"/>
                <w:i/>
                <w:sz w:val="14"/>
              </w:rPr>
            </w:pPr>
            <w:r w:rsidRPr="001F07AD">
              <w:rPr>
                <w:rFonts w:eastAsiaTheme="minorEastAsia"/>
                <w:i/>
                <w:sz w:val="14"/>
              </w:rPr>
              <w:t>2018</w:t>
            </w:r>
          </w:p>
        </w:tc>
        <w:tc>
          <w:tcPr>
            <w:tcW w:w="709" w:type="dxa"/>
            <w:tcBorders>
              <w:top w:val="single" w:sz="8" w:space="0" w:color="auto"/>
              <w:bottom w:val="nil"/>
            </w:tcBorders>
            <w:vAlign w:val="center"/>
          </w:tcPr>
          <w:p w:rsidR="00BB6B65" w:rsidRPr="00CB4538" w:rsidRDefault="00BB6B65" w:rsidP="00BD15B9">
            <w:pPr>
              <w:spacing w:before="81" w:after="81" w:line="160" w:lineRule="exact"/>
              <w:ind w:right="126"/>
              <w:jc w:val="right"/>
              <w:rPr>
                <w:i/>
                <w:sz w:val="14"/>
              </w:rPr>
            </w:pPr>
            <w:r w:rsidRPr="00CB4538">
              <w:rPr>
                <w:i/>
                <w:sz w:val="14"/>
              </w:rPr>
              <w:t>2019</w:t>
            </w:r>
          </w:p>
        </w:tc>
        <w:tc>
          <w:tcPr>
            <w:tcW w:w="709" w:type="dxa"/>
            <w:tcBorders>
              <w:top w:val="single" w:sz="8" w:space="0" w:color="auto"/>
              <w:bottom w:val="nil"/>
            </w:tcBorders>
            <w:vAlign w:val="center"/>
          </w:tcPr>
          <w:p w:rsidR="00BB6B65" w:rsidRPr="00CB4538" w:rsidRDefault="00BB6B65" w:rsidP="00BD15B9">
            <w:pPr>
              <w:spacing w:before="81" w:after="81" w:line="160" w:lineRule="exact"/>
              <w:ind w:right="149"/>
              <w:jc w:val="right"/>
              <w:rPr>
                <w:i/>
                <w:sz w:val="14"/>
              </w:rPr>
            </w:pPr>
            <w:r w:rsidRPr="00CB4538">
              <w:rPr>
                <w:i/>
                <w:sz w:val="14"/>
              </w:rPr>
              <w:t>2020</w:t>
            </w:r>
          </w:p>
        </w:tc>
      </w:tr>
      <w:tr w:rsidR="00BB6B65" w:rsidRPr="004E560A" w:rsidTr="00BD15B9">
        <w:trPr>
          <w:trHeight w:val="28"/>
          <w:tblHeader/>
        </w:trPr>
        <w:tc>
          <w:tcPr>
            <w:tcW w:w="6237" w:type="dxa"/>
            <w:vMerge/>
            <w:tcBorders>
              <w:top w:val="nil"/>
              <w:bottom w:val="single" w:sz="12" w:space="0" w:color="auto"/>
            </w:tcBorders>
            <w:shd w:val="clear" w:color="auto" w:fill="auto"/>
            <w:vAlign w:val="bottom"/>
          </w:tcPr>
          <w:p w:rsidR="00BB6B65" w:rsidRPr="00AE6859" w:rsidRDefault="00BB6B65" w:rsidP="00BD15B9">
            <w:pPr>
              <w:spacing w:before="81" w:after="81" w:line="160" w:lineRule="exact"/>
              <w:ind w:right="40"/>
              <w:rPr>
                <w:i/>
                <w:sz w:val="14"/>
              </w:rPr>
            </w:pPr>
          </w:p>
        </w:tc>
        <w:tc>
          <w:tcPr>
            <w:tcW w:w="851" w:type="dxa"/>
            <w:tcBorders>
              <w:top w:val="nil"/>
              <w:bottom w:val="single" w:sz="12" w:space="0" w:color="auto"/>
              <w:right w:val="nil"/>
            </w:tcBorders>
            <w:shd w:val="clear" w:color="auto" w:fill="auto"/>
            <w:vAlign w:val="bottom"/>
          </w:tcPr>
          <w:p w:rsidR="00BB6B65" w:rsidRPr="001F07AD" w:rsidRDefault="00BB6B65" w:rsidP="00BD15B9">
            <w:pPr>
              <w:spacing w:before="81" w:after="81" w:line="160" w:lineRule="exact"/>
              <w:ind w:right="40"/>
              <w:jc w:val="right"/>
              <w:rPr>
                <w:i/>
                <w:sz w:val="14"/>
              </w:rPr>
            </w:pPr>
            <w:r w:rsidRPr="001F07AD">
              <w:rPr>
                <w:i/>
                <w:sz w:val="14"/>
              </w:rPr>
              <w:t>Planned</w:t>
            </w:r>
          </w:p>
        </w:tc>
        <w:tc>
          <w:tcPr>
            <w:tcW w:w="850" w:type="dxa"/>
            <w:tcBorders>
              <w:top w:val="nil"/>
              <w:left w:val="nil"/>
              <w:bottom w:val="single" w:sz="12" w:space="0" w:color="auto"/>
            </w:tcBorders>
            <w:shd w:val="clear" w:color="auto" w:fill="auto"/>
            <w:vAlign w:val="bottom"/>
          </w:tcPr>
          <w:p w:rsidR="00BB6B65" w:rsidRPr="001F07AD" w:rsidRDefault="00BB6B65" w:rsidP="00BD15B9">
            <w:pPr>
              <w:spacing w:before="81" w:after="81" w:line="160" w:lineRule="exact"/>
              <w:ind w:right="40"/>
              <w:jc w:val="right"/>
              <w:rPr>
                <w:i/>
                <w:sz w:val="14"/>
              </w:rPr>
            </w:pPr>
            <w:r w:rsidRPr="001F07AD">
              <w:rPr>
                <w:i/>
                <w:sz w:val="14"/>
              </w:rPr>
              <w:t>Actual</w:t>
            </w:r>
          </w:p>
        </w:tc>
        <w:tc>
          <w:tcPr>
            <w:tcW w:w="709" w:type="dxa"/>
            <w:tcBorders>
              <w:top w:val="nil"/>
              <w:bottom w:val="single" w:sz="12" w:space="0" w:color="auto"/>
            </w:tcBorders>
          </w:tcPr>
          <w:p w:rsidR="00BB6B65" w:rsidRPr="00AE6859" w:rsidRDefault="00BB6B65" w:rsidP="00BD15B9">
            <w:pPr>
              <w:spacing w:before="81" w:after="81" w:line="160" w:lineRule="exact"/>
              <w:ind w:right="40"/>
              <w:jc w:val="right"/>
              <w:rPr>
                <w:i/>
                <w:sz w:val="14"/>
                <w:highlight w:val="yellow"/>
              </w:rPr>
            </w:pPr>
            <w:r w:rsidRPr="00CB4538">
              <w:rPr>
                <w:i/>
                <w:sz w:val="14"/>
              </w:rPr>
              <w:t>Planned</w:t>
            </w:r>
          </w:p>
        </w:tc>
        <w:tc>
          <w:tcPr>
            <w:tcW w:w="709" w:type="dxa"/>
            <w:tcBorders>
              <w:top w:val="nil"/>
              <w:bottom w:val="single" w:sz="12" w:space="0" w:color="auto"/>
            </w:tcBorders>
          </w:tcPr>
          <w:p w:rsidR="00BB6B65" w:rsidRPr="00AE6859" w:rsidRDefault="00BB6B65" w:rsidP="00BD15B9">
            <w:pPr>
              <w:spacing w:before="81" w:after="81" w:line="160" w:lineRule="exact"/>
              <w:ind w:right="40"/>
              <w:jc w:val="right"/>
              <w:rPr>
                <w:i/>
                <w:sz w:val="14"/>
                <w:highlight w:val="yellow"/>
              </w:rPr>
            </w:pPr>
            <w:r w:rsidRPr="00CB4538">
              <w:rPr>
                <w:i/>
                <w:sz w:val="14"/>
              </w:rPr>
              <w:t>Planned</w:t>
            </w:r>
          </w:p>
        </w:tc>
      </w:tr>
      <w:tr w:rsidR="00BB6B65" w:rsidRPr="004E560A" w:rsidTr="00BD15B9">
        <w:trPr>
          <w:trHeight w:val="28"/>
          <w:tblHeader/>
        </w:trPr>
        <w:tc>
          <w:tcPr>
            <w:tcW w:w="6237" w:type="dxa"/>
            <w:tcBorders>
              <w:top w:val="single" w:sz="12" w:space="0" w:color="auto"/>
              <w:bottom w:val="nil"/>
            </w:tcBorders>
            <w:shd w:val="clear" w:color="auto" w:fill="auto"/>
            <w:vAlign w:val="bottom"/>
          </w:tcPr>
          <w:p w:rsidR="00BB6B65" w:rsidRPr="00AE6859" w:rsidRDefault="00BB6B65" w:rsidP="00BD15B9">
            <w:pPr>
              <w:spacing w:before="81" w:after="81" w:line="160" w:lineRule="exact"/>
              <w:ind w:right="40"/>
              <w:rPr>
                <w:i/>
                <w:sz w:val="14"/>
              </w:rPr>
            </w:pPr>
          </w:p>
        </w:tc>
        <w:tc>
          <w:tcPr>
            <w:tcW w:w="851" w:type="dxa"/>
            <w:tcBorders>
              <w:top w:val="single" w:sz="12" w:space="0" w:color="auto"/>
              <w:bottom w:val="nil"/>
              <w:right w:val="nil"/>
            </w:tcBorders>
            <w:shd w:val="clear" w:color="auto" w:fill="auto"/>
            <w:vAlign w:val="bottom"/>
          </w:tcPr>
          <w:p w:rsidR="00BB6B65" w:rsidRPr="00BB368B" w:rsidRDefault="00BB6B65" w:rsidP="00BD15B9">
            <w:pPr>
              <w:spacing w:before="81" w:after="81" w:line="160" w:lineRule="exact"/>
              <w:ind w:right="40"/>
              <w:jc w:val="right"/>
              <w:rPr>
                <w:i/>
                <w:sz w:val="14"/>
                <w:highlight w:val="yellow"/>
              </w:rPr>
            </w:pPr>
          </w:p>
        </w:tc>
        <w:tc>
          <w:tcPr>
            <w:tcW w:w="850" w:type="dxa"/>
            <w:tcBorders>
              <w:top w:val="single" w:sz="12" w:space="0" w:color="auto"/>
              <w:left w:val="nil"/>
              <w:bottom w:val="nil"/>
            </w:tcBorders>
            <w:shd w:val="clear" w:color="auto" w:fill="auto"/>
            <w:vAlign w:val="bottom"/>
          </w:tcPr>
          <w:p w:rsidR="00BB6B65" w:rsidRPr="00BB368B" w:rsidRDefault="00BB6B65" w:rsidP="00BD15B9">
            <w:pPr>
              <w:spacing w:before="81" w:after="81" w:line="160" w:lineRule="exact"/>
              <w:ind w:right="40"/>
              <w:jc w:val="right"/>
              <w:rPr>
                <w:i/>
                <w:sz w:val="14"/>
                <w:highlight w:val="yellow"/>
              </w:rPr>
            </w:pPr>
          </w:p>
        </w:tc>
        <w:tc>
          <w:tcPr>
            <w:tcW w:w="709" w:type="dxa"/>
            <w:tcBorders>
              <w:top w:val="single" w:sz="12" w:space="0" w:color="auto"/>
              <w:bottom w:val="nil"/>
            </w:tcBorders>
          </w:tcPr>
          <w:p w:rsidR="00BB6B65" w:rsidRPr="00CB4538" w:rsidRDefault="00BB6B65" w:rsidP="00BD15B9">
            <w:pPr>
              <w:spacing w:before="81" w:after="81" w:line="160" w:lineRule="exact"/>
              <w:ind w:right="40"/>
              <w:jc w:val="right"/>
              <w:rPr>
                <w:i/>
                <w:sz w:val="14"/>
              </w:rPr>
            </w:pPr>
          </w:p>
        </w:tc>
        <w:tc>
          <w:tcPr>
            <w:tcW w:w="709" w:type="dxa"/>
            <w:tcBorders>
              <w:top w:val="single" w:sz="12" w:space="0" w:color="auto"/>
              <w:bottom w:val="nil"/>
            </w:tcBorders>
          </w:tcPr>
          <w:p w:rsidR="00BB6B65" w:rsidRPr="00CB4538" w:rsidRDefault="00BB6B65" w:rsidP="00BD15B9">
            <w:pPr>
              <w:spacing w:before="81" w:after="81" w:line="160" w:lineRule="exact"/>
              <w:ind w:right="40"/>
              <w:jc w:val="right"/>
              <w:rPr>
                <w:i/>
                <w:sz w:val="14"/>
              </w:rPr>
            </w:pPr>
          </w:p>
        </w:tc>
      </w:tr>
      <w:tr w:rsidR="00BB6B65" w:rsidRPr="004E560A" w:rsidTr="00BD15B9">
        <w:tblPrEx>
          <w:tblBorders>
            <w:top w:val="none" w:sz="0" w:space="0" w:color="auto"/>
            <w:bottom w:val="none" w:sz="0" w:space="0" w:color="auto"/>
          </w:tblBorders>
        </w:tblPrEx>
        <w:trPr>
          <w:trHeight w:val="115"/>
          <w:tblHeader/>
        </w:trPr>
        <w:tc>
          <w:tcPr>
            <w:tcW w:w="6237" w:type="dxa"/>
            <w:shd w:val="clear" w:color="auto" w:fill="auto"/>
            <w:vAlign w:val="bottom"/>
          </w:tcPr>
          <w:p w:rsidR="00BB6B65" w:rsidRPr="004E560A" w:rsidRDefault="00BB6B65" w:rsidP="00BD15B9">
            <w:pPr>
              <w:pStyle w:val="ListParagraph"/>
              <w:tabs>
                <w:tab w:val="left" w:pos="288"/>
                <w:tab w:val="left" w:pos="576"/>
                <w:tab w:val="left" w:pos="864"/>
                <w:tab w:val="left" w:pos="1152"/>
              </w:tabs>
              <w:spacing w:before="40" w:after="40" w:line="210" w:lineRule="exact"/>
              <w:ind w:left="0" w:right="40"/>
              <w:rPr>
                <w:rFonts w:eastAsiaTheme="minorEastAsia"/>
                <w:sz w:val="17"/>
              </w:rPr>
            </w:pPr>
            <w:r w:rsidRPr="0090528C">
              <w:rPr>
                <w:rFonts w:asciiTheme="majorBidi" w:eastAsiaTheme="minorEastAsia" w:hAnsiTheme="majorBidi" w:cstheme="majorBidi"/>
                <w:b/>
                <w:bCs/>
                <w:sz w:val="17"/>
                <w:szCs w:val="17"/>
              </w:rPr>
              <w:t>Quantified deliverables</w:t>
            </w:r>
          </w:p>
        </w:tc>
        <w:tc>
          <w:tcPr>
            <w:tcW w:w="851" w:type="dxa"/>
            <w:shd w:val="clear" w:color="auto" w:fill="auto"/>
            <w:vAlign w:val="bottom"/>
          </w:tcPr>
          <w:p w:rsidR="00BB6B65" w:rsidRPr="004E560A" w:rsidRDefault="00BB6B65" w:rsidP="00BD15B9">
            <w:pPr>
              <w:spacing w:before="40" w:after="40" w:line="210" w:lineRule="exact"/>
              <w:ind w:right="40"/>
              <w:jc w:val="right"/>
              <w:rPr>
                <w:rFonts w:eastAsiaTheme="minorEastAsia"/>
                <w:sz w:val="17"/>
              </w:rPr>
            </w:pPr>
          </w:p>
        </w:tc>
        <w:tc>
          <w:tcPr>
            <w:tcW w:w="850" w:type="dxa"/>
            <w:shd w:val="clear" w:color="auto" w:fill="auto"/>
            <w:vAlign w:val="bottom"/>
          </w:tcPr>
          <w:p w:rsidR="00BB6B65" w:rsidRPr="004E560A" w:rsidRDefault="00BB6B65" w:rsidP="00BD15B9">
            <w:pPr>
              <w:spacing w:before="40" w:after="40" w:line="210" w:lineRule="exact"/>
              <w:ind w:right="40"/>
              <w:jc w:val="right"/>
              <w:rPr>
                <w:rFonts w:eastAsiaTheme="minorEastAsia"/>
                <w:sz w:val="17"/>
              </w:rPr>
            </w:pPr>
          </w:p>
        </w:tc>
        <w:tc>
          <w:tcPr>
            <w:tcW w:w="709" w:type="dxa"/>
            <w:shd w:val="clear" w:color="auto" w:fill="auto"/>
            <w:vAlign w:val="bottom"/>
          </w:tcPr>
          <w:p w:rsidR="00BB6B65" w:rsidRPr="004E560A" w:rsidRDefault="00BB6B65" w:rsidP="00BD15B9">
            <w:pPr>
              <w:spacing w:before="40" w:after="40" w:line="210" w:lineRule="exact"/>
              <w:ind w:right="40"/>
              <w:jc w:val="right"/>
              <w:rPr>
                <w:rFonts w:eastAsiaTheme="minorEastAsia"/>
                <w:sz w:val="17"/>
              </w:rPr>
            </w:pPr>
          </w:p>
        </w:tc>
        <w:tc>
          <w:tcPr>
            <w:tcW w:w="709" w:type="dxa"/>
            <w:shd w:val="clear" w:color="auto" w:fill="auto"/>
            <w:vAlign w:val="bottom"/>
          </w:tcPr>
          <w:p w:rsidR="00BB6B65" w:rsidRPr="004E560A" w:rsidRDefault="00BB6B65" w:rsidP="00BD15B9">
            <w:pPr>
              <w:spacing w:before="40" w:after="40" w:line="210" w:lineRule="exact"/>
              <w:ind w:right="40"/>
              <w:jc w:val="right"/>
              <w:rPr>
                <w:rFonts w:eastAsiaTheme="minorEastAsia"/>
                <w:sz w:val="17"/>
              </w:rPr>
            </w:pPr>
          </w:p>
        </w:tc>
      </w:tr>
      <w:tr w:rsidR="00BB6B65" w:rsidRPr="004E560A" w:rsidTr="00BD15B9">
        <w:tblPrEx>
          <w:tblBorders>
            <w:top w:val="none" w:sz="0" w:space="0" w:color="auto"/>
            <w:bottom w:val="none" w:sz="0" w:space="0" w:color="auto"/>
          </w:tblBorders>
        </w:tblPrEx>
        <w:trPr>
          <w:trHeight w:val="115"/>
          <w:tblHeader/>
        </w:trPr>
        <w:tc>
          <w:tcPr>
            <w:tcW w:w="6237" w:type="dxa"/>
            <w:shd w:val="clear" w:color="auto" w:fill="auto"/>
            <w:vAlign w:val="bottom"/>
          </w:tcPr>
          <w:p w:rsidR="00BB6B65" w:rsidRPr="0090528C" w:rsidRDefault="00BB6B65" w:rsidP="00BD15B9">
            <w:pPr>
              <w:pStyle w:val="ListParagraph"/>
              <w:tabs>
                <w:tab w:val="left" w:pos="288"/>
                <w:tab w:val="left" w:pos="576"/>
                <w:tab w:val="left" w:pos="864"/>
                <w:tab w:val="left" w:pos="1152"/>
              </w:tabs>
              <w:spacing w:before="40" w:after="40" w:line="210" w:lineRule="exact"/>
              <w:ind w:left="0" w:right="40"/>
              <w:rPr>
                <w:rFonts w:asciiTheme="majorBidi" w:eastAsiaTheme="minorEastAsia" w:hAnsiTheme="majorBidi" w:cstheme="majorBidi"/>
                <w:b/>
                <w:bCs/>
                <w:sz w:val="17"/>
                <w:szCs w:val="17"/>
              </w:rPr>
            </w:pPr>
            <w:r w:rsidRPr="00E565BA">
              <w:rPr>
                <w:rFonts w:asciiTheme="majorBidi" w:eastAsiaTheme="minorEastAsia" w:hAnsiTheme="majorBidi" w:cstheme="majorBidi"/>
                <w:b/>
                <w:bCs/>
                <w:sz w:val="17"/>
                <w:szCs w:val="17"/>
              </w:rPr>
              <w:t>A.</w:t>
            </w:r>
            <w:r w:rsidRPr="00E565BA">
              <w:rPr>
                <w:rFonts w:asciiTheme="majorBidi" w:eastAsiaTheme="minorEastAsia" w:hAnsiTheme="majorBidi" w:cstheme="majorBidi"/>
                <w:b/>
                <w:bCs/>
                <w:sz w:val="17"/>
                <w:szCs w:val="17"/>
              </w:rPr>
              <w:tab/>
            </w:r>
            <w:bookmarkStart w:id="3" w:name="_Hlk534385173"/>
            <w:r w:rsidRPr="00E565BA">
              <w:rPr>
                <w:rFonts w:asciiTheme="majorBidi" w:eastAsiaTheme="minorEastAsia" w:hAnsiTheme="majorBidi" w:cstheme="majorBidi"/>
                <w:b/>
                <w:bCs/>
                <w:sz w:val="17"/>
                <w:szCs w:val="17"/>
              </w:rPr>
              <w:t>Facilitation of the intergovernmental process and expert bodies</w:t>
            </w:r>
            <w:bookmarkEnd w:id="3"/>
          </w:p>
        </w:tc>
        <w:tc>
          <w:tcPr>
            <w:tcW w:w="851" w:type="dxa"/>
            <w:shd w:val="clear" w:color="auto" w:fill="auto"/>
            <w:vAlign w:val="bottom"/>
          </w:tcPr>
          <w:p w:rsidR="00BB6B65" w:rsidRPr="004E560A" w:rsidRDefault="00BB6B65" w:rsidP="00BD15B9">
            <w:pPr>
              <w:spacing w:before="40" w:after="40" w:line="210" w:lineRule="exact"/>
              <w:ind w:right="40"/>
              <w:jc w:val="right"/>
              <w:rPr>
                <w:rFonts w:eastAsiaTheme="minorEastAsia"/>
                <w:sz w:val="17"/>
              </w:rPr>
            </w:pPr>
          </w:p>
        </w:tc>
        <w:tc>
          <w:tcPr>
            <w:tcW w:w="850" w:type="dxa"/>
            <w:shd w:val="clear" w:color="auto" w:fill="auto"/>
            <w:vAlign w:val="bottom"/>
          </w:tcPr>
          <w:p w:rsidR="00BB6B65" w:rsidRPr="004E560A" w:rsidRDefault="00BB6B65" w:rsidP="00BD15B9">
            <w:pPr>
              <w:spacing w:before="40" w:after="40" w:line="210" w:lineRule="exact"/>
              <w:ind w:right="40"/>
              <w:jc w:val="right"/>
              <w:rPr>
                <w:rFonts w:eastAsiaTheme="minorEastAsia"/>
                <w:sz w:val="17"/>
              </w:rPr>
            </w:pPr>
          </w:p>
        </w:tc>
        <w:tc>
          <w:tcPr>
            <w:tcW w:w="709" w:type="dxa"/>
            <w:shd w:val="clear" w:color="auto" w:fill="auto"/>
            <w:vAlign w:val="bottom"/>
          </w:tcPr>
          <w:p w:rsidR="00BB6B65" w:rsidRPr="004E560A" w:rsidRDefault="00BB6B65" w:rsidP="00BD15B9">
            <w:pPr>
              <w:spacing w:before="40" w:after="40" w:line="210" w:lineRule="exact"/>
              <w:ind w:right="40"/>
              <w:jc w:val="right"/>
              <w:rPr>
                <w:rFonts w:eastAsiaTheme="minorEastAsia"/>
                <w:sz w:val="17"/>
              </w:rPr>
            </w:pPr>
          </w:p>
        </w:tc>
        <w:tc>
          <w:tcPr>
            <w:tcW w:w="709" w:type="dxa"/>
            <w:shd w:val="clear" w:color="auto" w:fill="auto"/>
            <w:vAlign w:val="bottom"/>
          </w:tcPr>
          <w:p w:rsidR="00BB6B65" w:rsidRPr="004E560A" w:rsidRDefault="00BB6B65" w:rsidP="00BD15B9">
            <w:pPr>
              <w:spacing w:before="40" w:after="40" w:line="210" w:lineRule="exact"/>
              <w:ind w:right="40"/>
              <w:jc w:val="right"/>
              <w:rPr>
                <w:rFonts w:eastAsiaTheme="minorEastAsia"/>
                <w:sz w:val="17"/>
              </w:rPr>
            </w:pPr>
          </w:p>
        </w:tc>
      </w:tr>
      <w:tr w:rsidR="00BB6B65" w:rsidRPr="004E560A" w:rsidTr="00BD15B9">
        <w:tblPrEx>
          <w:tblBorders>
            <w:top w:val="none" w:sz="0" w:space="0" w:color="auto"/>
            <w:bottom w:val="none" w:sz="0" w:space="0" w:color="auto"/>
          </w:tblBorders>
        </w:tblPrEx>
        <w:tc>
          <w:tcPr>
            <w:tcW w:w="6237"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rPr>
                <w:rFonts w:asciiTheme="majorBidi" w:eastAsiaTheme="minorEastAsia" w:hAnsiTheme="majorBidi" w:cstheme="majorBidi"/>
                <w:sz w:val="17"/>
                <w:szCs w:val="17"/>
              </w:rPr>
            </w:pPr>
            <w:r w:rsidRPr="004E560A">
              <w:rPr>
                <w:rFonts w:asciiTheme="majorBidi" w:eastAsiaTheme="minorEastAsia" w:hAnsiTheme="majorBidi" w:cstheme="majorBidi"/>
                <w:sz w:val="17"/>
                <w:szCs w:val="17"/>
              </w:rPr>
              <w:tab/>
              <w:t>Parliamentary documentation</w:t>
            </w:r>
            <w:r>
              <w:rPr>
                <w:rFonts w:asciiTheme="majorBidi" w:eastAsiaTheme="minorEastAsia" w:hAnsiTheme="majorBidi" w:cstheme="majorBidi"/>
                <w:sz w:val="17"/>
                <w:szCs w:val="17"/>
              </w:rPr>
              <w:t xml:space="preserve"> (number of documents)</w:t>
            </w:r>
          </w:p>
        </w:tc>
        <w:tc>
          <w:tcPr>
            <w:tcW w:w="851"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Pr>
                <w:rFonts w:asciiTheme="majorBidi" w:eastAsiaTheme="minorEastAsia" w:hAnsiTheme="majorBidi" w:cstheme="majorBidi"/>
                <w:sz w:val="17"/>
                <w:szCs w:val="17"/>
              </w:rPr>
              <w:t>310</w:t>
            </w:r>
          </w:p>
        </w:tc>
        <w:tc>
          <w:tcPr>
            <w:tcW w:w="850"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Pr>
                <w:rFonts w:asciiTheme="majorBidi" w:eastAsiaTheme="minorEastAsia" w:hAnsiTheme="majorBidi" w:cstheme="majorBidi"/>
                <w:sz w:val="17"/>
                <w:szCs w:val="17"/>
              </w:rPr>
              <w:t>117</w:t>
            </w: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Pr>
                <w:rFonts w:asciiTheme="majorBidi" w:eastAsiaTheme="minorEastAsia" w:hAnsiTheme="majorBidi" w:cstheme="majorBidi"/>
                <w:sz w:val="17"/>
                <w:szCs w:val="17"/>
              </w:rPr>
              <w:t>231</w:t>
            </w: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sidRPr="0085519D">
              <w:rPr>
                <w:rFonts w:asciiTheme="majorBidi" w:eastAsiaTheme="minorEastAsia" w:hAnsiTheme="majorBidi" w:cstheme="majorBidi"/>
                <w:sz w:val="17"/>
                <w:szCs w:val="17"/>
              </w:rPr>
              <w:t>2</w:t>
            </w:r>
            <w:r>
              <w:rPr>
                <w:rFonts w:asciiTheme="majorBidi" w:eastAsiaTheme="minorEastAsia" w:hAnsiTheme="majorBidi" w:cstheme="majorBidi"/>
                <w:sz w:val="17"/>
                <w:szCs w:val="17"/>
              </w:rPr>
              <w:t>11</w:t>
            </w:r>
          </w:p>
        </w:tc>
      </w:tr>
      <w:tr w:rsidR="00BB6B65" w:rsidRPr="004E560A" w:rsidTr="00BD15B9">
        <w:tblPrEx>
          <w:tblBorders>
            <w:top w:val="none" w:sz="0" w:space="0" w:color="auto"/>
            <w:bottom w:val="none" w:sz="0" w:space="0" w:color="auto"/>
          </w:tblBorders>
        </w:tblPrEx>
        <w:tc>
          <w:tcPr>
            <w:tcW w:w="6237"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rPr>
                <w:rFonts w:asciiTheme="majorBidi" w:eastAsiaTheme="minorEastAsia" w:hAnsiTheme="majorBidi" w:cstheme="majorBidi"/>
                <w:sz w:val="17"/>
                <w:szCs w:val="17"/>
              </w:rPr>
            </w:pPr>
            <w:r>
              <w:rPr>
                <w:rFonts w:asciiTheme="majorBidi" w:eastAsiaTheme="minorEastAsia" w:hAnsiTheme="majorBidi" w:cstheme="majorBidi"/>
                <w:sz w:val="17"/>
                <w:szCs w:val="17"/>
              </w:rPr>
              <w:tab/>
              <w:t xml:space="preserve">Substantive services </w:t>
            </w:r>
            <w:r w:rsidRPr="004E560A">
              <w:rPr>
                <w:rFonts w:asciiTheme="majorBidi" w:eastAsiaTheme="minorEastAsia" w:hAnsiTheme="majorBidi" w:cstheme="majorBidi"/>
                <w:sz w:val="17"/>
                <w:szCs w:val="17"/>
              </w:rPr>
              <w:t>f</w:t>
            </w:r>
            <w:r>
              <w:rPr>
                <w:rFonts w:asciiTheme="majorBidi" w:eastAsiaTheme="minorEastAsia" w:hAnsiTheme="majorBidi" w:cstheme="majorBidi"/>
                <w:sz w:val="17"/>
                <w:szCs w:val="17"/>
              </w:rPr>
              <w:t>or</w:t>
            </w:r>
            <w:r w:rsidRPr="004E560A">
              <w:rPr>
                <w:rFonts w:asciiTheme="majorBidi" w:eastAsiaTheme="minorEastAsia" w:hAnsiTheme="majorBidi" w:cstheme="majorBidi"/>
                <w:sz w:val="17"/>
                <w:szCs w:val="17"/>
              </w:rPr>
              <w:t xml:space="preserve"> meetings</w:t>
            </w:r>
            <w:r>
              <w:rPr>
                <w:rFonts w:asciiTheme="majorBidi" w:eastAsiaTheme="minorEastAsia" w:hAnsiTheme="majorBidi" w:cstheme="majorBidi"/>
                <w:sz w:val="17"/>
                <w:szCs w:val="17"/>
              </w:rPr>
              <w:t xml:space="preserve"> (number of three-hour meetings)</w:t>
            </w:r>
          </w:p>
        </w:tc>
        <w:tc>
          <w:tcPr>
            <w:tcW w:w="851"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sidRPr="6F5ECD24">
              <w:rPr>
                <w:rFonts w:asciiTheme="majorBidi" w:eastAsiaTheme="minorEastAsia" w:hAnsiTheme="majorBidi" w:cstheme="majorBidi"/>
                <w:sz w:val="17"/>
                <w:szCs w:val="17"/>
              </w:rPr>
              <w:t>26</w:t>
            </w:r>
            <w:r>
              <w:rPr>
                <w:rFonts w:asciiTheme="majorBidi" w:eastAsiaTheme="minorEastAsia" w:hAnsiTheme="majorBidi" w:cstheme="majorBidi"/>
                <w:sz w:val="17"/>
                <w:szCs w:val="17"/>
              </w:rPr>
              <w:t>4</w:t>
            </w:r>
          </w:p>
        </w:tc>
        <w:tc>
          <w:tcPr>
            <w:tcW w:w="850"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sidRPr="0085519D">
              <w:rPr>
                <w:rFonts w:asciiTheme="majorBidi" w:eastAsiaTheme="minorEastAsia" w:hAnsiTheme="majorBidi" w:cstheme="majorBidi"/>
                <w:sz w:val="17"/>
                <w:szCs w:val="17"/>
              </w:rPr>
              <w:t>2</w:t>
            </w:r>
            <w:r>
              <w:rPr>
                <w:rFonts w:asciiTheme="majorBidi" w:eastAsiaTheme="minorEastAsia" w:hAnsiTheme="majorBidi" w:cstheme="majorBidi"/>
                <w:sz w:val="17"/>
                <w:szCs w:val="17"/>
              </w:rPr>
              <w:t>23</w:t>
            </w: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sidRPr="0085519D">
              <w:rPr>
                <w:rFonts w:asciiTheme="majorBidi" w:eastAsiaTheme="minorEastAsia" w:hAnsiTheme="majorBidi" w:cstheme="majorBidi"/>
                <w:sz w:val="17"/>
                <w:szCs w:val="17"/>
              </w:rPr>
              <w:t>2</w:t>
            </w:r>
            <w:r>
              <w:rPr>
                <w:rFonts w:asciiTheme="majorBidi" w:eastAsiaTheme="minorEastAsia" w:hAnsiTheme="majorBidi" w:cstheme="majorBidi"/>
                <w:sz w:val="17"/>
                <w:szCs w:val="17"/>
              </w:rPr>
              <w:t>83</w:t>
            </w: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sidRPr="6F5ECD24">
              <w:rPr>
                <w:rFonts w:asciiTheme="majorBidi" w:eastAsiaTheme="minorEastAsia" w:hAnsiTheme="majorBidi" w:cstheme="majorBidi"/>
                <w:sz w:val="17"/>
                <w:szCs w:val="17"/>
              </w:rPr>
              <w:t>2</w:t>
            </w:r>
            <w:r>
              <w:rPr>
                <w:rFonts w:asciiTheme="majorBidi" w:eastAsiaTheme="minorEastAsia" w:hAnsiTheme="majorBidi" w:cstheme="majorBidi"/>
                <w:sz w:val="17"/>
                <w:szCs w:val="17"/>
              </w:rPr>
              <w:t>51</w:t>
            </w:r>
          </w:p>
        </w:tc>
      </w:tr>
      <w:tr w:rsidR="00BB6B65" w:rsidRPr="004E560A" w:rsidTr="00BD15B9">
        <w:tblPrEx>
          <w:tblBorders>
            <w:top w:val="none" w:sz="0" w:space="0" w:color="auto"/>
            <w:bottom w:val="none" w:sz="0" w:space="0" w:color="auto"/>
          </w:tblBorders>
        </w:tblPrEx>
        <w:tc>
          <w:tcPr>
            <w:tcW w:w="6237" w:type="dxa"/>
            <w:shd w:val="clear" w:color="auto" w:fill="auto"/>
            <w:vAlign w:val="bottom"/>
          </w:tcPr>
          <w:p w:rsidR="00BB6B65" w:rsidRPr="00E565BA" w:rsidRDefault="00BB6B65" w:rsidP="00BD15B9">
            <w:pPr>
              <w:tabs>
                <w:tab w:val="left" w:pos="288"/>
                <w:tab w:val="left" w:pos="576"/>
                <w:tab w:val="left" w:pos="864"/>
                <w:tab w:val="left" w:pos="1152"/>
              </w:tabs>
              <w:spacing w:before="40" w:after="40" w:line="210" w:lineRule="exact"/>
              <w:ind w:right="40"/>
              <w:rPr>
                <w:rFonts w:asciiTheme="majorBidi" w:eastAsiaTheme="minorEastAsia" w:hAnsiTheme="majorBidi" w:cstheme="majorBidi"/>
                <w:b/>
                <w:bCs/>
                <w:sz w:val="17"/>
                <w:szCs w:val="17"/>
              </w:rPr>
            </w:pPr>
            <w:r w:rsidRPr="00E565BA">
              <w:rPr>
                <w:rFonts w:asciiTheme="majorBidi" w:eastAsiaTheme="minorEastAsia" w:hAnsiTheme="majorBidi" w:cstheme="majorBidi"/>
                <w:b/>
                <w:bCs/>
                <w:sz w:val="17"/>
                <w:szCs w:val="17"/>
              </w:rPr>
              <w:t>B.</w:t>
            </w:r>
            <w:r w:rsidRPr="00E565BA">
              <w:rPr>
                <w:rFonts w:asciiTheme="majorBidi" w:eastAsiaTheme="minorEastAsia" w:hAnsiTheme="majorBidi" w:cstheme="majorBidi"/>
                <w:b/>
                <w:bCs/>
                <w:sz w:val="17"/>
                <w:szCs w:val="17"/>
              </w:rPr>
              <w:tab/>
              <w:t>Generation and transfer of knowledge</w:t>
            </w:r>
          </w:p>
        </w:tc>
        <w:tc>
          <w:tcPr>
            <w:tcW w:w="851"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850"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r>
      <w:tr w:rsidR="00BB6B65" w:rsidRPr="004E560A" w:rsidTr="00BD15B9">
        <w:tblPrEx>
          <w:tblBorders>
            <w:top w:val="none" w:sz="0" w:space="0" w:color="auto"/>
            <w:bottom w:val="none" w:sz="0" w:space="0" w:color="auto"/>
          </w:tblBorders>
        </w:tblPrEx>
        <w:tc>
          <w:tcPr>
            <w:tcW w:w="6237"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rPr>
                <w:rFonts w:asciiTheme="majorBidi" w:eastAsiaTheme="minorEastAsia" w:hAnsiTheme="majorBidi" w:cstheme="majorBidi"/>
                <w:sz w:val="17"/>
                <w:szCs w:val="17"/>
              </w:rPr>
            </w:pPr>
            <w:r w:rsidRPr="004E560A">
              <w:rPr>
                <w:rFonts w:asciiTheme="majorBidi" w:eastAsiaTheme="minorEastAsia" w:hAnsiTheme="majorBidi" w:cstheme="majorBidi"/>
                <w:sz w:val="17"/>
                <w:szCs w:val="17"/>
              </w:rPr>
              <w:tab/>
              <w:t>Seminars, workshops and training events</w:t>
            </w:r>
            <w:r>
              <w:rPr>
                <w:rFonts w:asciiTheme="majorBidi" w:eastAsiaTheme="minorEastAsia" w:hAnsiTheme="majorBidi" w:cstheme="majorBidi"/>
                <w:sz w:val="17"/>
                <w:szCs w:val="17"/>
              </w:rPr>
              <w:t xml:space="preserve"> (number of days)</w:t>
            </w:r>
          </w:p>
        </w:tc>
        <w:tc>
          <w:tcPr>
            <w:tcW w:w="851"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Pr>
                <w:rFonts w:asciiTheme="majorBidi" w:eastAsiaTheme="minorEastAsia" w:hAnsiTheme="majorBidi" w:cstheme="majorBidi"/>
                <w:sz w:val="17"/>
                <w:szCs w:val="17"/>
              </w:rPr>
              <w:t>36</w:t>
            </w:r>
          </w:p>
        </w:tc>
        <w:tc>
          <w:tcPr>
            <w:tcW w:w="850"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Pr>
                <w:rFonts w:asciiTheme="majorBidi" w:eastAsiaTheme="minorEastAsia" w:hAnsiTheme="majorBidi" w:cstheme="majorBidi"/>
                <w:sz w:val="17"/>
                <w:szCs w:val="17"/>
              </w:rPr>
              <w:t>83</w:t>
            </w: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sidRPr="0085519D">
              <w:rPr>
                <w:rFonts w:asciiTheme="majorBidi" w:eastAsiaTheme="minorEastAsia" w:hAnsiTheme="majorBidi" w:cstheme="majorBidi"/>
                <w:sz w:val="17"/>
                <w:szCs w:val="17"/>
              </w:rPr>
              <w:t>4</w:t>
            </w:r>
            <w:r>
              <w:rPr>
                <w:rFonts w:asciiTheme="majorBidi" w:eastAsiaTheme="minorEastAsia" w:hAnsiTheme="majorBidi" w:cstheme="majorBidi"/>
                <w:sz w:val="17"/>
                <w:szCs w:val="17"/>
              </w:rPr>
              <w:t>6</w:t>
            </w: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sidRPr="0085519D">
              <w:rPr>
                <w:rFonts w:asciiTheme="majorBidi" w:eastAsiaTheme="minorEastAsia" w:hAnsiTheme="majorBidi" w:cstheme="majorBidi"/>
                <w:sz w:val="17"/>
                <w:szCs w:val="17"/>
              </w:rPr>
              <w:t>4</w:t>
            </w:r>
            <w:r>
              <w:rPr>
                <w:rFonts w:asciiTheme="majorBidi" w:eastAsiaTheme="minorEastAsia" w:hAnsiTheme="majorBidi" w:cstheme="majorBidi"/>
                <w:sz w:val="17"/>
                <w:szCs w:val="17"/>
              </w:rPr>
              <w:t>8</w:t>
            </w:r>
          </w:p>
        </w:tc>
      </w:tr>
      <w:tr w:rsidR="00BB6B65" w:rsidRPr="004E560A" w:rsidTr="00BD15B9">
        <w:tblPrEx>
          <w:tblBorders>
            <w:top w:val="none" w:sz="0" w:space="0" w:color="auto"/>
            <w:bottom w:val="none" w:sz="0" w:space="0" w:color="auto"/>
          </w:tblBorders>
        </w:tblPrEx>
        <w:tc>
          <w:tcPr>
            <w:tcW w:w="6237"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rPr>
                <w:rFonts w:asciiTheme="majorBidi" w:eastAsiaTheme="minorEastAsia" w:hAnsiTheme="majorBidi" w:cstheme="majorBidi"/>
                <w:sz w:val="17"/>
                <w:szCs w:val="17"/>
              </w:rPr>
            </w:pPr>
            <w:r w:rsidRPr="004E560A">
              <w:rPr>
                <w:rFonts w:asciiTheme="majorBidi" w:eastAsiaTheme="minorEastAsia" w:hAnsiTheme="majorBidi" w:cstheme="majorBidi"/>
                <w:sz w:val="17"/>
                <w:szCs w:val="17"/>
              </w:rPr>
              <w:tab/>
              <w:t>Publications</w:t>
            </w:r>
            <w:r>
              <w:rPr>
                <w:rFonts w:asciiTheme="majorBidi" w:eastAsiaTheme="minorEastAsia" w:hAnsiTheme="majorBidi" w:cstheme="majorBidi"/>
                <w:sz w:val="17"/>
                <w:szCs w:val="17"/>
              </w:rPr>
              <w:t xml:space="preserve"> (number of publications)</w:t>
            </w:r>
          </w:p>
        </w:tc>
        <w:tc>
          <w:tcPr>
            <w:tcW w:w="851"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Pr>
                <w:rFonts w:asciiTheme="majorBidi" w:eastAsiaTheme="minorEastAsia" w:hAnsiTheme="majorBidi" w:cstheme="majorBidi"/>
                <w:sz w:val="17"/>
                <w:szCs w:val="17"/>
              </w:rPr>
              <w:t>7</w:t>
            </w:r>
          </w:p>
        </w:tc>
        <w:tc>
          <w:tcPr>
            <w:tcW w:w="850"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Pr>
                <w:rFonts w:asciiTheme="majorBidi" w:eastAsiaTheme="minorEastAsia" w:hAnsiTheme="majorBidi" w:cstheme="majorBidi"/>
                <w:sz w:val="17"/>
                <w:szCs w:val="17"/>
              </w:rPr>
              <w:t>7</w:t>
            </w: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sidRPr="0085519D">
              <w:rPr>
                <w:rFonts w:asciiTheme="majorBidi" w:eastAsiaTheme="minorEastAsia" w:hAnsiTheme="majorBidi" w:cstheme="majorBidi"/>
                <w:sz w:val="17"/>
                <w:szCs w:val="17"/>
              </w:rPr>
              <w:t>1</w:t>
            </w:r>
            <w:r>
              <w:rPr>
                <w:rFonts w:asciiTheme="majorBidi" w:eastAsiaTheme="minorEastAsia" w:hAnsiTheme="majorBidi" w:cstheme="majorBidi"/>
                <w:sz w:val="17"/>
                <w:szCs w:val="17"/>
              </w:rPr>
              <w:t>4</w:t>
            </w: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r w:rsidRPr="0085519D">
              <w:rPr>
                <w:rFonts w:asciiTheme="majorBidi" w:eastAsiaTheme="minorEastAsia" w:hAnsiTheme="majorBidi" w:cstheme="majorBidi"/>
                <w:sz w:val="17"/>
                <w:szCs w:val="17"/>
              </w:rPr>
              <w:t>11</w:t>
            </w:r>
          </w:p>
        </w:tc>
      </w:tr>
      <w:tr w:rsidR="00BB6B65" w:rsidRPr="004E560A" w:rsidTr="00BD15B9">
        <w:tblPrEx>
          <w:tblBorders>
            <w:top w:val="none" w:sz="0" w:space="0" w:color="auto"/>
            <w:bottom w:val="none" w:sz="0" w:space="0" w:color="auto"/>
          </w:tblBorders>
        </w:tblPrEx>
        <w:tc>
          <w:tcPr>
            <w:tcW w:w="6237" w:type="dxa"/>
            <w:shd w:val="clear" w:color="auto" w:fill="auto"/>
            <w:vAlign w:val="bottom"/>
          </w:tcPr>
          <w:p w:rsidR="00BB6B65" w:rsidRPr="0090528C" w:rsidRDefault="00BB6B65" w:rsidP="00BD15B9">
            <w:pPr>
              <w:tabs>
                <w:tab w:val="left" w:pos="288"/>
                <w:tab w:val="left" w:pos="576"/>
                <w:tab w:val="left" w:pos="864"/>
                <w:tab w:val="left" w:pos="1152"/>
              </w:tabs>
              <w:spacing w:before="40" w:after="40" w:line="210" w:lineRule="exact"/>
              <w:ind w:right="40"/>
              <w:rPr>
                <w:rFonts w:asciiTheme="majorBidi" w:eastAsiaTheme="minorEastAsia" w:hAnsiTheme="majorBidi" w:cstheme="majorBidi"/>
                <w:b/>
                <w:bCs/>
                <w:sz w:val="17"/>
                <w:szCs w:val="17"/>
              </w:rPr>
            </w:pPr>
            <w:r w:rsidRPr="0090528C">
              <w:rPr>
                <w:rFonts w:asciiTheme="majorBidi" w:eastAsiaTheme="minorEastAsia" w:hAnsiTheme="majorBidi" w:cstheme="majorBidi"/>
                <w:b/>
                <w:bCs/>
                <w:sz w:val="17"/>
                <w:szCs w:val="17"/>
              </w:rPr>
              <w:t>Non-quantified deliverables</w:t>
            </w:r>
          </w:p>
          <w:p w:rsidR="00BB6B65" w:rsidRPr="00E565BA" w:rsidRDefault="00BB6B65" w:rsidP="00BD15B9">
            <w:pPr>
              <w:tabs>
                <w:tab w:val="left" w:pos="288"/>
                <w:tab w:val="left" w:pos="576"/>
                <w:tab w:val="left" w:pos="864"/>
                <w:tab w:val="left" w:pos="1152"/>
              </w:tabs>
              <w:spacing w:before="40" w:after="40" w:line="210" w:lineRule="exact"/>
              <w:ind w:right="40"/>
              <w:rPr>
                <w:rFonts w:asciiTheme="majorBidi" w:eastAsiaTheme="minorEastAsia" w:hAnsiTheme="majorBidi" w:cstheme="majorBidi"/>
                <w:b/>
                <w:bCs/>
                <w:sz w:val="17"/>
                <w:szCs w:val="17"/>
              </w:rPr>
            </w:pPr>
            <w:r w:rsidRPr="00E565BA">
              <w:rPr>
                <w:rFonts w:asciiTheme="majorBidi" w:eastAsiaTheme="minorEastAsia" w:hAnsiTheme="majorBidi" w:cstheme="majorBidi"/>
                <w:b/>
                <w:bCs/>
                <w:sz w:val="17"/>
                <w:szCs w:val="17"/>
              </w:rPr>
              <w:t>C.</w:t>
            </w:r>
            <w:r w:rsidRPr="00E565BA">
              <w:rPr>
                <w:rFonts w:asciiTheme="majorBidi" w:eastAsiaTheme="minorEastAsia" w:hAnsiTheme="majorBidi" w:cstheme="majorBidi"/>
                <w:b/>
                <w:bCs/>
                <w:sz w:val="17"/>
                <w:szCs w:val="17"/>
              </w:rPr>
              <w:tab/>
              <w:t xml:space="preserve">Substantive deliverables </w:t>
            </w:r>
          </w:p>
        </w:tc>
        <w:tc>
          <w:tcPr>
            <w:tcW w:w="851"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850"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r>
      <w:tr w:rsidR="00BB6B65" w:rsidRPr="004E560A" w:rsidTr="00BD15B9">
        <w:tblPrEx>
          <w:tblBorders>
            <w:top w:val="none" w:sz="0" w:space="0" w:color="auto"/>
            <w:bottom w:val="none" w:sz="0" w:space="0" w:color="auto"/>
          </w:tblBorders>
        </w:tblPrEx>
        <w:tc>
          <w:tcPr>
            <w:tcW w:w="6237"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left="340" w:right="40"/>
              <w:rPr>
                <w:rFonts w:asciiTheme="majorBidi" w:eastAsiaTheme="minorEastAsia" w:hAnsiTheme="majorBidi" w:cstheme="majorBidi"/>
                <w:sz w:val="17"/>
                <w:szCs w:val="17"/>
              </w:rPr>
            </w:pPr>
            <w:r w:rsidRPr="2FB34C8A">
              <w:rPr>
                <w:rFonts w:asciiTheme="majorBidi" w:eastAsiaTheme="minorEastAsia" w:hAnsiTheme="majorBidi" w:cstheme="majorBidi"/>
                <w:sz w:val="17"/>
                <w:szCs w:val="17"/>
              </w:rPr>
              <w:t xml:space="preserve">Consultation, </w:t>
            </w:r>
            <w:r w:rsidRPr="0085519D">
              <w:rPr>
                <w:rFonts w:asciiTheme="majorBidi" w:eastAsiaTheme="minorEastAsia" w:hAnsiTheme="majorBidi" w:cstheme="majorBidi"/>
                <w:sz w:val="17"/>
                <w:szCs w:val="17"/>
              </w:rPr>
              <w:t>advice and advocacy</w:t>
            </w:r>
          </w:p>
        </w:tc>
        <w:tc>
          <w:tcPr>
            <w:tcW w:w="851"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850"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r>
      <w:tr w:rsidR="00BB6B65" w:rsidRPr="004E560A" w:rsidTr="00BD15B9">
        <w:tblPrEx>
          <w:tblBorders>
            <w:top w:val="none" w:sz="0" w:space="0" w:color="auto"/>
            <w:bottom w:val="none" w:sz="0" w:space="0" w:color="auto"/>
          </w:tblBorders>
        </w:tblPrEx>
        <w:tc>
          <w:tcPr>
            <w:tcW w:w="6237" w:type="dxa"/>
            <w:shd w:val="clear" w:color="auto" w:fill="auto"/>
            <w:vAlign w:val="bottom"/>
          </w:tcPr>
          <w:p w:rsidR="00BB6B65" w:rsidRPr="00E565BA" w:rsidRDefault="00BB6B65" w:rsidP="00BD15B9">
            <w:pPr>
              <w:tabs>
                <w:tab w:val="left" w:pos="288"/>
                <w:tab w:val="left" w:pos="576"/>
                <w:tab w:val="left" w:pos="864"/>
                <w:tab w:val="left" w:pos="1152"/>
              </w:tabs>
              <w:spacing w:before="40" w:after="40" w:line="210" w:lineRule="exact"/>
              <w:ind w:right="40"/>
              <w:rPr>
                <w:rFonts w:asciiTheme="majorBidi" w:eastAsiaTheme="minorEastAsia" w:hAnsiTheme="majorBidi" w:cstheme="majorBidi"/>
                <w:b/>
                <w:bCs/>
                <w:sz w:val="17"/>
                <w:szCs w:val="17"/>
              </w:rPr>
            </w:pPr>
            <w:r w:rsidRPr="00E565BA">
              <w:rPr>
                <w:rFonts w:asciiTheme="majorBidi" w:eastAsiaTheme="minorEastAsia" w:hAnsiTheme="majorBidi" w:cstheme="majorBidi"/>
                <w:b/>
                <w:bCs/>
                <w:sz w:val="17"/>
                <w:szCs w:val="17"/>
              </w:rPr>
              <w:t>D.</w:t>
            </w:r>
            <w:r w:rsidRPr="00E565BA">
              <w:rPr>
                <w:rFonts w:asciiTheme="majorBidi" w:eastAsiaTheme="minorEastAsia" w:hAnsiTheme="majorBidi" w:cstheme="majorBidi"/>
                <w:b/>
                <w:bCs/>
                <w:sz w:val="17"/>
                <w:szCs w:val="17"/>
              </w:rPr>
              <w:tab/>
            </w:r>
            <w:r>
              <w:rPr>
                <w:rFonts w:asciiTheme="majorBidi" w:eastAsiaTheme="minorEastAsia" w:hAnsiTheme="majorBidi" w:cstheme="majorBidi"/>
                <w:b/>
                <w:bCs/>
                <w:sz w:val="17"/>
                <w:szCs w:val="17"/>
              </w:rPr>
              <w:t>C</w:t>
            </w:r>
            <w:r w:rsidRPr="00E565BA">
              <w:rPr>
                <w:rFonts w:asciiTheme="majorBidi" w:eastAsiaTheme="minorEastAsia" w:hAnsiTheme="majorBidi" w:cstheme="majorBidi"/>
                <w:b/>
                <w:bCs/>
                <w:sz w:val="17"/>
                <w:szCs w:val="17"/>
              </w:rPr>
              <w:t>ommunication deliverables</w:t>
            </w:r>
          </w:p>
        </w:tc>
        <w:tc>
          <w:tcPr>
            <w:tcW w:w="851"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850"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r>
      <w:tr w:rsidR="00BB6B65" w:rsidRPr="004E560A" w:rsidTr="00BD15B9">
        <w:tblPrEx>
          <w:tblBorders>
            <w:top w:val="none" w:sz="0" w:space="0" w:color="auto"/>
            <w:bottom w:val="none" w:sz="0" w:space="0" w:color="auto"/>
          </w:tblBorders>
        </w:tblPrEx>
        <w:tc>
          <w:tcPr>
            <w:tcW w:w="6237"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left="340" w:right="40" w:hanging="340"/>
              <w:rPr>
                <w:rFonts w:asciiTheme="majorBidi" w:eastAsiaTheme="minorEastAsia" w:hAnsiTheme="majorBidi" w:cstheme="majorBidi"/>
                <w:sz w:val="17"/>
                <w:szCs w:val="17"/>
              </w:rPr>
            </w:pPr>
            <w:r w:rsidRPr="2FB34C8A">
              <w:rPr>
                <w:rFonts w:asciiTheme="majorBidi" w:eastAsiaTheme="minorEastAsia" w:hAnsiTheme="majorBidi" w:cstheme="majorBidi"/>
                <w:sz w:val="17"/>
                <w:szCs w:val="17"/>
              </w:rPr>
              <w:t xml:space="preserve">       Outreach programmes, </w:t>
            </w:r>
            <w:r>
              <w:rPr>
                <w:rFonts w:asciiTheme="majorBidi" w:eastAsiaTheme="minorEastAsia" w:hAnsiTheme="majorBidi" w:cstheme="majorBidi"/>
                <w:sz w:val="17"/>
                <w:szCs w:val="17"/>
              </w:rPr>
              <w:t>s</w:t>
            </w:r>
            <w:r w:rsidRPr="2FB34C8A">
              <w:rPr>
                <w:rFonts w:asciiTheme="majorBidi" w:eastAsiaTheme="minorEastAsia" w:hAnsiTheme="majorBidi" w:cstheme="majorBidi"/>
                <w:sz w:val="17"/>
                <w:szCs w:val="17"/>
              </w:rPr>
              <w:t xml:space="preserve">pecial </w:t>
            </w:r>
            <w:r>
              <w:rPr>
                <w:rFonts w:asciiTheme="majorBidi" w:eastAsiaTheme="minorEastAsia" w:hAnsiTheme="majorBidi" w:cstheme="majorBidi"/>
                <w:sz w:val="17"/>
                <w:szCs w:val="17"/>
              </w:rPr>
              <w:t>e</w:t>
            </w:r>
            <w:r w:rsidRPr="2FB34C8A">
              <w:rPr>
                <w:rFonts w:asciiTheme="majorBidi" w:eastAsiaTheme="minorEastAsia" w:hAnsiTheme="majorBidi" w:cstheme="majorBidi"/>
                <w:sz w:val="17"/>
                <w:szCs w:val="17"/>
              </w:rPr>
              <w:t>vents and information materials</w:t>
            </w:r>
          </w:p>
        </w:tc>
        <w:tc>
          <w:tcPr>
            <w:tcW w:w="851"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850"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40" w:line="210" w:lineRule="exact"/>
              <w:ind w:right="40"/>
              <w:jc w:val="right"/>
              <w:rPr>
                <w:rFonts w:asciiTheme="majorBidi" w:eastAsiaTheme="minorEastAsia" w:hAnsiTheme="majorBidi" w:cstheme="majorBidi"/>
                <w:sz w:val="17"/>
                <w:szCs w:val="17"/>
              </w:rPr>
            </w:pPr>
          </w:p>
        </w:tc>
      </w:tr>
      <w:tr w:rsidR="00BB6B65" w:rsidRPr="004E560A" w:rsidTr="00BD15B9">
        <w:tblPrEx>
          <w:tblBorders>
            <w:top w:val="none" w:sz="0" w:space="0" w:color="auto"/>
            <w:bottom w:val="none" w:sz="0" w:space="0" w:color="auto"/>
          </w:tblBorders>
        </w:tblPrEx>
        <w:tc>
          <w:tcPr>
            <w:tcW w:w="6237" w:type="dxa"/>
            <w:shd w:val="clear" w:color="auto" w:fill="auto"/>
            <w:vAlign w:val="bottom"/>
          </w:tcPr>
          <w:p w:rsidR="00BB6B65" w:rsidRPr="004E560A" w:rsidRDefault="00BB6B65" w:rsidP="00BD15B9">
            <w:pPr>
              <w:tabs>
                <w:tab w:val="left" w:pos="288"/>
                <w:tab w:val="left" w:pos="576"/>
                <w:tab w:val="left" w:pos="864"/>
                <w:tab w:val="left" w:pos="1152"/>
              </w:tabs>
              <w:spacing w:before="40" w:after="80" w:line="210" w:lineRule="exact"/>
              <w:ind w:left="340" w:right="43"/>
              <w:rPr>
                <w:rFonts w:eastAsiaTheme="minorEastAsia"/>
                <w:sz w:val="17"/>
              </w:rPr>
            </w:pPr>
            <w:r w:rsidRPr="2FB34C8A">
              <w:rPr>
                <w:rFonts w:asciiTheme="majorBidi" w:eastAsiaTheme="minorEastAsia" w:hAnsiTheme="majorBidi" w:cstheme="majorBidi"/>
                <w:sz w:val="17"/>
                <w:szCs w:val="17"/>
              </w:rPr>
              <w:t>External and media relations</w:t>
            </w:r>
          </w:p>
        </w:tc>
        <w:tc>
          <w:tcPr>
            <w:tcW w:w="851" w:type="dxa"/>
            <w:shd w:val="clear" w:color="auto" w:fill="auto"/>
            <w:vAlign w:val="bottom"/>
          </w:tcPr>
          <w:p w:rsidR="00BB6B65" w:rsidRPr="004E560A" w:rsidRDefault="00BB6B65" w:rsidP="00BD15B9">
            <w:pPr>
              <w:tabs>
                <w:tab w:val="left" w:pos="288"/>
                <w:tab w:val="left" w:pos="576"/>
                <w:tab w:val="left" w:pos="864"/>
                <w:tab w:val="left" w:pos="1152"/>
              </w:tabs>
              <w:spacing w:before="40" w:after="80" w:line="210" w:lineRule="exact"/>
              <w:ind w:right="43"/>
              <w:jc w:val="right"/>
              <w:rPr>
                <w:rFonts w:eastAsiaTheme="minorEastAsia"/>
                <w:sz w:val="17"/>
              </w:rPr>
            </w:pPr>
          </w:p>
        </w:tc>
        <w:tc>
          <w:tcPr>
            <w:tcW w:w="850" w:type="dxa"/>
            <w:shd w:val="clear" w:color="auto" w:fill="auto"/>
            <w:vAlign w:val="bottom"/>
          </w:tcPr>
          <w:p w:rsidR="00BB6B65" w:rsidRPr="004E560A" w:rsidRDefault="00BB6B65" w:rsidP="00BD15B9">
            <w:pPr>
              <w:tabs>
                <w:tab w:val="left" w:pos="288"/>
                <w:tab w:val="left" w:pos="576"/>
                <w:tab w:val="left" w:pos="864"/>
                <w:tab w:val="left" w:pos="1152"/>
              </w:tabs>
              <w:spacing w:before="40" w:after="80" w:line="210" w:lineRule="exact"/>
              <w:ind w:right="43"/>
              <w:jc w:val="right"/>
              <w:rPr>
                <w:rFonts w:eastAsiaTheme="minorEastAsia"/>
                <w:sz w:val="17"/>
              </w:rPr>
            </w:pP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80" w:line="210" w:lineRule="exact"/>
              <w:ind w:right="43"/>
              <w:jc w:val="right"/>
              <w:rPr>
                <w:rFonts w:eastAsiaTheme="minorEastAsia"/>
                <w:sz w:val="17"/>
              </w:rPr>
            </w:pPr>
          </w:p>
        </w:tc>
        <w:tc>
          <w:tcPr>
            <w:tcW w:w="709" w:type="dxa"/>
            <w:shd w:val="clear" w:color="auto" w:fill="auto"/>
            <w:vAlign w:val="bottom"/>
          </w:tcPr>
          <w:p w:rsidR="00BB6B65" w:rsidRPr="004E560A" w:rsidRDefault="00BB6B65" w:rsidP="00BD15B9">
            <w:pPr>
              <w:tabs>
                <w:tab w:val="left" w:pos="288"/>
                <w:tab w:val="left" w:pos="576"/>
                <w:tab w:val="left" w:pos="864"/>
                <w:tab w:val="left" w:pos="1152"/>
              </w:tabs>
              <w:spacing w:before="40" w:after="80" w:line="210" w:lineRule="exact"/>
              <w:ind w:right="43"/>
              <w:jc w:val="right"/>
              <w:rPr>
                <w:rFonts w:eastAsiaTheme="minorEastAsia"/>
                <w:sz w:val="17"/>
              </w:rPr>
            </w:pPr>
          </w:p>
        </w:tc>
      </w:tr>
      <w:tr w:rsidR="00BB6B65" w:rsidRPr="004E560A" w:rsidTr="00BD15B9">
        <w:tblPrEx>
          <w:tblBorders>
            <w:top w:val="none" w:sz="0" w:space="0" w:color="auto"/>
            <w:bottom w:val="none" w:sz="0" w:space="0" w:color="auto"/>
          </w:tblBorders>
        </w:tblPrEx>
        <w:tc>
          <w:tcPr>
            <w:tcW w:w="6237" w:type="dxa"/>
            <w:tcBorders>
              <w:bottom w:val="single" w:sz="12" w:space="0" w:color="auto"/>
            </w:tcBorders>
            <w:shd w:val="clear" w:color="auto" w:fill="auto"/>
            <w:vAlign w:val="bottom"/>
          </w:tcPr>
          <w:p w:rsidR="00BB6B65" w:rsidRPr="2FB34C8A" w:rsidRDefault="00BB6B65" w:rsidP="00BD15B9">
            <w:pPr>
              <w:tabs>
                <w:tab w:val="left" w:pos="288"/>
                <w:tab w:val="left" w:pos="576"/>
                <w:tab w:val="left" w:pos="864"/>
                <w:tab w:val="left" w:pos="1152"/>
              </w:tabs>
              <w:spacing w:before="40" w:after="80" w:line="210" w:lineRule="exact"/>
              <w:ind w:left="340" w:right="43"/>
              <w:rPr>
                <w:rFonts w:asciiTheme="majorBidi" w:eastAsiaTheme="minorEastAsia" w:hAnsiTheme="majorBidi" w:cstheme="majorBidi"/>
                <w:sz w:val="17"/>
                <w:szCs w:val="17"/>
              </w:rPr>
            </w:pPr>
            <w:r w:rsidRPr="2FB34C8A">
              <w:rPr>
                <w:rFonts w:asciiTheme="majorBidi" w:eastAsiaTheme="minorEastAsia" w:hAnsiTheme="majorBidi" w:cstheme="majorBidi"/>
                <w:sz w:val="17"/>
                <w:szCs w:val="17"/>
              </w:rPr>
              <w:t>Digital platforms and multimedia content</w:t>
            </w:r>
          </w:p>
        </w:tc>
        <w:tc>
          <w:tcPr>
            <w:tcW w:w="851" w:type="dxa"/>
            <w:tcBorders>
              <w:bottom w:val="single" w:sz="12" w:space="0" w:color="auto"/>
            </w:tcBorders>
            <w:shd w:val="clear" w:color="auto" w:fill="auto"/>
            <w:vAlign w:val="bottom"/>
          </w:tcPr>
          <w:p w:rsidR="00BB6B65" w:rsidRPr="004E560A" w:rsidRDefault="00BB6B65" w:rsidP="00BD15B9">
            <w:pPr>
              <w:tabs>
                <w:tab w:val="left" w:pos="288"/>
                <w:tab w:val="left" w:pos="576"/>
                <w:tab w:val="left" w:pos="864"/>
                <w:tab w:val="left" w:pos="1152"/>
              </w:tabs>
              <w:spacing w:before="40" w:after="80" w:line="210" w:lineRule="exact"/>
              <w:ind w:right="43"/>
              <w:jc w:val="right"/>
              <w:rPr>
                <w:rFonts w:eastAsiaTheme="minorEastAsia"/>
                <w:sz w:val="17"/>
              </w:rPr>
            </w:pPr>
          </w:p>
        </w:tc>
        <w:tc>
          <w:tcPr>
            <w:tcW w:w="850" w:type="dxa"/>
            <w:tcBorders>
              <w:bottom w:val="single" w:sz="12" w:space="0" w:color="auto"/>
            </w:tcBorders>
            <w:shd w:val="clear" w:color="auto" w:fill="auto"/>
            <w:vAlign w:val="bottom"/>
          </w:tcPr>
          <w:p w:rsidR="00BB6B65" w:rsidRPr="004E560A" w:rsidRDefault="00BB6B65" w:rsidP="00BD15B9">
            <w:pPr>
              <w:tabs>
                <w:tab w:val="left" w:pos="288"/>
                <w:tab w:val="left" w:pos="576"/>
                <w:tab w:val="left" w:pos="864"/>
                <w:tab w:val="left" w:pos="1152"/>
              </w:tabs>
              <w:spacing w:before="40" w:after="80" w:line="210" w:lineRule="exact"/>
              <w:ind w:right="43"/>
              <w:jc w:val="right"/>
              <w:rPr>
                <w:rFonts w:eastAsiaTheme="minorEastAsia"/>
                <w:sz w:val="17"/>
              </w:rPr>
            </w:pPr>
          </w:p>
        </w:tc>
        <w:tc>
          <w:tcPr>
            <w:tcW w:w="709" w:type="dxa"/>
            <w:tcBorders>
              <w:bottom w:val="single" w:sz="12" w:space="0" w:color="auto"/>
            </w:tcBorders>
            <w:shd w:val="clear" w:color="auto" w:fill="auto"/>
            <w:vAlign w:val="bottom"/>
          </w:tcPr>
          <w:p w:rsidR="00BB6B65" w:rsidRPr="004E560A" w:rsidRDefault="00BB6B65" w:rsidP="00BD15B9">
            <w:pPr>
              <w:tabs>
                <w:tab w:val="left" w:pos="288"/>
                <w:tab w:val="left" w:pos="576"/>
                <w:tab w:val="left" w:pos="864"/>
                <w:tab w:val="left" w:pos="1152"/>
              </w:tabs>
              <w:spacing w:before="40" w:after="80" w:line="210" w:lineRule="exact"/>
              <w:ind w:right="43"/>
              <w:jc w:val="right"/>
              <w:rPr>
                <w:rFonts w:eastAsiaTheme="minorEastAsia"/>
                <w:sz w:val="17"/>
              </w:rPr>
            </w:pPr>
          </w:p>
        </w:tc>
        <w:tc>
          <w:tcPr>
            <w:tcW w:w="709" w:type="dxa"/>
            <w:tcBorders>
              <w:bottom w:val="single" w:sz="12" w:space="0" w:color="auto"/>
            </w:tcBorders>
            <w:shd w:val="clear" w:color="auto" w:fill="auto"/>
            <w:vAlign w:val="bottom"/>
          </w:tcPr>
          <w:p w:rsidR="00BB6B65" w:rsidRPr="004E560A" w:rsidRDefault="00BB6B65" w:rsidP="00BD15B9">
            <w:pPr>
              <w:tabs>
                <w:tab w:val="left" w:pos="288"/>
                <w:tab w:val="left" w:pos="576"/>
                <w:tab w:val="left" w:pos="864"/>
                <w:tab w:val="left" w:pos="1152"/>
              </w:tabs>
              <w:spacing w:before="40" w:after="80" w:line="210" w:lineRule="exact"/>
              <w:ind w:right="43"/>
              <w:jc w:val="right"/>
              <w:rPr>
                <w:rFonts w:eastAsiaTheme="minorEastAsia"/>
                <w:sz w:val="17"/>
              </w:rPr>
            </w:pPr>
          </w:p>
        </w:tc>
      </w:tr>
    </w:tbl>
    <w:p w:rsidR="00BB6B65" w:rsidRDefault="00BB6B65" w:rsidP="00BB6B65">
      <w:pPr>
        <w:pStyle w:val="SingleTxt"/>
        <w:ind w:left="1260"/>
      </w:pPr>
    </w:p>
    <w:p w:rsidR="00BB6B65" w:rsidRPr="00E20800" w:rsidRDefault="00BB6B65" w:rsidP="00BB6B65">
      <w:pPr>
        <w:pStyle w:val="H1"/>
        <w:numPr>
          <w:ilvl w:val="0"/>
          <w:numId w:val="2"/>
        </w:numPr>
        <w:tabs>
          <w:tab w:val="clear" w:pos="1267"/>
          <w:tab w:val="left" w:pos="426"/>
          <w:tab w:val="left" w:pos="851"/>
        </w:tabs>
        <w:spacing w:line="240" w:lineRule="exact"/>
        <w:ind w:left="0" w:firstLine="0"/>
        <w:rPr>
          <w:sz w:val="20"/>
        </w:rPr>
      </w:pPr>
      <w:r w:rsidRPr="00E20800">
        <w:rPr>
          <w:sz w:val="20"/>
        </w:rPr>
        <w:t xml:space="preserve">Most significant relative variances of deliverables </w:t>
      </w:r>
    </w:p>
    <w:p w:rsidR="00BB6B65" w:rsidRDefault="00BB6B65" w:rsidP="00BB6B65">
      <w:pPr>
        <w:tabs>
          <w:tab w:val="left" w:pos="426"/>
          <w:tab w:val="left" w:pos="851"/>
          <w:tab w:val="left" w:pos="1742"/>
          <w:tab w:val="left" w:pos="2218"/>
          <w:tab w:val="left" w:pos="2693"/>
          <w:tab w:val="left" w:pos="3182"/>
          <w:tab w:val="left" w:pos="3658"/>
          <w:tab w:val="left" w:pos="4133"/>
          <w:tab w:val="left" w:pos="4622"/>
          <w:tab w:val="left" w:pos="5098"/>
          <w:tab w:val="left" w:pos="5573"/>
          <w:tab w:val="left" w:pos="6048"/>
        </w:tabs>
        <w:spacing w:line="120" w:lineRule="exact"/>
        <w:jc w:val="both"/>
      </w:pPr>
      <w:r w:rsidRPr="0085519D">
        <w:rPr>
          <w:rFonts w:eastAsia="Times New Roman"/>
          <w:sz w:val="12"/>
          <w:szCs w:val="12"/>
        </w:rPr>
        <w:t xml:space="preserve"> </w:t>
      </w:r>
    </w:p>
    <w:p w:rsidR="00BB6B65" w:rsidRPr="00E20800" w:rsidRDefault="00BB6B65" w:rsidP="00BB6B65">
      <w:pPr>
        <w:tabs>
          <w:tab w:val="left" w:pos="426"/>
          <w:tab w:val="left" w:pos="630"/>
          <w:tab w:val="left" w:pos="851"/>
          <w:tab w:val="left" w:pos="1742"/>
          <w:tab w:val="left" w:pos="2218"/>
          <w:tab w:val="left" w:pos="2693"/>
          <w:tab w:val="left" w:pos="3182"/>
          <w:tab w:val="left" w:pos="3658"/>
          <w:tab w:val="left" w:pos="4133"/>
          <w:tab w:val="left" w:pos="4622"/>
          <w:tab w:val="left" w:pos="5098"/>
          <w:tab w:val="left" w:pos="5573"/>
          <w:tab w:val="left" w:pos="6048"/>
        </w:tabs>
        <w:spacing w:after="120"/>
        <w:jc w:val="both"/>
        <w:rPr>
          <w:b/>
          <w:bCs/>
        </w:rPr>
      </w:pPr>
      <w:r>
        <w:rPr>
          <w:b/>
          <w:bCs/>
        </w:rPr>
        <w:tab/>
      </w:r>
      <w:r w:rsidRPr="0085519D">
        <w:rPr>
          <w:b/>
          <w:bCs/>
        </w:rPr>
        <w:t>Variances between the actual and planned figures in 2018</w:t>
      </w:r>
    </w:p>
    <w:p w:rsidR="00BB6B65" w:rsidRDefault="00BB6B65" w:rsidP="00BB6B65">
      <w:pPr>
        <w:pStyle w:val="ListParagraph"/>
        <w:numPr>
          <w:ilvl w:val="0"/>
          <w:numId w:val="3"/>
        </w:numPr>
        <w:tabs>
          <w:tab w:val="left" w:pos="426"/>
          <w:tab w:val="left" w:pos="851"/>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0" w:firstLine="0"/>
        <w:jc w:val="both"/>
      </w:pPr>
      <w:bookmarkStart w:id="4" w:name="_Hlk510045938"/>
      <w:bookmarkEnd w:id="4"/>
      <w:r w:rsidRPr="00F51588">
        <w:t>The va</w:t>
      </w:r>
      <w:bookmarkStart w:id="5" w:name="_GoBack"/>
      <w:bookmarkEnd w:id="5"/>
      <w:r w:rsidRPr="00F51588">
        <w:t xml:space="preserve">riance in </w:t>
      </w:r>
      <w:r w:rsidRPr="001F07AD">
        <w:t>Facilitation of the intergovernmental process and expert bodies</w:t>
      </w:r>
      <w:r w:rsidRPr="00F51588">
        <w:t xml:space="preserve"> </w:t>
      </w:r>
      <w:r>
        <w:t>wa</w:t>
      </w:r>
      <w:r w:rsidRPr="00F51588">
        <w:t>s mainly driven by Parliamentary documentation</w:t>
      </w:r>
      <w:r>
        <w:t>, owing to (i) a</w:t>
      </w:r>
      <w:r w:rsidRPr="00F51588">
        <w:t xml:space="preserve"> </w:t>
      </w:r>
      <w:bookmarkStart w:id="6" w:name="_Hlk534363331"/>
      <w:r w:rsidRPr="00F51588">
        <w:t xml:space="preserve">decision of the Committee on Environmental Policy to move </w:t>
      </w:r>
      <w:r>
        <w:t>its 2018</w:t>
      </w:r>
      <w:r w:rsidRPr="00F51588">
        <w:t xml:space="preserve"> annual session </w:t>
      </w:r>
      <w:r>
        <w:t>to January 2019</w:t>
      </w:r>
      <w:bookmarkEnd w:id="6"/>
      <w:r>
        <w:t>; and (ii) d</w:t>
      </w:r>
      <w:r w:rsidRPr="00D61AC9">
        <w:t>ecision</w:t>
      </w:r>
      <w:r>
        <w:t>s</w:t>
      </w:r>
      <w:r w:rsidRPr="00D61AC9">
        <w:t xml:space="preserve"> of the Meeting of the Parties to the Convention on Access to Information, Public Participation in Decision-making and Access to Justice in Environmental Matters and of the Meeting of the Parties to the Protocol on Pollutant Release and Transfer Registers, which enable </w:t>
      </w:r>
      <w:r>
        <w:t xml:space="preserve">the </w:t>
      </w:r>
      <w:r w:rsidRPr="00D61AC9">
        <w:t>Parties and members of the public to submit ad hoc communications and requests for review of their respective compliance committees</w:t>
      </w:r>
      <w:r>
        <w:t xml:space="preserve">. The </w:t>
      </w:r>
      <w:r w:rsidRPr="00D61AC9">
        <w:t xml:space="preserve">number and volume of these communications and requests </w:t>
      </w:r>
      <w:r>
        <w:t>is</w:t>
      </w:r>
      <w:r w:rsidRPr="00D61AC9">
        <w:t xml:space="preserve"> impossible to predict</w:t>
      </w:r>
      <w:r>
        <w:t xml:space="preserve"> at the budget planning stage.</w:t>
      </w:r>
    </w:p>
    <w:p w:rsidR="00BB6B65" w:rsidRDefault="00BB6B65" w:rsidP="00BB6B65">
      <w:pPr>
        <w:pStyle w:val="ListParagraph"/>
        <w:tabs>
          <w:tab w:val="left" w:pos="426"/>
          <w:tab w:val="left" w:pos="851"/>
          <w:tab w:val="left" w:pos="1742"/>
          <w:tab w:val="left" w:pos="2218"/>
          <w:tab w:val="left" w:pos="2693"/>
          <w:tab w:val="left" w:pos="3182"/>
          <w:tab w:val="left" w:pos="3658"/>
          <w:tab w:val="left" w:pos="4133"/>
          <w:tab w:val="left" w:pos="4622"/>
          <w:tab w:val="left" w:pos="5098"/>
          <w:tab w:val="left" w:pos="5573"/>
          <w:tab w:val="left" w:pos="6048"/>
        </w:tabs>
        <w:spacing w:before="120" w:after="120"/>
        <w:ind w:left="0"/>
        <w:jc w:val="both"/>
      </w:pPr>
    </w:p>
    <w:p w:rsidR="00BB6B65" w:rsidRDefault="00BB6B65" w:rsidP="00BB6B65">
      <w:pPr>
        <w:pStyle w:val="ListParagraph"/>
        <w:numPr>
          <w:ilvl w:val="0"/>
          <w:numId w:val="3"/>
        </w:numPr>
        <w:tabs>
          <w:tab w:val="left" w:pos="426"/>
          <w:tab w:val="left" w:pos="851"/>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0" w:firstLine="0"/>
        <w:jc w:val="both"/>
      </w:pPr>
      <w:r w:rsidRPr="006A0CEC">
        <w:t xml:space="preserve">The variance in </w:t>
      </w:r>
      <w:bookmarkStart w:id="7" w:name="_Hlk534386624"/>
      <w:r w:rsidRPr="001F07AD">
        <w:t>Facilitation of the intergovernmental process and expert bodies</w:t>
      </w:r>
      <w:r w:rsidRPr="00F51588">
        <w:t xml:space="preserve"> </w:t>
      </w:r>
      <w:bookmarkEnd w:id="7"/>
      <w:r>
        <w:t>wa</w:t>
      </w:r>
      <w:r w:rsidRPr="006A0CEC">
        <w:t xml:space="preserve">s driven </w:t>
      </w:r>
      <w:r>
        <w:t xml:space="preserve">also </w:t>
      </w:r>
      <w:r w:rsidRPr="006A0CEC">
        <w:t>by Substantive services for meetings</w:t>
      </w:r>
      <w:r>
        <w:t xml:space="preserve">, owing to (i) </w:t>
      </w:r>
      <w:r w:rsidRPr="009432F3">
        <w:t xml:space="preserve">the </w:t>
      </w:r>
      <w:r w:rsidRPr="00340B62">
        <w:t xml:space="preserve">decision of the Committee on Environmental Policy to move </w:t>
      </w:r>
      <w:r>
        <w:t>its 2018</w:t>
      </w:r>
      <w:r w:rsidRPr="00F51588">
        <w:t xml:space="preserve"> annual session </w:t>
      </w:r>
      <w:r>
        <w:t>to January 2019; and (ii) a d</w:t>
      </w:r>
      <w:r w:rsidRPr="00A50F59">
        <w:t xml:space="preserve">ecision of the Meeting of the Parties to the Convention on Access to Information, Public Participation in Decision-making and Access to Justice in Environmental Matters on the Work programme for 2018–2021, </w:t>
      </w:r>
      <w:r w:rsidRPr="009D2CB4">
        <w:t xml:space="preserve">which resulted in the decreased number of meetings </w:t>
      </w:r>
      <w:r>
        <w:t xml:space="preserve">days </w:t>
      </w:r>
      <w:r w:rsidRPr="009D2CB4">
        <w:t>of the Task Force on Public Participation in Decision-making in 2018</w:t>
      </w:r>
      <w:r>
        <w:t>.</w:t>
      </w:r>
    </w:p>
    <w:p w:rsidR="00BB6B65" w:rsidRPr="005E5106" w:rsidRDefault="00BB6B65" w:rsidP="00BB6B65">
      <w:pPr>
        <w:pStyle w:val="ListParagraph"/>
      </w:pPr>
    </w:p>
    <w:p w:rsidR="00BB6B65" w:rsidRPr="005E5106" w:rsidRDefault="00BB6B65" w:rsidP="00BB6B65">
      <w:pPr>
        <w:pStyle w:val="ListParagraph"/>
        <w:numPr>
          <w:ilvl w:val="0"/>
          <w:numId w:val="3"/>
        </w:numPr>
        <w:suppressAutoHyphens/>
        <w:spacing w:after="0" w:line="240" w:lineRule="exact"/>
        <w:ind w:left="0" w:firstLine="24"/>
        <w:jc w:val="both"/>
      </w:pPr>
      <w:r w:rsidRPr="005E5106">
        <w:t xml:space="preserve">The variance in Generation and transfer of knowledge </w:t>
      </w:r>
      <w:r>
        <w:t>wa</w:t>
      </w:r>
      <w:r w:rsidRPr="005E5106">
        <w:t>s mainly driven by Seminars, workshops and training events</w:t>
      </w:r>
      <w:r>
        <w:t>, owing to</w:t>
      </w:r>
      <w:r w:rsidRPr="005E5106">
        <w:t xml:space="preserve"> </w:t>
      </w:r>
      <w:r>
        <w:t xml:space="preserve">the </w:t>
      </w:r>
      <w:r w:rsidRPr="005E5106">
        <w:t xml:space="preserve">requests from </w:t>
      </w:r>
      <w:r>
        <w:t>P</w:t>
      </w:r>
      <w:r w:rsidRPr="005E5106">
        <w:t xml:space="preserve">arties to the Convention on Long-range Transboundary Air Pollution and availability of extra-budgetary resources at the end of 2018. </w:t>
      </w:r>
    </w:p>
    <w:p w:rsidR="00BB6B65" w:rsidRPr="00E20800" w:rsidRDefault="00BB6B65" w:rsidP="00BB6B65">
      <w:pPr>
        <w:pStyle w:val="ListParagraph"/>
        <w:tabs>
          <w:tab w:val="left" w:pos="426"/>
          <w:tab w:val="left" w:pos="851"/>
          <w:tab w:val="left" w:pos="1742"/>
          <w:tab w:val="left" w:pos="2218"/>
          <w:tab w:val="left" w:pos="2693"/>
          <w:tab w:val="left" w:pos="3182"/>
          <w:tab w:val="left" w:pos="3658"/>
          <w:tab w:val="left" w:pos="4133"/>
          <w:tab w:val="left" w:pos="4622"/>
          <w:tab w:val="left" w:pos="5098"/>
          <w:tab w:val="left" w:pos="5573"/>
          <w:tab w:val="left" w:pos="6048"/>
        </w:tabs>
        <w:spacing w:after="120"/>
        <w:ind w:left="0"/>
        <w:jc w:val="both"/>
      </w:pPr>
    </w:p>
    <w:p w:rsidR="00BB6B65" w:rsidRPr="006A0CEC" w:rsidRDefault="00BB6B65" w:rsidP="00BB6B65">
      <w:pPr>
        <w:pStyle w:val="ListParagraph"/>
        <w:tabs>
          <w:tab w:val="left" w:pos="426"/>
          <w:tab w:val="left" w:pos="851"/>
          <w:tab w:val="left" w:pos="2218"/>
          <w:tab w:val="left" w:pos="2693"/>
          <w:tab w:val="left" w:pos="3182"/>
          <w:tab w:val="left" w:pos="3658"/>
          <w:tab w:val="left" w:pos="4133"/>
          <w:tab w:val="left" w:pos="4622"/>
          <w:tab w:val="left" w:pos="5098"/>
          <w:tab w:val="left" w:pos="5573"/>
          <w:tab w:val="left" w:pos="6048"/>
        </w:tabs>
        <w:ind w:left="0"/>
        <w:jc w:val="both"/>
      </w:pPr>
    </w:p>
    <w:p w:rsidR="00BB6B65" w:rsidRDefault="00BB6B65" w:rsidP="00BB6B65">
      <w:pPr>
        <w:tabs>
          <w:tab w:val="left" w:pos="426"/>
          <w:tab w:val="left" w:pos="630"/>
          <w:tab w:val="left" w:pos="851"/>
          <w:tab w:val="left" w:pos="1742"/>
          <w:tab w:val="left" w:pos="2218"/>
          <w:tab w:val="left" w:pos="2693"/>
          <w:tab w:val="left" w:pos="3182"/>
          <w:tab w:val="left" w:pos="3658"/>
          <w:tab w:val="left" w:pos="4133"/>
          <w:tab w:val="left" w:pos="4622"/>
          <w:tab w:val="left" w:pos="5098"/>
          <w:tab w:val="left" w:pos="5573"/>
          <w:tab w:val="left" w:pos="6048"/>
        </w:tabs>
        <w:jc w:val="both"/>
      </w:pPr>
      <w:r>
        <w:rPr>
          <w:b/>
          <w:bCs/>
        </w:rPr>
        <w:tab/>
      </w:r>
      <w:r w:rsidRPr="0085519D">
        <w:rPr>
          <w:b/>
          <w:bCs/>
        </w:rPr>
        <w:t>Variances between the planned figures for 2019 and 2020</w:t>
      </w:r>
      <w:r w:rsidRPr="0085519D">
        <w:t xml:space="preserve"> </w:t>
      </w:r>
      <w:r w:rsidRPr="00D44222">
        <w:t xml:space="preserve"> </w:t>
      </w:r>
    </w:p>
    <w:p w:rsidR="00BB6B65" w:rsidRDefault="00BB6B65" w:rsidP="00BB6B65">
      <w:pPr>
        <w:tabs>
          <w:tab w:val="left" w:pos="426"/>
          <w:tab w:val="left" w:pos="630"/>
          <w:tab w:val="left" w:pos="851"/>
          <w:tab w:val="left" w:pos="1742"/>
          <w:tab w:val="left" w:pos="2218"/>
          <w:tab w:val="left" w:pos="2693"/>
          <w:tab w:val="left" w:pos="3182"/>
          <w:tab w:val="left" w:pos="3658"/>
          <w:tab w:val="left" w:pos="4133"/>
          <w:tab w:val="left" w:pos="4622"/>
          <w:tab w:val="left" w:pos="5098"/>
          <w:tab w:val="left" w:pos="5573"/>
          <w:tab w:val="left" w:pos="6048"/>
        </w:tabs>
        <w:jc w:val="both"/>
      </w:pPr>
    </w:p>
    <w:p w:rsidR="00BB6B65" w:rsidRPr="00FD0375" w:rsidRDefault="00BB6B65" w:rsidP="00BB6B65">
      <w:pPr>
        <w:pStyle w:val="ListParagraph"/>
        <w:numPr>
          <w:ilvl w:val="0"/>
          <w:numId w:val="3"/>
        </w:numPr>
        <w:tabs>
          <w:tab w:val="left" w:pos="426"/>
          <w:tab w:val="left" w:pos="851"/>
          <w:tab w:val="left" w:pos="1701"/>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0" w:firstLine="0"/>
        <w:jc w:val="both"/>
        <w:rPr>
          <w:b/>
          <w:bCs/>
        </w:rPr>
      </w:pPr>
      <w:r w:rsidRPr="00E20800">
        <w:lastRenderedPageBreak/>
        <w:t xml:space="preserve">The variance in </w:t>
      </w:r>
      <w:r w:rsidRPr="001F07AD">
        <w:t>Facilitation of the intergovernmental process and expert bodies</w:t>
      </w:r>
      <w:r w:rsidRPr="00F51588">
        <w:t xml:space="preserve"> </w:t>
      </w:r>
      <w:r>
        <w:t>is</w:t>
      </w:r>
      <w:r w:rsidRPr="00F51588">
        <w:t xml:space="preserve"> driven by Parliamentary documentation</w:t>
      </w:r>
      <w:r>
        <w:t xml:space="preserve">, owing to the </w:t>
      </w:r>
      <w:r w:rsidRPr="00F51588">
        <w:t xml:space="preserve">decision of the Committee on Environmental Policy to move </w:t>
      </w:r>
      <w:r>
        <w:t>its 2018</w:t>
      </w:r>
      <w:r w:rsidRPr="00F51588">
        <w:t xml:space="preserve"> annual session </w:t>
      </w:r>
      <w:r>
        <w:t>to January 2019 which resulted in the increased number of documents for two Committee sessions in 2019</w:t>
      </w:r>
      <w:r w:rsidRPr="00E20800">
        <w:t xml:space="preserve">. </w:t>
      </w:r>
    </w:p>
    <w:p w:rsidR="00BB6B65" w:rsidRPr="00E20800" w:rsidRDefault="00BB6B65" w:rsidP="00BB6B65">
      <w:pPr>
        <w:pStyle w:val="ListParagraph"/>
        <w:tabs>
          <w:tab w:val="left" w:pos="426"/>
          <w:tab w:val="left" w:pos="851"/>
          <w:tab w:val="left" w:pos="1701"/>
          <w:tab w:val="left" w:pos="1742"/>
          <w:tab w:val="left" w:pos="2218"/>
          <w:tab w:val="left" w:pos="2693"/>
          <w:tab w:val="left" w:pos="3182"/>
          <w:tab w:val="left" w:pos="3658"/>
          <w:tab w:val="left" w:pos="4133"/>
          <w:tab w:val="left" w:pos="4622"/>
          <w:tab w:val="left" w:pos="5098"/>
          <w:tab w:val="left" w:pos="5573"/>
          <w:tab w:val="left" w:pos="6048"/>
        </w:tabs>
        <w:spacing w:after="120"/>
        <w:ind w:left="0"/>
        <w:jc w:val="both"/>
        <w:rPr>
          <w:b/>
          <w:bCs/>
        </w:rPr>
      </w:pPr>
    </w:p>
    <w:p w:rsidR="00BB6B65" w:rsidRPr="00FD0375" w:rsidRDefault="00BB6B65" w:rsidP="00BB6B65">
      <w:pPr>
        <w:pStyle w:val="ListParagraph"/>
        <w:numPr>
          <w:ilvl w:val="0"/>
          <w:numId w:val="3"/>
        </w:numPr>
        <w:suppressAutoHyphens/>
        <w:spacing w:after="0" w:line="240" w:lineRule="exact"/>
        <w:ind w:left="0" w:firstLine="0"/>
        <w:jc w:val="both"/>
      </w:pPr>
      <w:r w:rsidRPr="00FD0375">
        <w:t xml:space="preserve">The variance in </w:t>
      </w:r>
      <w:r w:rsidRPr="001F07AD">
        <w:t>Facilitation of the intergovernmental process and expert bodies</w:t>
      </w:r>
      <w:r w:rsidRPr="00F51588">
        <w:t xml:space="preserve"> </w:t>
      </w:r>
      <w:r w:rsidRPr="00FD0375">
        <w:t xml:space="preserve">is driven </w:t>
      </w:r>
      <w:r>
        <w:t xml:space="preserve">also </w:t>
      </w:r>
      <w:r w:rsidRPr="00FD0375">
        <w:t>by Substantive services for meetings</w:t>
      </w:r>
      <w:r>
        <w:t>, owing to (i)</w:t>
      </w:r>
      <w:r w:rsidRPr="00FD0375">
        <w:t xml:space="preserve"> decisions of the Committee on Environmental Policy to move the date of </w:t>
      </w:r>
      <w:r>
        <w:t>its</w:t>
      </w:r>
      <w:r w:rsidRPr="00FD0375">
        <w:t xml:space="preserve"> 2018 annual session to January 2019, as well as to shorten the duration of its </w:t>
      </w:r>
      <w:r>
        <w:t xml:space="preserve">annual </w:t>
      </w:r>
      <w:r w:rsidRPr="00FD0375">
        <w:t>sessions to up to six half-day meetings; and (ii) the cycles of conferences (meetings) of the parties to the multilateral environmental agreements.</w:t>
      </w:r>
    </w:p>
    <w:p w:rsidR="00BB6B65" w:rsidRPr="00FD0375" w:rsidRDefault="00BB6B65" w:rsidP="00BB6B65">
      <w:pPr>
        <w:pStyle w:val="ListParagraph"/>
      </w:pPr>
    </w:p>
    <w:p w:rsidR="00BB6B65" w:rsidRPr="0026276A" w:rsidRDefault="00BB6B65" w:rsidP="00BB6B65">
      <w:pPr>
        <w:pStyle w:val="ListParagraph"/>
        <w:tabs>
          <w:tab w:val="left" w:pos="426"/>
          <w:tab w:val="left" w:pos="851"/>
          <w:tab w:val="left" w:pos="1701"/>
          <w:tab w:val="left" w:pos="1742"/>
          <w:tab w:val="left" w:pos="2218"/>
          <w:tab w:val="left" w:pos="2693"/>
          <w:tab w:val="left" w:pos="3182"/>
          <w:tab w:val="left" w:pos="3658"/>
          <w:tab w:val="left" w:pos="4133"/>
          <w:tab w:val="left" w:pos="4622"/>
          <w:tab w:val="left" w:pos="5098"/>
          <w:tab w:val="left" w:pos="5573"/>
          <w:tab w:val="left" w:pos="6048"/>
        </w:tabs>
        <w:spacing w:after="120"/>
        <w:ind w:left="0"/>
        <w:jc w:val="both"/>
        <w:rPr>
          <w:b/>
          <w:bCs/>
          <w:highlight w:val="yellow"/>
        </w:rPr>
      </w:pPr>
      <w:r>
        <w:t xml:space="preserve">28. </w:t>
      </w:r>
      <w:r>
        <w:tab/>
      </w:r>
      <w:r w:rsidRPr="009D2CB4">
        <w:t>The</w:t>
      </w:r>
      <w:r w:rsidRPr="00FD0375">
        <w:t xml:space="preserve"> variance in </w:t>
      </w:r>
      <w:r w:rsidRPr="005E5106">
        <w:t xml:space="preserve">Generation and transfer of knowledge </w:t>
      </w:r>
      <w:r w:rsidRPr="00FD0375">
        <w:t>is mainly driven by Publications</w:t>
      </w:r>
      <w:r>
        <w:t>, owing to</w:t>
      </w:r>
      <w:r w:rsidRPr="00FD0375">
        <w:t xml:space="preserve"> the cycles of conferences (meetings) of the parties to the multilateral environmental agreements, as well as high</w:t>
      </w:r>
      <w:r>
        <w:t>-</w:t>
      </w:r>
      <w:r w:rsidRPr="00FD0375">
        <w:t>level meetings of other processes</w:t>
      </w:r>
      <w:r>
        <w:t>, which requested the issuing of these publications before the respective meetings.</w:t>
      </w:r>
    </w:p>
    <w:p w:rsidR="00AE6E10" w:rsidRDefault="00AE6E10" w:rsidP="00A77762">
      <w:pPr>
        <w:autoSpaceDE w:val="0"/>
        <w:autoSpaceDN w:val="0"/>
        <w:adjustRightInd w:val="0"/>
        <w:spacing w:after="0" w:line="240" w:lineRule="auto"/>
        <w:ind w:right="-540"/>
        <w:rPr>
          <w:rFonts w:ascii="TimesNewRoman" w:hAnsi="TimesNewRoman" w:cs="TimesNewRoman"/>
          <w:sz w:val="24"/>
          <w:szCs w:val="24"/>
        </w:rPr>
      </w:pPr>
    </w:p>
    <w:p w:rsidR="00BB6B65" w:rsidRDefault="00BB6B65">
      <w:pPr>
        <w:rPr>
          <w:rFonts w:ascii="TimesNewRoman" w:hAnsi="TimesNewRoman" w:cs="TimesNewRoman"/>
          <w:sz w:val="24"/>
          <w:szCs w:val="24"/>
        </w:rPr>
      </w:pPr>
      <w:r>
        <w:rPr>
          <w:rFonts w:ascii="TimesNewRoman" w:hAnsi="TimesNewRoman" w:cs="TimesNewRoman"/>
          <w:sz w:val="24"/>
          <w:szCs w:val="24"/>
        </w:rPr>
        <w:br w:type="page"/>
      </w:r>
    </w:p>
    <w:p w:rsidR="00C853B0" w:rsidRDefault="00C853B0" w:rsidP="00A77762">
      <w:pPr>
        <w:autoSpaceDE w:val="0"/>
        <w:autoSpaceDN w:val="0"/>
        <w:adjustRightInd w:val="0"/>
        <w:spacing w:after="0" w:line="240" w:lineRule="auto"/>
        <w:ind w:right="-540"/>
        <w:rPr>
          <w:rFonts w:ascii="TimesNewRoman" w:hAnsi="TimesNewRoman" w:cs="TimesNewRoman"/>
          <w:sz w:val="24"/>
          <w:szCs w:val="24"/>
        </w:rPr>
      </w:pPr>
      <w:r>
        <w:rPr>
          <w:rFonts w:ascii="TimesNewRoman" w:hAnsi="TimesNewRoman" w:cs="TimesNewRoman"/>
          <w:sz w:val="24"/>
          <w:szCs w:val="24"/>
        </w:rPr>
        <w:lastRenderedPageBreak/>
        <w:t>Annex II</w:t>
      </w:r>
    </w:p>
    <w:p w:rsidR="00C853B0" w:rsidRDefault="00C853B0" w:rsidP="00A77762">
      <w:pPr>
        <w:autoSpaceDE w:val="0"/>
        <w:autoSpaceDN w:val="0"/>
        <w:adjustRightInd w:val="0"/>
        <w:spacing w:after="0" w:line="240" w:lineRule="auto"/>
        <w:ind w:right="-540"/>
        <w:rPr>
          <w:rFonts w:ascii="TimesNewRoman" w:hAnsi="TimesNewRoman" w:cs="TimesNewRoman"/>
          <w:sz w:val="24"/>
          <w:szCs w:val="24"/>
        </w:rPr>
      </w:pPr>
    </w:p>
    <w:p w:rsidR="00C853B0" w:rsidRPr="00C853B0" w:rsidRDefault="00C853B0" w:rsidP="00A77762">
      <w:pPr>
        <w:autoSpaceDE w:val="0"/>
        <w:autoSpaceDN w:val="0"/>
        <w:adjustRightInd w:val="0"/>
        <w:spacing w:after="0" w:line="240" w:lineRule="auto"/>
        <w:ind w:right="-540"/>
        <w:jc w:val="center"/>
        <w:rPr>
          <w:rFonts w:ascii="TimesNewRoman" w:hAnsi="TimesNewRoman" w:cs="TimesNewRoman"/>
          <w:sz w:val="24"/>
          <w:szCs w:val="24"/>
        </w:rPr>
      </w:pPr>
      <w:r w:rsidRPr="00C853B0">
        <w:rPr>
          <w:rFonts w:ascii="TimesNewRoman" w:hAnsi="TimesNewRoman" w:cs="TimesNewRoman"/>
          <w:sz w:val="24"/>
          <w:szCs w:val="24"/>
        </w:rPr>
        <w:t>Draft ECE proposed programme budget for 2020</w:t>
      </w:r>
    </w:p>
    <w:p w:rsidR="00C853B0" w:rsidRDefault="00C853B0" w:rsidP="00A77762">
      <w:pPr>
        <w:autoSpaceDE w:val="0"/>
        <w:autoSpaceDN w:val="0"/>
        <w:adjustRightInd w:val="0"/>
        <w:spacing w:after="0" w:line="240" w:lineRule="auto"/>
        <w:ind w:right="-540"/>
        <w:jc w:val="center"/>
        <w:rPr>
          <w:rFonts w:ascii="TimesNewRoman" w:hAnsi="TimesNewRoman" w:cs="TimesNewRoman"/>
          <w:sz w:val="24"/>
          <w:szCs w:val="24"/>
        </w:rPr>
      </w:pPr>
      <w:r w:rsidRPr="00C853B0">
        <w:rPr>
          <w:rFonts w:ascii="TimesNewRoman" w:hAnsi="TimesNewRoman" w:cs="TimesNewRoman"/>
          <w:sz w:val="24"/>
          <w:szCs w:val="24"/>
        </w:rPr>
        <w:t xml:space="preserve">Part II. Programme plan and </w:t>
      </w:r>
      <w:r>
        <w:rPr>
          <w:rFonts w:ascii="TimesNewRoman" w:hAnsi="TimesNewRoman" w:cs="TimesNewRoman"/>
          <w:sz w:val="24"/>
          <w:szCs w:val="24"/>
        </w:rPr>
        <w:t xml:space="preserve">programme </w:t>
      </w:r>
      <w:r w:rsidRPr="00C853B0">
        <w:rPr>
          <w:rFonts w:ascii="TimesNewRoman" w:hAnsi="TimesNewRoman" w:cs="TimesNewRoman"/>
          <w:sz w:val="24"/>
          <w:szCs w:val="24"/>
        </w:rPr>
        <w:t>performance information</w:t>
      </w:r>
    </w:p>
    <w:p w:rsidR="00C853B0" w:rsidRPr="00C853B0" w:rsidRDefault="00C853B0" w:rsidP="00A77762">
      <w:pPr>
        <w:autoSpaceDE w:val="0"/>
        <w:autoSpaceDN w:val="0"/>
        <w:adjustRightInd w:val="0"/>
        <w:spacing w:after="0" w:line="240" w:lineRule="auto"/>
        <w:ind w:right="-540"/>
        <w:jc w:val="center"/>
        <w:rPr>
          <w:rFonts w:ascii="TimesNewRoman" w:hAnsi="TimesNewRoman" w:cs="TimesNewRoman"/>
          <w:sz w:val="24"/>
          <w:szCs w:val="24"/>
        </w:rPr>
      </w:pPr>
      <w:r>
        <w:rPr>
          <w:rFonts w:ascii="TimesNewRoman" w:hAnsi="TimesNewRoman" w:cs="TimesNewRoman"/>
          <w:sz w:val="24"/>
          <w:szCs w:val="24"/>
        </w:rPr>
        <w:t xml:space="preserve">Supplementary information </w:t>
      </w:r>
    </w:p>
    <w:p w:rsidR="00C853B0" w:rsidRDefault="00C853B0" w:rsidP="00A77762">
      <w:pPr>
        <w:autoSpaceDE w:val="0"/>
        <w:autoSpaceDN w:val="0"/>
        <w:adjustRightInd w:val="0"/>
        <w:spacing w:after="0" w:line="240" w:lineRule="auto"/>
        <w:ind w:right="-540"/>
        <w:rPr>
          <w:rFonts w:ascii="TimesNewRoman" w:hAnsi="TimesNewRoman" w:cs="TimesNewRoman"/>
          <w:sz w:val="24"/>
          <w:szCs w:val="24"/>
        </w:rPr>
      </w:pPr>
    </w:p>
    <w:p w:rsidR="00BB6B65" w:rsidRDefault="00BB6B65" w:rsidP="00BB6B65">
      <w:pPr>
        <w:pStyle w:val="HCh"/>
        <w:ind w:left="1267" w:hanging="1267"/>
      </w:pPr>
      <w:r>
        <w:tab/>
      </w:r>
      <w:r>
        <w:tab/>
      </w:r>
      <w:r w:rsidRPr="0001172E">
        <w:t>Subprogramme</w:t>
      </w:r>
      <w:r w:rsidRPr="0548216C">
        <w:t xml:space="preserve"> </w:t>
      </w:r>
      <w:r>
        <w:t>1</w:t>
      </w:r>
    </w:p>
    <w:p w:rsidR="00BB6B65" w:rsidRDefault="00BB6B65" w:rsidP="00BB6B65">
      <w:pPr>
        <w:pStyle w:val="HCh"/>
        <w:ind w:left="1267" w:firstLine="9"/>
      </w:pPr>
      <w:r>
        <w:t>Environment</w:t>
      </w:r>
    </w:p>
    <w:p w:rsidR="00BB6B65" w:rsidRDefault="00BB6B65" w:rsidP="00BB6B65">
      <w:pPr>
        <w:pStyle w:val="H1"/>
        <w:ind w:firstLine="9"/>
        <w:rPr>
          <w:rFonts w:asciiTheme="majorBidi" w:hAnsiTheme="majorBidi" w:cstheme="majorBidi"/>
        </w:rPr>
      </w:pPr>
    </w:p>
    <w:p w:rsidR="00BB6B65" w:rsidRPr="0001172E" w:rsidRDefault="00BB6B65" w:rsidP="00BB6B65">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567"/>
        <w:jc w:val="both"/>
        <w:rPr>
          <w:color w:val="000000" w:themeColor="text1"/>
        </w:rPr>
      </w:pPr>
      <w:r w:rsidRPr="5B5F40F3">
        <w:rPr>
          <w:color w:val="000000"/>
          <w:spacing w:val="-2"/>
        </w:rPr>
        <w:t xml:space="preserve">The </w:t>
      </w:r>
      <w:r w:rsidRPr="5B5F40F3">
        <w:t>subprogramme</w:t>
      </w:r>
      <w:r w:rsidRPr="5B5F40F3">
        <w:rPr>
          <w:color w:val="000000"/>
          <w:spacing w:val="-2"/>
        </w:rPr>
        <w:t xml:space="preserve"> will continue to be guided by all mandates entrusted to it as detailed in the list below.</w:t>
      </w:r>
    </w:p>
    <w:p w:rsidR="00BB6B65" w:rsidRPr="00727A74" w:rsidRDefault="00BB6B65" w:rsidP="00BB6B65">
      <w:pPr>
        <w:pStyle w:val="SingleTxt"/>
        <w:spacing w:after="0" w:line="120" w:lineRule="exact"/>
        <w:rPr>
          <w:sz w:val="10"/>
        </w:rPr>
      </w:pPr>
    </w:p>
    <w:p w:rsidR="00BB6B65" w:rsidRDefault="00BB6B65" w:rsidP="00BB6B65">
      <w:pPr>
        <w:pStyle w:val="H1"/>
      </w:pPr>
      <w:r>
        <w:tab/>
      </w:r>
      <w:r>
        <w:tab/>
      </w:r>
      <w:r w:rsidRPr="0001172E">
        <w:t>List of mandates:</w:t>
      </w:r>
    </w:p>
    <w:p w:rsidR="00BB6B65" w:rsidRPr="00F637D8" w:rsidRDefault="00BB6B65" w:rsidP="00BB6B65">
      <w:pPr>
        <w:pStyle w:val="SingleTxt"/>
      </w:pPr>
    </w:p>
    <w:tbl>
      <w:tblPr>
        <w:tblW w:w="0" w:type="auto"/>
        <w:tblInd w:w="1267" w:type="dxa"/>
        <w:tblLayout w:type="fixed"/>
        <w:tblCellMar>
          <w:left w:w="0" w:type="dxa"/>
          <w:right w:w="0" w:type="dxa"/>
        </w:tblCellMar>
        <w:tblLook w:val="04A0" w:firstRow="1" w:lastRow="0" w:firstColumn="1" w:lastColumn="0" w:noHBand="0" w:noVBand="1"/>
      </w:tblPr>
      <w:tblGrid>
        <w:gridCol w:w="1415"/>
        <w:gridCol w:w="5905"/>
      </w:tblGrid>
      <w:tr w:rsidR="00BB6B65" w:rsidRPr="00383BF1" w:rsidTr="00BD15B9">
        <w:tc>
          <w:tcPr>
            <w:tcW w:w="7320" w:type="dxa"/>
            <w:gridSpan w:val="2"/>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14855F56">
              <w:rPr>
                <w:i/>
                <w:iCs/>
              </w:rPr>
              <w:t>General Assembly resolutions</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5" w:history="1">
              <w:r w:rsidRPr="00665B4A">
                <w:rPr>
                  <w:rStyle w:val="Hyperlink"/>
                  <w:lang w:val="en-US"/>
                </w:rPr>
                <w:t>27/2994</w:t>
              </w:r>
            </w:hyperlink>
          </w:p>
        </w:tc>
        <w:tc>
          <w:tcPr>
            <w:tcW w:w="5905" w:type="dxa"/>
            <w:shd w:val="clear" w:color="auto" w:fill="auto"/>
          </w:tcPr>
          <w:p w:rsidR="00BB6B65" w:rsidRPr="009802BD"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 xml:space="preserve">United Nations Conference on the Human Environment (observance of the World Environment Day) </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6" w:history="1">
              <w:r w:rsidRPr="00665B4A">
                <w:rPr>
                  <w:rStyle w:val="Hyperlink"/>
                  <w:lang w:val="en-US"/>
                </w:rPr>
                <w:t>47/193</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Observance of World Day for Water</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7" w:history="1">
              <w:r w:rsidRPr="00665B4A">
                <w:rPr>
                  <w:rStyle w:val="Hyperlink"/>
                  <w:lang w:val="en-US"/>
                </w:rPr>
                <w:t>62/68</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Consideration of prevention of transboundary harm from hazardous activities and allocation of loss in the case of such harm</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8" w:history="1">
              <w:r w:rsidRPr="00665B4A">
                <w:rPr>
                  <w:rStyle w:val="Hyperlink"/>
                  <w:lang w:val="en-US"/>
                </w:rPr>
                <w:t>64/200</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International Strategy for Disaster Reduction</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9" w:history="1">
              <w:r w:rsidRPr="00665B4A">
                <w:rPr>
                  <w:rStyle w:val="Hyperlink"/>
                  <w:lang w:val="en-US"/>
                </w:rPr>
                <w:t>67/291</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Sanitation for All</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0" w:history="1">
              <w:r w:rsidRPr="00665B4A">
                <w:rPr>
                  <w:rStyle w:val="Hyperlink"/>
                  <w:lang w:val="en-US"/>
                </w:rPr>
                <w:t>69/172</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 xml:space="preserve">Human rights in the administration of justice </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1" w:history="1">
              <w:r w:rsidRPr="00665B4A">
                <w:rPr>
                  <w:rStyle w:val="Hyperlink"/>
                  <w:lang w:val="en-US"/>
                </w:rPr>
                <w:t>69/215</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 xml:space="preserve">International Decade for Action, “Water for Life”, 2005-2015, and further efforts to achieve the sustainable development of water resources </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2" w:history="1">
              <w:r w:rsidRPr="00665B4A">
                <w:rPr>
                  <w:rStyle w:val="Hyperlink"/>
                  <w:lang w:val="en-US"/>
                </w:rPr>
                <w:t>69/235</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 xml:space="preserve">Industrial development cooperation </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3" w:history="1">
              <w:r w:rsidRPr="00665B4A">
                <w:rPr>
                  <w:rStyle w:val="Hyperlink"/>
                  <w:lang w:val="en-US"/>
                </w:rPr>
                <w:t>70/169</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The human right to water and sanitation</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4" w:history="1">
              <w:r w:rsidRPr="00665B4A">
                <w:rPr>
                  <w:rStyle w:val="Hyperlink"/>
                  <w:lang w:val="en-US"/>
                </w:rPr>
                <w:t>70/209</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 xml:space="preserve">United Nations Decade of Education for Sustainable Development (2005-2014) </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5" w:history="1">
              <w:r w:rsidRPr="00665B4A">
                <w:rPr>
                  <w:rStyle w:val="Hyperlink"/>
                </w:rPr>
                <w:t>71/222</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International Decade for Action, “Water for Sustainable Development”, 2018-2028</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6">
              <w:r w:rsidRPr="5B5F40F3">
                <w:rPr>
                  <w:rStyle w:val="Hyperlink"/>
                </w:rPr>
                <w:t>71/313</w:t>
              </w:r>
            </w:hyperlink>
            <w:r>
              <w:t xml:space="preserve"> </w:t>
            </w:r>
            <w:hyperlink r:id="rId27">
              <w:r w:rsidRPr="5B5F40F3">
                <w:rPr>
                  <w:rStyle w:val="Hyperlink"/>
                </w:rPr>
                <w:t>E/CN.3/2017/2</w:t>
              </w:r>
            </w:hyperlink>
            <w:r>
              <w:t>, Annex III</w:t>
            </w:r>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Work of the Statistical Commission pertaining to the 2030 Agenda for Sustainable Development- Adoption of SDG global indicator framework and the Report of the Inter-agency and Expert Group on Sustainable Development Goal Indicators</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8" w:history="1">
              <w:r w:rsidRPr="00665B4A">
                <w:rPr>
                  <w:rStyle w:val="Hyperlink"/>
                </w:rPr>
                <w:t>72/222</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Education for sustainable Development in the framework of the 2030 Agenda for Sustainable development</w:t>
            </w:r>
          </w:p>
        </w:tc>
      </w:tr>
      <w:tr w:rsidR="00BB6B65" w:rsidRPr="00383BF1" w:rsidTr="00BD15B9">
        <w:tc>
          <w:tcPr>
            <w:tcW w:w="141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9" w:history="1">
              <w:r w:rsidRPr="00191F18">
                <w:rPr>
                  <w:rStyle w:val="Hyperlink"/>
                  <w:lang w:val="en-US"/>
                </w:rPr>
                <w:t>73/226</w:t>
              </w:r>
            </w:hyperlink>
          </w:p>
        </w:tc>
        <w:tc>
          <w:tcPr>
            <w:tcW w:w="5905" w:type="dxa"/>
            <w:shd w:val="clear" w:color="auto" w:fill="auto"/>
          </w:tcPr>
          <w:p w:rsidR="00BB6B65" w:rsidRPr="00F737DD" w:rsidRDefault="00BB6B65" w:rsidP="00BD15B9">
            <w:pPr>
              <w:ind w:right="173"/>
            </w:pPr>
            <w:r w:rsidRPr="00F737DD">
              <w:t xml:space="preserve">Midterm comprehensive review of the implementation of the </w:t>
            </w:r>
          </w:p>
          <w:p w:rsidR="00BB6B65" w:rsidRPr="00F737DD" w:rsidRDefault="00BB6B65" w:rsidP="00BD15B9">
            <w:pPr>
              <w:ind w:right="173"/>
            </w:pPr>
            <w:r w:rsidRPr="00F737DD">
              <w:t>International Decade for Action, “Water for Sustainable Development</w:t>
            </w:r>
            <w:r>
              <w:t>”</w:t>
            </w:r>
            <w:r w:rsidRPr="00F737DD">
              <w:t>, 2018–2028</w:t>
            </w:r>
          </w:p>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p>
        </w:tc>
      </w:tr>
      <w:tr w:rsidR="00BB6B65" w:rsidRPr="00383BF1" w:rsidTr="00BD15B9">
        <w:tc>
          <w:tcPr>
            <w:tcW w:w="141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p>
        </w:tc>
      </w:tr>
      <w:tr w:rsidR="00BB6B65" w:rsidRPr="00383BF1" w:rsidTr="00BD15B9">
        <w:tc>
          <w:tcPr>
            <w:tcW w:w="7320" w:type="dxa"/>
            <w:gridSpan w:val="2"/>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14855F56">
              <w:rPr>
                <w:i/>
                <w:iCs/>
              </w:rPr>
              <w:t>Economic Commission for Europe decisions</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30" w:history="1">
              <w:r w:rsidRPr="00665B4A">
                <w:rPr>
                  <w:rStyle w:val="Hyperlink"/>
                  <w:lang w:val="en-US"/>
                </w:rPr>
                <w:t>CEP/AC.13/</w:t>
              </w:r>
              <w:r w:rsidRPr="00665B4A">
                <w:rPr>
                  <w:rStyle w:val="Hyperlink"/>
                  <w:lang w:val="en-US"/>
                </w:rPr>
                <w:br/>
                <w:t>2005/3/Rev.1</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UNECE Strategy for Education for Sustainable Development adopted at the High-Level Meeting of Environment and Education Ministries, 2005</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31" w:history="1">
              <w:r w:rsidRPr="00665B4A">
                <w:rPr>
                  <w:rStyle w:val="Hyperlink"/>
                  <w:lang w:val="en-US"/>
                </w:rPr>
                <w:t>ECE/BEL</w:t>
              </w:r>
              <w:r w:rsidRPr="00665B4A">
                <w:rPr>
                  <w:rStyle w:val="Hyperlink"/>
                  <w:lang w:val="en-US"/>
                </w:rPr>
                <w:br/>
                <w:t>GRADE.CONF/</w:t>
              </w:r>
              <w:r w:rsidRPr="00665B4A">
                <w:rPr>
                  <w:rStyle w:val="Hyperlink"/>
                  <w:lang w:val="en-US"/>
                </w:rPr>
                <w:br/>
                <w:t>2007/4/Add.1</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Statement on Education for Sustainable Development by the Ministers of Education and of the Environment of the UNECE region adopted at the joint session on education for development of the Sixth Ministerial Conference entitled “Environment for Europe”, 2007</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32" w:history="1">
              <w:r w:rsidRPr="00665B4A">
                <w:rPr>
                  <w:rStyle w:val="Hyperlink"/>
                  <w:spacing w:val="2"/>
                  <w:w w:val="100"/>
                  <w:lang w:val="en-US"/>
                </w:rPr>
                <w:t>ECE/AC.21/</w:t>
              </w:r>
              <w:r w:rsidRPr="00665B4A">
                <w:rPr>
                  <w:rStyle w:val="Hyperlink"/>
                  <w:spacing w:val="2"/>
                  <w:w w:val="100"/>
                  <w:lang w:val="en-US"/>
                </w:rPr>
                <w:br/>
                <w:t>2014/2</w:t>
              </w:r>
            </w:hyperlink>
          </w:p>
        </w:tc>
        <w:tc>
          <w:tcPr>
            <w:tcW w:w="5905" w:type="dxa"/>
            <w:shd w:val="clear" w:color="auto" w:fill="auto"/>
          </w:tcPr>
          <w:p w:rsidR="00BB6B65" w:rsidRPr="00383BF1"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Report of the High-level Meeting on Transport, Health and Environment, 2014</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33" w:history="1">
              <w:r w:rsidRPr="00665B4A">
                <w:rPr>
                  <w:rStyle w:val="Hyperlink"/>
                  <w:lang w:val="en-US"/>
                </w:rPr>
                <w:t>ECE/ASTANA.</w:t>
              </w:r>
              <w:r w:rsidRPr="00665B4A">
                <w:rPr>
                  <w:rStyle w:val="Hyperlink"/>
                  <w:lang w:val="en-US"/>
                </w:rPr>
                <w:br/>
                <w:t>CONF/2011/2/Add.1</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Declaration: “Save water, grow green!” by Ministers of the region of UNECE, report of the Seventh Ministerial Conference entitled “Environment for Europe”, 2011</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34" w:history="1">
              <w:r w:rsidRPr="00665B4A">
                <w:rPr>
                  <w:rStyle w:val="Hyperlink"/>
                </w:rPr>
                <w:t>ECE/BATUMI.CONF/2016/2/Add.1</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Declaration: “Greener, cleaner, smarter!” by Ministers of the region of ECE, report of the Eighth Environment for Europe Ministerial Conference, 2016</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35" w:history="1">
              <w:r w:rsidRPr="00665B4A">
                <w:rPr>
                  <w:rStyle w:val="Hyperlink"/>
                </w:rPr>
                <w:t>ECE/BATUMI.CONF/2016/2/Add.2</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Batumi Ministerial Statement on Education for Sustainable Development adopted by the High-level Meeting of Education and Environment Ministries of the region of the United Nations Economic Commission for Europe, report of the Eighth Environment for Europe Ministerial Conference, 2016</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t>ECE/AC.21/2019/2</w:t>
            </w:r>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 xml:space="preserve">Report of the fifth High-level Meeting on Transport, Health and Environment, 2019 </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p>
        </w:tc>
      </w:tr>
      <w:tr w:rsidR="00BB6B65" w:rsidRPr="00383BF1" w:rsidTr="00BD15B9">
        <w:tc>
          <w:tcPr>
            <w:tcW w:w="7320" w:type="dxa"/>
            <w:gridSpan w:val="2"/>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14855F56">
              <w:rPr>
                <w:i/>
                <w:iCs/>
              </w:rPr>
              <w:t xml:space="preserve">Relevant decisions of the </w:t>
            </w:r>
            <w:r>
              <w:rPr>
                <w:i/>
                <w:iCs/>
              </w:rPr>
              <w:t>g</w:t>
            </w:r>
            <w:r w:rsidRPr="14855F56">
              <w:rPr>
                <w:i/>
                <w:iCs/>
              </w:rPr>
              <w:t xml:space="preserve">overning </w:t>
            </w:r>
            <w:r>
              <w:rPr>
                <w:i/>
                <w:iCs/>
              </w:rPr>
              <w:t>b</w:t>
            </w:r>
            <w:r w:rsidRPr="14855F56">
              <w:rPr>
                <w:i/>
                <w:iCs/>
              </w:rPr>
              <w:t xml:space="preserve">odies of the </w:t>
            </w:r>
            <w:r>
              <w:rPr>
                <w:i/>
                <w:iCs/>
              </w:rPr>
              <w:t>m</w:t>
            </w:r>
            <w:r w:rsidRPr="14855F56">
              <w:rPr>
                <w:i/>
                <w:iCs/>
              </w:rPr>
              <w:t xml:space="preserve">ultilateral </w:t>
            </w:r>
            <w:r>
              <w:rPr>
                <w:i/>
                <w:iCs/>
              </w:rPr>
              <w:t>e</w:t>
            </w:r>
            <w:r w:rsidRPr="14855F56">
              <w:rPr>
                <w:i/>
                <w:iCs/>
              </w:rPr>
              <w:t xml:space="preserve">nvironmental </w:t>
            </w:r>
            <w:r>
              <w:rPr>
                <w:i/>
                <w:iCs/>
              </w:rPr>
              <w:t>a</w:t>
            </w:r>
            <w:r w:rsidRPr="14855F56">
              <w:rPr>
                <w:i/>
                <w:iCs/>
              </w:rPr>
              <w:t>greements of the Economic Commission for Europe</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665B4A">
              <w:rPr>
                <w:spacing w:val="0"/>
                <w:w w:val="100"/>
                <w:kern w:val="0"/>
              </w:rPr>
              <w:t>ECE/EB.AIR/140</w:t>
            </w:r>
            <w:r w:rsidRPr="00665B4A">
              <w:rPr>
                <w:spacing w:val="0"/>
                <w:w w:val="100"/>
                <w:kern w:val="0"/>
                <w:lang w:val="en-US"/>
              </w:rPr>
              <w:t xml:space="preserve"> and Add.1</w:t>
            </w:r>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 xml:space="preserve">Report of the Executive Body for the Convention on Long-range Transboundary Air Pollution on its thirty-seventh session. </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665B4A">
              <w:rPr>
                <w:spacing w:val="0"/>
                <w:w w:val="100"/>
                <w:kern w:val="0"/>
              </w:rPr>
              <w:t>ECE/MP.PRTR/2017/6 and Add.1</w:t>
            </w:r>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Report of the Meeting of the Parties to the Protocol on Pollutant Release and Transfer Registers to the Convention on Access to Information, Public Participation in Decision-making and Access to Justice in Environmental Matters on its third session</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665B4A">
              <w:rPr>
                <w:spacing w:val="0"/>
                <w:w w:val="100"/>
                <w:kern w:val="0"/>
                <w:lang w:val="en-US"/>
              </w:rPr>
              <w:t xml:space="preserve">ECE/MP.PP/2017/2 </w:t>
            </w:r>
            <w:r w:rsidRPr="00665B4A">
              <w:rPr>
                <w:spacing w:val="0"/>
                <w:w w:val="100"/>
                <w:kern w:val="0"/>
              </w:rPr>
              <w:t>and Add.</w:t>
            </w:r>
            <w:r w:rsidRPr="00665B4A">
              <w:rPr>
                <w:spacing w:val="0"/>
                <w:w w:val="100"/>
                <w:kern w:val="0"/>
                <w:lang w:val="en-US"/>
              </w:rPr>
              <w:t>1</w:t>
            </w:r>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Report of the Meeting of the Parties to the Convention on Access to Information, Public Participation in Decision-making and Access to Justice in Environmental Matters (Aarhus Convention) on its sixth session</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665B4A">
              <w:rPr>
                <w:spacing w:val="0"/>
                <w:w w:val="100"/>
                <w:kern w:val="0"/>
              </w:rPr>
              <w:t>ECE/MP.PP/2017/16 - ECE/MP.PRTR/2017/2 and  Add.1</w:t>
            </w:r>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 xml:space="preserve">Report of the joint High-level Segment of the Meeting of the Parties to the Convention on Access to Information, Public Participation in Decision-making and Access to Justice in Environmental Matters (Aarhus Convention) on its sixth session and the Meeting of the Parties to the Protocol on Pollutant Release and Transfer Registers on its third session, and the Budva </w:t>
            </w:r>
            <w:r>
              <w:lastRenderedPageBreak/>
              <w:t>Declaration on environmental democracy for our sustainable future adopted by the two Meetings of the Parties</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36" w:history="1">
              <w:r w:rsidRPr="00665B4A">
                <w:rPr>
                  <w:rStyle w:val="Hyperlink"/>
                  <w:spacing w:val="0"/>
                  <w:w w:val="100"/>
                  <w:kern w:val="0"/>
                </w:rPr>
                <w:t>ECE/MP.EIA/23-ECE/MP.EIA/SEA/7</w:t>
              </w:r>
            </w:hyperlink>
            <w:r w:rsidRPr="00665B4A">
              <w:rPr>
                <w:spacing w:val="0"/>
                <w:w w:val="100"/>
                <w:kern w:val="0"/>
              </w:rPr>
              <w:t xml:space="preserve"> and </w:t>
            </w:r>
            <w:hyperlink r:id="rId37" w:history="1">
              <w:r w:rsidRPr="00665B4A">
                <w:rPr>
                  <w:rStyle w:val="Hyperlink"/>
                  <w:spacing w:val="0"/>
                  <w:w w:val="100"/>
                  <w:kern w:val="0"/>
                </w:rPr>
                <w:t>Add.1</w:t>
              </w:r>
            </w:hyperlink>
            <w:r w:rsidRPr="4570F51D">
              <w:t xml:space="preserve">, </w:t>
            </w:r>
            <w:hyperlink r:id="rId38" w:history="1">
              <w:r w:rsidRPr="00665B4A">
                <w:rPr>
                  <w:rStyle w:val="Hyperlink"/>
                  <w:spacing w:val="0"/>
                  <w:w w:val="100"/>
                  <w:kern w:val="0"/>
                </w:rPr>
                <w:t>Add.2</w:t>
              </w:r>
            </w:hyperlink>
            <w:r w:rsidRPr="00665B4A">
              <w:rPr>
                <w:spacing w:val="0"/>
                <w:w w:val="100"/>
                <w:kern w:val="0"/>
              </w:rPr>
              <w:t xml:space="preserve"> and </w:t>
            </w:r>
            <w:hyperlink r:id="rId39" w:history="1">
              <w:r w:rsidRPr="00665B4A">
                <w:rPr>
                  <w:rStyle w:val="Hyperlink"/>
                  <w:spacing w:val="0"/>
                  <w:w w:val="100"/>
                  <w:kern w:val="0"/>
                </w:rPr>
                <w:t>Add.3</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 xml:space="preserve">Report of the Meeting of the Parties to the Convention on Environmental Impact Assessment in a Transboundary Context on its seventh session and of the Meeting of the Parties to the Convention on Environmental Impact Assessment in a Transboundary Context serving as the Meeting of the Parties to the Protocol on Strategic Environmental Assessment on its third session. </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0">
              <w:r w:rsidRPr="4570F51D">
                <w:rPr>
                  <w:rStyle w:val="Hyperlink"/>
                </w:rPr>
                <w:t>ECE/CP.TEIA/3</w:t>
              </w:r>
            </w:hyperlink>
            <w:r>
              <w:rPr>
                <w:rStyle w:val="Hyperlink"/>
              </w:rPr>
              <w:t>8</w:t>
            </w:r>
            <w:r>
              <w:t xml:space="preserve"> and </w:t>
            </w:r>
            <w:hyperlink r:id="rId41">
              <w:r w:rsidRPr="4570F51D">
                <w:rPr>
                  <w:rStyle w:val="Hyperlink"/>
                </w:rPr>
                <w:t>Add.1</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 xml:space="preserve">Report of the Conference of the Parties to the Convention on the Transboundary Effects of Industrial Accidents on its tenth meeting </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2" w:history="1">
              <w:r w:rsidRPr="00665B4A">
                <w:rPr>
                  <w:rStyle w:val="Hyperlink"/>
                  <w:spacing w:val="0"/>
                  <w:w w:val="100"/>
                  <w:kern w:val="0"/>
                  <w:lang w:val="en-US"/>
                </w:rPr>
                <w:t>ECE/MP.WAT/49</w:t>
              </w:r>
            </w:hyperlink>
            <w:r w:rsidRPr="00665B4A">
              <w:rPr>
                <w:rStyle w:val="Hyperlink"/>
                <w:spacing w:val="0"/>
                <w:w w:val="100"/>
                <w:kern w:val="0"/>
                <w:lang w:val="en-US"/>
              </w:rPr>
              <w:t xml:space="preserve"> </w:t>
            </w:r>
            <w:r w:rsidRPr="00665B4A">
              <w:rPr>
                <w:spacing w:val="0"/>
                <w:w w:val="100"/>
                <w:kern w:val="0"/>
              </w:rPr>
              <w:t xml:space="preserve">and </w:t>
            </w:r>
            <w:hyperlink r:id="rId43" w:history="1">
              <w:r w:rsidRPr="00665B4A">
                <w:rPr>
                  <w:rStyle w:val="Hyperlink"/>
                  <w:spacing w:val="0"/>
                  <w:w w:val="100"/>
                  <w:kern w:val="0"/>
                </w:rPr>
                <w:t>Add.</w:t>
              </w:r>
              <w:r w:rsidRPr="00665B4A">
                <w:rPr>
                  <w:rStyle w:val="Hyperlink"/>
                  <w:spacing w:val="0"/>
                  <w:w w:val="100"/>
                  <w:kern w:val="0"/>
                  <w:lang w:val="en-US"/>
                </w:rPr>
                <w:t>1</w:t>
              </w:r>
            </w:hyperlink>
            <w:r w:rsidRPr="4570F51D">
              <w:t xml:space="preserve"> </w:t>
            </w:r>
            <w:r w:rsidRPr="00665B4A">
              <w:rPr>
                <w:spacing w:val="0"/>
                <w:w w:val="100"/>
                <w:kern w:val="0"/>
              </w:rPr>
              <w:br/>
              <w:t xml:space="preserve">and </w:t>
            </w:r>
            <w:hyperlink r:id="rId44" w:history="1">
              <w:r w:rsidRPr="00665B4A">
                <w:rPr>
                  <w:rStyle w:val="Hyperlink"/>
                  <w:spacing w:val="0"/>
                  <w:w w:val="100"/>
                  <w:kern w:val="0"/>
                </w:rPr>
                <w:t>Add.</w:t>
              </w:r>
              <w:r w:rsidRPr="00665B4A">
                <w:rPr>
                  <w:rStyle w:val="Hyperlink"/>
                  <w:spacing w:val="0"/>
                  <w:w w:val="100"/>
                  <w:kern w:val="0"/>
                  <w:lang w:val="en-US"/>
                </w:rPr>
                <w:t>2</w:t>
              </w:r>
            </w:hyperlink>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Report of the Meeting of the Parties to the Convention on the Protection and Use of Transboundary Watercourses and International Lakes on its seventh session</w:t>
            </w:r>
          </w:p>
        </w:tc>
      </w:tr>
      <w:tr w:rsidR="00BB6B65" w:rsidRPr="00383BF1" w:rsidTr="00BD15B9">
        <w:tc>
          <w:tcPr>
            <w:tcW w:w="141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t>ECE/MP.WAT/54 and Add.1 and Add.2</w:t>
            </w:r>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 xml:space="preserve">Report of the Meeting of the Parties to the Convention on the Protection and Use of Transboundary Watercourses and International Lakes on its eighth session </w:t>
            </w:r>
          </w:p>
        </w:tc>
      </w:tr>
      <w:tr w:rsidR="00BB6B65" w:rsidRPr="00383BF1" w:rsidTr="00BD15B9">
        <w:tc>
          <w:tcPr>
            <w:tcW w:w="1415" w:type="dxa"/>
            <w:shd w:val="clear" w:color="auto" w:fill="auto"/>
          </w:tcPr>
          <w:p w:rsidR="00BB6B65" w:rsidRPr="00665B4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5" w:history="1">
              <w:r w:rsidRPr="00665B4A">
                <w:rPr>
                  <w:rStyle w:val="Hyperlink"/>
                  <w:spacing w:val="0"/>
                  <w:w w:val="100"/>
                  <w:kern w:val="0"/>
                </w:rPr>
                <w:t>ECE/MP.WH/13</w:t>
              </w:r>
            </w:hyperlink>
            <w:r w:rsidRPr="00665B4A">
              <w:rPr>
                <w:spacing w:val="0"/>
                <w:w w:val="100"/>
                <w:kern w:val="0"/>
              </w:rPr>
              <w:t xml:space="preserve"> and Add.1 </w:t>
            </w:r>
            <w:r w:rsidRPr="00665B4A">
              <w:rPr>
                <w:spacing w:val="0"/>
                <w:w w:val="100"/>
                <w:kern w:val="0"/>
              </w:rPr>
              <w:br/>
              <w:t>and Add.2</w:t>
            </w:r>
          </w:p>
        </w:tc>
        <w:tc>
          <w:tcPr>
            <w:tcW w:w="5905" w:type="dxa"/>
            <w:shd w:val="clear" w:color="auto" w:fill="auto"/>
          </w:tcPr>
          <w:p w:rsidR="00BB6B65"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t>Report of the Meeting of the Parties to the Protocol on Water and Health to the Convention on the Protection and Use of Transboundary Watercourses and International Lakes on its fourth session</w:t>
            </w:r>
          </w:p>
        </w:tc>
      </w:tr>
    </w:tbl>
    <w:p w:rsidR="00BB6B65" w:rsidRDefault="00BB6B65" w:rsidP="00BB6B65">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567"/>
        <w:jc w:val="both"/>
      </w:pPr>
      <w:r w:rsidRPr="4570F51D">
        <w:t>The planned and actual deliverables of 2018, and the deliverables planned for 2019 and 2020, as guided by the mandates</w:t>
      </w:r>
      <w:r>
        <w:t>,</w:t>
      </w:r>
      <w:r w:rsidRPr="4570F51D">
        <w:t xml:space="preserve"> are presented in the table below:</w:t>
      </w:r>
    </w:p>
    <w:p w:rsidR="00BB6B65" w:rsidRPr="00727A74" w:rsidRDefault="00BB6B65" w:rsidP="00BB6B65">
      <w:pPr>
        <w:pStyle w:val="SingleTxt"/>
        <w:spacing w:after="0" w:line="120" w:lineRule="exact"/>
        <w:rPr>
          <w:sz w:val="10"/>
        </w:rPr>
      </w:pPr>
    </w:p>
    <w:tbl>
      <w:tblPr>
        <w:tblW w:w="9871" w:type="dxa"/>
        <w:tblCellMar>
          <w:left w:w="0" w:type="dxa"/>
          <w:right w:w="0" w:type="dxa"/>
        </w:tblCellMar>
        <w:tblLook w:val="04A0" w:firstRow="1" w:lastRow="0" w:firstColumn="1" w:lastColumn="0" w:noHBand="0" w:noVBand="1"/>
      </w:tblPr>
      <w:tblGrid>
        <w:gridCol w:w="6975"/>
        <w:gridCol w:w="724"/>
        <w:gridCol w:w="724"/>
        <w:gridCol w:w="724"/>
        <w:gridCol w:w="724"/>
      </w:tblGrid>
      <w:tr w:rsidR="00BB6B65" w:rsidRPr="00C7077A" w:rsidTr="00BD15B9">
        <w:trPr>
          <w:tblHeader/>
        </w:trPr>
        <w:tc>
          <w:tcPr>
            <w:tcW w:w="6975" w:type="dxa"/>
            <w:tcBorders>
              <w:top w:val="single" w:sz="4" w:space="0" w:color="auto"/>
              <w:bottom w:val="single" w:sz="12" w:space="0" w:color="auto"/>
            </w:tcBorders>
            <w:shd w:val="clear" w:color="auto" w:fill="auto"/>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rFonts w:asciiTheme="majorBidi" w:hAnsiTheme="majorBidi" w:cstheme="majorBidi"/>
                <w:i/>
                <w:iCs/>
                <w:sz w:val="14"/>
                <w:szCs w:val="14"/>
              </w:rPr>
            </w:pPr>
            <w:r w:rsidRPr="00C7077A">
              <w:rPr>
                <w:rFonts w:asciiTheme="majorBidi" w:hAnsiTheme="majorBidi" w:cstheme="majorBidi"/>
                <w:i/>
                <w:iCs/>
                <w:sz w:val="14"/>
                <w:szCs w:val="14"/>
              </w:rPr>
              <w:t>Deliverables</w:t>
            </w:r>
          </w:p>
        </w:tc>
        <w:tc>
          <w:tcPr>
            <w:tcW w:w="724" w:type="dxa"/>
            <w:tcBorders>
              <w:top w:val="single" w:sz="4" w:space="0" w:color="auto"/>
              <w:bottom w:val="single" w:sz="12" w:space="0" w:color="auto"/>
            </w:tcBorders>
            <w:shd w:val="clear" w:color="auto" w:fill="auto"/>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rFonts w:asciiTheme="majorBidi" w:hAnsiTheme="majorBidi" w:cstheme="majorBidi"/>
                <w:i/>
                <w:iCs/>
                <w:sz w:val="14"/>
                <w:szCs w:val="14"/>
              </w:rPr>
            </w:pPr>
            <w:r w:rsidRPr="00C7077A">
              <w:rPr>
                <w:rFonts w:asciiTheme="majorBidi" w:hAnsiTheme="majorBidi" w:cstheme="majorBidi"/>
                <w:i/>
                <w:iCs/>
                <w:sz w:val="14"/>
                <w:szCs w:val="14"/>
              </w:rPr>
              <w:t>2018 plan</w:t>
            </w:r>
          </w:p>
        </w:tc>
        <w:tc>
          <w:tcPr>
            <w:tcW w:w="724" w:type="dxa"/>
            <w:tcBorders>
              <w:top w:val="single" w:sz="4" w:space="0" w:color="auto"/>
              <w:bottom w:val="single" w:sz="12" w:space="0" w:color="auto"/>
            </w:tcBorders>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rFonts w:asciiTheme="majorBidi" w:hAnsiTheme="majorBidi" w:cstheme="majorBidi"/>
                <w:i/>
                <w:iCs/>
                <w:sz w:val="14"/>
                <w:szCs w:val="14"/>
              </w:rPr>
            </w:pPr>
            <w:r w:rsidRPr="00C7077A">
              <w:rPr>
                <w:rFonts w:asciiTheme="majorBidi" w:hAnsiTheme="majorBidi" w:cstheme="majorBidi"/>
                <w:i/>
                <w:iCs/>
                <w:sz w:val="14"/>
                <w:szCs w:val="14"/>
              </w:rPr>
              <w:t>2018 actual</w:t>
            </w:r>
          </w:p>
        </w:tc>
        <w:tc>
          <w:tcPr>
            <w:tcW w:w="724" w:type="dxa"/>
            <w:tcBorders>
              <w:top w:val="single" w:sz="4" w:space="0" w:color="auto"/>
              <w:bottom w:val="single" w:sz="12" w:space="0" w:color="auto"/>
            </w:tcBorders>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rFonts w:asciiTheme="majorBidi" w:hAnsiTheme="majorBidi" w:cstheme="majorBidi"/>
                <w:i/>
                <w:iCs/>
                <w:sz w:val="14"/>
                <w:szCs w:val="14"/>
              </w:rPr>
            </w:pPr>
            <w:r w:rsidRPr="00C7077A">
              <w:rPr>
                <w:rFonts w:asciiTheme="majorBidi" w:hAnsiTheme="majorBidi" w:cstheme="majorBidi"/>
                <w:i/>
                <w:iCs/>
                <w:sz w:val="14"/>
                <w:szCs w:val="14"/>
              </w:rPr>
              <w:t>2019 plan</w:t>
            </w:r>
          </w:p>
        </w:tc>
        <w:tc>
          <w:tcPr>
            <w:tcW w:w="724" w:type="dxa"/>
            <w:tcBorders>
              <w:top w:val="single" w:sz="4" w:space="0" w:color="auto"/>
              <w:bottom w:val="single" w:sz="12" w:space="0" w:color="auto"/>
            </w:tcBorders>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right"/>
              <w:rPr>
                <w:rFonts w:asciiTheme="majorBidi" w:hAnsiTheme="majorBidi" w:cstheme="majorBidi"/>
                <w:i/>
                <w:iCs/>
                <w:sz w:val="14"/>
                <w:szCs w:val="14"/>
              </w:rPr>
            </w:pPr>
            <w:r w:rsidRPr="00C7077A">
              <w:rPr>
                <w:rFonts w:asciiTheme="majorBidi" w:hAnsiTheme="majorBidi" w:cstheme="majorBidi"/>
                <w:i/>
                <w:iCs/>
                <w:sz w:val="14"/>
                <w:szCs w:val="14"/>
              </w:rPr>
              <w:t>2020 plan</w:t>
            </w:r>
          </w:p>
        </w:tc>
      </w:tr>
      <w:tr w:rsidR="00BB6B65" w:rsidRPr="00C7077A" w:rsidTr="00BD15B9">
        <w:trPr>
          <w:trHeight w:hRule="exact" w:val="115"/>
          <w:tblHeader/>
        </w:trPr>
        <w:tc>
          <w:tcPr>
            <w:tcW w:w="6975" w:type="dxa"/>
            <w:tcBorders>
              <w:top w:val="single" w:sz="12" w:space="0" w:color="auto"/>
            </w:tcBorders>
            <w:shd w:val="clear" w:color="auto" w:fill="auto"/>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rFonts w:asciiTheme="majorBidi" w:hAnsiTheme="majorBidi" w:cstheme="majorBidi"/>
                <w:sz w:val="17"/>
              </w:rPr>
            </w:pPr>
          </w:p>
        </w:tc>
        <w:tc>
          <w:tcPr>
            <w:tcW w:w="724" w:type="dxa"/>
            <w:tcBorders>
              <w:top w:val="single" w:sz="12" w:space="0" w:color="auto"/>
            </w:tcBorders>
            <w:shd w:val="clear" w:color="auto" w:fill="auto"/>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left"/>
              <w:rPr>
                <w:rFonts w:asciiTheme="majorBidi" w:hAnsiTheme="majorBidi" w:cstheme="majorBidi"/>
                <w:sz w:val="17"/>
              </w:rPr>
            </w:pPr>
          </w:p>
        </w:tc>
        <w:tc>
          <w:tcPr>
            <w:tcW w:w="724" w:type="dxa"/>
            <w:tcBorders>
              <w:top w:val="single" w:sz="12" w:space="0" w:color="auto"/>
            </w:tcBorders>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left"/>
              <w:rPr>
                <w:rFonts w:asciiTheme="majorBidi" w:hAnsiTheme="majorBidi" w:cstheme="majorBidi"/>
                <w:sz w:val="17"/>
              </w:rPr>
            </w:pPr>
          </w:p>
        </w:tc>
        <w:tc>
          <w:tcPr>
            <w:tcW w:w="724" w:type="dxa"/>
            <w:tcBorders>
              <w:top w:val="single" w:sz="12" w:space="0" w:color="auto"/>
            </w:tcBorders>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left"/>
              <w:rPr>
                <w:rFonts w:asciiTheme="majorBidi" w:hAnsiTheme="majorBidi" w:cstheme="majorBidi"/>
                <w:sz w:val="17"/>
              </w:rPr>
            </w:pPr>
          </w:p>
        </w:tc>
        <w:tc>
          <w:tcPr>
            <w:tcW w:w="724" w:type="dxa"/>
            <w:tcBorders>
              <w:top w:val="single" w:sz="12" w:space="0" w:color="auto"/>
            </w:tcBorders>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left"/>
              <w:rPr>
                <w:rFonts w:asciiTheme="majorBidi" w:hAnsiTheme="majorBidi" w:cstheme="majorBidi"/>
                <w:sz w:val="17"/>
              </w:rPr>
            </w:pPr>
          </w:p>
        </w:tc>
      </w:tr>
      <w:tr w:rsidR="00BB6B65" w:rsidRPr="00C7077A" w:rsidTr="00BD15B9">
        <w:tc>
          <w:tcPr>
            <w:tcW w:w="6975" w:type="dxa"/>
            <w:shd w:val="clear" w:color="auto" w:fill="auto"/>
            <w:vAlign w:val="bottom"/>
          </w:tcPr>
          <w:p w:rsidR="00BB6B65" w:rsidRPr="00BE7407"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asciiTheme="majorBidi" w:hAnsiTheme="majorBidi" w:cstheme="majorBidi"/>
              </w:rPr>
            </w:pPr>
            <w:r w:rsidRPr="00BE7407">
              <w:rPr>
                <w:rFonts w:asciiTheme="majorBidi" w:hAnsiTheme="majorBidi" w:cstheme="majorBidi"/>
              </w:rPr>
              <w:t>Quantified deliverables</w:t>
            </w:r>
          </w:p>
          <w:p w:rsidR="00BB6B65" w:rsidRPr="00C7077A" w:rsidRDefault="00BB6B65" w:rsidP="00BB6B65">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firstLine="0"/>
              <w:jc w:val="left"/>
              <w:rPr>
                <w:rFonts w:asciiTheme="majorBidi" w:hAnsiTheme="majorBidi" w:cstheme="majorBidi"/>
              </w:rPr>
            </w:pPr>
            <w:r w:rsidRPr="00C7077A">
              <w:rPr>
                <w:rFonts w:asciiTheme="majorBidi" w:hAnsiTheme="majorBidi" w:cstheme="majorBidi"/>
                <w:b/>
                <w:bCs/>
              </w:rPr>
              <w:t>Facilitation of the intergovernmental process and expert bodies:</w:t>
            </w:r>
          </w:p>
        </w:tc>
        <w:tc>
          <w:tcPr>
            <w:tcW w:w="724" w:type="dxa"/>
            <w:shd w:val="clear" w:color="auto" w:fill="auto"/>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asciiTheme="majorBidi" w:hAnsiTheme="majorBidi" w:cstheme="majorBidi"/>
                <w:b/>
                <w:sz w:val="17"/>
              </w:rPr>
            </w:pPr>
          </w:p>
        </w:tc>
        <w:tc>
          <w:tcPr>
            <w:tcW w:w="724" w:type="dxa"/>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asciiTheme="majorBidi" w:hAnsiTheme="majorBidi" w:cstheme="majorBidi"/>
                <w:b/>
                <w:sz w:val="17"/>
              </w:rPr>
            </w:pPr>
          </w:p>
        </w:tc>
        <w:tc>
          <w:tcPr>
            <w:tcW w:w="724" w:type="dxa"/>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asciiTheme="majorBidi" w:hAnsiTheme="majorBidi" w:cstheme="majorBidi"/>
                <w:b/>
                <w:sz w:val="17"/>
              </w:rPr>
            </w:pPr>
          </w:p>
        </w:tc>
        <w:tc>
          <w:tcPr>
            <w:tcW w:w="724" w:type="dxa"/>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asciiTheme="majorBidi" w:hAnsiTheme="majorBidi" w:cstheme="majorBidi"/>
                <w:b/>
                <w:sz w:val="17"/>
              </w:rPr>
            </w:pPr>
          </w:p>
        </w:tc>
      </w:tr>
      <w:tr w:rsidR="00BB6B65" w:rsidRPr="00C7077A" w:rsidTr="00BD15B9">
        <w:tc>
          <w:tcPr>
            <w:tcW w:w="6975" w:type="dxa"/>
            <w:shd w:val="clear" w:color="auto" w:fill="auto"/>
            <w:vAlign w:val="bottom"/>
          </w:tcPr>
          <w:p w:rsidR="00BB6B65" w:rsidRPr="00BE7407"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asciiTheme="majorBidi" w:hAnsiTheme="majorBidi" w:cstheme="majorBidi"/>
                <w:i/>
                <w:iCs/>
                <w:strike/>
                <w:sz w:val="17"/>
                <w:szCs w:val="17"/>
              </w:rPr>
            </w:pPr>
            <w:r w:rsidRPr="00C7077A">
              <w:rPr>
                <w:rFonts w:asciiTheme="majorBidi" w:hAnsiTheme="majorBidi" w:cstheme="majorBidi"/>
                <w:b/>
                <w:bCs/>
                <w:sz w:val="17"/>
                <w:szCs w:val="17"/>
              </w:rPr>
              <w:t>Parliamentary documentation</w:t>
            </w:r>
            <w:r>
              <w:rPr>
                <w:rFonts w:asciiTheme="majorBidi" w:hAnsiTheme="majorBidi" w:cstheme="majorBidi"/>
                <w:sz w:val="17"/>
                <w:szCs w:val="17"/>
              </w:rPr>
              <w:t xml:space="preserve"> (Number of documents)</w:t>
            </w:r>
          </w:p>
        </w:tc>
        <w:tc>
          <w:tcPr>
            <w:tcW w:w="724" w:type="dxa"/>
            <w:shd w:val="clear" w:color="auto" w:fill="auto"/>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asciiTheme="majorBidi" w:hAnsiTheme="majorBidi" w:cstheme="majorBidi"/>
                <w:b/>
                <w:bCs/>
                <w:color w:val="000000" w:themeColor="text1"/>
                <w:sz w:val="17"/>
                <w:szCs w:val="17"/>
                <w:lang w:val="en-US" w:eastAsia="zh-CN"/>
              </w:rPr>
            </w:pPr>
            <w:r>
              <w:rPr>
                <w:rFonts w:asciiTheme="majorBidi" w:hAnsiTheme="majorBidi" w:cstheme="majorBidi"/>
                <w:b/>
                <w:bCs/>
                <w:color w:val="000000"/>
                <w:spacing w:val="0"/>
                <w:w w:val="100"/>
                <w:kern w:val="0"/>
                <w:sz w:val="17"/>
                <w:szCs w:val="17"/>
                <w:lang w:val="en-US" w:eastAsia="zh-CN"/>
              </w:rPr>
              <w:t>310</w:t>
            </w:r>
          </w:p>
        </w:tc>
        <w:tc>
          <w:tcPr>
            <w:tcW w:w="724" w:type="dxa"/>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ind w:left="0" w:right="43"/>
              <w:jc w:val="right"/>
              <w:rPr>
                <w:rFonts w:asciiTheme="majorBidi" w:hAnsiTheme="majorBidi" w:cstheme="majorBidi"/>
                <w:b/>
                <w:bCs/>
                <w:sz w:val="17"/>
                <w:szCs w:val="17"/>
              </w:rPr>
            </w:pPr>
            <w:r>
              <w:rPr>
                <w:rFonts w:asciiTheme="majorBidi" w:hAnsiTheme="majorBidi" w:cstheme="majorBidi"/>
                <w:b/>
                <w:bCs/>
                <w:color w:val="000000" w:themeColor="text1"/>
                <w:sz w:val="17"/>
                <w:szCs w:val="17"/>
                <w:lang w:val="en-US" w:eastAsia="zh-CN"/>
              </w:rPr>
              <w:t>117</w:t>
            </w:r>
          </w:p>
        </w:tc>
        <w:tc>
          <w:tcPr>
            <w:tcW w:w="724" w:type="dxa"/>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asciiTheme="majorBidi" w:hAnsiTheme="majorBidi" w:cstheme="majorBidi"/>
                <w:b/>
                <w:bCs/>
                <w:sz w:val="17"/>
                <w:szCs w:val="17"/>
              </w:rPr>
            </w:pPr>
            <w:r>
              <w:rPr>
                <w:rFonts w:asciiTheme="majorBidi" w:hAnsiTheme="majorBidi" w:cstheme="majorBidi"/>
                <w:b/>
                <w:bCs/>
                <w:color w:val="000000"/>
                <w:spacing w:val="0"/>
                <w:w w:val="100"/>
                <w:kern w:val="0"/>
                <w:sz w:val="17"/>
                <w:szCs w:val="17"/>
                <w:lang w:val="en-US" w:eastAsia="zh-CN"/>
              </w:rPr>
              <w:t>231</w:t>
            </w:r>
          </w:p>
        </w:tc>
        <w:tc>
          <w:tcPr>
            <w:tcW w:w="724" w:type="dxa"/>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asciiTheme="majorBidi" w:hAnsiTheme="majorBidi" w:cstheme="majorBidi"/>
                <w:b/>
                <w:bCs/>
                <w:color w:val="000000" w:themeColor="text1"/>
                <w:sz w:val="17"/>
                <w:szCs w:val="17"/>
                <w:lang w:val="en-US" w:eastAsia="zh-CN"/>
              </w:rPr>
            </w:pPr>
            <w:r w:rsidRPr="00C7077A">
              <w:rPr>
                <w:rFonts w:asciiTheme="majorBidi" w:hAnsiTheme="majorBidi" w:cstheme="majorBidi"/>
                <w:b/>
                <w:bCs/>
                <w:color w:val="000000"/>
                <w:spacing w:val="0"/>
                <w:w w:val="100"/>
                <w:kern w:val="0"/>
                <w:sz w:val="17"/>
                <w:szCs w:val="17"/>
                <w:lang w:val="en-US" w:eastAsia="zh-CN"/>
              </w:rPr>
              <w:t>2</w:t>
            </w:r>
            <w:r>
              <w:rPr>
                <w:rFonts w:asciiTheme="majorBidi" w:hAnsiTheme="majorBidi" w:cstheme="majorBidi"/>
                <w:b/>
                <w:bCs/>
                <w:color w:val="000000"/>
                <w:spacing w:val="0"/>
                <w:w w:val="100"/>
                <w:kern w:val="0"/>
                <w:sz w:val="17"/>
                <w:szCs w:val="17"/>
                <w:lang w:val="en-US" w:eastAsia="zh-CN"/>
              </w:rPr>
              <w:t>11</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576"/>
                <w:tab w:val="left" w:pos="864"/>
                <w:tab w:val="left" w:pos="1152"/>
              </w:tabs>
              <w:spacing w:before="40" w:after="40" w:line="210" w:lineRule="exact"/>
              <w:ind w:left="0" w:right="132" w:firstLine="0"/>
              <w:jc w:val="left"/>
              <w:rPr>
                <w:rFonts w:asciiTheme="majorBidi" w:hAnsiTheme="majorBidi" w:cstheme="majorBidi"/>
                <w:sz w:val="17"/>
                <w:szCs w:val="17"/>
              </w:rPr>
            </w:pPr>
            <w:r w:rsidRPr="00C7077A">
              <w:rPr>
                <w:rFonts w:asciiTheme="majorBidi" w:hAnsiTheme="majorBidi" w:cstheme="majorBidi"/>
                <w:sz w:val="17"/>
                <w:szCs w:val="17"/>
              </w:rPr>
              <w:t>Parliamentary documentation for Committee on Environmental Policy and subsidiary bodies</w:t>
            </w:r>
          </w:p>
        </w:tc>
        <w:tc>
          <w:tcPr>
            <w:tcW w:w="724" w:type="dxa"/>
            <w:shd w:val="clear" w:color="auto" w:fill="auto"/>
          </w:tcPr>
          <w:p w:rsidR="00BB6B65" w:rsidRPr="00C7077A" w:rsidRDefault="00BB6B65" w:rsidP="00BD15B9">
            <w:pPr>
              <w:tabs>
                <w:tab w:val="left" w:pos="288"/>
              </w:tabs>
              <w:spacing w:before="40" w:after="40"/>
              <w:ind w:right="43"/>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2</w:t>
            </w:r>
            <w:r w:rsidRPr="00C7077A">
              <w:rPr>
                <w:rFonts w:asciiTheme="majorBidi" w:hAnsiTheme="majorBidi" w:cstheme="majorBidi"/>
                <w:color w:val="000000" w:themeColor="text1"/>
                <w:sz w:val="17"/>
                <w:szCs w:val="17"/>
                <w:lang w:eastAsia="zh-CN"/>
              </w:rPr>
              <w:t>5</w:t>
            </w:r>
          </w:p>
        </w:tc>
        <w:tc>
          <w:tcPr>
            <w:tcW w:w="724" w:type="dxa"/>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themeColor="text1"/>
                <w:sz w:val="17"/>
                <w:szCs w:val="17"/>
                <w:lang w:eastAsia="zh-CN"/>
              </w:rPr>
            </w:pPr>
            <w:r>
              <w:rPr>
                <w:rFonts w:asciiTheme="majorBidi" w:hAnsiTheme="majorBidi" w:cstheme="majorBidi"/>
                <w:color w:val="000000"/>
                <w:sz w:val="17"/>
                <w:szCs w:val="17"/>
                <w:lang w:eastAsia="zh-CN"/>
              </w:rPr>
              <w:t>15</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themeColor="text1"/>
                <w:sz w:val="17"/>
                <w:szCs w:val="17"/>
              </w:rPr>
            </w:pPr>
            <w:r>
              <w:rPr>
                <w:rFonts w:asciiTheme="majorBidi" w:hAnsiTheme="majorBidi" w:cstheme="majorBidi"/>
                <w:color w:val="000000" w:themeColor="text1"/>
                <w:sz w:val="17"/>
                <w:szCs w:val="17"/>
                <w:lang w:eastAsia="zh-CN"/>
              </w:rPr>
              <w:t>85</w:t>
            </w:r>
          </w:p>
        </w:tc>
        <w:tc>
          <w:tcPr>
            <w:tcW w:w="724" w:type="dxa"/>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themeColor="text1"/>
                <w:sz w:val="17"/>
                <w:szCs w:val="17"/>
              </w:rPr>
            </w:pPr>
            <w:r>
              <w:rPr>
                <w:rFonts w:asciiTheme="majorBidi" w:hAnsiTheme="majorBidi" w:cstheme="majorBidi"/>
                <w:color w:val="000000" w:themeColor="text1"/>
                <w:sz w:val="17"/>
                <w:szCs w:val="17"/>
              </w:rPr>
              <w:t>82</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576"/>
                <w:tab w:val="left" w:pos="864"/>
                <w:tab w:val="left" w:pos="1152"/>
              </w:tabs>
              <w:spacing w:before="40" w:after="40" w:line="210" w:lineRule="exact"/>
              <w:ind w:left="0" w:right="132" w:firstLine="0"/>
              <w:rPr>
                <w:rFonts w:asciiTheme="majorBidi" w:hAnsiTheme="majorBidi" w:cstheme="majorBidi"/>
                <w:sz w:val="17"/>
                <w:szCs w:val="17"/>
              </w:rPr>
            </w:pPr>
            <w:r w:rsidRPr="00BE7407">
              <w:rPr>
                <w:rFonts w:asciiTheme="majorBidi" w:hAnsiTheme="majorBidi" w:cstheme="majorBidi"/>
                <w:sz w:val="17"/>
                <w:szCs w:val="17"/>
              </w:rPr>
              <w:t xml:space="preserve">Parliamentary documentation for Meeting of the Parties to the Convention on the Protection and Use of Transboundary Watercourses and International Lakes and subsidiary bodies and Meeting of the </w:t>
            </w:r>
            <w:r w:rsidRPr="00C7077A">
              <w:rPr>
                <w:rFonts w:asciiTheme="majorBidi" w:hAnsiTheme="majorBidi" w:cstheme="majorBidi"/>
                <w:sz w:val="17"/>
                <w:szCs w:val="17"/>
              </w:rPr>
              <w:t>Parties to the Protocol on Water and Health and subsidiary bodies</w:t>
            </w:r>
          </w:p>
        </w:tc>
        <w:tc>
          <w:tcPr>
            <w:tcW w:w="724" w:type="dxa"/>
            <w:shd w:val="clear" w:color="auto" w:fill="auto"/>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sz w:val="17"/>
                <w:szCs w:val="17"/>
                <w:lang w:eastAsia="zh-CN"/>
              </w:rPr>
              <w:t>3</w:t>
            </w:r>
            <w:r>
              <w:rPr>
                <w:rFonts w:asciiTheme="majorBidi" w:hAnsiTheme="majorBidi" w:cstheme="majorBidi"/>
                <w:color w:val="000000"/>
                <w:sz w:val="17"/>
                <w:szCs w:val="17"/>
                <w:lang w:eastAsia="zh-CN"/>
              </w:rPr>
              <w:t>9</w:t>
            </w:r>
          </w:p>
        </w:tc>
        <w:tc>
          <w:tcPr>
            <w:tcW w:w="724" w:type="dxa"/>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17</w:t>
            </w:r>
          </w:p>
        </w:tc>
        <w:tc>
          <w:tcPr>
            <w:tcW w:w="724" w:type="dxa"/>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34</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8</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clear" w:pos="6048"/>
                <w:tab w:val="left" w:pos="288"/>
              </w:tabs>
              <w:spacing w:line="240" w:lineRule="exact"/>
              <w:ind w:left="0" w:right="132" w:firstLine="0"/>
              <w:rPr>
                <w:rFonts w:asciiTheme="majorBidi" w:hAnsiTheme="majorBidi" w:cstheme="majorBidi"/>
                <w:sz w:val="17"/>
                <w:szCs w:val="17"/>
              </w:rPr>
            </w:pPr>
            <w:r w:rsidRPr="00C7077A">
              <w:rPr>
                <w:rFonts w:asciiTheme="majorBidi" w:hAnsiTheme="majorBidi" w:cstheme="majorBidi"/>
                <w:sz w:val="17"/>
                <w:szCs w:val="17"/>
              </w:rPr>
              <w:t>Parliamentary documentation for Conference of the Parties to the Convention on the Transboundary Effects of Industrial Accidents and subsidiary bodies</w:t>
            </w:r>
          </w:p>
        </w:tc>
        <w:tc>
          <w:tcPr>
            <w:tcW w:w="724" w:type="dxa"/>
            <w:shd w:val="clear" w:color="auto" w:fill="auto"/>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24</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17</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0</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18</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left" w:pos="288"/>
              </w:tabs>
              <w:spacing w:line="240" w:lineRule="exact"/>
              <w:ind w:left="0" w:right="132" w:firstLine="0"/>
              <w:rPr>
                <w:rFonts w:asciiTheme="majorBidi" w:hAnsiTheme="majorBidi" w:cstheme="majorBidi"/>
                <w:sz w:val="17"/>
                <w:szCs w:val="17"/>
              </w:rPr>
            </w:pPr>
            <w:r w:rsidRPr="00C7077A">
              <w:rPr>
                <w:rFonts w:asciiTheme="majorBidi" w:hAnsiTheme="majorBidi" w:cstheme="majorBidi"/>
                <w:sz w:val="17"/>
                <w:szCs w:val="17"/>
              </w:rPr>
              <w:t xml:space="preserve">Parliamentary documentation for </w:t>
            </w:r>
            <w:r w:rsidRPr="00C7077A">
              <w:rPr>
                <w:rFonts w:asciiTheme="majorBidi" w:eastAsia="Times New Roman" w:hAnsiTheme="majorBidi" w:cstheme="majorBidi"/>
                <w:sz w:val="17"/>
                <w:szCs w:val="17"/>
              </w:rPr>
              <w:t>Executive Body for the Convention on Long-range Transboundary Air Pollution and subsidiary bodies</w:t>
            </w:r>
          </w:p>
        </w:tc>
        <w:tc>
          <w:tcPr>
            <w:tcW w:w="724" w:type="dxa"/>
            <w:shd w:val="clear" w:color="auto" w:fill="auto"/>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themeColor="text1"/>
                <w:sz w:val="17"/>
                <w:szCs w:val="17"/>
                <w:lang w:eastAsia="zh-CN"/>
              </w:rPr>
              <w:t>34</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themeColor="text1"/>
                <w:sz w:val="17"/>
                <w:szCs w:val="17"/>
                <w:lang w:eastAsia="zh-CN"/>
              </w:rPr>
              <w:t>34</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themeColor="text1"/>
                <w:sz w:val="17"/>
                <w:szCs w:val="17"/>
                <w:lang w:eastAsia="zh-CN"/>
              </w:rPr>
              <w:t>34</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themeColor="text1"/>
                <w:sz w:val="17"/>
                <w:szCs w:val="17"/>
                <w:lang w:eastAsia="zh-CN"/>
              </w:rPr>
              <w:t>34</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left" w:pos="288"/>
              </w:tabs>
              <w:spacing w:line="240" w:lineRule="exact"/>
              <w:ind w:left="0" w:right="132" w:firstLine="0"/>
              <w:rPr>
                <w:rFonts w:asciiTheme="majorBidi" w:hAnsiTheme="majorBidi" w:cstheme="majorBidi"/>
                <w:sz w:val="17"/>
                <w:szCs w:val="17"/>
              </w:rPr>
            </w:pPr>
            <w:r w:rsidRPr="00C7077A">
              <w:rPr>
                <w:rFonts w:asciiTheme="majorBidi" w:hAnsiTheme="majorBidi" w:cstheme="majorBidi"/>
                <w:sz w:val="17"/>
                <w:szCs w:val="17"/>
              </w:rPr>
              <w:t xml:space="preserve">Parliamentary documentation for </w:t>
            </w:r>
            <w:r w:rsidRPr="00C7077A">
              <w:rPr>
                <w:rFonts w:asciiTheme="majorBidi" w:eastAsia="Times New Roman" w:hAnsiTheme="majorBidi" w:cstheme="majorBidi"/>
                <w:sz w:val="17"/>
                <w:szCs w:val="17"/>
              </w:rPr>
              <w:t>Meeting of the Parties to the Convention on Environmental Impact Assessment in a Transboundary Context and subsidiary bodies and Meeting of the Parties to the Espoo Convention serving as the Meeting of the Parties to the Protocol on Strategic Environmental Assessment and subsidiary bodies</w:t>
            </w:r>
          </w:p>
        </w:tc>
        <w:tc>
          <w:tcPr>
            <w:tcW w:w="724" w:type="dxa"/>
            <w:shd w:val="clear" w:color="auto" w:fill="auto"/>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8</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8</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22</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2</w:t>
            </w:r>
            <w:r w:rsidRPr="00C7077A">
              <w:rPr>
                <w:rFonts w:asciiTheme="majorBidi" w:hAnsiTheme="majorBidi" w:cstheme="majorBidi"/>
                <w:color w:val="000000" w:themeColor="text1"/>
                <w:sz w:val="17"/>
                <w:szCs w:val="17"/>
                <w:lang w:eastAsia="zh-CN"/>
              </w:rPr>
              <w:t>4</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left" w:pos="288"/>
              </w:tabs>
              <w:spacing w:line="240" w:lineRule="exact"/>
              <w:ind w:left="0" w:right="132" w:firstLine="0"/>
              <w:rPr>
                <w:rFonts w:asciiTheme="majorBidi" w:hAnsiTheme="majorBidi" w:cstheme="majorBidi"/>
                <w:sz w:val="17"/>
                <w:szCs w:val="17"/>
              </w:rPr>
            </w:pPr>
            <w:r w:rsidRPr="00C7077A">
              <w:rPr>
                <w:rFonts w:asciiTheme="majorBidi" w:hAnsiTheme="majorBidi" w:cstheme="majorBidi"/>
                <w:sz w:val="17"/>
                <w:szCs w:val="17"/>
              </w:rPr>
              <w:t xml:space="preserve">Parliamentary documentation for </w:t>
            </w:r>
            <w:r w:rsidRPr="00C7077A">
              <w:rPr>
                <w:rFonts w:asciiTheme="majorBidi" w:eastAsia="Times New Roman" w:hAnsiTheme="majorBidi" w:cstheme="majorBidi"/>
                <w:sz w:val="17"/>
                <w:szCs w:val="17"/>
              </w:rPr>
              <w:t>Meeting of the Parties to the Convention on Access to Information, Public Participation in Decision-making and Access to Justice in Environmental Matters and subsidiary bodies and Meeting of the Parties to the Protocol on Pollutant Release and Transfer Register and subsidiary bodies</w:t>
            </w:r>
          </w:p>
        </w:tc>
        <w:tc>
          <w:tcPr>
            <w:tcW w:w="724" w:type="dxa"/>
            <w:shd w:val="clear" w:color="auto" w:fill="auto"/>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169</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20</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45</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38</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left" w:pos="288"/>
              </w:tabs>
              <w:spacing w:line="240" w:lineRule="exact"/>
              <w:ind w:left="0" w:right="132" w:firstLine="0"/>
              <w:rPr>
                <w:rFonts w:asciiTheme="majorBidi" w:hAnsiTheme="majorBidi" w:cstheme="majorBidi"/>
                <w:sz w:val="17"/>
                <w:szCs w:val="17"/>
              </w:rPr>
            </w:pPr>
            <w:r w:rsidRPr="00C7077A">
              <w:rPr>
                <w:rFonts w:asciiTheme="majorBidi" w:hAnsiTheme="majorBidi" w:cstheme="majorBidi"/>
                <w:sz w:val="17"/>
                <w:szCs w:val="17"/>
              </w:rPr>
              <w:lastRenderedPageBreak/>
              <w:t xml:space="preserve">Parliamentary documentation for </w:t>
            </w:r>
            <w:r w:rsidRPr="00C7077A">
              <w:rPr>
                <w:rFonts w:asciiTheme="majorBidi" w:eastAsia="Times New Roman" w:hAnsiTheme="majorBidi" w:cstheme="majorBidi"/>
                <w:sz w:val="17"/>
                <w:szCs w:val="17"/>
              </w:rPr>
              <w:t>High-level Meeting on Transport, Health and Environment and subsidiary bodies</w:t>
            </w:r>
          </w:p>
        </w:tc>
        <w:tc>
          <w:tcPr>
            <w:tcW w:w="724" w:type="dxa"/>
            <w:shd w:val="clear" w:color="auto" w:fill="auto"/>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themeColor="text1"/>
                <w:sz w:val="17"/>
                <w:szCs w:val="17"/>
                <w:lang w:eastAsia="zh-CN"/>
              </w:rPr>
              <w:t>11</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6</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themeColor="text1"/>
                <w:sz w:val="17"/>
                <w:szCs w:val="17"/>
                <w:lang w:eastAsia="zh-CN"/>
              </w:rPr>
              <w:t>11</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7</w:t>
            </w:r>
          </w:p>
        </w:tc>
      </w:tr>
      <w:tr w:rsidR="00BB6B65" w:rsidRPr="00C7077A" w:rsidTr="00BD15B9">
        <w:tc>
          <w:tcPr>
            <w:tcW w:w="6975" w:type="dxa"/>
            <w:shd w:val="clear" w:color="auto" w:fill="auto"/>
            <w:vAlign w:val="bottom"/>
          </w:tcPr>
          <w:p w:rsidR="00BB6B65" w:rsidRPr="00BE7407"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asciiTheme="majorBidi" w:hAnsiTheme="majorBidi" w:cstheme="majorBidi"/>
                <w:strike/>
                <w:sz w:val="17"/>
                <w:szCs w:val="17"/>
              </w:rPr>
            </w:pPr>
            <w:r w:rsidRPr="00C7077A">
              <w:rPr>
                <w:rFonts w:asciiTheme="majorBidi" w:hAnsiTheme="majorBidi" w:cstheme="majorBidi"/>
                <w:b/>
                <w:bCs/>
                <w:sz w:val="17"/>
                <w:szCs w:val="17"/>
              </w:rPr>
              <w:t>Substantive services for meetings</w:t>
            </w:r>
            <w:r>
              <w:rPr>
                <w:rFonts w:asciiTheme="majorBidi" w:hAnsiTheme="majorBidi" w:cstheme="majorBidi"/>
                <w:sz w:val="17"/>
                <w:szCs w:val="17"/>
              </w:rPr>
              <w:t xml:space="preserve"> (Number of 3-hour meetings)</w:t>
            </w:r>
          </w:p>
        </w:tc>
        <w:tc>
          <w:tcPr>
            <w:tcW w:w="724" w:type="dxa"/>
            <w:shd w:val="clear" w:color="auto" w:fill="auto"/>
            <w:vAlign w:val="bottom"/>
          </w:tcPr>
          <w:p w:rsidR="00BB6B65" w:rsidRPr="00C7077A" w:rsidRDefault="00BB6B65" w:rsidP="00BD15B9">
            <w:pPr>
              <w:tabs>
                <w:tab w:val="left" w:pos="288"/>
              </w:tabs>
              <w:spacing w:before="40" w:after="40"/>
              <w:ind w:right="43"/>
              <w:jc w:val="right"/>
              <w:rPr>
                <w:rFonts w:asciiTheme="majorBidi" w:hAnsiTheme="majorBidi" w:cstheme="majorBidi"/>
                <w:b/>
                <w:bCs/>
                <w:color w:val="000000" w:themeColor="text1"/>
                <w:sz w:val="17"/>
                <w:szCs w:val="17"/>
                <w:lang w:eastAsia="zh-CN"/>
              </w:rPr>
            </w:pPr>
            <w:r w:rsidRPr="00C7077A">
              <w:rPr>
                <w:rFonts w:asciiTheme="majorBidi" w:hAnsiTheme="majorBidi" w:cstheme="majorBidi"/>
                <w:b/>
                <w:bCs/>
                <w:color w:val="000000" w:themeColor="text1"/>
                <w:sz w:val="17"/>
                <w:szCs w:val="17"/>
                <w:lang w:eastAsia="zh-CN"/>
              </w:rPr>
              <w:t>26</w:t>
            </w:r>
            <w:r>
              <w:rPr>
                <w:rFonts w:asciiTheme="majorBidi" w:hAnsiTheme="majorBidi" w:cstheme="majorBidi"/>
                <w:b/>
                <w:bCs/>
                <w:color w:val="000000" w:themeColor="text1"/>
                <w:sz w:val="17"/>
                <w:szCs w:val="17"/>
                <w:lang w:eastAsia="zh-CN"/>
              </w:rPr>
              <w:t>4</w:t>
            </w:r>
          </w:p>
        </w:tc>
        <w:tc>
          <w:tcPr>
            <w:tcW w:w="724" w:type="dxa"/>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b/>
                <w:bCs/>
                <w:color w:val="000000" w:themeColor="text1"/>
                <w:sz w:val="17"/>
                <w:szCs w:val="17"/>
                <w:lang w:eastAsia="zh-CN"/>
              </w:rPr>
            </w:pPr>
            <w:r>
              <w:rPr>
                <w:rFonts w:asciiTheme="majorBidi" w:hAnsiTheme="majorBidi" w:cstheme="majorBidi"/>
                <w:b/>
                <w:bCs/>
                <w:color w:val="000000"/>
                <w:sz w:val="17"/>
                <w:szCs w:val="17"/>
                <w:lang w:eastAsia="zh-CN"/>
              </w:rPr>
              <w:t>223</w:t>
            </w:r>
          </w:p>
        </w:tc>
        <w:tc>
          <w:tcPr>
            <w:tcW w:w="724" w:type="dxa"/>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b/>
                <w:bCs/>
                <w:color w:val="000000" w:themeColor="text1"/>
                <w:sz w:val="17"/>
                <w:szCs w:val="17"/>
                <w:lang w:eastAsia="zh-CN"/>
              </w:rPr>
            </w:pPr>
            <w:r>
              <w:rPr>
                <w:rFonts w:asciiTheme="majorBidi" w:hAnsiTheme="majorBidi" w:cstheme="majorBidi"/>
                <w:b/>
                <w:bCs/>
                <w:color w:val="000000"/>
                <w:sz w:val="17"/>
                <w:szCs w:val="17"/>
                <w:lang w:eastAsia="zh-CN"/>
              </w:rPr>
              <w:t>283</w:t>
            </w:r>
          </w:p>
        </w:tc>
        <w:tc>
          <w:tcPr>
            <w:tcW w:w="724" w:type="dxa"/>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b/>
                <w:bCs/>
                <w:color w:val="000000" w:themeColor="text1"/>
                <w:sz w:val="17"/>
                <w:szCs w:val="17"/>
                <w:lang w:eastAsia="zh-CN"/>
              </w:rPr>
            </w:pPr>
            <w:r>
              <w:rPr>
                <w:rFonts w:asciiTheme="majorBidi" w:hAnsiTheme="majorBidi" w:cstheme="majorBidi"/>
                <w:b/>
                <w:bCs/>
                <w:color w:val="000000"/>
                <w:sz w:val="17"/>
                <w:szCs w:val="17"/>
                <w:lang w:eastAsia="zh-CN"/>
              </w:rPr>
              <w:t>251</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576"/>
                <w:tab w:val="left" w:pos="864"/>
                <w:tab w:val="left" w:pos="1152"/>
              </w:tabs>
              <w:spacing w:before="40" w:after="40" w:line="240" w:lineRule="exact"/>
              <w:ind w:left="0" w:right="43" w:firstLine="0"/>
              <w:jc w:val="left"/>
              <w:rPr>
                <w:rFonts w:asciiTheme="majorBidi" w:hAnsiTheme="majorBidi" w:cstheme="majorBidi"/>
                <w:sz w:val="17"/>
                <w:szCs w:val="17"/>
              </w:rPr>
            </w:pPr>
            <w:r w:rsidRPr="00C7077A">
              <w:rPr>
                <w:rFonts w:asciiTheme="majorBidi" w:hAnsiTheme="majorBidi" w:cstheme="majorBidi"/>
                <w:sz w:val="17"/>
                <w:szCs w:val="17"/>
              </w:rPr>
              <w:t>Meetings of the Committee on Environmental Policy and subsidiary bodies</w:t>
            </w:r>
          </w:p>
        </w:tc>
        <w:tc>
          <w:tcPr>
            <w:tcW w:w="724" w:type="dxa"/>
            <w:shd w:val="clear" w:color="auto" w:fill="auto"/>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21</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16</w:t>
            </w:r>
          </w:p>
        </w:tc>
        <w:tc>
          <w:tcPr>
            <w:tcW w:w="724" w:type="dxa"/>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themeColor="text1"/>
                <w:sz w:val="17"/>
                <w:szCs w:val="17"/>
              </w:rPr>
            </w:pPr>
            <w:r>
              <w:rPr>
                <w:rFonts w:asciiTheme="majorBidi" w:hAnsiTheme="majorBidi" w:cstheme="majorBidi"/>
                <w:color w:val="000000"/>
                <w:sz w:val="17"/>
                <w:szCs w:val="17"/>
                <w:lang w:eastAsia="zh-CN"/>
              </w:rPr>
              <w:t>50</w:t>
            </w:r>
          </w:p>
        </w:tc>
        <w:tc>
          <w:tcPr>
            <w:tcW w:w="724" w:type="dxa"/>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sz w:val="17"/>
                <w:szCs w:val="17"/>
                <w:lang w:eastAsia="zh-CN"/>
              </w:rPr>
              <w:t>4</w:t>
            </w:r>
            <w:r>
              <w:rPr>
                <w:rFonts w:asciiTheme="majorBidi" w:hAnsiTheme="majorBidi" w:cstheme="majorBidi"/>
                <w:color w:val="000000"/>
                <w:sz w:val="17"/>
                <w:szCs w:val="17"/>
                <w:lang w:eastAsia="zh-CN"/>
              </w:rPr>
              <w:t>0</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576"/>
                <w:tab w:val="left" w:pos="864"/>
                <w:tab w:val="left" w:pos="1152"/>
              </w:tabs>
              <w:spacing w:before="40" w:after="40" w:line="210" w:lineRule="exact"/>
              <w:ind w:left="0" w:right="43" w:firstLine="0"/>
              <w:jc w:val="left"/>
              <w:rPr>
                <w:rFonts w:asciiTheme="majorBidi" w:hAnsiTheme="majorBidi" w:cstheme="majorBidi"/>
                <w:sz w:val="17"/>
                <w:szCs w:val="17"/>
              </w:rPr>
            </w:pPr>
            <w:r w:rsidRPr="00C7077A">
              <w:rPr>
                <w:rFonts w:asciiTheme="majorBidi" w:hAnsiTheme="majorBidi" w:cstheme="majorBidi"/>
                <w:sz w:val="17"/>
                <w:szCs w:val="17"/>
              </w:rPr>
              <w:t>Meetings of the Parties to the Convention on the Protection and Use of Transboundary Watercourses and International Lakes and subsidiary bodies and Meetings of the Parties to the Protocol on Water and Health and subsidiary bodies</w:t>
            </w:r>
          </w:p>
        </w:tc>
        <w:tc>
          <w:tcPr>
            <w:tcW w:w="724" w:type="dxa"/>
            <w:shd w:val="clear" w:color="auto" w:fill="auto"/>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themeColor="text1"/>
                <w:sz w:val="17"/>
                <w:szCs w:val="17"/>
                <w:lang w:eastAsia="zh-CN"/>
              </w:rPr>
            </w:pPr>
            <w:r>
              <w:rPr>
                <w:rFonts w:asciiTheme="majorBidi" w:hAnsiTheme="majorBidi" w:cstheme="majorBidi"/>
                <w:color w:val="000000"/>
                <w:sz w:val="17"/>
                <w:szCs w:val="17"/>
                <w:lang w:eastAsia="zh-CN"/>
              </w:rPr>
              <w:t>48</w:t>
            </w:r>
          </w:p>
        </w:tc>
        <w:tc>
          <w:tcPr>
            <w:tcW w:w="724" w:type="dxa"/>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themeColor="text1"/>
                <w:sz w:val="17"/>
                <w:szCs w:val="17"/>
                <w:lang w:eastAsia="zh-CN"/>
              </w:rPr>
            </w:pPr>
            <w:r>
              <w:rPr>
                <w:rFonts w:asciiTheme="majorBidi" w:hAnsiTheme="majorBidi" w:cstheme="majorBidi"/>
                <w:color w:val="000000"/>
                <w:sz w:val="17"/>
                <w:szCs w:val="17"/>
                <w:lang w:eastAsia="zh-CN"/>
              </w:rPr>
              <w:t>40</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themeColor="text1"/>
                <w:sz w:val="17"/>
                <w:szCs w:val="17"/>
              </w:rPr>
            </w:pPr>
            <w:r w:rsidRPr="00C7077A">
              <w:rPr>
                <w:rFonts w:asciiTheme="majorBidi" w:hAnsiTheme="majorBidi" w:cstheme="majorBidi"/>
                <w:color w:val="000000" w:themeColor="text1"/>
                <w:sz w:val="17"/>
                <w:szCs w:val="17"/>
                <w:lang w:eastAsia="zh-CN"/>
              </w:rPr>
              <w:t>5</w:t>
            </w:r>
            <w:r>
              <w:rPr>
                <w:rFonts w:asciiTheme="majorBidi" w:hAnsiTheme="majorBidi" w:cstheme="majorBidi"/>
                <w:color w:val="000000" w:themeColor="text1"/>
                <w:sz w:val="17"/>
                <w:szCs w:val="17"/>
                <w:lang w:eastAsia="zh-CN"/>
              </w:rPr>
              <w:t>7</w:t>
            </w:r>
          </w:p>
        </w:tc>
        <w:tc>
          <w:tcPr>
            <w:tcW w:w="724" w:type="dxa"/>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themeColor="text1"/>
                <w:sz w:val="17"/>
                <w:szCs w:val="17"/>
              </w:rPr>
            </w:pPr>
            <w:r>
              <w:rPr>
                <w:rFonts w:asciiTheme="majorBidi" w:hAnsiTheme="majorBidi" w:cstheme="majorBidi"/>
                <w:color w:val="000000"/>
                <w:sz w:val="17"/>
                <w:szCs w:val="17"/>
                <w:lang w:eastAsia="zh-CN"/>
              </w:rPr>
              <w:t>47</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left" w:pos="288"/>
              </w:tabs>
              <w:spacing w:line="240" w:lineRule="exact"/>
              <w:ind w:left="0" w:right="140" w:firstLine="0"/>
              <w:rPr>
                <w:rFonts w:asciiTheme="majorBidi" w:hAnsiTheme="majorBidi" w:cstheme="majorBidi"/>
                <w:sz w:val="17"/>
                <w:szCs w:val="17"/>
              </w:rPr>
            </w:pPr>
            <w:r w:rsidRPr="4570F51D">
              <w:rPr>
                <w:sz w:val="17"/>
                <w:szCs w:val="17"/>
              </w:rPr>
              <w:t>Conference of the Parties to the Convention on the Transboundary Effects of Industrial Accidents and subsidiary bodies</w:t>
            </w:r>
          </w:p>
        </w:tc>
        <w:tc>
          <w:tcPr>
            <w:tcW w:w="724" w:type="dxa"/>
            <w:shd w:val="clear" w:color="auto" w:fill="auto"/>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4</w:t>
            </w:r>
            <w:r w:rsidRPr="00C7077A">
              <w:rPr>
                <w:rFonts w:asciiTheme="majorBidi" w:hAnsiTheme="majorBidi" w:cstheme="majorBidi"/>
                <w:color w:val="000000" w:themeColor="text1"/>
                <w:sz w:val="17"/>
                <w:szCs w:val="17"/>
                <w:lang w:eastAsia="zh-CN"/>
              </w:rPr>
              <w:t xml:space="preserve">0 </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themeColor="text1"/>
                <w:sz w:val="17"/>
                <w:szCs w:val="17"/>
                <w:lang w:eastAsia="zh-CN"/>
              </w:rPr>
              <w:t>3</w:t>
            </w:r>
            <w:r>
              <w:rPr>
                <w:rFonts w:asciiTheme="majorBidi" w:hAnsiTheme="majorBidi" w:cstheme="majorBidi"/>
                <w:color w:val="000000" w:themeColor="text1"/>
                <w:sz w:val="17"/>
                <w:szCs w:val="17"/>
                <w:lang w:eastAsia="zh-CN"/>
              </w:rPr>
              <w:t>6</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rFonts w:asciiTheme="majorBidi" w:hAnsiTheme="majorBidi" w:cstheme="majorBidi"/>
                <w:color w:val="000000" w:themeColor="text1"/>
                <w:sz w:val="17"/>
                <w:szCs w:val="17"/>
                <w:lang w:eastAsia="zh-CN"/>
              </w:rPr>
              <w:t>21</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themeColor="text1"/>
                <w:sz w:val="17"/>
                <w:szCs w:val="17"/>
                <w:lang w:eastAsia="zh-CN"/>
              </w:rPr>
              <w:t>30</w:t>
            </w:r>
          </w:p>
        </w:tc>
      </w:tr>
      <w:tr w:rsidR="00BB6B65" w:rsidRPr="00C7077A" w:rsidTr="00BD15B9">
        <w:tc>
          <w:tcPr>
            <w:tcW w:w="6975" w:type="dxa"/>
            <w:shd w:val="clear" w:color="auto" w:fill="auto"/>
            <w:vAlign w:val="bottom"/>
          </w:tcPr>
          <w:p w:rsidR="00BB6B65" w:rsidRPr="4570F51D" w:rsidRDefault="00BB6B65" w:rsidP="00BB6B65">
            <w:pPr>
              <w:pStyle w:val="SingleTxt"/>
              <w:numPr>
                <w:ilvl w:val="0"/>
                <w:numId w:val="5"/>
              </w:numPr>
              <w:tabs>
                <w:tab w:val="left" w:pos="288"/>
              </w:tabs>
              <w:spacing w:line="240" w:lineRule="exact"/>
              <w:ind w:left="0" w:right="140" w:firstLine="0"/>
              <w:rPr>
                <w:sz w:val="17"/>
                <w:szCs w:val="17"/>
              </w:rPr>
            </w:pPr>
            <w:r w:rsidRPr="4570F51D">
              <w:rPr>
                <w:rFonts w:eastAsia="Times New Roman"/>
                <w:sz w:val="17"/>
                <w:szCs w:val="17"/>
              </w:rPr>
              <w:t>Meetings of the Executive Body for the Convention on Long-range Transboundary Air Pollution and subsidiary bodies</w:t>
            </w:r>
          </w:p>
        </w:tc>
        <w:tc>
          <w:tcPr>
            <w:tcW w:w="724" w:type="dxa"/>
            <w:shd w:val="clear" w:color="auto" w:fill="auto"/>
          </w:tcPr>
          <w:p w:rsidR="00BB6B65"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3</w:t>
            </w:r>
            <w:r w:rsidRPr="4570F51D">
              <w:rPr>
                <w:color w:val="000000" w:themeColor="text1"/>
                <w:sz w:val="17"/>
                <w:szCs w:val="17"/>
                <w:lang w:eastAsia="zh-CN"/>
              </w:rPr>
              <w:t xml:space="preserve">0 </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26</w:t>
            </w:r>
          </w:p>
        </w:tc>
        <w:tc>
          <w:tcPr>
            <w:tcW w:w="724" w:type="dxa"/>
          </w:tcPr>
          <w:p w:rsidR="00BB6B65"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30</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4570F51D">
              <w:rPr>
                <w:color w:val="000000" w:themeColor="text1"/>
                <w:sz w:val="17"/>
                <w:szCs w:val="17"/>
                <w:lang w:eastAsia="zh-CN"/>
              </w:rPr>
              <w:t>30</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left" w:pos="288"/>
              </w:tabs>
              <w:spacing w:line="240" w:lineRule="exact"/>
              <w:ind w:left="0" w:right="140" w:firstLine="0"/>
              <w:rPr>
                <w:rFonts w:asciiTheme="majorBidi" w:hAnsiTheme="majorBidi" w:cstheme="majorBidi"/>
                <w:sz w:val="17"/>
                <w:szCs w:val="17"/>
              </w:rPr>
            </w:pPr>
            <w:r w:rsidRPr="00C7077A">
              <w:rPr>
                <w:rFonts w:asciiTheme="majorBidi" w:eastAsia="Times New Roman" w:hAnsiTheme="majorBidi" w:cstheme="majorBidi"/>
                <w:sz w:val="17"/>
                <w:szCs w:val="17"/>
              </w:rPr>
              <w:t>Meetings of the Parties to the Convention on Environmental Impact Assessment in a Transboundary Context and subsidiary bodies and Meetings of the Parties to the Espoo Convention serving as the Meeting of the Parties to the Protocol on Strategic Environmental Assessment and subsidiary bodies</w:t>
            </w:r>
          </w:p>
        </w:tc>
        <w:tc>
          <w:tcPr>
            <w:tcW w:w="724" w:type="dxa"/>
            <w:shd w:val="clear" w:color="auto" w:fill="auto"/>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36</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36</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5</w:t>
            </w:r>
            <w:r w:rsidRPr="4570F51D">
              <w:rPr>
                <w:color w:val="000000" w:themeColor="text1"/>
                <w:sz w:val="17"/>
                <w:szCs w:val="17"/>
                <w:lang w:eastAsia="zh-CN"/>
              </w:rPr>
              <w:t>0</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33</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left" w:pos="288"/>
              </w:tabs>
              <w:spacing w:line="240" w:lineRule="exact"/>
              <w:ind w:left="0" w:right="140" w:firstLine="0"/>
              <w:rPr>
                <w:rFonts w:asciiTheme="majorBidi" w:hAnsiTheme="majorBidi" w:cstheme="majorBidi"/>
                <w:sz w:val="17"/>
                <w:szCs w:val="17"/>
              </w:rPr>
            </w:pPr>
            <w:r w:rsidRPr="00C7077A">
              <w:rPr>
                <w:rFonts w:asciiTheme="majorBidi" w:eastAsia="Times New Roman" w:hAnsiTheme="majorBidi" w:cstheme="majorBidi"/>
                <w:sz w:val="17"/>
                <w:szCs w:val="17"/>
              </w:rPr>
              <w:t>Meetings of the Parties to the Convention on Access to Information, Public Participation in Decision-making and Access to Justice in Environmental Matters and subsidiary bodies and Meetings of the Parties to the Protocol on Pollutant Release and Transfer Register and subsidiary bodies</w:t>
            </w:r>
          </w:p>
        </w:tc>
        <w:tc>
          <w:tcPr>
            <w:tcW w:w="724" w:type="dxa"/>
            <w:shd w:val="clear" w:color="auto" w:fill="auto"/>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85</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65</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69</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67</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left" w:pos="288"/>
              </w:tabs>
              <w:spacing w:line="240" w:lineRule="exact"/>
              <w:ind w:left="0" w:right="140" w:firstLine="0"/>
              <w:rPr>
                <w:rFonts w:asciiTheme="majorBidi" w:hAnsiTheme="majorBidi" w:cstheme="majorBidi"/>
                <w:sz w:val="17"/>
                <w:szCs w:val="17"/>
              </w:rPr>
            </w:pPr>
            <w:r w:rsidRPr="00C7077A">
              <w:rPr>
                <w:rFonts w:asciiTheme="majorBidi" w:eastAsia="Times New Roman" w:hAnsiTheme="majorBidi" w:cstheme="majorBidi"/>
                <w:sz w:val="17"/>
                <w:szCs w:val="17"/>
              </w:rPr>
              <w:t>Meetings of the High-level Meeting on Transport, Health and Environment and subsidiary bodies</w:t>
            </w:r>
          </w:p>
        </w:tc>
        <w:tc>
          <w:tcPr>
            <w:tcW w:w="724" w:type="dxa"/>
            <w:shd w:val="clear" w:color="auto" w:fill="auto"/>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4</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4</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6</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4</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864"/>
                <w:tab w:val="left" w:pos="1152"/>
              </w:tabs>
              <w:spacing w:before="40" w:after="40" w:line="210" w:lineRule="exact"/>
              <w:ind w:left="0" w:right="140" w:firstLine="0"/>
              <w:jc w:val="left"/>
              <w:rPr>
                <w:rFonts w:asciiTheme="majorBidi" w:hAnsiTheme="majorBidi" w:cstheme="majorBidi"/>
              </w:rPr>
            </w:pPr>
            <w:r w:rsidRPr="00C7077A">
              <w:rPr>
                <w:rFonts w:asciiTheme="majorBidi" w:hAnsiTheme="majorBidi" w:cstheme="majorBidi"/>
                <w:b/>
                <w:bCs/>
              </w:rPr>
              <w:t>Generation and transfer of knowledge:</w:t>
            </w:r>
          </w:p>
        </w:tc>
        <w:tc>
          <w:tcPr>
            <w:tcW w:w="724" w:type="dxa"/>
            <w:shd w:val="clear" w:color="auto" w:fill="auto"/>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sz w:val="17"/>
                <w:szCs w:val="17"/>
              </w:rPr>
            </w:pPr>
          </w:p>
        </w:tc>
        <w:tc>
          <w:tcPr>
            <w:tcW w:w="724" w:type="dxa"/>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sz w:val="17"/>
                <w:szCs w:val="17"/>
              </w:rPr>
            </w:pPr>
          </w:p>
        </w:tc>
        <w:tc>
          <w:tcPr>
            <w:tcW w:w="724" w:type="dxa"/>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sz w:val="17"/>
                <w:szCs w:val="17"/>
              </w:rPr>
            </w:pPr>
          </w:p>
        </w:tc>
        <w:tc>
          <w:tcPr>
            <w:tcW w:w="724" w:type="dxa"/>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sz w:val="17"/>
                <w:szCs w:val="17"/>
              </w:rPr>
            </w:pPr>
          </w:p>
        </w:tc>
      </w:tr>
      <w:tr w:rsidR="00BB6B65" w:rsidRPr="00C7077A" w:rsidTr="00BD15B9">
        <w:tc>
          <w:tcPr>
            <w:tcW w:w="6975" w:type="dxa"/>
            <w:shd w:val="clear" w:color="auto" w:fill="auto"/>
            <w:vAlign w:val="bottom"/>
          </w:tcPr>
          <w:p w:rsidR="00BB6B65" w:rsidRPr="00BE7407"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576"/>
                <w:tab w:val="left" w:pos="864"/>
                <w:tab w:val="left" w:pos="1152"/>
              </w:tabs>
              <w:spacing w:before="40" w:after="40" w:line="210" w:lineRule="exact"/>
              <w:ind w:left="0" w:right="140"/>
              <w:jc w:val="left"/>
              <w:rPr>
                <w:rFonts w:asciiTheme="majorBidi" w:hAnsiTheme="majorBidi" w:cstheme="majorBidi"/>
              </w:rPr>
            </w:pPr>
            <w:r w:rsidRPr="00C7077A">
              <w:rPr>
                <w:rFonts w:asciiTheme="majorBidi" w:hAnsiTheme="majorBidi" w:cstheme="majorBidi"/>
                <w:b/>
                <w:bCs/>
                <w:sz w:val="17"/>
                <w:szCs w:val="17"/>
              </w:rPr>
              <w:t>Seminars, w</w:t>
            </w:r>
            <w:r>
              <w:rPr>
                <w:rFonts w:asciiTheme="majorBidi" w:hAnsiTheme="majorBidi" w:cstheme="majorBidi"/>
                <w:b/>
                <w:bCs/>
                <w:sz w:val="17"/>
                <w:szCs w:val="17"/>
              </w:rPr>
              <w:t>orkshops</w:t>
            </w:r>
            <w:r w:rsidRPr="00C7077A">
              <w:rPr>
                <w:rFonts w:asciiTheme="majorBidi" w:hAnsiTheme="majorBidi" w:cstheme="majorBidi"/>
                <w:b/>
                <w:bCs/>
                <w:sz w:val="17"/>
                <w:szCs w:val="17"/>
              </w:rPr>
              <w:t xml:space="preserve"> and training events</w:t>
            </w:r>
            <w:r>
              <w:rPr>
                <w:rFonts w:asciiTheme="majorBidi" w:hAnsiTheme="majorBidi" w:cstheme="majorBidi"/>
                <w:sz w:val="17"/>
                <w:szCs w:val="17"/>
              </w:rPr>
              <w:t xml:space="preserve"> (Number of days)</w:t>
            </w:r>
          </w:p>
        </w:tc>
        <w:tc>
          <w:tcPr>
            <w:tcW w:w="724" w:type="dxa"/>
            <w:shd w:val="clear" w:color="auto" w:fill="auto"/>
            <w:vAlign w:val="bottom"/>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rPr>
            </w:pPr>
            <w:r>
              <w:rPr>
                <w:b/>
                <w:bCs/>
                <w:color w:val="000000" w:themeColor="text1"/>
                <w:sz w:val="17"/>
                <w:szCs w:val="17"/>
                <w:lang w:eastAsia="zh-CN"/>
              </w:rPr>
              <w:t>36</w:t>
            </w:r>
          </w:p>
        </w:tc>
        <w:tc>
          <w:tcPr>
            <w:tcW w:w="724" w:type="dxa"/>
            <w:vAlign w:val="bottom"/>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rPr>
            </w:pPr>
            <w:r>
              <w:rPr>
                <w:b/>
                <w:bCs/>
                <w:color w:val="000000" w:themeColor="text1"/>
                <w:sz w:val="17"/>
                <w:szCs w:val="17"/>
                <w:lang w:eastAsia="zh-CN"/>
              </w:rPr>
              <w:t>83</w:t>
            </w:r>
          </w:p>
        </w:tc>
        <w:tc>
          <w:tcPr>
            <w:tcW w:w="724" w:type="dxa"/>
            <w:vAlign w:val="bottom"/>
          </w:tcPr>
          <w:p w:rsidR="00BB6B65" w:rsidRPr="00C7077A" w:rsidRDefault="00BB6B65" w:rsidP="00BD15B9">
            <w:pPr>
              <w:tabs>
                <w:tab w:val="left" w:pos="288"/>
              </w:tabs>
              <w:spacing w:before="40" w:after="40"/>
              <w:ind w:right="43"/>
              <w:jc w:val="right"/>
              <w:rPr>
                <w:rFonts w:asciiTheme="majorBidi" w:hAnsiTheme="majorBidi" w:cstheme="majorBidi"/>
              </w:rPr>
            </w:pPr>
            <w:r w:rsidRPr="4570F51D">
              <w:rPr>
                <w:b/>
                <w:bCs/>
                <w:color w:val="000000" w:themeColor="text1"/>
                <w:sz w:val="17"/>
                <w:szCs w:val="17"/>
                <w:lang w:eastAsia="zh-CN"/>
              </w:rPr>
              <w:t>4</w:t>
            </w:r>
            <w:r>
              <w:rPr>
                <w:b/>
                <w:bCs/>
                <w:color w:val="000000" w:themeColor="text1"/>
                <w:sz w:val="17"/>
                <w:szCs w:val="17"/>
                <w:lang w:eastAsia="zh-CN"/>
              </w:rPr>
              <w:t>6</w:t>
            </w:r>
          </w:p>
        </w:tc>
        <w:tc>
          <w:tcPr>
            <w:tcW w:w="724" w:type="dxa"/>
            <w:vAlign w:val="bottom"/>
          </w:tcPr>
          <w:p w:rsidR="00BB6B65" w:rsidRPr="00C7077A" w:rsidRDefault="00BB6B65" w:rsidP="00BD15B9">
            <w:pPr>
              <w:tabs>
                <w:tab w:val="left" w:pos="288"/>
              </w:tabs>
              <w:spacing w:before="40" w:after="40"/>
              <w:ind w:right="43"/>
              <w:jc w:val="right"/>
              <w:rPr>
                <w:rFonts w:asciiTheme="majorBidi" w:hAnsiTheme="majorBidi" w:cstheme="majorBidi"/>
              </w:rPr>
            </w:pPr>
            <w:r w:rsidRPr="4570F51D">
              <w:rPr>
                <w:b/>
                <w:bCs/>
                <w:color w:val="000000" w:themeColor="text1"/>
                <w:sz w:val="17"/>
                <w:szCs w:val="17"/>
                <w:lang w:eastAsia="zh-CN"/>
              </w:rPr>
              <w:t>4</w:t>
            </w:r>
            <w:r>
              <w:rPr>
                <w:b/>
                <w:bCs/>
                <w:color w:val="000000" w:themeColor="text1"/>
                <w:sz w:val="17"/>
                <w:szCs w:val="17"/>
                <w:lang w:eastAsia="zh-CN"/>
              </w:rPr>
              <w:t>8</w:t>
            </w:r>
            <w:r w:rsidRPr="4570F51D">
              <w:rPr>
                <w:b/>
                <w:bCs/>
                <w:color w:val="000000" w:themeColor="text1"/>
                <w:sz w:val="17"/>
                <w:szCs w:val="17"/>
                <w:lang w:eastAsia="zh-CN"/>
              </w:rPr>
              <w:t xml:space="preserve">    </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576"/>
                <w:tab w:val="left" w:pos="864"/>
                <w:tab w:val="left" w:pos="1152"/>
              </w:tabs>
              <w:spacing w:line="240" w:lineRule="exact"/>
              <w:ind w:left="0" w:right="140" w:firstLine="0"/>
              <w:rPr>
                <w:rFonts w:asciiTheme="majorBidi" w:hAnsiTheme="majorBidi" w:cstheme="majorBidi"/>
                <w:sz w:val="17"/>
                <w:szCs w:val="17"/>
              </w:rPr>
            </w:pPr>
            <w:r w:rsidRPr="00C7077A">
              <w:rPr>
                <w:rFonts w:asciiTheme="majorBidi" w:hAnsiTheme="majorBidi" w:cstheme="majorBidi"/>
                <w:sz w:val="17"/>
                <w:szCs w:val="17"/>
              </w:rPr>
              <w:t xml:space="preserve">Workshops on environmental issues, including on air quality, water, industrial safety, public participation, environmental assessment, monitoring and performance and education for sustainable development, for Government officials and other stakeholders in the UNECE region to improve environmental governance and performance </w:t>
            </w:r>
          </w:p>
        </w:tc>
        <w:tc>
          <w:tcPr>
            <w:tcW w:w="724" w:type="dxa"/>
            <w:shd w:val="clear" w:color="auto" w:fill="auto"/>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lang w:eastAsia="zh-CN"/>
              </w:rPr>
            </w:pPr>
            <w:r>
              <w:rPr>
                <w:color w:val="000000" w:themeColor="text1"/>
                <w:sz w:val="17"/>
                <w:szCs w:val="17"/>
                <w:lang w:eastAsia="zh-CN"/>
              </w:rPr>
              <w:t>36</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lang w:eastAsia="zh-CN"/>
              </w:rPr>
            </w:pPr>
            <w:r>
              <w:rPr>
                <w:color w:val="000000" w:themeColor="text1"/>
                <w:sz w:val="17"/>
                <w:szCs w:val="17"/>
                <w:lang w:eastAsia="zh-CN"/>
              </w:rPr>
              <w:t>83</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rPr>
            </w:pPr>
            <w:r>
              <w:rPr>
                <w:color w:val="000000" w:themeColor="text1"/>
                <w:sz w:val="17"/>
                <w:szCs w:val="17"/>
                <w:lang w:eastAsia="zh-CN"/>
              </w:rPr>
              <w:t>46</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rPr>
            </w:pPr>
            <w:r w:rsidRPr="4570F51D">
              <w:rPr>
                <w:color w:val="000000" w:themeColor="text1"/>
                <w:sz w:val="17"/>
                <w:szCs w:val="17"/>
                <w:lang w:eastAsia="zh-CN"/>
              </w:rPr>
              <w:t>4</w:t>
            </w:r>
            <w:r>
              <w:rPr>
                <w:color w:val="000000" w:themeColor="text1"/>
                <w:sz w:val="17"/>
                <w:szCs w:val="17"/>
                <w:lang w:eastAsia="zh-CN"/>
              </w:rPr>
              <w:t>8</w:t>
            </w:r>
          </w:p>
        </w:tc>
      </w:tr>
      <w:tr w:rsidR="00BB6B65" w:rsidRPr="00C7077A" w:rsidTr="00BD15B9">
        <w:tc>
          <w:tcPr>
            <w:tcW w:w="6975" w:type="dxa"/>
            <w:shd w:val="clear" w:color="auto" w:fill="auto"/>
            <w:vAlign w:val="bottom"/>
          </w:tcPr>
          <w:p w:rsidR="00BB6B65" w:rsidRPr="00BE7407"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576"/>
                <w:tab w:val="left" w:pos="864"/>
                <w:tab w:val="left" w:pos="1152"/>
              </w:tabs>
              <w:spacing w:before="40" w:after="40" w:line="210" w:lineRule="exact"/>
              <w:ind w:left="0" w:right="140"/>
              <w:jc w:val="left"/>
              <w:rPr>
                <w:rFonts w:asciiTheme="majorBidi" w:hAnsiTheme="majorBidi" w:cstheme="majorBidi"/>
              </w:rPr>
            </w:pPr>
            <w:r w:rsidRPr="00C7077A">
              <w:rPr>
                <w:rFonts w:asciiTheme="majorBidi" w:hAnsiTheme="majorBidi" w:cstheme="majorBidi"/>
                <w:b/>
                <w:bCs/>
                <w:sz w:val="17"/>
                <w:szCs w:val="17"/>
              </w:rPr>
              <w:t>Publications</w:t>
            </w:r>
            <w:r>
              <w:rPr>
                <w:rFonts w:asciiTheme="majorBidi" w:hAnsiTheme="majorBidi" w:cstheme="majorBidi"/>
                <w:sz w:val="17"/>
                <w:szCs w:val="17"/>
              </w:rPr>
              <w:t xml:space="preserve"> (Number of publications)</w:t>
            </w:r>
          </w:p>
        </w:tc>
        <w:tc>
          <w:tcPr>
            <w:tcW w:w="724" w:type="dxa"/>
            <w:shd w:val="clear" w:color="auto" w:fill="auto"/>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themeColor="text1"/>
                <w:sz w:val="17"/>
                <w:szCs w:val="17"/>
              </w:rPr>
            </w:pPr>
            <w:r>
              <w:rPr>
                <w:b/>
                <w:bCs/>
                <w:color w:val="000000"/>
                <w:sz w:val="17"/>
                <w:szCs w:val="17"/>
                <w:lang w:eastAsia="zh-CN"/>
              </w:rPr>
              <w:t>7</w:t>
            </w:r>
          </w:p>
        </w:tc>
        <w:tc>
          <w:tcPr>
            <w:tcW w:w="724" w:type="dxa"/>
            <w:vAlign w:val="bottom"/>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rPr>
            </w:pPr>
            <w:r>
              <w:rPr>
                <w:b/>
                <w:bCs/>
                <w:color w:val="000000" w:themeColor="text1"/>
                <w:sz w:val="17"/>
                <w:szCs w:val="17"/>
                <w:lang w:eastAsia="zh-CN"/>
              </w:rPr>
              <w:t>7</w:t>
            </w:r>
          </w:p>
        </w:tc>
        <w:tc>
          <w:tcPr>
            <w:tcW w:w="724" w:type="dxa"/>
            <w:vAlign w:val="bottom"/>
          </w:tcPr>
          <w:p w:rsidR="00BB6B65" w:rsidRPr="00C7077A" w:rsidRDefault="00BB6B65" w:rsidP="00BD15B9">
            <w:pPr>
              <w:tabs>
                <w:tab w:val="left" w:pos="288"/>
              </w:tabs>
              <w:spacing w:before="40" w:after="40"/>
              <w:ind w:right="43"/>
              <w:jc w:val="right"/>
              <w:rPr>
                <w:rFonts w:asciiTheme="majorBidi" w:hAnsiTheme="majorBidi" w:cstheme="majorBidi"/>
              </w:rPr>
            </w:pPr>
            <w:r w:rsidRPr="4570F51D">
              <w:rPr>
                <w:b/>
                <w:bCs/>
                <w:color w:val="000000" w:themeColor="text1"/>
                <w:sz w:val="17"/>
                <w:szCs w:val="17"/>
                <w:lang w:eastAsia="zh-CN"/>
              </w:rPr>
              <w:t>1</w:t>
            </w:r>
            <w:r>
              <w:rPr>
                <w:b/>
                <w:bCs/>
                <w:color w:val="000000" w:themeColor="text1"/>
                <w:sz w:val="17"/>
                <w:szCs w:val="17"/>
                <w:lang w:eastAsia="zh-CN"/>
              </w:rPr>
              <w:t>4</w:t>
            </w:r>
          </w:p>
        </w:tc>
        <w:tc>
          <w:tcPr>
            <w:tcW w:w="724" w:type="dxa"/>
            <w:vAlign w:val="bottom"/>
          </w:tcPr>
          <w:p w:rsidR="00BB6B65" w:rsidRPr="00C7077A" w:rsidRDefault="00BB6B65" w:rsidP="00BD15B9">
            <w:pPr>
              <w:tabs>
                <w:tab w:val="left" w:pos="288"/>
              </w:tabs>
              <w:spacing w:before="40" w:after="40"/>
              <w:ind w:right="43"/>
              <w:jc w:val="right"/>
              <w:rPr>
                <w:rFonts w:asciiTheme="majorBidi" w:hAnsiTheme="majorBidi" w:cstheme="majorBidi"/>
              </w:rPr>
            </w:pPr>
            <w:r w:rsidRPr="4570F51D">
              <w:rPr>
                <w:b/>
                <w:bCs/>
                <w:color w:val="000000" w:themeColor="text1"/>
                <w:sz w:val="17"/>
                <w:szCs w:val="17"/>
                <w:lang w:eastAsia="zh-CN"/>
              </w:rPr>
              <w:t>11</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576"/>
                <w:tab w:val="left" w:pos="864"/>
                <w:tab w:val="left" w:pos="1152"/>
              </w:tabs>
              <w:spacing w:line="240" w:lineRule="exact"/>
              <w:ind w:left="0" w:right="140" w:firstLine="0"/>
              <w:rPr>
                <w:rFonts w:asciiTheme="majorBidi" w:hAnsiTheme="majorBidi" w:cstheme="majorBidi"/>
                <w:sz w:val="17"/>
                <w:szCs w:val="17"/>
              </w:rPr>
            </w:pPr>
            <w:r>
              <w:rPr>
                <w:rFonts w:asciiTheme="majorBidi" w:hAnsiTheme="majorBidi" w:cstheme="majorBidi"/>
                <w:sz w:val="17"/>
                <w:szCs w:val="17"/>
              </w:rPr>
              <w:t>G</w:t>
            </w:r>
            <w:r w:rsidRPr="00C7077A">
              <w:rPr>
                <w:rFonts w:asciiTheme="majorBidi" w:hAnsiTheme="majorBidi" w:cstheme="majorBidi"/>
                <w:sz w:val="17"/>
                <w:szCs w:val="17"/>
              </w:rPr>
              <w:t>uidance, policy brief</w:t>
            </w:r>
            <w:r>
              <w:rPr>
                <w:rFonts w:asciiTheme="majorBidi" w:hAnsiTheme="majorBidi" w:cstheme="majorBidi"/>
                <w:sz w:val="17"/>
                <w:szCs w:val="17"/>
              </w:rPr>
              <w:t xml:space="preserve">s, good practices publications </w:t>
            </w:r>
            <w:r w:rsidRPr="00C7077A">
              <w:rPr>
                <w:rFonts w:asciiTheme="majorBidi" w:hAnsiTheme="majorBidi" w:cstheme="majorBidi"/>
                <w:sz w:val="17"/>
                <w:szCs w:val="17"/>
              </w:rPr>
              <w:t>o</w:t>
            </w:r>
            <w:r>
              <w:rPr>
                <w:rFonts w:asciiTheme="majorBidi" w:hAnsiTheme="majorBidi" w:cstheme="majorBidi"/>
                <w:sz w:val="17"/>
                <w:szCs w:val="17"/>
              </w:rPr>
              <w:t>n</w:t>
            </w:r>
            <w:r w:rsidRPr="00C7077A">
              <w:rPr>
                <w:rFonts w:asciiTheme="majorBidi" w:hAnsiTheme="majorBidi" w:cstheme="majorBidi"/>
                <w:sz w:val="17"/>
                <w:szCs w:val="17"/>
              </w:rPr>
              <w:t xml:space="preserve"> environmental issues and multilateral environmental agreements administered by the subprogramme </w:t>
            </w:r>
          </w:p>
        </w:tc>
        <w:tc>
          <w:tcPr>
            <w:tcW w:w="724" w:type="dxa"/>
            <w:shd w:val="clear" w:color="auto" w:fill="auto"/>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lang w:eastAsia="zh-CN"/>
              </w:rPr>
            </w:pPr>
            <w:r>
              <w:rPr>
                <w:color w:val="000000" w:themeColor="text1"/>
                <w:sz w:val="17"/>
                <w:szCs w:val="17"/>
                <w:lang w:eastAsia="zh-CN"/>
              </w:rPr>
              <w:t>2</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lang w:eastAsia="zh-CN"/>
              </w:rPr>
            </w:pPr>
            <w:r>
              <w:rPr>
                <w:color w:val="000000" w:themeColor="text1"/>
                <w:sz w:val="17"/>
                <w:szCs w:val="17"/>
                <w:lang w:eastAsia="zh-CN"/>
              </w:rPr>
              <w:t>2</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rPr>
            </w:pPr>
            <w:r>
              <w:rPr>
                <w:color w:val="000000" w:themeColor="text1"/>
                <w:sz w:val="17"/>
                <w:szCs w:val="17"/>
                <w:lang w:eastAsia="zh-CN"/>
              </w:rPr>
              <w:t>8</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rPr>
            </w:pPr>
            <w:r>
              <w:rPr>
                <w:color w:val="000000" w:themeColor="text1"/>
                <w:sz w:val="17"/>
                <w:szCs w:val="17"/>
                <w:lang w:eastAsia="zh-CN"/>
              </w:rPr>
              <w:t>6</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576"/>
                <w:tab w:val="left" w:pos="864"/>
                <w:tab w:val="left" w:pos="1152"/>
              </w:tabs>
              <w:spacing w:line="240" w:lineRule="exact"/>
              <w:ind w:left="0" w:right="140" w:firstLine="0"/>
              <w:rPr>
                <w:rFonts w:asciiTheme="majorBidi" w:hAnsiTheme="majorBidi" w:cstheme="majorBidi"/>
                <w:sz w:val="17"/>
                <w:szCs w:val="17"/>
              </w:rPr>
            </w:pPr>
            <w:r w:rsidRPr="00C7077A">
              <w:rPr>
                <w:rFonts w:asciiTheme="majorBidi" w:hAnsiTheme="majorBidi" w:cstheme="majorBidi"/>
                <w:sz w:val="17"/>
                <w:szCs w:val="17"/>
              </w:rPr>
              <w:t>Progress reports and performance reviews on environmental issues</w:t>
            </w:r>
          </w:p>
        </w:tc>
        <w:tc>
          <w:tcPr>
            <w:tcW w:w="724" w:type="dxa"/>
            <w:shd w:val="clear" w:color="auto" w:fill="auto"/>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lang w:eastAsia="zh-CN"/>
              </w:rPr>
            </w:pPr>
            <w:r w:rsidRPr="4570F51D">
              <w:rPr>
                <w:color w:val="000000" w:themeColor="text1"/>
                <w:sz w:val="17"/>
                <w:szCs w:val="17"/>
                <w:lang w:eastAsia="zh-CN"/>
              </w:rPr>
              <w:t>4</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lang w:eastAsia="zh-CN"/>
              </w:rPr>
            </w:pPr>
            <w:r>
              <w:rPr>
                <w:color w:val="000000" w:themeColor="text1"/>
                <w:sz w:val="17"/>
                <w:szCs w:val="17"/>
                <w:lang w:eastAsia="zh-CN"/>
              </w:rPr>
              <w:t>4</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rPr>
            </w:pPr>
            <w:r>
              <w:rPr>
                <w:color w:val="000000" w:themeColor="text1"/>
                <w:sz w:val="17"/>
                <w:szCs w:val="17"/>
                <w:lang w:eastAsia="zh-CN"/>
              </w:rPr>
              <w:t>2</w:t>
            </w:r>
          </w:p>
        </w:tc>
        <w:tc>
          <w:tcPr>
            <w:tcW w:w="724" w:type="dxa"/>
          </w:tcPr>
          <w:p w:rsidR="00BB6B65" w:rsidRPr="00C7077A" w:rsidRDefault="00BB6B65" w:rsidP="00BD15B9">
            <w:pPr>
              <w:tabs>
                <w:tab w:val="left" w:pos="288"/>
              </w:tabs>
              <w:spacing w:before="40" w:after="40"/>
              <w:ind w:right="43"/>
              <w:jc w:val="right"/>
              <w:rPr>
                <w:rFonts w:asciiTheme="majorBidi" w:hAnsiTheme="majorBidi" w:cstheme="majorBidi"/>
                <w:color w:val="000000"/>
                <w:sz w:val="17"/>
                <w:szCs w:val="17"/>
              </w:rPr>
            </w:pPr>
            <w:r>
              <w:rPr>
                <w:color w:val="000000" w:themeColor="text1"/>
                <w:sz w:val="17"/>
                <w:szCs w:val="17"/>
                <w:lang w:eastAsia="zh-CN"/>
              </w:rPr>
              <w:t>2</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left" w:pos="288"/>
              </w:tabs>
              <w:spacing w:line="240" w:lineRule="exact"/>
              <w:ind w:left="0" w:right="140" w:firstLine="0"/>
              <w:rPr>
                <w:rFonts w:asciiTheme="majorBidi" w:hAnsiTheme="majorBidi" w:cstheme="majorBidi"/>
                <w:sz w:val="17"/>
                <w:szCs w:val="17"/>
              </w:rPr>
            </w:pPr>
            <w:r w:rsidRPr="00C7077A">
              <w:rPr>
                <w:rFonts w:asciiTheme="majorBidi" w:hAnsiTheme="majorBidi" w:cstheme="majorBidi"/>
                <w:sz w:val="17"/>
                <w:szCs w:val="17"/>
              </w:rPr>
              <w:t>Reprint of the multilateral environmental agreements administered by the subprogramme, after amendments enter into force</w:t>
            </w:r>
          </w:p>
        </w:tc>
        <w:tc>
          <w:tcPr>
            <w:tcW w:w="724" w:type="dxa"/>
            <w:shd w:val="clear" w:color="auto" w:fill="auto"/>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themeColor="text1"/>
                <w:sz w:val="17"/>
                <w:szCs w:val="17"/>
                <w:lang w:eastAsia="zh-CN"/>
              </w:rPr>
              <w:t>1</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themeColor="text1"/>
                <w:sz w:val="17"/>
                <w:szCs w:val="17"/>
                <w:lang w:eastAsia="zh-CN"/>
              </w:rPr>
              <w:t>1</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themeColor="text1"/>
                <w:sz w:val="17"/>
                <w:szCs w:val="17"/>
                <w:lang w:eastAsia="zh-CN"/>
              </w:rPr>
              <w:t>1</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00C7077A">
              <w:rPr>
                <w:rFonts w:asciiTheme="majorBidi" w:hAnsiTheme="majorBidi" w:cstheme="majorBidi"/>
                <w:color w:val="000000" w:themeColor="text1"/>
                <w:sz w:val="17"/>
                <w:szCs w:val="17"/>
                <w:lang w:eastAsia="zh-CN"/>
              </w:rPr>
              <w:t>1</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5"/>
              </w:numPr>
              <w:tabs>
                <w:tab w:val="left" w:pos="288"/>
              </w:tabs>
              <w:spacing w:line="240" w:lineRule="exact"/>
              <w:ind w:left="0" w:right="140" w:firstLine="0"/>
              <w:rPr>
                <w:rFonts w:asciiTheme="majorBidi" w:hAnsiTheme="majorBidi" w:cstheme="majorBidi"/>
                <w:sz w:val="17"/>
                <w:szCs w:val="17"/>
              </w:rPr>
            </w:pPr>
            <w:r w:rsidRPr="00C7077A">
              <w:rPr>
                <w:rFonts w:asciiTheme="majorBidi" w:hAnsiTheme="majorBidi" w:cstheme="majorBidi"/>
                <w:sz w:val="17"/>
                <w:szCs w:val="17"/>
              </w:rPr>
              <w:t>Brochures on the multilateral environmental agreements administered by the subprogramme</w:t>
            </w:r>
          </w:p>
        </w:tc>
        <w:tc>
          <w:tcPr>
            <w:tcW w:w="724" w:type="dxa"/>
            <w:shd w:val="clear" w:color="auto" w:fill="auto"/>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0</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0</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Pr>
                <w:color w:val="000000" w:themeColor="text1"/>
                <w:sz w:val="17"/>
                <w:szCs w:val="17"/>
                <w:lang w:eastAsia="zh-CN"/>
              </w:rPr>
              <w:t>3</w:t>
            </w:r>
          </w:p>
        </w:tc>
        <w:tc>
          <w:tcPr>
            <w:tcW w:w="724" w:type="dxa"/>
          </w:tcPr>
          <w:p w:rsidR="00BB6B65" w:rsidRPr="00C7077A" w:rsidRDefault="00BB6B65" w:rsidP="00BD15B9">
            <w:pPr>
              <w:tabs>
                <w:tab w:val="left" w:pos="288"/>
              </w:tabs>
              <w:jc w:val="right"/>
              <w:rPr>
                <w:rFonts w:asciiTheme="majorBidi" w:hAnsiTheme="majorBidi" w:cstheme="majorBidi"/>
                <w:color w:val="000000" w:themeColor="text1"/>
                <w:sz w:val="17"/>
                <w:szCs w:val="17"/>
                <w:lang w:eastAsia="zh-CN"/>
              </w:rPr>
            </w:pPr>
            <w:r w:rsidRPr="4570F51D">
              <w:rPr>
                <w:color w:val="000000" w:themeColor="text1"/>
                <w:sz w:val="17"/>
                <w:szCs w:val="17"/>
                <w:lang w:eastAsia="zh-CN"/>
              </w:rPr>
              <w:t>2</w:t>
            </w:r>
          </w:p>
        </w:tc>
      </w:tr>
      <w:tr w:rsidR="00BB6B65" w:rsidRPr="00C7077A" w:rsidTr="00BD15B9">
        <w:tc>
          <w:tcPr>
            <w:tcW w:w="6975" w:type="dxa"/>
            <w:shd w:val="clear" w:color="auto" w:fill="auto"/>
            <w:vAlign w:val="bottom"/>
          </w:tcPr>
          <w:p w:rsidR="00BB6B65" w:rsidRPr="00BE7407"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576"/>
                <w:tab w:val="left" w:pos="864"/>
                <w:tab w:val="left" w:pos="1152"/>
              </w:tabs>
              <w:spacing w:before="40" w:after="40" w:line="210" w:lineRule="exact"/>
              <w:ind w:left="0" w:right="140"/>
              <w:jc w:val="left"/>
              <w:rPr>
                <w:rFonts w:asciiTheme="majorBidi" w:hAnsiTheme="majorBidi" w:cstheme="majorBidi"/>
              </w:rPr>
            </w:pPr>
            <w:r w:rsidRPr="00BE7407">
              <w:rPr>
                <w:rFonts w:asciiTheme="majorBidi" w:hAnsiTheme="majorBidi" w:cstheme="majorBidi"/>
              </w:rPr>
              <w:t>Non-quantified deliverables</w:t>
            </w:r>
          </w:p>
          <w:p w:rsidR="00BB6B65" w:rsidRPr="00C7077A" w:rsidRDefault="00BB6B65" w:rsidP="00BB6B65">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864"/>
                <w:tab w:val="left" w:pos="1152"/>
              </w:tabs>
              <w:spacing w:before="40" w:after="40" w:line="210" w:lineRule="exact"/>
              <w:ind w:left="0" w:right="140" w:firstLine="0"/>
              <w:jc w:val="left"/>
              <w:rPr>
                <w:rFonts w:asciiTheme="majorBidi" w:hAnsiTheme="majorBidi" w:cstheme="majorBidi"/>
              </w:rPr>
            </w:pPr>
            <w:r w:rsidRPr="00C7077A">
              <w:rPr>
                <w:rFonts w:asciiTheme="majorBidi" w:hAnsiTheme="majorBidi" w:cstheme="majorBidi"/>
                <w:b/>
                <w:bCs/>
              </w:rPr>
              <w:t>Substantive deliverables:</w:t>
            </w:r>
          </w:p>
        </w:tc>
        <w:tc>
          <w:tcPr>
            <w:tcW w:w="724" w:type="dxa"/>
            <w:shd w:val="clear" w:color="auto" w:fill="auto"/>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sz w:val="17"/>
                <w:szCs w:val="17"/>
              </w:rPr>
            </w:pPr>
          </w:p>
        </w:tc>
        <w:tc>
          <w:tcPr>
            <w:tcW w:w="724" w:type="dxa"/>
            <w:shd w:val="clear" w:color="auto" w:fill="auto"/>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sz w:val="17"/>
                <w:szCs w:val="17"/>
              </w:rPr>
            </w:pPr>
          </w:p>
        </w:tc>
        <w:tc>
          <w:tcPr>
            <w:tcW w:w="724" w:type="dxa"/>
            <w:shd w:val="clear" w:color="auto" w:fill="auto"/>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sz w:val="17"/>
                <w:szCs w:val="17"/>
              </w:rPr>
            </w:pPr>
          </w:p>
        </w:tc>
        <w:tc>
          <w:tcPr>
            <w:tcW w:w="724" w:type="dxa"/>
            <w:shd w:val="clear" w:color="auto" w:fill="auto"/>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sz w:val="17"/>
                <w:szCs w:val="17"/>
              </w:rPr>
            </w:pPr>
          </w:p>
        </w:tc>
      </w:tr>
      <w:tr w:rsidR="00BB6B65" w:rsidRPr="00C7077A" w:rsidTr="00BD15B9">
        <w:tc>
          <w:tcPr>
            <w:tcW w:w="9871" w:type="dxa"/>
            <w:gridSpan w:val="5"/>
            <w:shd w:val="clear" w:color="auto" w:fill="auto"/>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56"/>
                <w:tab w:val="left" w:pos="576"/>
                <w:tab w:val="left" w:pos="864"/>
                <w:tab w:val="left" w:pos="1152"/>
              </w:tabs>
              <w:spacing w:before="40" w:after="40"/>
              <w:ind w:left="0" w:right="43"/>
              <w:jc w:val="left"/>
              <w:rPr>
                <w:rFonts w:asciiTheme="majorBidi" w:eastAsia="Times New Roman" w:hAnsiTheme="majorBidi" w:cstheme="majorBidi"/>
                <w:sz w:val="17"/>
                <w:szCs w:val="17"/>
              </w:rPr>
            </w:pPr>
            <w:r w:rsidRPr="00C7077A">
              <w:rPr>
                <w:rFonts w:asciiTheme="majorBidi" w:hAnsiTheme="majorBidi" w:cstheme="majorBidi"/>
                <w:sz w:val="17"/>
                <w:szCs w:val="17"/>
              </w:rPr>
              <w:t xml:space="preserve">• </w:t>
            </w:r>
            <w:r w:rsidRPr="007D381D">
              <w:rPr>
                <w:rFonts w:asciiTheme="majorBidi" w:eastAsia="Times New Roman" w:hAnsiTheme="majorBidi" w:cstheme="majorBidi"/>
                <w:b/>
                <w:bCs/>
                <w:sz w:val="17"/>
                <w:szCs w:val="17"/>
              </w:rPr>
              <w:t>Consultation, advice and advocacy</w:t>
            </w:r>
            <w:r w:rsidRPr="00C7077A">
              <w:rPr>
                <w:rFonts w:asciiTheme="majorBidi" w:eastAsia="Times New Roman" w:hAnsiTheme="majorBidi" w:cstheme="majorBidi"/>
                <w:sz w:val="17"/>
                <w:szCs w:val="17"/>
              </w:rPr>
              <w:t>: Advisory services for Government officials and other stakeholders of countries members of the Special Programme for the Economies of Central Asia on water, energy and other environmental issues</w:t>
            </w:r>
          </w:p>
        </w:tc>
      </w:tr>
      <w:tr w:rsidR="00BB6B65" w:rsidRPr="00C7077A" w:rsidTr="00BD15B9">
        <w:tc>
          <w:tcPr>
            <w:tcW w:w="6975" w:type="dxa"/>
            <w:shd w:val="clear" w:color="auto" w:fill="auto"/>
            <w:vAlign w:val="bottom"/>
          </w:tcPr>
          <w:p w:rsidR="00BB6B65" w:rsidRPr="00C7077A" w:rsidRDefault="00BB6B65" w:rsidP="00BB6B65">
            <w:pPr>
              <w:pStyle w:val="SingleTxt"/>
              <w:numPr>
                <w:ilvl w:val="0"/>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356"/>
                <w:tab w:val="left" w:pos="576"/>
                <w:tab w:val="left" w:pos="1152"/>
              </w:tabs>
              <w:spacing w:before="40" w:after="40" w:line="210" w:lineRule="exact"/>
              <w:ind w:left="0" w:right="43" w:firstLine="0"/>
              <w:jc w:val="left"/>
              <w:rPr>
                <w:rFonts w:asciiTheme="majorBidi" w:hAnsiTheme="majorBidi" w:cstheme="majorBidi"/>
              </w:rPr>
            </w:pPr>
            <w:r w:rsidRPr="00C7077A">
              <w:rPr>
                <w:rFonts w:asciiTheme="majorBidi" w:hAnsiTheme="majorBidi" w:cstheme="majorBidi"/>
                <w:b/>
                <w:bCs/>
              </w:rPr>
              <w:t>Communication deliverables:</w:t>
            </w:r>
          </w:p>
        </w:tc>
        <w:tc>
          <w:tcPr>
            <w:tcW w:w="724" w:type="dxa"/>
            <w:shd w:val="clear" w:color="auto" w:fill="auto"/>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sz w:val="17"/>
                <w:szCs w:val="17"/>
              </w:rPr>
            </w:pPr>
          </w:p>
        </w:tc>
        <w:tc>
          <w:tcPr>
            <w:tcW w:w="724" w:type="dxa"/>
            <w:shd w:val="clear" w:color="auto" w:fill="auto"/>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sz w:val="17"/>
                <w:szCs w:val="17"/>
              </w:rPr>
            </w:pPr>
          </w:p>
        </w:tc>
        <w:tc>
          <w:tcPr>
            <w:tcW w:w="724" w:type="dxa"/>
            <w:shd w:val="clear" w:color="auto" w:fill="auto"/>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sz w:val="17"/>
                <w:szCs w:val="17"/>
              </w:rPr>
            </w:pPr>
          </w:p>
        </w:tc>
        <w:tc>
          <w:tcPr>
            <w:tcW w:w="724" w:type="dxa"/>
            <w:shd w:val="clear" w:color="auto" w:fill="auto"/>
            <w:vAlign w:val="bottom"/>
          </w:tcPr>
          <w:p w:rsidR="00BB6B65" w:rsidRPr="00C7077A" w:rsidRDefault="00BB6B65" w:rsidP="00BD15B9">
            <w:pPr>
              <w:tabs>
                <w:tab w:val="left" w:pos="288"/>
              </w:tabs>
              <w:spacing w:before="40" w:after="40" w:line="210" w:lineRule="exact"/>
              <w:ind w:right="43"/>
              <w:jc w:val="right"/>
              <w:rPr>
                <w:rFonts w:asciiTheme="majorBidi" w:hAnsiTheme="majorBidi" w:cstheme="majorBidi"/>
                <w:color w:val="000000"/>
                <w:sz w:val="17"/>
                <w:szCs w:val="17"/>
              </w:rPr>
            </w:pPr>
          </w:p>
        </w:tc>
      </w:tr>
      <w:tr w:rsidR="00BB6B65" w:rsidRPr="00C7077A" w:rsidTr="00BD15B9">
        <w:tc>
          <w:tcPr>
            <w:tcW w:w="9871" w:type="dxa"/>
            <w:gridSpan w:val="5"/>
            <w:tcBorders>
              <w:bottom w:val="single" w:sz="12" w:space="0" w:color="auto"/>
            </w:tcBorders>
            <w:shd w:val="clear" w:color="auto" w:fill="auto"/>
            <w:vAlign w:val="bottom"/>
          </w:tcPr>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56"/>
                <w:tab w:val="left" w:pos="576"/>
                <w:tab w:val="left" w:pos="864"/>
                <w:tab w:val="left" w:pos="1152"/>
              </w:tabs>
              <w:spacing w:before="40" w:after="40" w:line="210" w:lineRule="exact"/>
              <w:ind w:left="0" w:right="43"/>
              <w:jc w:val="left"/>
              <w:rPr>
                <w:rFonts w:asciiTheme="majorBidi" w:eastAsia="Times New Roman" w:hAnsiTheme="majorBidi" w:cstheme="majorBidi"/>
                <w:sz w:val="17"/>
                <w:szCs w:val="17"/>
              </w:rPr>
            </w:pPr>
            <w:r w:rsidRPr="00C7077A">
              <w:rPr>
                <w:rFonts w:asciiTheme="majorBidi" w:hAnsiTheme="majorBidi" w:cstheme="majorBidi"/>
                <w:sz w:val="17"/>
                <w:szCs w:val="17"/>
              </w:rPr>
              <w:t xml:space="preserve">• </w:t>
            </w:r>
            <w:r w:rsidRPr="007D381D">
              <w:rPr>
                <w:rFonts w:asciiTheme="majorBidi" w:eastAsia="Times New Roman" w:hAnsiTheme="majorBidi" w:cstheme="majorBidi"/>
                <w:b/>
                <w:bCs/>
                <w:sz w:val="17"/>
                <w:szCs w:val="17"/>
              </w:rPr>
              <w:t>Outreach programmes, special events and information materials</w:t>
            </w:r>
            <w:r w:rsidRPr="00C7077A">
              <w:rPr>
                <w:rFonts w:asciiTheme="majorBidi" w:eastAsia="Times New Roman" w:hAnsiTheme="majorBidi" w:cstheme="majorBidi"/>
                <w:sz w:val="17"/>
                <w:szCs w:val="17"/>
              </w:rPr>
              <w:t>: Environmental performance review (synopsis and highlights); Electronic newsletter of the Working Group on Environmental Monitoring and Assessment</w:t>
            </w:r>
          </w:p>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56"/>
                <w:tab w:val="left" w:pos="576"/>
                <w:tab w:val="left" w:pos="864"/>
                <w:tab w:val="left" w:pos="1152"/>
              </w:tabs>
              <w:spacing w:before="40" w:after="40" w:line="210" w:lineRule="exact"/>
              <w:ind w:left="0" w:right="43"/>
              <w:jc w:val="left"/>
              <w:rPr>
                <w:rFonts w:asciiTheme="majorBidi" w:eastAsia="Times New Roman" w:hAnsiTheme="majorBidi" w:cstheme="majorBidi"/>
                <w:sz w:val="17"/>
                <w:szCs w:val="17"/>
              </w:rPr>
            </w:pPr>
            <w:r w:rsidRPr="00C7077A">
              <w:rPr>
                <w:rFonts w:asciiTheme="majorBidi" w:hAnsiTheme="majorBidi" w:cstheme="majorBidi"/>
                <w:sz w:val="17"/>
                <w:szCs w:val="17"/>
              </w:rPr>
              <w:t xml:space="preserve">• </w:t>
            </w:r>
            <w:r w:rsidRPr="007D381D">
              <w:rPr>
                <w:rFonts w:asciiTheme="majorBidi" w:eastAsia="Times New Roman" w:hAnsiTheme="majorBidi" w:cstheme="majorBidi"/>
                <w:b/>
                <w:bCs/>
                <w:sz w:val="17"/>
                <w:szCs w:val="17"/>
                <w:lang w:val="en-US"/>
              </w:rPr>
              <w:t>External and media relations</w:t>
            </w:r>
            <w:r w:rsidRPr="00C7077A">
              <w:rPr>
                <w:rFonts w:asciiTheme="majorBidi" w:eastAsia="Times New Roman" w:hAnsiTheme="majorBidi" w:cstheme="majorBidi"/>
                <w:sz w:val="17"/>
                <w:szCs w:val="17"/>
                <w:lang w:val="en-US"/>
              </w:rPr>
              <w:t xml:space="preserve">: </w:t>
            </w:r>
            <w:r w:rsidRPr="00C7077A">
              <w:rPr>
                <w:rFonts w:asciiTheme="majorBidi" w:eastAsia="Times New Roman" w:hAnsiTheme="majorBidi" w:cstheme="majorBidi"/>
                <w:sz w:val="17"/>
                <w:szCs w:val="17"/>
              </w:rPr>
              <w:t>Press releases on environmental issues</w:t>
            </w:r>
          </w:p>
          <w:p w:rsidR="00BB6B65" w:rsidRPr="00C7077A" w:rsidRDefault="00BB6B65" w:rsidP="00BD15B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56"/>
                <w:tab w:val="left" w:pos="576"/>
                <w:tab w:val="left" w:pos="864"/>
                <w:tab w:val="left" w:pos="1152"/>
              </w:tabs>
              <w:spacing w:before="40" w:after="40" w:line="210" w:lineRule="exact"/>
              <w:ind w:left="0" w:right="43"/>
              <w:jc w:val="left"/>
              <w:rPr>
                <w:rFonts w:asciiTheme="majorBidi" w:eastAsia="Times New Roman" w:hAnsiTheme="majorBidi" w:cstheme="majorBidi"/>
                <w:sz w:val="17"/>
                <w:szCs w:val="17"/>
              </w:rPr>
            </w:pPr>
            <w:r w:rsidRPr="00C7077A">
              <w:rPr>
                <w:rFonts w:asciiTheme="majorBidi" w:hAnsiTheme="majorBidi" w:cstheme="majorBidi"/>
                <w:sz w:val="17"/>
                <w:szCs w:val="17"/>
              </w:rPr>
              <w:t xml:space="preserve">• </w:t>
            </w:r>
            <w:r w:rsidRPr="007D381D">
              <w:rPr>
                <w:rFonts w:asciiTheme="majorBidi" w:eastAsia="Times New Roman" w:hAnsiTheme="majorBidi" w:cstheme="majorBidi"/>
                <w:b/>
                <w:bCs/>
                <w:sz w:val="17"/>
                <w:szCs w:val="17"/>
                <w:lang w:val="en-US"/>
              </w:rPr>
              <w:t>Digital platforms and multimedia content</w:t>
            </w:r>
            <w:r w:rsidRPr="00C7077A">
              <w:rPr>
                <w:rFonts w:asciiTheme="majorBidi" w:eastAsia="Times New Roman" w:hAnsiTheme="majorBidi" w:cstheme="majorBidi"/>
                <w:sz w:val="17"/>
                <w:szCs w:val="17"/>
                <w:lang w:val="en-US"/>
              </w:rPr>
              <w:t xml:space="preserve">: </w:t>
            </w:r>
            <w:r w:rsidRPr="00C7077A">
              <w:rPr>
                <w:rFonts w:asciiTheme="majorBidi" w:eastAsia="Times New Roman" w:hAnsiTheme="majorBidi" w:cstheme="majorBidi"/>
                <w:sz w:val="17"/>
                <w:szCs w:val="17"/>
              </w:rPr>
              <w:t xml:space="preserve">Update and maintenance of a website of the subprogramme </w:t>
            </w:r>
          </w:p>
        </w:tc>
      </w:tr>
    </w:tbl>
    <w:p w:rsidR="00B17728" w:rsidRPr="00FA15F5" w:rsidRDefault="00B17728" w:rsidP="00A77762">
      <w:pPr>
        <w:autoSpaceDE w:val="0"/>
        <w:autoSpaceDN w:val="0"/>
        <w:adjustRightInd w:val="0"/>
        <w:spacing w:after="0" w:line="240" w:lineRule="auto"/>
        <w:ind w:right="-540"/>
        <w:rPr>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p>
    <w:sectPr w:rsidR="00B17728" w:rsidRPr="00FA15F5" w:rsidSect="00C0699D">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053" w:rsidRDefault="00015053" w:rsidP="00064EEC">
      <w:pPr>
        <w:spacing w:after="0" w:line="240" w:lineRule="auto"/>
      </w:pPr>
      <w:r>
        <w:separator/>
      </w:r>
    </w:p>
  </w:endnote>
  <w:endnote w:type="continuationSeparator" w:id="0">
    <w:p w:rsidR="00015053" w:rsidRDefault="00015053" w:rsidP="0006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053" w:rsidRDefault="00015053" w:rsidP="00064EEC">
      <w:pPr>
        <w:spacing w:after="0" w:line="240" w:lineRule="auto"/>
      </w:pPr>
      <w:r>
        <w:separator/>
      </w:r>
    </w:p>
  </w:footnote>
  <w:footnote w:type="continuationSeparator" w:id="0">
    <w:p w:rsidR="00015053" w:rsidRDefault="00015053" w:rsidP="00064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BE8"/>
    <w:multiLevelType w:val="hybridMultilevel"/>
    <w:tmpl w:val="7DEAE566"/>
    <w:lvl w:ilvl="0" w:tplc="FFFFFFFF">
      <w:start w:val="1"/>
      <w:numFmt w:val="decimal"/>
      <w:lvlText w:val="%1."/>
      <w:lvlJc w:val="left"/>
      <w:pPr>
        <w:ind w:left="450" w:hanging="360"/>
      </w:pPr>
      <w:rPr>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A5164"/>
    <w:multiLevelType w:val="hybridMultilevel"/>
    <w:tmpl w:val="A55A2214"/>
    <w:lvl w:ilvl="0" w:tplc="21BA3F42">
      <w:start w:val="1"/>
      <w:numFmt w:val="decimal"/>
      <w:lvlText w:val="%1."/>
      <w:lvlJc w:val="left"/>
      <w:pPr>
        <w:ind w:left="786" w:hanging="360"/>
      </w:pPr>
      <w:rPr>
        <w:b w:val="0"/>
        <w:bCs w:val="0"/>
        <w:sz w:val="20"/>
        <w:szCs w:val="20"/>
      </w:rPr>
    </w:lvl>
    <w:lvl w:ilvl="1" w:tplc="08090019">
      <w:start w:val="1"/>
      <w:numFmt w:val="lowerLetter"/>
      <w:lvlText w:val="%2."/>
      <w:lvlJc w:val="left"/>
      <w:pPr>
        <w:ind w:left="1440" w:hanging="360"/>
      </w:pPr>
    </w:lvl>
    <w:lvl w:ilvl="2" w:tplc="DA78E9EC">
      <w:start w:val="1"/>
      <w:numFmt w:val="lowerLetter"/>
      <w:lvlText w:val="(%3)"/>
      <w:lvlJc w:val="left"/>
      <w:pPr>
        <w:ind w:left="2415" w:hanging="43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1784C"/>
    <w:multiLevelType w:val="hybridMultilevel"/>
    <w:tmpl w:val="A2067184"/>
    <w:lvl w:ilvl="0" w:tplc="4EF45EBC">
      <w:start w:val="1"/>
      <w:numFmt w:val="upperLetter"/>
      <w:lvlText w:val="%1."/>
      <w:lvlJc w:val="left"/>
      <w:pPr>
        <w:ind w:left="720" w:hanging="360"/>
      </w:pPr>
      <w:rPr>
        <w:b/>
        <w:bCs/>
      </w:rPr>
    </w:lvl>
    <w:lvl w:ilvl="1" w:tplc="DE1C9450">
      <w:start w:val="1"/>
      <w:numFmt w:val="lowerLetter"/>
      <w:lvlText w:val="%2."/>
      <w:lvlJc w:val="left"/>
      <w:pPr>
        <w:ind w:left="1440" w:hanging="360"/>
      </w:pPr>
    </w:lvl>
    <w:lvl w:ilvl="2" w:tplc="64383BCA">
      <w:start w:val="1"/>
      <w:numFmt w:val="lowerRoman"/>
      <w:lvlText w:val="%3."/>
      <w:lvlJc w:val="right"/>
      <w:pPr>
        <w:ind w:left="2160" w:hanging="180"/>
      </w:pPr>
    </w:lvl>
    <w:lvl w:ilvl="3" w:tplc="33B28F24">
      <w:start w:val="1"/>
      <w:numFmt w:val="decimal"/>
      <w:lvlText w:val="%4."/>
      <w:lvlJc w:val="left"/>
      <w:pPr>
        <w:ind w:left="2880" w:hanging="360"/>
      </w:pPr>
    </w:lvl>
    <w:lvl w:ilvl="4" w:tplc="FEF0E966">
      <w:start w:val="1"/>
      <w:numFmt w:val="lowerLetter"/>
      <w:lvlText w:val="%5."/>
      <w:lvlJc w:val="left"/>
      <w:pPr>
        <w:ind w:left="3600" w:hanging="360"/>
      </w:pPr>
    </w:lvl>
    <w:lvl w:ilvl="5" w:tplc="90BE47D8">
      <w:start w:val="1"/>
      <w:numFmt w:val="lowerRoman"/>
      <w:lvlText w:val="%6."/>
      <w:lvlJc w:val="right"/>
      <w:pPr>
        <w:ind w:left="4320" w:hanging="180"/>
      </w:pPr>
    </w:lvl>
    <w:lvl w:ilvl="6" w:tplc="A22E6BB8">
      <w:start w:val="1"/>
      <w:numFmt w:val="decimal"/>
      <w:lvlText w:val="%7."/>
      <w:lvlJc w:val="left"/>
      <w:pPr>
        <w:ind w:left="5040" w:hanging="360"/>
      </w:pPr>
    </w:lvl>
    <w:lvl w:ilvl="7" w:tplc="DFB4A27A">
      <w:start w:val="1"/>
      <w:numFmt w:val="lowerLetter"/>
      <w:lvlText w:val="%8."/>
      <w:lvlJc w:val="left"/>
      <w:pPr>
        <w:ind w:left="5760" w:hanging="360"/>
      </w:pPr>
    </w:lvl>
    <w:lvl w:ilvl="8" w:tplc="A8369ADC">
      <w:start w:val="1"/>
      <w:numFmt w:val="lowerRoman"/>
      <w:lvlText w:val="%9."/>
      <w:lvlJc w:val="right"/>
      <w:pPr>
        <w:ind w:left="6480" w:hanging="180"/>
      </w:pPr>
    </w:lvl>
  </w:abstractNum>
  <w:abstractNum w:abstractNumId="3" w15:restartNumberingAfterBreak="0">
    <w:nsid w:val="2ED96627"/>
    <w:multiLevelType w:val="hybridMultilevel"/>
    <w:tmpl w:val="58BC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82917"/>
    <w:multiLevelType w:val="hybridMultilevel"/>
    <w:tmpl w:val="E05E09A4"/>
    <w:lvl w:ilvl="0" w:tplc="4DA62DFC">
      <w:start w:val="1"/>
      <w:numFmt w:val="upperLetter"/>
      <w:lvlText w:val="%1."/>
      <w:lvlJc w:val="left"/>
      <w:pPr>
        <w:ind w:left="2204" w:hanging="360"/>
      </w:pPr>
      <w:rPr>
        <w:b/>
        <w:bCs/>
        <w:sz w:val="20"/>
        <w:szCs w:val="20"/>
      </w:rPr>
    </w:lvl>
    <w:lvl w:ilvl="1" w:tplc="04090019" w:tentative="1">
      <w:start w:val="1"/>
      <w:numFmt w:val="lowerLetter"/>
      <w:lvlText w:val="%2."/>
      <w:lvlJc w:val="left"/>
      <w:pPr>
        <w:ind w:left="678" w:hanging="360"/>
      </w:pPr>
    </w:lvl>
    <w:lvl w:ilvl="2" w:tplc="0409001B" w:tentative="1">
      <w:start w:val="1"/>
      <w:numFmt w:val="lowerRoman"/>
      <w:lvlText w:val="%3."/>
      <w:lvlJc w:val="right"/>
      <w:pPr>
        <w:ind w:left="1398" w:hanging="180"/>
      </w:pPr>
    </w:lvl>
    <w:lvl w:ilvl="3" w:tplc="0409000F" w:tentative="1">
      <w:start w:val="1"/>
      <w:numFmt w:val="decimal"/>
      <w:lvlText w:val="%4."/>
      <w:lvlJc w:val="left"/>
      <w:pPr>
        <w:ind w:left="2118" w:hanging="360"/>
      </w:pPr>
    </w:lvl>
    <w:lvl w:ilvl="4" w:tplc="04090019" w:tentative="1">
      <w:start w:val="1"/>
      <w:numFmt w:val="lowerLetter"/>
      <w:lvlText w:val="%5."/>
      <w:lvlJc w:val="left"/>
      <w:pPr>
        <w:ind w:left="2838" w:hanging="360"/>
      </w:pPr>
    </w:lvl>
    <w:lvl w:ilvl="5" w:tplc="0409001B" w:tentative="1">
      <w:start w:val="1"/>
      <w:numFmt w:val="lowerRoman"/>
      <w:lvlText w:val="%6."/>
      <w:lvlJc w:val="right"/>
      <w:pPr>
        <w:ind w:left="3558" w:hanging="180"/>
      </w:pPr>
    </w:lvl>
    <w:lvl w:ilvl="6" w:tplc="0409000F" w:tentative="1">
      <w:start w:val="1"/>
      <w:numFmt w:val="decimal"/>
      <w:lvlText w:val="%7."/>
      <w:lvlJc w:val="left"/>
      <w:pPr>
        <w:ind w:left="4278" w:hanging="360"/>
      </w:pPr>
    </w:lvl>
    <w:lvl w:ilvl="7" w:tplc="04090019" w:tentative="1">
      <w:start w:val="1"/>
      <w:numFmt w:val="lowerLetter"/>
      <w:lvlText w:val="%8."/>
      <w:lvlJc w:val="left"/>
      <w:pPr>
        <w:ind w:left="4998" w:hanging="360"/>
      </w:pPr>
    </w:lvl>
    <w:lvl w:ilvl="8" w:tplc="0409001B" w:tentative="1">
      <w:start w:val="1"/>
      <w:numFmt w:val="lowerRoman"/>
      <w:lvlText w:val="%9."/>
      <w:lvlJc w:val="right"/>
      <w:pPr>
        <w:ind w:left="5718" w:hanging="180"/>
      </w:pPr>
    </w:lvl>
  </w:abstractNum>
  <w:abstractNum w:abstractNumId="5" w15:restartNumberingAfterBreak="0">
    <w:nsid w:val="4B4A1DB7"/>
    <w:multiLevelType w:val="hybridMultilevel"/>
    <w:tmpl w:val="4080F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E13831"/>
    <w:multiLevelType w:val="hybridMultilevel"/>
    <w:tmpl w:val="82EE8C52"/>
    <w:lvl w:ilvl="0" w:tplc="B3E02798">
      <w:start w:val="1"/>
      <w:numFmt w:val="decimal"/>
      <w:lvlText w:val="S.20.%1."/>
      <w:lvlJc w:val="left"/>
      <w:pPr>
        <w:tabs>
          <w:tab w:val="num" w:pos="475"/>
        </w:tabs>
        <w:ind w:left="0" w:firstLine="0"/>
      </w:pPr>
      <w:rPr>
        <w:rFonts w:hint="default"/>
        <w:spacing w:val="0"/>
        <w:w w:val="10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F5"/>
    <w:rsid w:val="00015053"/>
    <w:rsid w:val="00030419"/>
    <w:rsid w:val="000376A5"/>
    <w:rsid w:val="00064EEC"/>
    <w:rsid w:val="0007457C"/>
    <w:rsid w:val="00077ABB"/>
    <w:rsid w:val="000866DB"/>
    <w:rsid w:val="000C296F"/>
    <w:rsid w:val="000C5100"/>
    <w:rsid w:val="000E4778"/>
    <w:rsid w:val="000E7CDC"/>
    <w:rsid w:val="00110D24"/>
    <w:rsid w:val="001369E7"/>
    <w:rsid w:val="0018536E"/>
    <w:rsid w:val="001A3FBE"/>
    <w:rsid w:val="00217DE3"/>
    <w:rsid w:val="00280D3F"/>
    <w:rsid w:val="002A1291"/>
    <w:rsid w:val="002D7D00"/>
    <w:rsid w:val="003129A8"/>
    <w:rsid w:val="003307F9"/>
    <w:rsid w:val="00361ACA"/>
    <w:rsid w:val="003C5184"/>
    <w:rsid w:val="00403606"/>
    <w:rsid w:val="004A131A"/>
    <w:rsid w:val="004A39B7"/>
    <w:rsid w:val="005C3376"/>
    <w:rsid w:val="005F1245"/>
    <w:rsid w:val="00650E53"/>
    <w:rsid w:val="00695F3B"/>
    <w:rsid w:val="006D3BF3"/>
    <w:rsid w:val="006D55B0"/>
    <w:rsid w:val="00730D92"/>
    <w:rsid w:val="007834D3"/>
    <w:rsid w:val="00796F48"/>
    <w:rsid w:val="007D3F8D"/>
    <w:rsid w:val="007E42D8"/>
    <w:rsid w:val="00840AEA"/>
    <w:rsid w:val="008447A0"/>
    <w:rsid w:val="0087260A"/>
    <w:rsid w:val="008C48C4"/>
    <w:rsid w:val="008F024E"/>
    <w:rsid w:val="009301F8"/>
    <w:rsid w:val="009534DE"/>
    <w:rsid w:val="009637AA"/>
    <w:rsid w:val="009B115A"/>
    <w:rsid w:val="00A77762"/>
    <w:rsid w:val="00AE6E10"/>
    <w:rsid w:val="00B17728"/>
    <w:rsid w:val="00B17A80"/>
    <w:rsid w:val="00B56100"/>
    <w:rsid w:val="00BA56ED"/>
    <w:rsid w:val="00BA742A"/>
    <w:rsid w:val="00BB6B65"/>
    <w:rsid w:val="00C0699D"/>
    <w:rsid w:val="00C072D8"/>
    <w:rsid w:val="00C2079E"/>
    <w:rsid w:val="00C62F13"/>
    <w:rsid w:val="00C853B0"/>
    <w:rsid w:val="00CD74A8"/>
    <w:rsid w:val="00CF0AF3"/>
    <w:rsid w:val="00D03CD5"/>
    <w:rsid w:val="00D03E91"/>
    <w:rsid w:val="00D27739"/>
    <w:rsid w:val="00D65117"/>
    <w:rsid w:val="00D81DD1"/>
    <w:rsid w:val="00DD081C"/>
    <w:rsid w:val="00DD1F73"/>
    <w:rsid w:val="00E67B3F"/>
    <w:rsid w:val="00EB4EFD"/>
    <w:rsid w:val="00EC157A"/>
    <w:rsid w:val="00EC23E1"/>
    <w:rsid w:val="00FA15F5"/>
    <w:rsid w:val="00FA6D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51402"/>
  <w15:chartTrackingRefBased/>
  <w15:docId w15:val="{4DC42CF3-FB8E-4604-9F0B-F7F2AC96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EEC"/>
  </w:style>
  <w:style w:type="paragraph" w:styleId="Footer">
    <w:name w:val="footer"/>
    <w:basedOn w:val="Normal"/>
    <w:link w:val="FooterChar"/>
    <w:uiPriority w:val="99"/>
    <w:unhideWhenUsed/>
    <w:rsid w:val="0006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EEC"/>
  </w:style>
  <w:style w:type="paragraph" w:styleId="BalloonText">
    <w:name w:val="Balloon Text"/>
    <w:basedOn w:val="Normal"/>
    <w:link w:val="BalloonTextChar"/>
    <w:uiPriority w:val="99"/>
    <w:semiHidden/>
    <w:unhideWhenUsed/>
    <w:rsid w:val="00074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7C"/>
    <w:rPr>
      <w:rFonts w:ascii="Segoe UI" w:hAnsi="Segoe UI" w:cs="Segoe UI"/>
      <w:sz w:val="18"/>
      <w:szCs w:val="18"/>
    </w:rPr>
  </w:style>
  <w:style w:type="paragraph" w:styleId="ListParagraph">
    <w:name w:val="List Paragraph"/>
    <w:basedOn w:val="Normal"/>
    <w:uiPriority w:val="1"/>
    <w:qFormat/>
    <w:rsid w:val="0007457C"/>
    <w:pPr>
      <w:ind w:left="720"/>
      <w:contextualSpacing/>
    </w:pPr>
  </w:style>
  <w:style w:type="paragraph" w:customStyle="1" w:styleId="H1">
    <w:name w:val="_ H_1"/>
    <w:basedOn w:val="Normal"/>
    <w:next w:val="SingleTxt"/>
    <w:link w:val="H1Char"/>
    <w:rsid w:val="00BB6B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cs="Times New Roman"/>
      <w:b/>
      <w:spacing w:val="4"/>
      <w:w w:val="103"/>
      <w:kern w:val="14"/>
      <w:sz w:val="24"/>
      <w:szCs w:val="20"/>
      <w:lang w:val="en-GB"/>
    </w:rPr>
  </w:style>
  <w:style w:type="paragraph" w:customStyle="1" w:styleId="SingleTxt">
    <w:name w:val="__Single Txt"/>
    <w:basedOn w:val="Normal"/>
    <w:link w:val="SingleTxtChar"/>
    <w:qFormat/>
    <w:rsid w:val="00BB6B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SingleTxtChar">
    <w:name w:val="__Single Txt Char"/>
    <w:link w:val="SingleTxt"/>
    <w:qFormat/>
    <w:rsid w:val="00BB6B65"/>
    <w:rPr>
      <w:rFonts w:ascii="Times New Roman" w:hAnsi="Times New Roman" w:cs="Times New Roman"/>
      <w:spacing w:val="4"/>
      <w:w w:val="103"/>
      <w:kern w:val="14"/>
      <w:sz w:val="20"/>
      <w:szCs w:val="20"/>
      <w:lang w:val="en-GB"/>
    </w:rPr>
  </w:style>
  <w:style w:type="table" w:styleId="TableGrid">
    <w:name w:val="Table Grid"/>
    <w:basedOn w:val="TableNormal"/>
    <w:rsid w:val="00BB6B65"/>
    <w:pPr>
      <w:suppressAutoHyphens/>
      <w:spacing w:after="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Char">
    <w:name w:val="_ H_1 Char"/>
    <w:basedOn w:val="DefaultParagraphFont"/>
    <w:link w:val="H1"/>
    <w:rsid w:val="00BB6B65"/>
    <w:rPr>
      <w:rFonts w:ascii="Times New Roman" w:hAnsi="Times New Roman" w:cs="Times New Roman"/>
      <w:b/>
      <w:spacing w:val="4"/>
      <w:w w:val="103"/>
      <w:kern w:val="14"/>
      <w:sz w:val="24"/>
      <w:szCs w:val="20"/>
      <w:lang w:val="en-GB"/>
    </w:rPr>
  </w:style>
  <w:style w:type="paragraph" w:customStyle="1" w:styleId="HCh">
    <w:name w:val="_ H _Ch"/>
    <w:basedOn w:val="H1"/>
    <w:next w:val="SingleTxt"/>
    <w:rsid w:val="00BB6B65"/>
    <w:pPr>
      <w:spacing w:line="300" w:lineRule="exact"/>
      <w:ind w:left="0" w:right="0" w:firstLine="0"/>
    </w:pPr>
    <w:rPr>
      <w:spacing w:val="-2"/>
      <w:sz w:val="28"/>
    </w:rPr>
  </w:style>
  <w:style w:type="character" w:styleId="Hyperlink">
    <w:name w:val="Hyperlink"/>
    <w:basedOn w:val="DefaultParagraphFont"/>
    <w:rsid w:val="00BB6B6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undocs.org/A/RES/64/200" TargetMode="External"/><Relationship Id="rId26" Type="http://schemas.openxmlformats.org/officeDocument/2006/relationships/hyperlink" Target="http://www.un.org/en/ga/search/view_doc.asp?symbol=A/RES/71/313" TargetMode="External"/><Relationship Id="rId39" Type="http://schemas.openxmlformats.org/officeDocument/2006/relationships/hyperlink" Target="https://www.unece.org/fileadmin/DAM/env/documents/2017/EIA/MOP7/21_08_ece_mp.eia_2017_23_Add.3_ece_mp.eia_sea_7_Add3_unedited.pdf" TargetMode="External"/><Relationship Id="rId3" Type="http://schemas.openxmlformats.org/officeDocument/2006/relationships/settings" Target="settings.xml"/><Relationship Id="rId21" Type="http://schemas.openxmlformats.org/officeDocument/2006/relationships/hyperlink" Target="http://www.un.org/en/ga/search/view_doc.asp?symbol=A/RES/69/215" TargetMode="External"/><Relationship Id="rId34" Type="http://schemas.openxmlformats.org/officeDocument/2006/relationships/hyperlink" Target="https://www.unece.org/fileadmin/DAM/env/documents/2016/ece/ece.batumi.conf.2016.2.add.1.e.pdf" TargetMode="External"/><Relationship Id="rId42" Type="http://schemas.openxmlformats.org/officeDocument/2006/relationships/hyperlink" Target="https://www.unece.org/fileadmin/DAM/env/documents/2015/WAT/11Nov_17-19_MOP7_Budapest/ece_mp.wat_49_eng.pdf"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un.org/en/ga/search/view_doc.asp?symbol=A/RES/62/68" TargetMode="External"/><Relationship Id="rId25" Type="http://schemas.openxmlformats.org/officeDocument/2006/relationships/hyperlink" Target="https://digitallibrary.un.org/record/859143/files/A_RES_71_222-EN.pdf" TargetMode="External"/><Relationship Id="rId33" Type="http://schemas.openxmlformats.org/officeDocument/2006/relationships/hyperlink" Target="http://www.unece.org/fileadmin/DAM/env/documents/2011/ece/ece.astana.conf.2011.2.add.1.e.pdf" TargetMode="External"/><Relationship Id="rId38" Type="http://schemas.openxmlformats.org/officeDocument/2006/relationships/hyperlink" Target="https://www.unece.org/fileadmin/DAM/env/documents/2017/EIA/MOP7/ece_mp.eia_2017_23_Add.2_ece_mp.eia_sea_7_Add.2_Unedited.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org/ga/search/view_doc.asp?symbol=A/RES/47/193" TargetMode="External"/><Relationship Id="rId20" Type="http://schemas.openxmlformats.org/officeDocument/2006/relationships/hyperlink" Target="http://www.un.org/en/ga/search/view_doc.asp?symbol=A/RES/69/172" TargetMode="External"/><Relationship Id="rId29" Type="http://schemas.openxmlformats.org/officeDocument/2006/relationships/hyperlink" Target="http://www.un.org/en/ga/73/resolutions.shtml" TargetMode="External"/><Relationship Id="rId41" Type="http://schemas.openxmlformats.org/officeDocument/2006/relationships/hyperlink" Target="https://www.unece.org/fileadmin/DAM/env/documents/2016/TEIA/COP/E_ECE.CP.TEIA.32.Add.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un.org/en/ga/70/resolutions.shtml" TargetMode="External"/><Relationship Id="rId32" Type="http://schemas.openxmlformats.org/officeDocument/2006/relationships/hyperlink" Target="http://www.unece.org/fileadmin/DAM/thepep/images/ECE.AC._21._2014._2_E.pdf" TargetMode="External"/><Relationship Id="rId37" Type="http://schemas.openxmlformats.org/officeDocument/2006/relationships/hyperlink" Target="https://www.unece.org/fileadmin/DAM/env/documents/2017/EIA/MOP7/21_08_ece_mp.eia_2017_23_Add.1_ece_mp.eia_sea_7_Add.1_unedited.pdf" TargetMode="External"/><Relationship Id="rId40" Type="http://schemas.openxmlformats.org/officeDocument/2006/relationships/hyperlink" Target="https://www.unece.org/fileadmin/DAM/env/documents/2016/TEIA/COP/E_ECE.CP.TEIA.32.pdf" TargetMode="External"/><Relationship Id="rId45" Type="http://schemas.openxmlformats.org/officeDocument/2006/relationships/hyperlink" Target="https://www.unece.org/environmental-policy/conventions/water/envwatermeetings/water/meeting-of-the-parties-to-the-protocol-on-water-and-health/2016/fourth-session-of-the-meeting-of-the-parties-to-the-protocol-on-water-and-health/mop4-documents.html" TargetMode="External"/><Relationship Id="rId5" Type="http://schemas.openxmlformats.org/officeDocument/2006/relationships/footnotes" Target="footnotes.xml"/><Relationship Id="rId15" Type="http://schemas.openxmlformats.org/officeDocument/2006/relationships/hyperlink" Target="http://www.un-documents.net/a27r2994.htm" TargetMode="External"/><Relationship Id="rId23" Type="http://schemas.openxmlformats.org/officeDocument/2006/relationships/hyperlink" Target="http://www.un.org/en/ga/search/view_doc.asp?symbol=A/RES/70/169" TargetMode="External"/><Relationship Id="rId28" Type="http://schemas.openxmlformats.org/officeDocument/2006/relationships/hyperlink" Target="http://www.un.org/en/ga/72/resolutions.shtml" TargetMode="External"/><Relationship Id="rId36" Type="http://schemas.openxmlformats.org/officeDocument/2006/relationships/hyperlink" Target="https://www.unece.org/fileadmin/DAM/env/documents/2017/EIA/MOP7/ece_mp.eia_23_ece_mp.eia_sea_7_rev2_Unedited.pdf" TargetMode="External"/><Relationship Id="rId10" Type="http://schemas.openxmlformats.org/officeDocument/2006/relationships/image" Target="media/image4.png"/><Relationship Id="rId19" Type="http://schemas.openxmlformats.org/officeDocument/2006/relationships/hyperlink" Target="http://undocs.org/A/RES/67/291" TargetMode="External"/><Relationship Id="rId31" Type="http://schemas.openxmlformats.org/officeDocument/2006/relationships/hyperlink" Target="http://www.unece.org/fileadmin/DAM/env/documents/2007/ece/ece.belgrade.conf.2007.4.add.1.e.pdf" TargetMode="External"/><Relationship Id="rId44" Type="http://schemas.openxmlformats.org/officeDocument/2006/relationships/hyperlink" Target="https://www.unece.org/fileadmin/DAM/env/documents/2015/WAT/11Nov_17-19_MOP7_Budapest/ece.mp.wat.49.add.2.eng.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hyperlink" Target="http://www.un.org/en/ga/search/view_doc.asp?symbol=A/RES/69/235" TargetMode="External"/><Relationship Id="rId27" Type="http://schemas.openxmlformats.org/officeDocument/2006/relationships/hyperlink" Target="https://unstats.un.org/unsd/statcom/48th-session/documents/2017-2-IAEG-SDGs-E.pdf" TargetMode="External"/><Relationship Id="rId30" Type="http://schemas.openxmlformats.org/officeDocument/2006/relationships/hyperlink" Target="http://www.unece.org/fileadmin/DAM/env/documents/2005/cep/ac.13/cep.ac.13.2005.3.rev.1.e.pdf" TargetMode="External"/><Relationship Id="rId35" Type="http://schemas.openxmlformats.org/officeDocument/2006/relationships/hyperlink" Target="https://www.unece.org/fileadmin/DAM/env/documents/2016/ece/ece.batumi.conf.2016.2.add.2.e.pdf" TargetMode="External"/><Relationship Id="rId43" Type="http://schemas.openxmlformats.org/officeDocument/2006/relationships/hyperlink" Target="https://www.unece.org/fileadmin/DAM/env/documents/2015/WAT/11Nov_17-19_MOP7_Budapest/ECE_MP.WAT_49_ADD.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Yampolskyi</dc:creator>
  <cp:keywords/>
  <dc:description/>
  <cp:lastModifiedBy>Yaroslav Bulych</cp:lastModifiedBy>
  <cp:revision>6</cp:revision>
  <dcterms:created xsi:type="dcterms:W3CDTF">2019-01-04T17:36:00Z</dcterms:created>
  <dcterms:modified xsi:type="dcterms:W3CDTF">2019-01-21T09:39:00Z</dcterms:modified>
</cp:coreProperties>
</file>