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5FE" w:rsidRPr="006461BE" w:rsidRDefault="006461BE" w:rsidP="00110B5F">
      <w:pPr>
        <w:spacing w:before="120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Европейская Экономическая комиссия</w:t>
      </w:r>
    </w:p>
    <w:p w:rsidR="00D475FE" w:rsidRPr="006461BE" w:rsidRDefault="006461BE" w:rsidP="00110B5F">
      <w:pPr>
        <w:spacing w:before="120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Комитет по экологической политике</w:t>
      </w:r>
    </w:p>
    <w:p w:rsidR="00914CAA" w:rsidRDefault="00914CAA" w:rsidP="00914CAA">
      <w:pPr>
        <w:pStyle w:val="Default"/>
      </w:pPr>
    </w:p>
    <w:p w:rsidR="00680E9D" w:rsidRDefault="00680E9D" w:rsidP="00680E9D">
      <w:pPr>
        <w:keepNext/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>Twenty-fourth session</w:t>
      </w:r>
    </w:p>
    <w:p w:rsidR="00680E9D" w:rsidRDefault="00680E9D" w:rsidP="00680E9D">
      <w:pPr>
        <w:keepNext/>
        <w:rPr>
          <w:sz w:val="22"/>
          <w:szCs w:val="22"/>
          <w:lang w:val="en-US"/>
        </w:rPr>
      </w:pPr>
      <w:r>
        <w:rPr>
          <w:lang w:val="en-US"/>
        </w:rPr>
        <w:t>Geneva, 29–31 January 2019</w:t>
      </w:r>
    </w:p>
    <w:p w:rsidR="00680E9D" w:rsidRDefault="00680E9D" w:rsidP="00680E9D">
      <w:pPr>
        <w:keepNext/>
        <w:rPr>
          <w:lang w:val="en-US"/>
        </w:rPr>
      </w:pPr>
      <w:r>
        <w:rPr>
          <w:lang w:val="en-US"/>
        </w:rPr>
        <w:t>Item 5 of the provisional agenda</w:t>
      </w:r>
    </w:p>
    <w:p w:rsidR="00680E9D" w:rsidRDefault="00680E9D" w:rsidP="00680E9D">
      <w:pPr>
        <w:pStyle w:val="Heading2"/>
        <w:keepNext/>
        <w:spacing w:after="240"/>
        <w:ind w:right="3600"/>
        <w:rPr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Environmental monitoring, assessment and reporting </w:t>
      </w:r>
      <w:bookmarkStart w:id="0" w:name="_GoBack"/>
      <w:bookmarkEnd w:id="0"/>
    </w:p>
    <w:p w:rsidR="00680E9D" w:rsidRDefault="00680E9D" w:rsidP="00680E9D">
      <w:pPr>
        <w:pStyle w:val="BodyText2"/>
        <w:keepNext/>
        <w:spacing w:after="0" w:line="240" w:lineRule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Information paper No. 15</w:t>
      </w:r>
    </w:p>
    <w:p w:rsidR="00680E9D" w:rsidRDefault="00680E9D" w:rsidP="00680E9D">
      <w:pPr>
        <w:rPr>
          <w:sz w:val="22"/>
          <w:szCs w:val="22"/>
          <w:lang w:eastAsia="fr-FR"/>
        </w:rPr>
      </w:pPr>
      <w:r>
        <w:rPr>
          <w:lang w:val="en-US" w:eastAsia="fr-FR"/>
        </w:rPr>
        <w:t>25 January 2019</w:t>
      </w:r>
    </w:p>
    <w:p w:rsidR="00D475FE" w:rsidRPr="006461BE" w:rsidRDefault="00565F4A" w:rsidP="00914CAA">
      <w:pPr>
        <w:pStyle w:val="HMG"/>
        <w:rPr>
          <w:color w:val="FF0000"/>
          <w:lang w:val="ru-RU"/>
        </w:rPr>
      </w:pPr>
      <w:r w:rsidRPr="006461BE">
        <w:rPr>
          <w:lang w:val="ru-RU"/>
        </w:rPr>
        <w:tab/>
      </w:r>
      <w:r w:rsidRPr="006461BE">
        <w:rPr>
          <w:lang w:val="ru-RU"/>
        </w:rPr>
        <w:tab/>
      </w:r>
      <w:r w:rsidR="006461BE">
        <w:rPr>
          <w:lang w:val="ru-RU"/>
        </w:rPr>
        <w:t>Проект</w:t>
      </w:r>
      <w:r w:rsidR="006461BE" w:rsidRPr="006461BE">
        <w:rPr>
          <w:lang w:val="ru-RU"/>
        </w:rPr>
        <w:t xml:space="preserve"> </w:t>
      </w:r>
      <w:r w:rsidR="006461BE">
        <w:rPr>
          <w:lang w:val="ru-RU"/>
        </w:rPr>
        <w:t>концепции</w:t>
      </w:r>
      <w:r w:rsidR="006461BE" w:rsidRPr="006461BE">
        <w:rPr>
          <w:lang w:val="ru-RU"/>
        </w:rPr>
        <w:t xml:space="preserve"> </w:t>
      </w:r>
      <w:r w:rsidR="00D61904">
        <w:rPr>
          <w:lang w:val="ru-RU"/>
        </w:rPr>
        <w:t>следующей оценки</w:t>
      </w:r>
      <w:r w:rsidR="006461BE">
        <w:rPr>
          <w:lang w:val="ru-RU"/>
        </w:rPr>
        <w:t xml:space="preserve"> </w:t>
      </w:r>
      <w:r w:rsidR="00BC20EB">
        <w:rPr>
          <w:lang w:val="ru-RU"/>
        </w:rPr>
        <w:t xml:space="preserve">состояния </w:t>
      </w:r>
      <w:r w:rsidR="005F6728">
        <w:rPr>
          <w:lang w:val="ru-RU"/>
        </w:rPr>
        <w:t>окружающей среды в Панъе</w:t>
      </w:r>
      <w:r w:rsidR="006461BE">
        <w:rPr>
          <w:lang w:val="ru-RU"/>
        </w:rPr>
        <w:t xml:space="preserve">вропейском регионе </w:t>
      </w:r>
    </w:p>
    <w:p w:rsidR="00565F4A" w:rsidRPr="00680E9D" w:rsidRDefault="00565F4A" w:rsidP="00565F4A">
      <w:pPr>
        <w:pStyle w:val="H1G"/>
        <w:rPr>
          <w:lang w:val="fr-CH"/>
        </w:rPr>
      </w:pPr>
      <w:r w:rsidRPr="006461BE">
        <w:rPr>
          <w:lang w:val="ru-RU"/>
        </w:rPr>
        <w:tab/>
      </w:r>
      <w:r w:rsidRPr="006461BE">
        <w:rPr>
          <w:lang w:val="ru-RU"/>
        </w:rPr>
        <w:tab/>
      </w:r>
      <w:r w:rsidR="006461BE">
        <w:rPr>
          <w:lang w:val="ru-RU"/>
        </w:rPr>
        <w:t>Записка</w:t>
      </w:r>
      <w:r w:rsidR="006461BE" w:rsidRPr="00BC20EB">
        <w:rPr>
          <w:lang w:val="ru-RU"/>
        </w:rPr>
        <w:t xml:space="preserve"> </w:t>
      </w:r>
      <w:r w:rsidR="006461BE">
        <w:rPr>
          <w:lang w:val="ru-RU"/>
        </w:rPr>
        <w:t>секретариата</w:t>
      </w:r>
      <w:r w:rsidR="006461BE" w:rsidRPr="00BC20EB">
        <w:rPr>
          <w:lang w:val="ru-RU"/>
        </w:rPr>
        <w:t xml:space="preserve"> </w:t>
      </w:r>
      <w:r w:rsidR="006461BE">
        <w:rPr>
          <w:lang w:val="ru-RU"/>
        </w:rPr>
        <w:t>и</w:t>
      </w:r>
      <w:r w:rsidR="006461BE" w:rsidRPr="00BC20EB">
        <w:rPr>
          <w:lang w:val="ru-RU"/>
        </w:rPr>
        <w:t xml:space="preserve"> </w:t>
      </w:r>
      <w:r w:rsidR="006461BE">
        <w:rPr>
          <w:lang w:val="ru-RU"/>
        </w:rPr>
        <w:t>ЮНЕП</w:t>
      </w:r>
      <w:r w:rsidR="00680E9D">
        <w:rPr>
          <w:lang w:val="fr-CH"/>
        </w:rPr>
        <w:t>,</w:t>
      </w:r>
      <w:r w:rsidR="00680E9D" w:rsidRPr="00680E9D">
        <w:t xml:space="preserve"> </w:t>
      </w:r>
      <w:proofErr w:type="spellStart"/>
      <w:r w:rsidR="00680E9D" w:rsidRPr="00680E9D">
        <w:rPr>
          <w:lang w:val="ru-RU"/>
        </w:rPr>
        <w:t>as</w:t>
      </w:r>
      <w:proofErr w:type="spellEnd"/>
      <w:r w:rsidR="00680E9D" w:rsidRPr="00680E9D">
        <w:rPr>
          <w:lang w:val="ru-RU"/>
        </w:rPr>
        <w:t xml:space="preserve"> </w:t>
      </w:r>
      <w:proofErr w:type="spellStart"/>
      <w:r w:rsidR="00680E9D" w:rsidRPr="00680E9D">
        <w:rPr>
          <w:lang w:val="ru-RU"/>
        </w:rPr>
        <w:t>presented</w:t>
      </w:r>
      <w:proofErr w:type="spellEnd"/>
      <w:r w:rsidR="00680E9D" w:rsidRPr="00680E9D">
        <w:rPr>
          <w:lang w:val="ru-RU"/>
        </w:rPr>
        <w:t xml:space="preserve"> </w:t>
      </w:r>
      <w:proofErr w:type="spellStart"/>
      <w:r w:rsidR="00680E9D" w:rsidRPr="00680E9D">
        <w:rPr>
          <w:lang w:val="ru-RU"/>
        </w:rPr>
        <w:t>to</w:t>
      </w:r>
      <w:proofErr w:type="spellEnd"/>
      <w:r w:rsidR="00680E9D" w:rsidRPr="00680E9D">
        <w:rPr>
          <w:lang w:val="ru-RU"/>
        </w:rPr>
        <w:t xml:space="preserve"> the </w:t>
      </w:r>
      <w:proofErr w:type="spellStart"/>
      <w:r w:rsidR="00680E9D" w:rsidRPr="00680E9D">
        <w:rPr>
          <w:lang w:val="ru-RU"/>
        </w:rPr>
        <w:t>Working</w:t>
      </w:r>
      <w:proofErr w:type="spellEnd"/>
      <w:r w:rsidR="00680E9D" w:rsidRPr="00680E9D">
        <w:rPr>
          <w:lang w:val="ru-RU"/>
        </w:rPr>
        <w:t xml:space="preserve"> </w:t>
      </w:r>
      <w:proofErr w:type="spellStart"/>
      <w:r w:rsidR="00680E9D" w:rsidRPr="00680E9D">
        <w:rPr>
          <w:lang w:val="ru-RU"/>
        </w:rPr>
        <w:t>Group</w:t>
      </w:r>
      <w:proofErr w:type="spellEnd"/>
      <w:r w:rsidR="00680E9D" w:rsidRPr="00680E9D">
        <w:rPr>
          <w:lang w:val="ru-RU"/>
        </w:rPr>
        <w:t xml:space="preserve"> </w:t>
      </w:r>
      <w:proofErr w:type="spellStart"/>
      <w:r w:rsidR="00680E9D" w:rsidRPr="00680E9D">
        <w:rPr>
          <w:lang w:val="ru-RU"/>
        </w:rPr>
        <w:t>on</w:t>
      </w:r>
      <w:proofErr w:type="spellEnd"/>
      <w:r w:rsidR="00680E9D" w:rsidRPr="00680E9D">
        <w:rPr>
          <w:lang w:val="ru-RU"/>
        </w:rPr>
        <w:t xml:space="preserve"> </w:t>
      </w:r>
      <w:proofErr w:type="spellStart"/>
      <w:r w:rsidR="00680E9D" w:rsidRPr="00680E9D">
        <w:rPr>
          <w:lang w:val="ru-RU"/>
        </w:rPr>
        <w:t>Environmental</w:t>
      </w:r>
      <w:proofErr w:type="spellEnd"/>
      <w:r w:rsidR="00680E9D" w:rsidRPr="00680E9D">
        <w:rPr>
          <w:lang w:val="ru-RU"/>
        </w:rPr>
        <w:t xml:space="preserve"> </w:t>
      </w:r>
      <w:proofErr w:type="spellStart"/>
      <w:r w:rsidR="00680E9D" w:rsidRPr="00680E9D">
        <w:rPr>
          <w:lang w:val="ru-RU"/>
        </w:rPr>
        <w:t>Monitoring</w:t>
      </w:r>
      <w:proofErr w:type="spellEnd"/>
      <w:r w:rsidR="00680E9D" w:rsidRPr="00680E9D">
        <w:rPr>
          <w:lang w:val="ru-RU"/>
        </w:rPr>
        <w:t xml:space="preserve"> </w:t>
      </w:r>
      <w:proofErr w:type="spellStart"/>
      <w:r w:rsidR="00680E9D" w:rsidRPr="00680E9D">
        <w:rPr>
          <w:lang w:val="ru-RU"/>
        </w:rPr>
        <w:t>and</w:t>
      </w:r>
      <w:proofErr w:type="spellEnd"/>
      <w:r w:rsidR="00680E9D" w:rsidRPr="00680E9D">
        <w:rPr>
          <w:lang w:val="ru-RU"/>
        </w:rPr>
        <w:t xml:space="preserve"> </w:t>
      </w:r>
      <w:proofErr w:type="spellStart"/>
      <w:r w:rsidR="00680E9D" w:rsidRPr="00680E9D">
        <w:rPr>
          <w:lang w:val="ru-RU"/>
        </w:rPr>
        <w:t>Assessment</w:t>
      </w:r>
      <w:proofErr w:type="spellEnd"/>
      <w:r w:rsidR="00680E9D" w:rsidRPr="00680E9D">
        <w:rPr>
          <w:lang w:val="ru-RU"/>
        </w:rPr>
        <w:t xml:space="preserve"> </w:t>
      </w:r>
      <w:proofErr w:type="spellStart"/>
      <w:r w:rsidR="00680E9D" w:rsidRPr="00680E9D">
        <w:rPr>
          <w:lang w:val="ru-RU"/>
        </w:rPr>
        <w:t>at</w:t>
      </w:r>
      <w:proofErr w:type="spellEnd"/>
      <w:r w:rsidR="00680E9D" w:rsidRPr="00680E9D">
        <w:rPr>
          <w:lang w:val="ru-RU"/>
        </w:rPr>
        <w:t xml:space="preserve"> </w:t>
      </w:r>
      <w:proofErr w:type="spellStart"/>
      <w:r w:rsidR="00680E9D" w:rsidRPr="00680E9D">
        <w:rPr>
          <w:lang w:val="ru-RU"/>
        </w:rPr>
        <w:t>its</w:t>
      </w:r>
      <w:proofErr w:type="spellEnd"/>
      <w:r w:rsidR="00680E9D" w:rsidRPr="00680E9D">
        <w:rPr>
          <w:lang w:val="ru-RU"/>
        </w:rPr>
        <w:t xml:space="preserve"> </w:t>
      </w:r>
      <w:proofErr w:type="spellStart"/>
      <w:r w:rsidR="00680E9D" w:rsidRPr="00680E9D">
        <w:rPr>
          <w:lang w:val="ru-RU"/>
        </w:rPr>
        <w:t>twentieth</w:t>
      </w:r>
      <w:proofErr w:type="spellEnd"/>
      <w:r w:rsidR="00680E9D" w:rsidRPr="00680E9D">
        <w:rPr>
          <w:lang w:val="ru-RU"/>
        </w:rPr>
        <w:t xml:space="preserve"> </w:t>
      </w:r>
      <w:proofErr w:type="spellStart"/>
      <w:r w:rsidR="00680E9D" w:rsidRPr="00680E9D">
        <w:rPr>
          <w:lang w:val="ru-RU"/>
        </w:rPr>
        <w:t>session</w:t>
      </w:r>
      <w:proofErr w:type="spellEnd"/>
      <w:r w:rsidR="00680E9D" w:rsidRPr="00680E9D">
        <w:rPr>
          <w:lang w:val="ru-RU"/>
        </w:rPr>
        <w:t xml:space="preserve"> (Женева, 3 и 4 сентября 2018 года)</w:t>
      </w:r>
    </w:p>
    <w:p w:rsidR="00D475FE" w:rsidRPr="00415664" w:rsidRDefault="00D475FE" w:rsidP="00110B5F">
      <w:pPr>
        <w:pStyle w:val="HChG"/>
        <w:outlineLvl w:val="0"/>
        <w:rPr>
          <w:lang w:val="ru-RU"/>
        </w:rPr>
      </w:pPr>
      <w:r w:rsidRPr="00BC20EB">
        <w:rPr>
          <w:lang w:val="ru-RU"/>
        </w:rPr>
        <w:tab/>
      </w:r>
      <w:r w:rsidR="00BC20EB">
        <w:t>I</w:t>
      </w:r>
      <w:r w:rsidR="00BC20EB" w:rsidRPr="00415664">
        <w:rPr>
          <w:lang w:val="ru-RU"/>
        </w:rPr>
        <w:t>.</w:t>
      </w:r>
      <w:r w:rsidR="00BC20EB" w:rsidRPr="00415664">
        <w:rPr>
          <w:lang w:val="ru-RU"/>
        </w:rPr>
        <w:tab/>
      </w:r>
      <w:r w:rsidR="00BC20EB">
        <w:rPr>
          <w:lang w:val="ru-RU"/>
        </w:rPr>
        <w:t>Введение</w:t>
      </w:r>
    </w:p>
    <w:p w:rsidR="00241893" w:rsidRPr="00AE7C39" w:rsidRDefault="00D475FE" w:rsidP="00627742">
      <w:pPr>
        <w:pStyle w:val="SingleTxtG"/>
        <w:tabs>
          <w:tab w:val="left" w:pos="1701"/>
        </w:tabs>
        <w:rPr>
          <w:lang w:val="ru-RU"/>
        </w:rPr>
      </w:pPr>
      <w:r w:rsidRPr="00415664">
        <w:rPr>
          <w:lang w:val="ru-RU"/>
        </w:rPr>
        <w:t>1.</w:t>
      </w:r>
      <w:r w:rsidRPr="00415664">
        <w:rPr>
          <w:lang w:val="ru-RU"/>
        </w:rPr>
        <w:tab/>
      </w:r>
      <w:r w:rsidR="00241893">
        <w:rPr>
          <w:lang w:val="ru-RU"/>
        </w:rPr>
        <w:t>Оценка с</w:t>
      </w:r>
      <w:r w:rsidR="00AE7C39">
        <w:rPr>
          <w:lang w:val="ru-RU"/>
        </w:rPr>
        <w:t>остояния окружающей среды в панъе</w:t>
      </w:r>
      <w:r w:rsidR="00241893">
        <w:rPr>
          <w:lang w:val="ru-RU"/>
        </w:rPr>
        <w:t>вропейском регионе</w:t>
      </w:r>
      <w:r w:rsidR="00415664">
        <w:rPr>
          <w:lang w:val="ru-RU"/>
        </w:rPr>
        <w:t xml:space="preserve"> </w:t>
      </w:r>
      <w:r w:rsidR="00241893" w:rsidRPr="00241893">
        <w:rPr>
          <w:lang w:val="ru-RU"/>
        </w:rPr>
        <w:t>был</w:t>
      </w:r>
      <w:r w:rsidR="00241893">
        <w:rPr>
          <w:lang w:val="ru-RU"/>
        </w:rPr>
        <w:t>а характерной чертой процесса "О</w:t>
      </w:r>
      <w:r w:rsidR="00241893" w:rsidRPr="00241893">
        <w:rPr>
          <w:lang w:val="ru-RU"/>
        </w:rPr>
        <w:t xml:space="preserve">кружающая среда для Европы" в период </w:t>
      </w:r>
      <w:r w:rsidR="00241893">
        <w:rPr>
          <w:lang w:val="ru-RU"/>
        </w:rPr>
        <w:t xml:space="preserve"> с 1995 по 2016 годы</w:t>
      </w:r>
      <w:r w:rsidR="00415664">
        <w:rPr>
          <w:lang w:val="ru-RU"/>
        </w:rPr>
        <w:t xml:space="preserve"> </w:t>
      </w:r>
      <w:r w:rsidR="00241893" w:rsidRPr="00241893">
        <w:rPr>
          <w:lang w:val="ru-RU"/>
        </w:rPr>
        <w:t>(см. таблицу 1). В ходе пр</w:t>
      </w:r>
      <w:r w:rsidR="00241893">
        <w:rPr>
          <w:lang w:val="ru-RU"/>
        </w:rPr>
        <w:t>оцесса реформирования системы "О</w:t>
      </w:r>
      <w:r w:rsidR="00241893" w:rsidRPr="00241893">
        <w:rPr>
          <w:lang w:val="ru-RU"/>
        </w:rPr>
        <w:t xml:space="preserve">кружающая среда для Европы" </w:t>
      </w:r>
      <w:r w:rsidR="00241893">
        <w:rPr>
          <w:lang w:val="ru-RU"/>
        </w:rPr>
        <w:t xml:space="preserve">в 2009 году </w:t>
      </w:r>
      <w:r w:rsidR="00241893" w:rsidRPr="00241893">
        <w:rPr>
          <w:lang w:val="ru-RU"/>
        </w:rPr>
        <w:t xml:space="preserve">оценка </w:t>
      </w:r>
      <w:r w:rsidR="00241893">
        <w:rPr>
          <w:lang w:val="ru-RU"/>
        </w:rPr>
        <w:t xml:space="preserve">состояния окружающей среды в Пан-Европейском регионе </w:t>
      </w:r>
      <w:r w:rsidR="00415664">
        <w:rPr>
          <w:lang w:val="ru-RU"/>
        </w:rPr>
        <w:t>была определена одним</w:t>
      </w:r>
      <w:r w:rsidR="00241893" w:rsidRPr="00241893">
        <w:rPr>
          <w:lang w:val="ru-RU"/>
        </w:rPr>
        <w:t xml:space="preserve"> из трех основных документов, которые должны </w:t>
      </w:r>
      <w:r w:rsidR="00415664">
        <w:rPr>
          <w:lang w:val="ru-RU"/>
        </w:rPr>
        <w:t xml:space="preserve">были </w:t>
      </w:r>
      <w:r w:rsidR="00241893" w:rsidRPr="00241893">
        <w:rPr>
          <w:lang w:val="ru-RU"/>
        </w:rPr>
        <w:t xml:space="preserve">быть </w:t>
      </w:r>
      <w:r w:rsidR="00710B16" w:rsidRPr="00241893">
        <w:rPr>
          <w:lang w:val="ru-RU"/>
        </w:rPr>
        <w:t>подготовлен</w:t>
      </w:r>
      <w:r w:rsidR="00710B16">
        <w:rPr>
          <w:lang w:val="ru-RU"/>
        </w:rPr>
        <w:t>ы</w:t>
      </w:r>
      <w:r w:rsidR="00241893" w:rsidRPr="00241893">
        <w:rPr>
          <w:lang w:val="ru-RU"/>
        </w:rPr>
        <w:t xml:space="preserve"> для каждой</w:t>
      </w:r>
      <w:r w:rsidR="002F737C">
        <w:rPr>
          <w:lang w:val="ru-RU"/>
        </w:rPr>
        <w:t xml:space="preserve"> К</w:t>
      </w:r>
      <w:r w:rsidR="00415664">
        <w:rPr>
          <w:lang w:val="ru-RU"/>
        </w:rPr>
        <w:t>онференции министров вместе с максимум двумя тематическими докладами</w:t>
      </w:r>
      <w:r w:rsidR="00241893" w:rsidRPr="00241893">
        <w:rPr>
          <w:lang w:val="ru-RU"/>
        </w:rPr>
        <w:t xml:space="preserve">. После </w:t>
      </w:r>
      <w:r w:rsidR="002F737C">
        <w:rPr>
          <w:lang w:val="ru-RU"/>
        </w:rPr>
        <w:t>седьмой Конференции м</w:t>
      </w:r>
      <w:r w:rsidR="00415664">
        <w:rPr>
          <w:lang w:val="ru-RU"/>
        </w:rPr>
        <w:t>инистров "О</w:t>
      </w:r>
      <w:r w:rsidR="00241893" w:rsidRPr="00241893">
        <w:rPr>
          <w:lang w:val="ru-RU"/>
        </w:rPr>
        <w:t>кружающая среда для Европы" (Астана, 2011 год) ответственность з</w:t>
      </w:r>
      <w:r w:rsidR="00415664">
        <w:rPr>
          <w:lang w:val="ru-RU"/>
        </w:rPr>
        <w:t>а подготовку оценки перешла от Е</w:t>
      </w:r>
      <w:r w:rsidR="00241893" w:rsidRPr="00241893">
        <w:rPr>
          <w:lang w:val="ru-RU"/>
        </w:rPr>
        <w:t xml:space="preserve">вропейского Агентства по </w:t>
      </w:r>
      <w:r w:rsidR="00192059">
        <w:rPr>
          <w:lang w:val="ru-RU"/>
        </w:rPr>
        <w:t>окружающей среде (ЕАОС) к П</w:t>
      </w:r>
      <w:r w:rsidR="00241893" w:rsidRPr="00241893">
        <w:rPr>
          <w:lang w:val="ru-RU"/>
        </w:rPr>
        <w:t>рограмме Организации Объединенных Наций по окружающей среде (ЮНЕП) и Европейской экономической комиссии Организации Объединенных Наций (ЕЭК).</w:t>
      </w:r>
    </w:p>
    <w:p w:rsidR="00415664" w:rsidRPr="00AE7C39" w:rsidRDefault="00D475FE" w:rsidP="00627742">
      <w:pPr>
        <w:pStyle w:val="SingleTxtG"/>
        <w:rPr>
          <w:lang w:val="ru-RU"/>
        </w:rPr>
      </w:pPr>
      <w:r w:rsidRPr="00627742">
        <w:rPr>
          <w:lang w:val="ru-RU"/>
        </w:rPr>
        <w:t>2.</w:t>
      </w:r>
      <w:r w:rsidRPr="00627742">
        <w:rPr>
          <w:lang w:val="ru-RU"/>
        </w:rPr>
        <w:tab/>
      </w:r>
      <w:r w:rsidR="002F737C">
        <w:rPr>
          <w:lang w:val="ru-RU"/>
        </w:rPr>
        <w:t>После восьмой Конференции м</w:t>
      </w:r>
      <w:r w:rsidR="00415664" w:rsidRPr="00415664">
        <w:rPr>
          <w:lang w:val="ru-RU"/>
        </w:rPr>
        <w:t>инистров "</w:t>
      </w:r>
      <w:r w:rsidR="00415664">
        <w:rPr>
          <w:lang w:val="ru-RU"/>
        </w:rPr>
        <w:t>О</w:t>
      </w:r>
      <w:r w:rsidR="00415664" w:rsidRPr="00415664">
        <w:rPr>
          <w:lang w:val="ru-RU"/>
        </w:rPr>
        <w:t xml:space="preserve">кружающая среда для Европы" (Батуми, Грузия, июнь 2016 года) Комитет ЕЭК </w:t>
      </w:r>
      <w:r w:rsidR="00767F14">
        <w:rPr>
          <w:lang w:val="ru-RU"/>
        </w:rPr>
        <w:t>по экологической политике одобрил</w:t>
      </w:r>
      <w:r w:rsidR="00415664" w:rsidRPr="00415664">
        <w:rPr>
          <w:lang w:val="ru-RU"/>
        </w:rPr>
        <w:t xml:space="preserve"> пересм</w:t>
      </w:r>
      <w:r w:rsidR="00415664">
        <w:rPr>
          <w:lang w:val="ru-RU"/>
        </w:rPr>
        <w:t>отренный мандат и круг ведения Р</w:t>
      </w:r>
      <w:r w:rsidR="00415664" w:rsidRPr="00415664">
        <w:rPr>
          <w:lang w:val="ru-RU"/>
        </w:rPr>
        <w:t>абочей группы по мониторингу и оценке окружающей среды на 2017-2021 го</w:t>
      </w:r>
      <w:r w:rsidR="00415664">
        <w:rPr>
          <w:lang w:val="ru-RU"/>
        </w:rPr>
        <w:t xml:space="preserve">ды. </w:t>
      </w:r>
      <w:r w:rsidR="00767F14">
        <w:rPr>
          <w:lang w:val="ru-RU"/>
        </w:rPr>
        <w:t>В соответствии с к</w:t>
      </w:r>
      <w:r w:rsidR="00415664">
        <w:rPr>
          <w:lang w:val="ru-RU"/>
        </w:rPr>
        <w:t>руг</w:t>
      </w:r>
      <w:r w:rsidR="00767F14">
        <w:rPr>
          <w:lang w:val="ru-RU"/>
        </w:rPr>
        <w:t>ом</w:t>
      </w:r>
      <w:r w:rsidR="00415664">
        <w:rPr>
          <w:lang w:val="ru-RU"/>
        </w:rPr>
        <w:t xml:space="preserve"> веде</w:t>
      </w:r>
      <w:r w:rsidR="00767F14">
        <w:rPr>
          <w:lang w:val="ru-RU"/>
        </w:rPr>
        <w:t xml:space="preserve">ния </w:t>
      </w:r>
      <w:r w:rsidR="00415664">
        <w:rPr>
          <w:lang w:val="ru-RU"/>
        </w:rPr>
        <w:t>Р</w:t>
      </w:r>
      <w:r w:rsidR="00415664" w:rsidRPr="00415664">
        <w:rPr>
          <w:lang w:val="ru-RU"/>
        </w:rPr>
        <w:t>абоч</w:t>
      </w:r>
      <w:r w:rsidR="002F737C">
        <w:rPr>
          <w:lang w:val="ru-RU"/>
        </w:rPr>
        <w:t>ая группа должна</w:t>
      </w:r>
      <w:r w:rsidR="00415664" w:rsidRPr="00415664">
        <w:rPr>
          <w:lang w:val="ru-RU"/>
        </w:rPr>
        <w:t xml:space="preserve"> руководить процессом консультаций по регулярной </w:t>
      </w:r>
      <w:r w:rsidR="00415664">
        <w:rPr>
          <w:lang w:val="ru-RU"/>
        </w:rPr>
        <w:t xml:space="preserve">оценке </w:t>
      </w:r>
      <w:r w:rsidR="00767F14">
        <w:rPr>
          <w:lang w:val="ru-RU"/>
        </w:rPr>
        <w:t xml:space="preserve">состояния </w:t>
      </w:r>
      <w:r w:rsidR="00415664">
        <w:rPr>
          <w:lang w:val="ru-RU"/>
        </w:rPr>
        <w:t>окружающей среды</w:t>
      </w:r>
      <w:r w:rsidR="00767F14">
        <w:rPr>
          <w:lang w:val="ru-RU"/>
        </w:rPr>
        <w:t xml:space="preserve"> в Пан-Европейском регионе </w:t>
      </w:r>
      <w:r w:rsidR="00415664" w:rsidRPr="00415664">
        <w:rPr>
          <w:lang w:val="ru-RU"/>
        </w:rPr>
        <w:t xml:space="preserve">и оказывать помощь в ее </w:t>
      </w:r>
      <w:r w:rsidR="002F737C">
        <w:rPr>
          <w:lang w:val="ru-RU"/>
        </w:rPr>
        <w:t>подготовке. Темы для следующей К</w:t>
      </w:r>
      <w:r w:rsidR="00415664" w:rsidRPr="00415664">
        <w:rPr>
          <w:lang w:val="ru-RU"/>
        </w:rPr>
        <w:t>онференции министров в 202</w:t>
      </w:r>
      <w:r w:rsidR="00627742">
        <w:rPr>
          <w:lang w:val="ru-RU"/>
        </w:rPr>
        <w:t>1 году еще не определены</w:t>
      </w:r>
      <w:r w:rsidR="00415664" w:rsidRPr="00415664">
        <w:rPr>
          <w:lang w:val="ru-RU"/>
        </w:rPr>
        <w:t>.</w:t>
      </w:r>
    </w:p>
    <w:p w:rsidR="00627742" w:rsidRPr="00AE7C39" w:rsidRDefault="00D475FE" w:rsidP="0077200F">
      <w:pPr>
        <w:pStyle w:val="SingleTxtG"/>
        <w:rPr>
          <w:lang w:val="ru-RU"/>
        </w:rPr>
      </w:pPr>
      <w:r w:rsidRPr="0077200F">
        <w:rPr>
          <w:lang w:val="ru-RU"/>
        </w:rPr>
        <w:t>3.</w:t>
      </w:r>
      <w:r w:rsidRPr="0077200F">
        <w:rPr>
          <w:lang w:val="ru-RU"/>
        </w:rPr>
        <w:tab/>
      </w:r>
      <w:r w:rsidR="0077200F">
        <w:rPr>
          <w:lang w:val="ru-RU"/>
        </w:rPr>
        <w:t xml:space="preserve">В </w:t>
      </w:r>
      <w:r w:rsidR="00627742" w:rsidRPr="00627742">
        <w:rPr>
          <w:lang w:val="ru-RU"/>
        </w:rPr>
        <w:t>настоящем</w:t>
      </w:r>
      <w:r w:rsidR="00627742" w:rsidRPr="0077200F">
        <w:rPr>
          <w:lang w:val="ru-RU"/>
        </w:rPr>
        <w:t xml:space="preserve"> </w:t>
      </w:r>
      <w:r w:rsidR="00627742" w:rsidRPr="00627742">
        <w:rPr>
          <w:lang w:val="ru-RU"/>
        </w:rPr>
        <w:t>документе</w:t>
      </w:r>
      <w:r w:rsidR="00627742" w:rsidRPr="0077200F">
        <w:rPr>
          <w:lang w:val="ru-RU"/>
        </w:rPr>
        <w:t xml:space="preserve"> </w:t>
      </w:r>
      <w:r w:rsidR="00627742" w:rsidRPr="00627742">
        <w:rPr>
          <w:lang w:val="ru-RU"/>
        </w:rPr>
        <w:t>рассматриваются</w:t>
      </w:r>
      <w:r w:rsidR="00627742" w:rsidRPr="0077200F">
        <w:rPr>
          <w:lang w:val="ru-RU"/>
        </w:rPr>
        <w:t xml:space="preserve"> </w:t>
      </w:r>
      <w:r w:rsidR="00627742">
        <w:rPr>
          <w:lang w:val="ru-RU"/>
        </w:rPr>
        <w:t>возможные</w:t>
      </w:r>
      <w:r w:rsidR="00627742" w:rsidRPr="0077200F">
        <w:rPr>
          <w:lang w:val="ru-RU"/>
        </w:rPr>
        <w:t xml:space="preserve"> </w:t>
      </w:r>
      <w:r w:rsidR="00627742" w:rsidRPr="00627742">
        <w:rPr>
          <w:lang w:val="ru-RU"/>
        </w:rPr>
        <w:t>варианты</w:t>
      </w:r>
      <w:r w:rsidR="00627742" w:rsidRPr="0077200F">
        <w:rPr>
          <w:lang w:val="ru-RU"/>
        </w:rPr>
        <w:t xml:space="preserve"> </w:t>
      </w:r>
      <w:r w:rsidR="00627742" w:rsidRPr="00627742">
        <w:rPr>
          <w:lang w:val="ru-RU"/>
        </w:rPr>
        <w:t>условий</w:t>
      </w:r>
      <w:r w:rsidR="00627742" w:rsidRPr="0077200F">
        <w:rPr>
          <w:lang w:val="ru-RU"/>
        </w:rPr>
        <w:t xml:space="preserve">, </w:t>
      </w:r>
      <w:r w:rsidR="00627742" w:rsidRPr="00627742">
        <w:rPr>
          <w:lang w:val="ru-RU"/>
        </w:rPr>
        <w:t>сферы</w:t>
      </w:r>
      <w:r w:rsidR="00627742" w:rsidRPr="0077200F">
        <w:rPr>
          <w:lang w:val="ru-RU"/>
        </w:rPr>
        <w:t xml:space="preserve"> </w:t>
      </w:r>
      <w:r w:rsidR="00627742" w:rsidRPr="00627742">
        <w:rPr>
          <w:lang w:val="ru-RU"/>
        </w:rPr>
        <w:t>охвата</w:t>
      </w:r>
      <w:r w:rsidR="00627742" w:rsidRPr="0077200F">
        <w:rPr>
          <w:lang w:val="ru-RU"/>
        </w:rPr>
        <w:t xml:space="preserve"> </w:t>
      </w:r>
      <w:r w:rsidR="00627742" w:rsidRPr="00627742">
        <w:rPr>
          <w:lang w:val="ru-RU"/>
        </w:rPr>
        <w:t>и</w:t>
      </w:r>
      <w:r w:rsidR="00627742" w:rsidRPr="0077200F">
        <w:rPr>
          <w:lang w:val="ru-RU"/>
        </w:rPr>
        <w:t xml:space="preserve"> </w:t>
      </w:r>
      <w:r w:rsidR="00627742">
        <w:rPr>
          <w:lang w:val="ru-RU"/>
        </w:rPr>
        <w:t>формы</w:t>
      </w:r>
      <w:r w:rsidR="00627742" w:rsidRPr="0077200F">
        <w:rPr>
          <w:lang w:val="ru-RU"/>
        </w:rPr>
        <w:t xml:space="preserve"> </w:t>
      </w:r>
      <w:r w:rsidR="00627742">
        <w:rPr>
          <w:lang w:val="ru-RU"/>
        </w:rPr>
        <w:t>следующей</w:t>
      </w:r>
      <w:r w:rsidR="00627742" w:rsidRPr="0077200F">
        <w:rPr>
          <w:lang w:val="ru-RU"/>
        </w:rPr>
        <w:t xml:space="preserve"> </w:t>
      </w:r>
      <w:r w:rsidR="00627742">
        <w:rPr>
          <w:lang w:val="ru-RU"/>
        </w:rPr>
        <w:t>панъевропейской</w:t>
      </w:r>
      <w:r w:rsidR="00627742" w:rsidRPr="0077200F">
        <w:rPr>
          <w:lang w:val="ru-RU"/>
        </w:rPr>
        <w:t xml:space="preserve"> </w:t>
      </w:r>
      <w:r w:rsidR="00627742">
        <w:rPr>
          <w:lang w:val="ru-RU"/>
        </w:rPr>
        <w:t>экологической</w:t>
      </w:r>
      <w:r w:rsidR="00627742" w:rsidRPr="0077200F">
        <w:rPr>
          <w:lang w:val="ru-RU"/>
        </w:rPr>
        <w:t xml:space="preserve"> </w:t>
      </w:r>
      <w:r w:rsidR="00627742" w:rsidRPr="00627742">
        <w:rPr>
          <w:lang w:val="ru-RU"/>
        </w:rPr>
        <w:t>о</w:t>
      </w:r>
      <w:r w:rsidR="00627742">
        <w:rPr>
          <w:lang w:val="ru-RU"/>
        </w:rPr>
        <w:t>ценки</w:t>
      </w:r>
      <w:r w:rsidR="00627742" w:rsidRPr="0077200F">
        <w:rPr>
          <w:lang w:val="ru-RU"/>
        </w:rPr>
        <w:t xml:space="preserve"> </w:t>
      </w:r>
      <w:r w:rsidR="00627742">
        <w:rPr>
          <w:lang w:val="ru-RU"/>
        </w:rPr>
        <w:t>в</w:t>
      </w:r>
      <w:r w:rsidR="00627742" w:rsidRPr="0077200F">
        <w:rPr>
          <w:lang w:val="ru-RU"/>
        </w:rPr>
        <w:t xml:space="preserve"> </w:t>
      </w:r>
      <w:r w:rsidR="00627742">
        <w:rPr>
          <w:lang w:val="ru-RU"/>
        </w:rPr>
        <w:t>поддержку</w:t>
      </w:r>
      <w:r w:rsidR="00627742" w:rsidRPr="0077200F">
        <w:rPr>
          <w:lang w:val="ru-RU"/>
        </w:rPr>
        <w:t xml:space="preserve"> </w:t>
      </w:r>
      <w:r w:rsidR="00627742">
        <w:rPr>
          <w:lang w:val="ru-RU"/>
        </w:rPr>
        <w:t>обсуждений</w:t>
      </w:r>
      <w:r w:rsidR="00627742" w:rsidRPr="0077200F">
        <w:rPr>
          <w:lang w:val="ru-RU"/>
        </w:rPr>
        <w:t xml:space="preserve"> </w:t>
      </w:r>
      <w:r w:rsidR="00627742">
        <w:rPr>
          <w:lang w:val="ru-RU"/>
        </w:rPr>
        <w:t>в</w:t>
      </w:r>
      <w:r w:rsidR="00627742" w:rsidRPr="0077200F">
        <w:rPr>
          <w:lang w:val="ru-RU"/>
        </w:rPr>
        <w:t xml:space="preserve"> </w:t>
      </w:r>
      <w:r w:rsidR="00627742">
        <w:rPr>
          <w:lang w:val="ru-RU"/>
        </w:rPr>
        <w:t>Р</w:t>
      </w:r>
      <w:r w:rsidR="00627742" w:rsidRPr="00627742">
        <w:rPr>
          <w:lang w:val="ru-RU"/>
        </w:rPr>
        <w:t>абочей</w:t>
      </w:r>
      <w:r w:rsidR="00627742" w:rsidRPr="0077200F">
        <w:rPr>
          <w:lang w:val="ru-RU"/>
        </w:rPr>
        <w:t xml:space="preserve"> </w:t>
      </w:r>
      <w:r w:rsidR="00627742" w:rsidRPr="00627742">
        <w:rPr>
          <w:lang w:val="ru-RU"/>
        </w:rPr>
        <w:t>группе</w:t>
      </w:r>
      <w:r w:rsidR="00627742" w:rsidRPr="0077200F">
        <w:rPr>
          <w:lang w:val="ru-RU"/>
        </w:rPr>
        <w:t xml:space="preserve">. </w:t>
      </w:r>
      <w:r w:rsidR="00627742" w:rsidRPr="00627742">
        <w:rPr>
          <w:lang w:val="ru-RU"/>
        </w:rPr>
        <w:t>В первую очередь в нем рассматривается предыстория, охватывающая соответствующие решения, и соответствующие международные процессы.</w:t>
      </w:r>
    </w:p>
    <w:p w:rsidR="00914CAA" w:rsidRPr="00496FF6" w:rsidRDefault="00914CAA" w:rsidP="00914CAA">
      <w:pPr>
        <w:pStyle w:val="HChG"/>
        <w:rPr>
          <w:lang w:val="ru-RU"/>
        </w:rPr>
      </w:pPr>
      <w:r w:rsidRPr="00DB7BDC">
        <w:rPr>
          <w:lang w:val="ru-RU"/>
        </w:rPr>
        <w:lastRenderedPageBreak/>
        <w:tab/>
      </w:r>
      <w:r>
        <w:t>II</w:t>
      </w:r>
      <w:r w:rsidRPr="009528C2">
        <w:rPr>
          <w:lang w:val="ru-RU"/>
        </w:rPr>
        <w:t>.</w:t>
      </w:r>
      <w:r w:rsidRPr="009528C2">
        <w:rPr>
          <w:lang w:val="ru-RU"/>
        </w:rPr>
        <w:tab/>
      </w:r>
      <w:r>
        <w:rPr>
          <w:lang w:val="ru-RU"/>
        </w:rPr>
        <w:t>Предпосылки</w:t>
      </w:r>
    </w:p>
    <w:p w:rsidR="00914CAA" w:rsidRPr="009528C2" w:rsidRDefault="00914CAA" w:rsidP="00914CAA">
      <w:pPr>
        <w:pStyle w:val="SingleTxtG"/>
        <w:rPr>
          <w:lang w:val="ru-RU"/>
        </w:rPr>
      </w:pPr>
      <w:proofErr w:type="gramStart"/>
      <w:r w:rsidRPr="009528C2">
        <w:rPr>
          <w:lang w:val="ru-RU"/>
        </w:rPr>
        <w:t>4.</w:t>
      </w:r>
      <w:r w:rsidRPr="009528C2">
        <w:rPr>
          <w:lang w:val="ru-RU"/>
        </w:rPr>
        <w:tab/>
      </w:r>
      <w:r>
        <w:rPr>
          <w:lang w:val="ru-RU"/>
        </w:rPr>
        <w:t>В</w:t>
      </w:r>
      <w:proofErr w:type="gramEnd"/>
      <w:r>
        <w:rPr>
          <w:lang w:val="ru-RU"/>
        </w:rPr>
        <w:t xml:space="preserve"> данной </w:t>
      </w:r>
      <w:r w:rsidRPr="009528C2">
        <w:rPr>
          <w:lang w:val="ru-RU"/>
        </w:rPr>
        <w:t>главе излага</w:t>
      </w:r>
      <w:r>
        <w:rPr>
          <w:lang w:val="ru-RU"/>
        </w:rPr>
        <w:t>ется предыстория панъевропейской</w:t>
      </w:r>
      <w:r w:rsidRPr="009528C2">
        <w:rPr>
          <w:lang w:val="ru-RU"/>
        </w:rPr>
        <w:t xml:space="preserve"> оценки с точки зрения решений, принятых межправитель</w:t>
      </w:r>
      <w:r>
        <w:rPr>
          <w:lang w:val="ru-RU"/>
        </w:rPr>
        <w:t>ственными органами и с точки зрения проведенных совещаний после реформы Окружающая</w:t>
      </w:r>
      <w:r w:rsidRPr="009528C2">
        <w:rPr>
          <w:lang w:val="ru-RU"/>
        </w:rPr>
        <w:t xml:space="preserve"> с</w:t>
      </w:r>
      <w:r>
        <w:rPr>
          <w:lang w:val="ru-RU"/>
        </w:rPr>
        <w:t>реда для Европы, проведенной в 2009 году. Дополнительная информация представлена</w:t>
      </w:r>
      <w:r w:rsidRPr="009528C2">
        <w:rPr>
          <w:lang w:val="ru-RU"/>
        </w:rPr>
        <w:t xml:space="preserve"> в приложении.</w:t>
      </w:r>
    </w:p>
    <w:p w:rsidR="00D475FE" w:rsidRPr="00887FA0" w:rsidRDefault="007E299B" w:rsidP="00914CAA">
      <w:pPr>
        <w:pStyle w:val="SingleTxtG"/>
        <w:keepNext/>
        <w:ind w:left="1138" w:right="1138"/>
        <w:jc w:val="left"/>
        <w:rPr>
          <w:bCs/>
          <w:lang w:val="ru-RU"/>
        </w:rPr>
      </w:pPr>
      <w:r>
        <w:rPr>
          <w:lang w:val="ru-RU"/>
        </w:rPr>
        <w:t>Таблица</w:t>
      </w:r>
      <w:r w:rsidR="00D475FE" w:rsidRPr="00A85DFC">
        <w:t xml:space="preserve"> 1</w:t>
      </w:r>
      <w:r w:rsidR="00D475FE" w:rsidRPr="00A85DFC">
        <w:br/>
      </w:r>
      <w:r w:rsidR="00887FA0">
        <w:rPr>
          <w:b/>
          <w:bCs/>
          <w:lang w:val="ru-RU"/>
        </w:rPr>
        <w:t>История панъевропейской оценки</w:t>
      </w:r>
    </w:p>
    <w:tbl>
      <w:tblPr>
        <w:tblW w:w="8496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3060"/>
        <w:gridCol w:w="4860"/>
      </w:tblGrid>
      <w:tr w:rsidR="00D475FE" w:rsidRPr="00EA783F" w:rsidTr="00565F4A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75FE" w:rsidRPr="00887FA0" w:rsidRDefault="00887FA0" w:rsidP="00F047F6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ru-RU"/>
              </w:rPr>
            </w:pPr>
            <w:r>
              <w:rPr>
                <w:i/>
                <w:sz w:val="16"/>
                <w:lang w:val="ru-RU"/>
              </w:rPr>
              <w:t>Год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75FE" w:rsidRPr="00887FA0" w:rsidRDefault="00887FA0" w:rsidP="00F047F6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ru-RU"/>
              </w:rPr>
            </w:pPr>
            <w:r>
              <w:rPr>
                <w:i/>
                <w:sz w:val="16"/>
                <w:lang w:val="ru-RU"/>
              </w:rPr>
              <w:t>Название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75FE" w:rsidRPr="00B643DC" w:rsidRDefault="00B643DC" w:rsidP="00F047F6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ru-RU"/>
              </w:rPr>
            </w:pPr>
            <w:r>
              <w:rPr>
                <w:i/>
                <w:sz w:val="16"/>
                <w:lang w:val="ru-RU"/>
              </w:rPr>
              <w:t>Примечания</w:t>
            </w:r>
          </w:p>
        </w:tc>
      </w:tr>
      <w:tr w:rsidR="00D475FE" w:rsidRPr="00EA783F" w:rsidTr="00565F4A">
        <w:tc>
          <w:tcPr>
            <w:tcW w:w="576" w:type="dxa"/>
            <w:tcBorders>
              <w:top w:val="single" w:sz="12" w:space="0" w:color="auto"/>
            </w:tcBorders>
          </w:tcPr>
          <w:p w:rsidR="00D475FE" w:rsidRPr="00EA783F" w:rsidRDefault="00D475FE" w:rsidP="00F047F6">
            <w:pPr>
              <w:suppressAutoHyphens w:val="0"/>
              <w:spacing w:before="40" w:after="120" w:line="220" w:lineRule="exact"/>
              <w:ind w:right="113"/>
            </w:pPr>
            <w:r>
              <w:t>1995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475FE" w:rsidRPr="00887FA0" w:rsidRDefault="00887FA0" w:rsidP="00F047F6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Окружающая</w:t>
            </w:r>
            <w:r w:rsidRPr="00887FA0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среда</w:t>
            </w:r>
            <w:r w:rsidRPr="00887FA0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Европы</w:t>
            </w:r>
            <w:r w:rsidRPr="00887FA0">
              <w:rPr>
                <w:i/>
                <w:iCs/>
                <w:lang w:val="ru-RU"/>
              </w:rPr>
              <w:t xml:space="preserve"> – </w:t>
            </w:r>
            <w:r>
              <w:rPr>
                <w:i/>
                <w:iCs/>
                <w:lang w:val="ru-RU"/>
              </w:rPr>
              <w:t xml:space="preserve">Оценка </w:t>
            </w:r>
            <w:proofErr w:type="spellStart"/>
            <w:r>
              <w:rPr>
                <w:i/>
                <w:iCs/>
                <w:lang w:val="ru-RU"/>
              </w:rPr>
              <w:t>Добриса</w:t>
            </w:r>
            <w:proofErr w:type="spellEnd"/>
            <w:r w:rsidRPr="00887FA0">
              <w:rPr>
                <w:lang w:val="ru-RU"/>
              </w:rPr>
              <w:t xml:space="preserve"> (</w:t>
            </w:r>
            <w:r w:rsidR="00467EBC">
              <w:rPr>
                <w:lang w:val="ru-RU"/>
              </w:rPr>
              <w:t xml:space="preserve">подготовлено и </w:t>
            </w:r>
            <w:r>
              <w:rPr>
                <w:lang w:val="ru-RU"/>
              </w:rPr>
              <w:t xml:space="preserve">опубликовано </w:t>
            </w:r>
            <w:r w:rsidRPr="00887FA0">
              <w:rPr>
                <w:lang w:val="ru-RU"/>
              </w:rPr>
              <w:t>ЕАОС</w:t>
            </w:r>
            <w:r w:rsidR="00D475FE" w:rsidRPr="00887FA0">
              <w:rPr>
                <w:lang w:val="ru-RU"/>
              </w:rPr>
              <w:t>)</w:t>
            </w:r>
            <w:r w:rsidR="00D475FE">
              <w:rPr>
                <w:rStyle w:val="FootnoteReference"/>
              </w:rPr>
              <w:footnoteReference w:id="2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D475FE" w:rsidRPr="00887FA0" w:rsidRDefault="00887FA0" w:rsidP="00F047F6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Западная и Центральная Европа</w:t>
            </w:r>
          </w:p>
        </w:tc>
      </w:tr>
      <w:tr w:rsidR="00D475FE" w:rsidRPr="00EA783F" w:rsidTr="00565F4A">
        <w:tc>
          <w:tcPr>
            <w:tcW w:w="576" w:type="dxa"/>
          </w:tcPr>
          <w:p w:rsidR="00D475FE" w:rsidRPr="00EA783F" w:rsidRDefault="00D475FE" w:rsidP="00F047F6">
            <w:pPr>
              <w:suppressAutoHyphens w:val="0"/>
              <w:spacing w:before="40" w:after="120" w:line="220" w:lineRule="exact"/>
              <w:ind w:right="113"/>
            </w:pPr>
            <w:r>
              <w:t>1998</w:t>
            </w:r>
          </w:p>
        </w:tc>
        <w:tc>
          <w:tcPr>
            <w:tcW w:w="3060" w:type="dxa"/>
          </w:tcPr>
          <w:p w:rsidR="00D475FE" w:rsidRPr="004535EB" w:rsidRDefault="004535EB" w:rsidP="00F047F6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Окружающая</w:t>
            </w:r>
            <w:r w:rsidRPr="004535EB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среда</w:t>
            </w:r>
            <w:r w:rsidRPr="004535EB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Европы</w:t>
            </w:r>
            <w:r w:rsidR="00D475FE" w:rsidRPr="004535EB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Вторая оценка </w:t>
            </w:r>
            <w:r w:rsidR="00D475FE" w:rsidRPr="004535EB">
              <w:rPr>
                <w:lang w:val="ru-RU"/>
              </w:rPr>
              <w:t>(</w:t>
            </w:r>
            <w:r w:rsidR="00467EBC">
              <w:rPr>
                <w:lang w:val="ru-RU"/>
              </w:rPr>
              <w:t xml:space="preserve">подготовлено и </w:t>
            </w:r>
            <w:r>
              <w:rPr>
                <w:lang w:val="ru-RU"/>
              </w:rPr>
              <w:t>опубликовано ЕАОС</w:t>
            </w:r>
            <w:r w:rsidR="00D475FE" w:rsidRPr="004535EB">
              <w:rPr>
                <w:lang w:val="ru-RU"/>
              </w:rPr>
              <w:t>)</w:t>
            </w:r>
            <w:r w:rsidR="00D475FE">
              <w:rPr>
                <w:rStyle w:val="FootnoteReference"/>
              </w:rPr>
              <w:footnoteReference w:id="3"/>
            </w:r>
          </w:p>
        </w:tc>
        <w:tc>
          <w:tcPr>
            <w:tcW w:w="4860" w:type="dxa"/>
          </w:tcPr>
          <w:p w:rsidR="00D475FE" w:rsidRPr="007D3DAB" w:rsidRDefault="007D3DAB" w:rsidP="00F047F6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Западная и Центральная Европа</w:t>
            </w:r>
          </w:p>
        </w:tc>
      </w:tr>
      <w:tr w:rsidR="00D475FE" w:rsidRPr="00DF7845" w:rsidTr="00565F4A">
        <w:tc>
          <w:tcPr>
            <w:tcW w:w="576" w:type="dxa"/>
          </w:tcPr>
          <w:p w:rsidR="00D475FE" w:rsidRPr="00EA783F" w:rsidRDefault="00D475FE" w:rsidP="00F047F6">
            <w:pPr>
              <w:suppressAutoHyphens w:val="0"/>
              <w:spacing w:before="40" w:after="120" w:line="220" w:lineRule="exact"/>
              <w:ind w:right="113"/>
            </w:pPr>
            <w:r>
              <w:t>2003</w:t>
            </w:r>
          </w:p>
        </w:tc>
        <w:tc>
          <w:tcPr>
            <w:tcW w:w="3060" w:type="dxa"/>
          </w:tcPr>
          <w:p w:rsidR="00D475FE" w:rsidRPr="004535EB" w:rsidRDefault="004535EB" w:rsidP="00F047F6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Киевская</w:t>
            </w:r>
            <w:r w:rsidRPr="004535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оценка</w:t>
            </w:r>
            <w:r w:rsidR="00D475FE" w:rsidRPr="004535EB">
              <w:rPr>
                <w:lang w:val="ru-RU"/>
              </w:rPr>
              <w:t xml:space="preserve"> – </w:t>
            </w:r>
            <w:r>
              <w:rPr>
                <w:i/>
                <w:iCs/>
                <w:lang w:val="ru-RU"/>
              </w:rPr>
              <w:t>Окружающая</w:t>
            </w:r>
            <w:r w:rsidRPr="004535EB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среда</w:t>
            </w:r>
            <w:r w:rsidRPr="004535EB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Европы</w:t>
            </w:r>
            <w:r w:rsidR="00D475FE" w:rsidRPr="004535EB">
              <w:rPr>
                <w:i/>
                <w:iCs/>
                <w:lang w:val="ru-RU"/>
              </w:rPr>
              <w:t xml:space="preserve">: </w:t>
            </w:r>
            <w:r>
              <w:rPr>
                <w:i/>
                <w:iCs/>
                <w:lang w:val="ru-RU"/>
              </w:rPr>
              <w:t xml:space="preserve">Третья Оценка </w:t>
            </w:r>
            <w:r w:rsidR="00D475FE" w:rsidRPr="004535EB">
              <w:rPr>
                <w:lang w:val="ru-RU"/>
              </w:rPr>
              <w:t>(</w:t>
            </w:r>
            <w:r w:rsidR="00467EBC">
              <w:rPr>
                <w:lang w:val="ru-RU"/>
              </w:rPr>
              <w:t xml:space="preserve">подготовлено и </w:t>
            </w:r>
            <w:r>
              <w:rPr>
                <w:lang w:val="ru-RU"/>
              </w:rPr>
              <w:t>опубликовано ЕАОС</w:t>
            </w:r>
            <w:r w:rsidR="00D475FE" w:rsidRPr="004535EB">
              <w:rPr>
                <w:lang w:val="ru-RU"/>
              </w:rPr>
              <w:t>)</w:t>
            </w:r>
            <w:r w:rsidR="00D475FE">
              <w:rPr>
                <w:rStyle w:val="FootnoteReference"/>
              </w:rPr>
              <w:footnoteReference w:id="4"/>
            </w:r>
          </w:p>
        </w:tc>
        <w:tc>
          <w:tcPr>
            <w:tcW w:w="4860" w:type="dxa"/>
          </w:tcPr>
          <w:p w:rsidR="007D3DAB" w:rsidRPr="007D3DAB" w:rsidRDefault="007D3DAB" w:rsidP="00F047F6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 xml:space="preserve">Обзор достигнутого прогресса в выполнении </w:t>
            </w:r>
            <w:r w:rsidRPr="007D3DAB">
              <w:rPr>
                <w:lang w:val="ru-RU"/>
              </w:rPr>
              <w:t xml:space="preserve">экологической программы </w:t>
            </w:r>
            <w:r w:rsidR="00467EBC">
              <w:rPr>
                <w:lang w:val="ru-RU"/>
              </w:rPr>
              <w:t>для Европы (впервые охватывает</w:t>
            </w:r>
            <w:r w:rsidRPr="007D3DAB">
              <w:rPr>
                <w:lang w:val="ru-RU"/>
              </w:rPr>
              <w:t xml:space="preserve"> восточную часть региона ЕЭК)</w:t>
            </w:r>
          </w:p>
          <w:p w:rsidR="007D3DAB" w:rsidRPr="007D3DAB" w:rsidRDefault="007D3DAB" w:rsidP="00F047F6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Цель данной оценки заключалась в ее развитии как полномасштабной оценки</w:t>
            </w:r>
            <w:r w:rsidR="00A400F3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основанной на экологических индикаторах</w:t>
            </w:r>
          </w:p>
        </w:tc>
      </w:tr>
      <w:tr w:rsidR="00D475FE" w:rsidRPr="00DF7845" w:rsidTr="00565F4A">
        <w:tc>
          <w:tcPr>
            <w:tcW w:w="576" w:type="dxa"/>
          </w:tcPr>
          <w:p w:rsidR="00D475FE" w:rsidRPr="00EA783F" w:rsidRDefault="00D475FE" w:rsidP="00F047F6">
            <w:pPr>
              <w:suppressAutoHyphens w:val="0"/>
              <w:spacing w:before="40" w:after="120" w:line="220" w:lineRule="exact"/>
              <w:ind w:right="113"/>
            </w:pPr>
            <w:r>
              <w:t>2007</w:t>
            </w:r>
          </w:p>
        </w:tc>
        <w:tc>
          <w:tcPr>
            <w:tcW w:w="3060" w:type="dxa"/>
          </w:tcPr>
          <w:p w:rsidR="00D475FE" w:rsidRPr="004535EB" w:rsidRDefault="004535EB" w:rsidP="00F047F6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Белградская</w:t>
            </w:r>
            <w:r w:rsidRPr="004535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оценка</w:t>
            </w:r>
            <w:r w:rsidR="00D475FE" w:rsidRPr="004535EB">
              <w:rPr>
                <w:lang w:val="ru-RU"/>
              </w:rPr>
              <w:t xml:space="preserve"> – </w:t>
            </w:r>
            <w:r>
              <w:rPr>
                <w:i/>
                <w:iCs/>
                <w:lang w:val="ru-RU"/>
              </w:rPr>
              <w:t>Окружающая среда Европы</w:t>
            </w:r>
            <w:r w:rsidR="00D475FE" w:rsidRPr="004535EB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Четвертая оценка </w:t>
            </w:r>
            <w:r w:rsidR="00D475FE" w:rsidRPr="004535EB">
              <w:rPr>
                <w:lang w:val="ru-RU"/>
              </w:rPr>
              <w:t>(</w:t>
            </w:r>
            <w:r w:rsidR="00467EBC">
              <w:rPr>
                <w:lang w:val="ru-RU"/>
              </w:rPr>
              <w:t xml:space="preserve">подготовлено и </w:t>
            </w:r>
            <w:r>
              <w:rPr>
                <w:lang w:val="ru-RU"/>
              </w:rPr>
              <w:t>опубликовано ЕАОС</w:t>
            </w:r>
            <w:r w:rsidR="00D475FE" w:rsidRPr="004535EB">
              <w:rPr>
                <w:lang w:val="ru-RU"/>
              </w:rPr>
              <w:t>)</w:t>
            </w:r>
            <w:r w:rsidR="00D475FE">
              <w:rPr>
                <w:rStyle w:val="FootnoteReference"/>
              </w:rPr>
              <w:footnoteReference w:id="5"/>
            </w:r>
          </w:p>
        </w:tc>
        <w:tc>
          <w:tcPr>
            <w:tcW w:w="4860" w:type="dxa"/>
          </w:tcPr>
          <w:p w:rsidR="0053132B" w:rsidRPr="00DB7BDC" w:rsidRDefault="0053132B" w:rsidP="00F047F6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 w:rsidRPr="0053132B">
              <w:rPr>
                <w:lang w:val="ru-RU"/>
              </w:rPr>
              <w:t xml:space="preserve">Представляет перечень </w:t>
            </w:r>
            <w:r w:rsidR="00D16996">
              <w:rPr>
                <w:lang w:val="ru-RU"/>
              </w:rPr>
              <w:t xml:space="preserve">ключевых </w:t>
            </w:r>
            <w:r w:rsidR="00DB7BDC">
              <w:rPr>
                <w:lang w:val="ru-RU"/>
              </w:rPr>
              <w:t>показателей</w:t>
            </w:r>
            <w:r w:rsidRPr="0053132B">
              <w:rPr>
                <w:lang w:val="ru-RU"/>
              </w:rPr>
              <w:t xml:space="preserve"> для стран Европы и Центральной Азии, демонстрируя</w:t>
            </w:r>
            <w:r w:rsidR="00DB7BDC">
              <w:rPr>
                <w:lang w:val="ru-RU"/>
              </w:rPr>
              <w:t xml:space="preserve"> значимость каждого показателя для других международных наборов показателей</w:t>
            </w:r>
          </w:p>
        </w:tc>
      </w:tr>
      <w:tr w:rsidR="00D475FE" w:rsidRPr="00DF7845" w:rsidTr="00565F4A">
        <w:tc>
          <w:tcPr>
            <w:tcW w:w="576" w:type="dxa"/>
          </w:tcPr>
          <w:p w:rsidR="00D475FE" w:rsidRPr="00EA783F" w:rsidRDefault="00D475FE" w:rsidP="00F047F6">
            <w:pPr>
              <w:suppressAutoHyphens w:val="0"/>
              <w:spacing w:before="40" w:after="120" w:line="220" w:lineRule="exact"/>
              <w:ind w:right="113"/>
            </w:pPr>
            <w:r w:rsidRPr="00EA783F">
              <w:t>2011</w:t>
            </w:r>
          </w:p>
        </w:tc>
        <w:tc>
          <w:tcPr>
            <w:tcW w:w="3060" w:type="dxa"/>
          </w:tcPr>
          <w:p w:rsidR="00D475FE" w:rsidRPr="004535EB" w:rsidRDefault="004535EB" w:rsidP="00F047F6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4535EB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Астаны</w:t>
            </w:r>
            <w:r w:rsidR="00D475FE" w:rsidRPr="004535EB">
              <w:rPr>
                <w:lang w:val="ru-RU"/>
              </w:rPr>
              <w:t xml:space="preserve"> – </w:t>
            </w:r>
            <w:r>
              <w:rPr>
                <w:i/>
                <w:iCs/>
                <w:lang w:val="ru-RU"/>
              </w:rPr>
              <w:t>Окружающая</w:t>
            </w:r>
            <w:r w:rsidRPr="004535EB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среда</w:t>
            </w:r>
            <w:r w:rsidRPr="004535EB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Европы</w:t>
            </w:r>
            <w:r w:rsidR="00D475FE" w:rsidRPr="004535EB">
              <w:rPr>
                <w:i/>
                <w:iCs/>
                <w:lang w:val="ru-RU"/>
              </w:rPr>
              <w:t xml:space="preserve">: </w:t>
            </w:r>
            <w:r>
              <w:rPr>
                <w:i/>
                <w:iCs/>
                <w:lang w:val="ru-RU"/>
              </w:rPr>
              <w:t>Оценка Оценок</w:t>
            </w:r>
            <w:r w:rsidR="00D475FE" w:rsidRPr="004535EB">
              <w:rPr>
                <w:lang w:val="ru-RU"/>
              </w:rPr>
              <w:t xml:space="preserve"> (</w:t>
            </w:r>
            <w:r w:rsidR="00467EBC">
              <w:rPr>
                <w:lang w:val="ru-RU"/>
              </w:rPr>
              <w:t xml:space="preserve">подготовлено и </w:t>
            </w:r>
            <w:r>
              <w:rPr>
                <w:lang w:val="ru-RU"/>
              </w:rPr>
              <w:t>опубликовано ЕАОС</w:t>
            </w:r>
            <w:r w:rsidR="00D475FE" w:rsidRPr="004535EB">
              <w:rPr>
                <w:lang w:val="ru-RU"/>
              </w:rPr>
              <w:t>)</w:t>
            </w:r>
            <w:r w:rsidR="00D475FE">
              <w:rPr>
                <w:rStyle w:val="FootnoteReference"/>
              </w:rPr>
              <w:footnoteReference w:id="6"/>
            </w:r>
          </w:p>
        </w:tc>
        <w:tc>
          <w:tcPr>
            <w:tcW w:w="4860" w:type="dxa"/>
          </w:tcPr>
          <w:p w:rsidR="00DB7BDC" w:rsidRPr="00DB7BDC" w:rsidRDefault="00DB7BDC" w:rsidP="00F047F6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 w:rsidRPr="00DB7BDC">
              <w:rPr>
                <w:lang w:val="ru-RU"/>
              </w:rPr>
              <w:t>Основное внимание у</w:t>
            </w:r>
            <w:r>
              <w:rPr>
                <w:lang w:val="ru-RU"/>
              </w:rPr>
              <w:t xml:space="preserve">деляется двум темам </w:t>
            </w:r>
            <w:r w:rsidRPr="00DB7BDC">
              <w:rPr>
                <w:lang w:val="ru-RU"/>
              </w:rPr>
              <w:t>конференции</w:t>
            </w:r>
            <w:r>
              <w:rPr>
                <w:lang w:val="ru-RU"/>
              </w:rPr>
              <w:t xml:space="preserve"> в Астане</w:t>
            </w:r>
            <w:r w:rsidRPr="00DB7BDC">
              <w:rPr>
                <w:lang w:val="ru-RU"/>
              </w:rPr>
              <w:t>: вода и связанные с ней экосистемы и зеленая экономика</w:t>
            </w:r>
          </w:p>
        </w:tc>
      </w:tr>
      <w:tr w:rsidR="00D475FE" w:rsidRPr="00DF7845" w:rsidTr="00565F4A">
        <w:tc>
          <w:tcPr>
            <w:tcW w:w="576" w:type="dxa"/>
            <w:tcBorders>
              <w:bottom w:val="single" w:sz="12" w:space="0" w:color="auto"/>
            </w:tcBorders>
          </w:tcPr>
          <w:p w:rsidR="00D475FE" w:rsidRPr="00EA783F" w:rsidRDefault="00D475FE" w:rsidP="00F047F6">
            <w:pPr>
              <w:suppressAutoHyphens w:val="0"/>
              <w:spacing w:before="40" w:after="120" w:line="220" w:lineRule="exact"/>
              <w:ind w:right="113"/>
            </w:pPr>
            <w:r w:rsidRPr="00EA783F">
              <w:t>2016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D475FE" w:rsidRPr="000744C5" w:rsidRDefault="004535EB" w:rsidP="00F047F6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074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Батуми</w:t>
            </w:r>
            <w:r w:rsidR="00D475FE" w:rsidRPr="000744C5">
              <w:rPr>
                <w:lang w:val="ru-RU"/>
              </w:rPr>
              <w:t xml:space="preserve"> – </w:t>
            </w:r>
            <w:r>
              <w:rPr>
                <w:i/>
                <w:iCs/>
                <w:lang w:val="ru-RU"/>
              </w:rPr>
              <w:t>Шестая</w:t>
            </w:r>
            <w:r w:rsidRPr="000744C5">
              <w:rPr>
                <w:i/>
                <w:iCs/>
                <w:lang w:val="ru-RU"/>
              </w:rPr>
              <w:t xml:space="preserve"> </w:t>
            </w:r>
            <w:r w:rsidR="00EB3EDF">
              <w:rPr>
                <w:i/>
                <w:iCs/>
                <w:lang w:val="ru-RU"/>
              </w:rPr>
              <w:t>Глобальная Экологическая Перспектива</w:t>
            </w:r>
            <w:r w:rsidR="00D475FE" w:rsidRPr="000744C5">
              <w:rPr>
                <w:i/>
                <w:iCs/>
                <w:lang w:val="ru-RU"/>
              </w:rPr>
              <w:t xml:space="preserve"> (</w:t>
            </w:r>
            <w:r w:rsidR="00EB3EDF">
              <w:rPr>
                <w:i/>
                <w:iCs/>
                <w:lang w:val="ru-RU"/>
              </w:rPr>
              <w:t>ГЭП</w:t>
            </w:r>
            <w:r w:rsidR="00D475FE" w:rsidRPr="000744C5">
              <w:rPr>
                <w:i/>
                <w:iCs/>
                <w:lang w:val="ru-RU"/>
              </w:rPr>
              <w:t xml:space="preserve">-6) </w:t>
            </w:r>
            <w:r w:rsidR="000744C5">
              <w:rPr>
                <w:i/>
                <w:iCs/>
                <w:lang w:val="ru-RU"/>
              </w:rPr>
              <w:t>в панъевропейском регионе</w:t>
            </w:r>
            <w:r w:rsidRPr="000744C5">
              <w:rPr>
                <w:lang w:val="ru-RU"/>
              </w:rPr>
              <w:t xml:space="preserve"> (</w:t>
            </w:r>
            <w:r w:rsidR="00467EBC">
              <w:rPr>
                <w:lang w:val="ru-RU"/>
              </w:rPr>
              <w:t xml:space="preserve">подготовлено и </w:t>
            </w:r>
            <w:r>
              <w:rPr>
                <w:lang w:val="ru-RU"/>
              </w:rPr>
              <w:t>опубликовано</w:t>
            </w:r>
            <w:r w:rsidRPr="00074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ЮНЕП</w:t>
            </w:r>
            <w:r w:rsidRPr="000744C5">
              <w:rPr>
                <w:lang w:val="ru-RU"/>
              </w:rPr>
              <w:t>/</w:t>
            </w:r>
            <w:r>
              <w:rPr>
                <w:lang w:val="ru-RU"/>
              </w:rPr>
              <w:t>ЕЭК</w:t>
            </w:r>
            <w:r w:rsidRPr="000744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ООН</w:t>
            </w:r>
            <w:r w:rsidR="00D475FE" w:rsidRPr="000744C5">
              <w:rPr>
                <w:lang w:val="ru-RU"/>
              </w:rPr>
              <w:t>)</w:t>
            </w:r>
            <w:r w:rsidR="00D475FE">
              <w:rPr>
                <w:rStyle w:val="FootnoteReference"/>
              </w:rPr>
              <w:footnoteReference w:id="7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DB7BDC" w:rsidRPr="00AE7C39" w:rsidRDefault="00DB7BDC" w:rsidP="00F047F6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 w:rsidRPr="00DB7BDC">
              <w:rPr>
                <w:lang w:val="ru-RU"/>
              </w:rPr>
              <w:t>На основе существующих национальных, субрегиональных и тематическ</w:t>
            </w:r>
            <w:r w:rsidR="00CF574F">
              <w:rPr>
                <w:lang w:val="ru-RU"/>
              </w:rPr>
              <w:t>их оценок, включая европейский Д</w:t>
            </w:r>
            <w:r w:rsidRPr="00DB7BDC">
              <w:rPr>
                <w:lang w:val="ru-RU"/>
              </w:rPr>
              <w:t>оклад о состоянии окружающей среды и перспективах на 2015 год, подготовленный ЕАОС в 2015 году</w:t>
            </w:r>
          </w:p>
          <w:p w:rsidR="00DB7BDC" w:rsidRPr="00DB7BDC" w:rsidRDefault="00DB7BDC" w:rsidP="00F047F6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 w:rsidRPr="00DB7BDC">
              <w:rPr>
                <w:lang w:val="ru-RU"/>
              </w:rPr>
              <w:t>Оценка текущего состояния окружающей среды, в</w:t>
            </w:r>
            <w:r>
              <w:rPr>
                <w:lang w:val="ru-RU"/>
              </w:rPr>
              <w:t>ыявление тенденций и укрепление</w:t>
            </w:r>
            <w:r w:rsidRPr="00DB7BDC">
              <w:rPr>
                <w:lang w:val="ru-RU"/>
              </w:rPr>
              <w:t xml:space="preserve"> научно-политического диалога, лежащего в основе процессов разработки политики и принятия решений в регионе.</w:t>
            </w:r>
          </w:p>
        </w:tc>
      </w:tr>
    </w:tbl>
    <w:p w:rsidR="00D475FE" w:rsidRPr="00FB1A8E" w:rsidRDefault="00D475FE" w:rsidP="002C77C4">
      <w:pPr>
        <w:pStyle w:val="H1G"/>
        <w:rPr>
          <w:lang w:val="ru-RU"/>
        </w:rPr>
      </w:pPr>
      <w:r w:rsidRPr="009528C2">
        <w:rPr>
          <w:lang w:val="ru-RU"/>
        </w:rPr>
        <w:lastRenderedPageBreak/>
        <w:tab/>
      </w:r>
      <w:r>
        <w:t>A</w:t>
      </w:r>
      <w:r w:rsidRPr="00FB1A8E">
        <w:rPr>
          <w:lang w:val="ru-RU"/>
        </w:rPr>
        <w:t>.</w:t>
      </w:r>
      <w:r w:rsidRPr="00FB1A8E">
        <w:rPr>
          <w:lang w:val="ru-RU"/>
        </w:rPr>
        <w:tab/>
      </w:r>
      <w:r w:rsidR="009258F6">
        <w:rPr>
          <w:lang w:val="ru-RU"/>
        </w:rPr>
        <w:t>Реформа</w:t>
      </w:r>
      <w:r w:rsidR="009258F6" w:rsidRPr="00FB1A8E">
        <w:rPr>
          <w:lang w:val="ru-RU"/>
        </w:rPr>
        <w:t xml:space="preserve"> </w:t>
      </w:r>
      <w:r w:rsidR="009258F6">
        <w:rPr>
          <w:lang w:val="ru-RU"/>
        </w:rPr>
        <w:t>процесса</w:t>
      </w:r>
      <w:r w:rsidR="009258F6" w:rsidRPr="00FB1A8E">
        <w:rPr>
          <w:lang w:val="ru-RU"/>
        </w:rPr>
        <w:t xml:space="preserve"> </w:t>
      </w:r>
      <w:r w:rsidR="009258F6">
        <w:rPr>
          <w:lang w:val="ru-RU"/>
        </w:rPr>
        <w:t>«Окружающая среда для Европы»</w:t>
      </w:r>
      <w:r w:rsidRPr="00FB1A8E">
        <w:rPr>
          <w:lang w:val="ru-RU"/>
        </w:rPr>
        <w:t>, 2009</w:t>
      </w:r>
    </w:p>
    <w:p w:rsidR="00FB1A8E" w:rsidRPr="00AE7C39" w:rsidRDefault="00D475FE" w:rsidP="0044607E">
      <w:pPr>
        <w:pStyle w:val="SingleTxtG"/>
        <w:rPr>
          <w:lang w:val="ru-RU"/>
        </w:rPr>
      </w:pPr>
      <w:r w:rsidRPr="0044607E">
        <w:rPr>
          <w:lang w:val="ru-RU"/>
        </w:rPr>
        <w:t>5.</w:t>
      </w:r>
      <w:r w:rsidRPr="0044607E">
        <w:rPr>
          <w:lang w:val="ru-RU"/>
        </w:rPr>
        <w:tab/>
      </w:r>
      <w:r w:rsidR="00FB1A8E" w:rsidRPr="00FB1A8E">
        <w:rPr>
          <w:lang w:val="ru-RU"/>
        </w:rPr>
        <w:t>На</w:t>
      </w:r>
      <w:r w:rsidR="00FB1A8E" w:rsidRPr="0044607E">
        <w:rPr>
          <w:lang w:val="ru-RU"/>
        </w:rPr>
        <w:t xml:space="preserve"> </w:t>
      </w:r>
      <w:r w:rsidR="00FB1A8E" w:rsidRPr="00FB1A8E">
        <w:rPr>
          <w:lang w:val="ru-RU"/>
        </w:rPr>
        <w:t>своей</w:t>
      </w:r>
      <w:r w:rsidR="00FB1A8E" w:rsidRPr="0044607E">
        <w:rPr>
          <w:lang w:val="ru-RU"/>
        </w:rPr>
        <w:t xml:space="preserve"> </w:t>
      </w:r>
      <w:r w:rsidR="00FB1A8E" w:rsidRPr="00FB1A8E">
        <w:rPr>
          <w:lang w:val="ru-RU"/>
        </w:rPr>
        <w:t>специальной</w:t>
      </w:r>
      <w:r w:rsidR="00FB1A8E" w:rsidRPr="0044607E">
        <w:rPr>
          <w:lang w:val="ru-RU"/>
        </w:rPr>
        <w:t xml:space="preserve"> </w:t>
      </w:r>
      <w:r w:rsidR="00FB1A8E" w:rsidRPr="00FB1A8E">
        <w:rPr>
          <w:lang w:val="ru-RU"/>
        </w:rPr>
        <w:t>сессии</w:t>
      </w:r>
      <w:r w:rsidR="00FB1A8E" w:rsidRPr="0044607E">
        <w:rPr>
          <w:lang w:val="ru-RU"/>
        </w:rPr>
        <w:t xml:space="preserve"> </w:t>
      </w:r>
      <w:r w:rsidR="00FB1A8E" w:rsidRPr="00FB1A8E">
        <w:rPr>
          <w:lang w:val="ru-RU"/>
        </w:rPr>
        <w:t>в</w:t>
      </w:r>
      <w:r w:rsidR="00FB1A8E" w:rsidRPr="0044607E">
        <w:rPr>
          <w:lang w:val="ru-RU"/>
        </w:rPr>
        <w:t xml:space="preserve"> </w:t>
      </w:r>
      <w:r w:rsidR="00FB1A8E" w:rsidRPr="00FB1A8E">
        <w:rPr>
          <w:lang w:val="ru-RU"/>
        </w:rPr>
        <w:t>январе</w:t>
      </w:r>
      <w:r w:rsidR="00FB1A8E" w:rsidRPr="0044607E">
        <w:rPr>
          <w:lang w:val="ru-RU"/>
        </w:rPr>
        <w:t xml:space="preserve"> 2009 </w:t>
      </w:r>
      <w:r w:rsidR="00FB1A8E" w:rsidRPr="00FB1A8E">
        <w:rPr>
          <w:lang w:val="ru-RU"/>
        </w:rPr>
        <w:t>года</w:t>
      </w:r>
      <w:r w:rsidR="00FB1A8E" w:rsidRPr="0044607E">
        <w:rPr>
          <w:lang w:val="ru-RU"/>
        </w:rPr>
        <w:t xml:space="preserve"> </w:t>
      </w:r>
      <w:r w:rsidR="00FB1A8E" w:rsidRPr="00FB1A8E">
        <w:rPr>
          <w:lang w:val="ru-RU"/>
        </w:rPr>
        <w:t>Комитет</w:t>
      </w:r>
      <w:r w:rsidR="00FB1A8E" w:rsidRPr="0044607E">
        <w:rPr>
          <w:lang w:val="ru-RU"/>
        </w:rPr>
        <w:t xml:space="preserve"> </w:t>
      </w:r>
      <w:r w:rsidR="00FB1A8E" w:rsidRPr="00FB1A8E">
        <w:rPr>
          <w:lang w:val="ru-RU"/>
        </w:rPr>
        <w:t>по</w:t>
      </w:r>
      <w:r w:rsidR="00FB1A8E" w:rsidRPr="0044607E">
        <w:rPr>
          <w:lang w:val="ru-RU"/>
        </w:rPr>
        <w:t xml:space="preserve"> </w:t>
      </w:r>
      <w:r w:rsidR="00FB1A8E" w:rsidRPr="00FB1A8E">
        <w:rPr>
          <w:lang w:val="ru-RU"/>
        </w:rPr>
        <w:t>экологической</w:t>
      </w:r>
      <w:r w:rsidR="00FB1A8E" w:rsidRPr="0044607E">
        <w:rPr>
          <w:lang w:val="ru-RU"/>
        </w:rPr>
        <w:t xml:space="preserve"> </w:t>
      </w:r>
      <w:r w:rsidR="00FB1A8E" w:rsidRPr="00FB1A8E">
        <w:rPr>
          <w:lang w:val="ru-RU"/>
        </w:rPr>
        <w:t>политике</w:t>
      </w:r>
      <w:r w:rsidR="00FB1A8E" w:rsidRPr="0044607E">
        <w:rPr>
          <w:lang w:val="ru-RU"/>
        </w:rPr>
        <w:t xml:space="preserve"> </w:t>
      </w:r>
      <w:r w:rsidR="00FB1A8E" w:rsidRPr="00FB1A8E">
        <w:rPr>
          <w:lang w:val="ru-RU"/>
        </w:rPr>
        <w:t>у</w:t>
      </w:r>
      <w:r w:rsidR="0044607E">
        <w:rPr>
          <w:lang w:val="ru-RU"/>
        </w:rPr>
        <w:t>твердил</w:t>
      </w:r>
      <w:r w:rsidR="0044607E" w:rsidRPr="0044607E">
        <w:rPr>
          <w:lang w:val="ru-RU"/>
        </w:rPr>
        <w:t xml:space="preserve"> </w:t>
      </w:r>
      <w:r w:rsidR="0044607E">
        <w:rPr>
          <w:lang w:val="ru-RU"/>
        </w:rPr>
        <w:t>план</w:t>
      </w:r>
      <w:r w:rsidR="0044607E" w:rsidRPr="0044607E">
        <w:rPr>
          <w:lang w:val="ru-RU"/>
        </w:rPr>
        <w:t xml:space="preserve"> </w:t>
      </w:r>
      <w:r w:rsidR="0044607E">
        <w:rPr>
          <w:lang w:val="ru-RU"/>
        </w:rPr>
        <w:t>реформы</w:t>
      </w:r>
      <w:r w:rsidR="0044607E" w:rsidRPr="0044607E">
        <w:rPr>
          <w:lang w:val="ru-RU"/>
        </w:rPr>
        <w:t xml:space="preserve"> </w:t>
      </w:r>
      <w:r w:rsidR="0044607E">
        <w:rPr>
          <w:lang w:val="ru-RU"/>
        </w:rPr>
        <w:t>процесса</w:t>
      </w:r>
      <w:r w:rsidR="0044607E" w:rsidRPr="0044607E">
        <w:rPr>
          <w:lang w:val="ru-RU"/>
        </w:rPr>
        <w:t xml:space="preserve"> "</w:t>
      </w:r>
      <w:r w:rsidR="0044607E">
        <w:rPr>
          <w:lang w:val="ru-RU"/>
        </w:rPr>
        <w:t>О</w:t>
      </w:r>
      <w:r w:rsidR="00FB1A8E" w:rsidRPr="00FB1A8E">
        <w:rPr>
          <w:lang w:val="ru-RU"/>
        </w:rPr>
        <w:t>кружающая</w:t>
      </w:r>
      <w:r w:rsidR="00FB1A8E" w:rsidRPr="0044607E">
        <w:rPr>
          <w:lang w:val="ru-RU"/>
        </w:rPr>
        <w:t xml:space="preserve"> </w:t>
      </w:r>
      <w:r w:rsidR="00FB1A8E" w:rsidRPr="00FB1A8E">
        <w:rPr>
          <w:lang w:val="ru-RU"/>
        </w:rPr>
        <w:t>среда</w:t>
      </w:r>
      <w:r w:rsidR="00FB1A8E" w:rsidRPr="0044607E">
        <w:rPr>
          <w:lang w:val="ru-RU"/>
        </w:rPr>
        <w:t xml:space="preserve"> </w:t>
      </w:r>
      <w:r w:rsidR="00FB1A8E" w:rsidRPr="00FB1A8E">
        <w:rPr>
          <w:lang w:val="ru-RU"/>
        </w:rPr>
        <w:t>для</w:t>
      </w:r>
      <w:r w:rsidR="00FB1A8E" w:rsidRPr="0044607E">
        <w:rPr>
          <w:lang w:val="ru-RU"/>
        </w:rPr>
        <w:t xml:space="preserve"> </w:t>
      </w:r>
      <w:r w:rsidR="00FB1A8E" w:rsidRPr="00FB1A8E">
        <w:rPr>
          <w:lang w:val="ru-RU"/>
        </w:rPr>
        <w:t>Европы</w:t>
      </w:r>
      <w:r w:rsidR="00FB1A8E" w:rsidRPr="0044607E">
        <w:rPr>
          <w:lang w:val="ru-RU"/>
        </w:rPr>
        <w:t>" (</w:t>
      </w:r>
      <w:r w:rsidR="00FB1A8E" w:rsidRPr="00FB1A8E">
        <w:t>ECE</w:t>
      </w:r>
      <w:r w:rsidR="00FB1A8E" w:rsidRPr="0044607E">
        <w:rPr>
          <w:lang w:val="ru-RU"/>
        </w:rPr>
        <w:t>/</w:t>
      </w:r>
      <w:r w:rsidR="00FB1A8E" w:rsidRPr="00FB1A8E">
        <w:t>CEP</w:t>
      </w:r>
      <w:r w:rsidR="00FB1A8E" w:rsidRPr="0044607E">
        <w:rPr>
          <w:lang w:val="ru-RU"/>
        </w:rPr>
        <w:t>/</w:t>
      </w:r>
      <w:r w:rsidR="00FB1A8E" w:rsidRPr="00FB1A8E">
        <w:t>S</w:t>
      </w:r>
      <w:r w:rsidR="0044607E" w:rsidRPr="0044607E">
        <w:rPr>
          <w:lang w:val="ru-RU"/>
        </w:rPr>
        <w:t xml:space="preserve">/152, </w:t>
      </w:r>
      <w:r w:rsidR="0044607E">
        <w:rPr>
          <w:lang w:val="ru-RU"/>
        </w:rPr>
        <w:t>пункт</w:t>
      </w:r>
      <w:r w:rsidR="0044607E" w:rsidRPr="0044607E">
        <w:rPr>
          <w:lang w:val="ru-RU"/>
        </w:rPr>
        <w:t xml:space="preserve"> </w:t>
      </w:r>
      <w:r w:rsidR="00FB1A8E" w:rsidRPr="0044607E">
        <w:rPr>
          <w:lang w:val="ru-RU"/>
        </w:rPr>
        <w:t>7). План реформы был одобрен исполнительным Комитетом ЕЭК.</w:t>
      </w:r>
    </w:p>
    <w:p w:rsidR="00D475FE" w:rsidRPr="0067422F" w:rsidRDefault="00D475FE" w:rsidP="0067422F">
      <w:pPr>
        <w:pStyle w:val="SingleTxtG"/>
        <w:rPr>
          <w:lang w:val="ru-RU"/>
        </w:rPr>
      </w:pPr>
      <w:r w:rsidRPr="0067422F">
        <w:rPr>
          <w:lang w:val="ru-RU"/>
        </w:rPr>
        <w:t>6.</w:t>
      </w:r>
      <w:r w:rsidRPr="0067422F">
        <w:rPr>
          <w:lang w:val="ru-RU"/>
        </w:rPr>
        <w:tab/>
      </w:r>
      <w:r w:rsidR="0067422F">
        <w:rPr>
          <w:lang w:val="ru-RU"/>
        </w:rPr>
        <w:t>В соответствии с планом реформы</w:t>
      </w:r>
      <w:r w:rsidR="0067422F" w:rsidRPr="0067422F">
        <w:rPr>
          <w:lang w:val="ru-RU"/>
        </w:rPr>
        <w:t xml:space="preserve"> (</w:t>
      </w:r>
      <w:r w:rsidR="0067422F" w:rsidRPr="004F6B66">
        <w:t>ECE</w:t>
      </w:r>
      <w:r w:rsidR="0067422F" w:rsidRPr="0067422F">
        <w:rPr>
          <w:lang w:val="ru-RU"/>
        </w:rPr>
        <w:t>/</w:t>
      </w:r>
      <w:r w:rsidR="0067422F" w:rsidRPr="004F6B66">
        <w:t>CEP</w:t>
      </w:r>
      <w:r w:rsidR="0067422F" w:rsidRPr="0067422F">
        <w:rPr>
          <w:lang w:val="ru-RU"/>
        </w:rPr>
        <w:t>/</w:t>
      </w:r>
      <w:r w:rsidR="0067422F" w:rsidRPr="004F6B66">
        <w:t>S</w:t>
      </w:r>
      <w:r w:rsidR="0067422F">
        <w:rPr>
          <w:lang w:val="ru-RU"/>
        </w:rPr>
        <w:t>/</w:t>
      </w:r>
      <w:r w:rsidR="0067422F" w:rsidRPr="0067422F">
        <w:rPr>
          <w:lang w:val="ru-RU"/>
        </w:rPr>
        <w:t xml:space="preserve">152, приложение </w:t>
      </w:r>
      <w:r w:rsidR="0067422F" w:rsidRPr="004F6B66">
        <w:t>I</w:t>
      </w:r>
      <w:r w:rsidR="00D56234">
        <w:rPr>
          <w:lang w:val="ru-RU"/>
        </w:rPr>
        <w:t>)  “Н</w:t>
      </w:r>
      <w:r w:rsidR="0067422F" w:rsidRPr="0067422F">
        <w:rPr>
          <w:lang w:val="ru-RU"/>
        </w:rPr>
        <w:t xml:space="preserve">е позднее чем за 18 месяцев до начала конференции [Комитет по экологической политике] на своей очередной сессии примет решение не более чем по двум темам и обсудит </w:t>
      </w:r>
      <w:r w:rsidR="0067422F">
        <w:rPr>
          <w:lang w:val="ru-RU"/>
        </w:rPr>
        <w:t xml:space="preserve">план </w:t>
      </w:r>
      <w:r w:rsidR="0067422F" w:rsidRPr="0067422F">
        <w:rPr>
          <w:lang w:val="ru-RU"/>
        </w:rPr>
        <w:t xml:space="preserve">повестки дня конференции. При принятии решения по темам следует учитывать предварительные выводы имеющихся оценок и статистических отчетов по окружающей среде.” (там же, приложение </w:t>
      </w:r>
      <w:r w:rsidR="0067422F" w:rsidRPr="004F6B66">
        <w:t>I</w:t>
      </w:r>
      <w:r w:rsidR="0067422F" w:rsidRPr="0067422F">
        <w:rPr>
          <w:lang w:val="ru-RU"/>
        </w:rPr>
        <w:t>, пункт. 12 (</w:t>
      </w:r>
      <w:r w:rsidR="0067422F" w:rsidRPr="004F6B66">
        <w:t>a</w:t>
      </w:r>
      <w:r w:rsidR="0067422F" w:rsidRPr="0067422F">
        <w:rPr>
          <w:lang w:val="ru-RU"/>
        </w:rPr>
        <w:t>)). "</w:t>
      </w:r>
      <w:r w:rsidR="0067422F" w:rsidRPr="00627063">
        <w:rPr>
          <w:b/>
          <w:lang w:val="ru-RU"/>
        </w:rPr>
        <w:t>Официальная основная документация будет ... включать панъевропейскую оценку</w:t>
      </w:r>
      <w:r w:rsidR="0067422F">
        <w:rPr>
          <w:lang w:val="ru-RU"/>
        </w:rPr>
        <w:t xml:space="preserve"> и [не более двух] тематические доклады</w:t>
      </w:r>
      <w:r w:rsidR="0067422F" w:rsidRPr="0067422F">
        <w:rPr>
          <w:lang w:val="ru-RU"/>
        </w:rPr>
        <w:t xml:space="preserve">” (там же, приложение </w:t>
      </w:r>
      <w:r w:rsidR="0067422F" w:rsidRPr="004F6B66">
        <w:t>I</w:t>
      </w:r>
      <w:r w:rsidR="0067422F" w:rsidRPr="0067422F">
        <w:rPr>
          <w:lang w:val="ru-RU"/>
        </w:rPr>
        <w:t>, пункт 2). 12 (</w:t>
      </w:r>
      <w:r w:rsidR="0067422F" w:rsidRPr="004F6B66">
        <w:t>d</w:t>
      </w:r>
      <w:r w:rsidR="0067422F" w:rsidRPr="0067422F">
        <w:rPr>
          <w:lang w:val="ru-RU"/>
        </w:rPr>
        <w:t>))</w:t>
      </w:r>
      <w:r>
        <w:rPr>
          <w:rStyle w:val="FootnoteReference"/>
        </w:rPr>
        <w:footnoteReference w:id="8"/>
      </w:r>
    </w:p>
    <w:p w:rsidR="00D475FE" w:rsidRPr="00D862F6" w:rsidRDefault="00D475FE" w:rsidP="007813A7">
      <w:pPr>
        <w:pStyle w:val="H1G"/>
        <w:rPr>
          <w:lang w:val="ru-RU"/>
        </w:rPr>
      </w:pPr>
      <w:r w:rsidRPr="0067422F">
        <w:rPr>
          <w:lang w:val="ru-RU"/>
        </w:rPr>
        <w:tab/>
      </w:r>
      <w:r w:rsidR="00D0034C">
        <w:rPr>
          <w:lang w:val="ru-RU"/>
        </w:rPr>
        <w:t>Б</w:t>
      </w:r>
      <w:r w:rsidR="00D862F6" w:rsidRPr="00D862F6">
        <w:rPr>
          <w:lang w:val="ru-RU"/>
        </w:rPr>
        <w:t>.</w:t>
      </w:r>
      <w:r w:rsidR="00D862F6" w:rsidRPr="00D862F6">
        <w:rPr>
          <w:lang w:val="ru-RU"/>
        </w:rPr>
        <w:tab/>
      </w:r>
      <w:r w:rsidR="002B4398">
        <w:rPr>
          <w:lang w:val="ru-RU"/>
        </w:rPr>
        <w:t>Седьмая Конференция м</w:t>
      </w:r>
      <w:r w:rsidR="00D862F6">
        <w:rPr>
          <w:lang w:val="ru-RU"/>
        </w:rPr>
        <w:t>инистров «Окружающая среда для Европы»</w:t>
      </w:r>
      <w:r w:rsidRPr="00D862F6">
        <w:rPr>
          <w:lang w:val="ru-RU"/>
        </w:rPr>
        <w:t xml:space="preserve">, 2011 </w:t>
      </w:r>
    </w:p>
    <w:p w:rsidR="002A2FFB" w:rsidRDefault="00D475FE" w:rsidP="00AE7C39">
      <w:pPr>
        <w:pStyle w:val="SingleTxtG"/>
        <w:rPr>
          <w:lang w:val="ru-RU"/>
        </w:rPr>
      </w:pPr>
      <w:r w:rsidRPr="00AE7C39">
        <w:rPr>
          <w:lang w:val="ru-RU"/>
        </w:rPr>
        <w:t>7.</w:t>
      </w:r>
      <w:r w:rsidRPr="00AE7C39">
        <w:rPr>
          <w:lang w:val="ru-RU"/>
        </w:rPr>
        <w:tab/>
      </w:r>
      <w:r w:rsidR="00D862F6" w:rsidRPr="00D862F6">
        <w:rPr>
          <w:lang w:val="ru-RU"/>
        </w:rPr>
        <w:t>В декла</w:t>
      </w:r>
      <w:r w:rsidR="00D862F6">
        <w:rPr>
          <w:lang w:val="ru-RU"/>
        </w:rPr>
        <w:t>рации, с</w:t>
      </w:r>
      <w:r w:rsidR="00A03783">
        <w:rPr>
          <w:lang w:val="ru-RU"/>
        </w:rPr>
        <w:t>деланной министрами на Седьмой министерской К</w:t>
      </w:r>
      <w:r w:rsidR="00D56234">
        <w:rPr>
          <w:lang w:val="ru-RU"/>
        </w:rPr>
        <w:t>онференции (Астана, 2011), “Э</w:t>
      </w:r>
      <w:r w:rsidR="00D862F6" w:rsidRPr="00D862F6">
        <w:rPr>
          <w:lang w:val="ru-RU"/>
        </w:rPr>
        <w:t>кономьте воду, растите зелень!"(</w:t>
      </w:r>
      <w:r w:rsidR="00D862F6" w:rsidRPr="00D862F6">
        <w:t>ECE</w:t>
      </w:r>
      <w:r w:rsidR="00476641">
        <w:rPr>
          <w:lang w:val="ru-RU"/>
        </w:rPr>
        <w:t>/</w:t>
      </w:r>
      <w:r w:rsidR="00D862F6" w:rsidRPr="00D862F6">
        <w:t>ASTANA</w:t>
      </w:r>
      <w:r w:rsidR="00D862F6" w:rsidRPr="00D862F6">
        <w:rPr>
          <w:lang w:val="ru-RU"/>
        </w:rPr>
        <w:t>.</w:t>
      </w:r>
      <w:r w:rsidR="00D862F6" w:rsidRPr="00D862F6">
        <w:t>CONF</w:t>
      </w:r>
      <w:r w:rsidR="00FD58C5">
        <w:rPr>
          <w:lang w:val="ru-RU"/>
        </w:rPr>
        <w:t>/2011/2/</w:t>
      </w:r>
      <w:r w:rsidR="00FD58C5" w:rsidRPr="00FD58C5">
        <w:rPr>
          <w:lang w:val="ru-RU"/>
        </w:rPr>
        <w:t xml:space="preserve"> </w:t>
      </w:r>
      <w:r w:rsidR="00FD58C5">
        <w:rPr>
          <w:lang w:val="ru-RU"/>
        </w:rPr>
        <w:t>Добавление</w:t>
      </w:r>
      <w:r w:rsidR="00D862F6" w:rsidRPr="00D862F6">
        <w:rPr>
          <w:lang w:val="ru-RU"/>
        </w:rPr>
        <w:t xml:space="preserve">.1), </w:t>
      </w:r>
      <w:r w:rsidR="00FD58C5">
        <w:rPr>
          <w:lang w:val="ru-RU"/>
        </w:rPr>
        <w:t xml:space="preserve">абзац 14, говорится </w:t>
      </w:r>
    </w:p>
    <w:p w:rsidR="00D862F6" w:rsidRPr="003A1088" w:rsidRDefault="00D862F6" w:rsidP="00627063">
      <w:pPr>
        <w:pStyle w:val="SingleTxtG"/>
        <w:ind w:left="1701"/>
        <w:rPr>
          <w:lang w:val="ru-RU"/>
        </w:rPr>
      </w:pPr>
      <w:r w:rsidRPr="00D862F6">
        <w:rPr>
          <w:lang w:val="ru-RU"/>
        </w:rPr>
        <w:t>" ...</w:t>
      </w:r>
      <w:r w:rsidR="00130BA6">
        <w:rPr>
          <w:lang w:val="ru-RU"/>
        </w:rPr>
        <w:t>ч</w:t>
      </w:r>
      <w:r w:rsidR="00FD58C5">
        <w:rPr>
          <w:lang w:val="ru-RU"/>
        </w:rPr>
        <w:t xml:space="preserve">тобы постоянно держать под контролем состояние окружающей среды по всей Европе, </w:t>
      </w:r>
      <w:r w:rsidR="00FD58C5" w:rsidRPr="00627063">
        <w:rPr>
          <w:b/>
          <w:lang w:val="ru-RU"/>
        </w:rPr>
        <w:t>мы решаем наладить регулярный процесс экологической оценки</w:t>
      </w:r>
      <w:r w:rsidR="00FD58C5">
        <w:rPr>
          <w:lang w:val="ru-RU"/>
        </w:rPr>
        <w:t xml:space="preserve"> и развивать систему СЕИС [Общая система</w:t>
      </w:r>
      <w:r w:rsidRPr="00D862F6">
        <w:rPr>
          <w:lang w:val="ru-RU"/>
        </w:rPr>
        <w:t xml:space="preserve"> экологической информаци</w:t>
      </w:r>
      <w:r w:rsidR="00FD58C5">
        <w:rPr>
          <w:lang w:val="ru-RU"/>
        </w:rPr>
        <w:t>и] во всем регионе. Она должна служить</w:t>
      </w:r>
      <w:r w:rsidR="00AE7C39">
        <w:rPr>
          <w:lang w:val="ru-RU"/>
        </w:rPr>
        <w:t xml:space="preserve"> интересам</w:t>
      </w:r>
      <w:r w:rsidR="00FD58C5">
        <w:rPr>
          <w:lang w:val="ru-RU"/>
        </w:rPr>
        <w:t xml:space="preserve"> многообразны</w:t>
      </w:r>
      <w:r w:rsidR="00AE7C39">
        <w:rPr>
          <w:lang w:val="ru-RU"/>
        </w:rPr>
        <w:t>х политических процессов, в том числе</w:t>
      </w:r>
      <w:r w:rsidRPr="00D862F6">
        <w:rPr>
          <w:lang w:val="ru-RU"/>
        </w:rPr>
        <w:t xml:space="preserve"> [</w:t>
      </w:r>
      <w:r w:rsidR="00AE7C39">
        <w:rPr>
          <w:lang w:val="ru-RU"/>
        </w:rPr>
        <w:t xml:space="preserve">многосторонних природоохранительных соглашений </w:t>
      </w:r>
      <w:r w:rsidRPr="00D862F6">
        <w:rPr>
          <w:lang w:val="ru-RU"/>
        </w:rPr>
        <w:t xml:space="preserve">МПС)], </w:t>
      </w:r>
      <w:r w:rsidR="00AE7C39">
        <w:rPr>
          <w:lang w:val="ru-RU"/>
        </w:rPr>
        <w:t>и включать в себя наращивание потенциала стран Восточной Европы, Кавказа, Центральной Азии, Юго-Восточной Европы в целях мониторинга и оценки состояния их окружающей среды. Мы предлагаем Европейскому агентству по окружающей среде (ЕАОС) и его партнерам подготовить общее описание того, как могут быть реализованы эти действия, и представить его Комитету по экологической политике.</w:t>
      </w:r>
      <w:r w:rsidRPr="00D862F6">
        <w:rPr>
          <w:lang w:val="ru-RU"/>
        </w:rPr>
        <w:t>”</w:t>
      </w:r>
    </w:p>
    <w:p w:rsidR="00D475FE" w:rsidRPr="00564174" w:rsidRDefault="00D475FE" w:rsidP="00C205C0">
      <w:pPr>
        <w:pStyle w:val="H1G"/>
        <w:rPr>
          <w:lang w:val="ru-RU"/>
        </w:rPr>
      </w:pPr>
      <w:r w:rsidRPr="00D862F6">
        <w:rPr>
          <w:lang w:val="ru-RU"/>
        </w:rPr>
        <w:tab/>
      </w:r>
      <w:r w:rsidR="00D0034C">
        <w:rPr>
          <w:lang w:val="ru-RU"/>
        </w:rPr>
        <w:t>В</w:t>
      </w:r>
      <w:r w:rsidRPr="00564174">
        <w:rPr>
          <w:lang w:val="ru-RU"/>
        </w:rPr>
        <w:t>.</w:t>
      </w:r>
      <w:r w:rsidRPr="00564174">
        <w:rPr>
          <w:lang w:val="ru-RU"/>
        </w:rPr>
        <w:tab/>
      </w:r>
      <w:r w:rsidR="00AE7C39" w:rsidRPr="003E3995">
        <w:rPr>
          <w:lang w:val="ru-RU"/>
        </w:rPr>
        <w:t>Комитет по экологической политике</w:t>
      </w:r>
      <w:r w:rsidRPr="003E3995">
        <w:rPr>
          <w:lang w:val="ru-RU"/>
        </w:rPr>
        <w:t>, 2012–2016</w:t>
      </w:r>
    </w:p>
    <w:p w:rsidR="00564174" w:rsidRPr="005E6721" w:rsidRDefault="00D475FE" w:rsidP="005E6721">
      <w:pPr>
        <w:pStyle w:val="SingleTxtG"/>
        <w:rPr>
          <w:lang w:val="ru-RU"/>
        </w:rPr>
      </w:pPr>
      <w:r w:rsidRPr="005E6721">
        <w:rPr>
          <w:lang w:val="ru-RU"/>
        </w:rPr>
        <w:t>8.</w:t>
      </w:r>
      <w:r w:rsidRPr="005E6721">
        <w:rPr>
          <w:lang w:val="ru-RU"/>
        </w:rPr>
        <w:tab/>
      </w:r>
      <w:r w:rsidR="00564174" w:rsidRPr="00564174">
        <w:rPr>
          <w:lang w:val="ru-RU"/>
        </w:rPr>
        <w:t>В период между с</w:t>
      </w:r>
      <w:r w:rsidR="00CE7C23">
        <w:rPr>
          <w:lang w:val="ru-RU"/>
        </w:rPr>
        <w:t>едьмой и восьмой Конференциями м</w:t>
      </w:r>
      <w:r w:rsidR="00564174" w:rsidRPr="00564174">
        <w:rPr>
          <w:lang w:val="ru-RU"/>
        </w:rPr>
        <w:t>инистров Комитет по эколо</w:t>
      </w:r>
      <w:r w:rsidR="00564174">
        <w:rPr>
          <w:lang w:val="ru-RU"/>
        </w:rPr>
        <w:t xml:space="preserve">гической политике проанализировал </w:t>
      </w:r>
      <w:r w:rsidR="00564174" w:rsidRPr="00564174">
        <w:rPr>
          <w:lang w:val="ru-RU"/>
        </w:rPr>
        <w:t>р</w:t>
      </w:r>
      <w:r w:rsidR="005E6721">
        <w:rPr>
          <w:lang w:val="ru-RU"/>
        </w:rPr>
        <w:t>егулярную панъ</w:t>
      </w:r>
      <w:r w:rsidR="00564174" w:rsidRPr="00564174">
        <w:rPr>
          <w:lang w:val="ru-RU"/>
        </w:rPr>
        <w:t>европейскую экологическую оценку и связанные с ней вопросы.</w:t>
      </w:r>
    </w:p>
    <w:p w:rsidR="00D475FE" w:rsidRPr="005E6721" w:rsidRDefault="005E6721" w:rsidP="00565F4A">
      <w:pPr>
        <w:pStyle w:val="SingleTxtG"/>
        <w:rPr>
          <w:lang w:val="ru-RU"/>
        </w:rPr>
      </w:pPr>
      <w:r w:rsidRPr="005E6721">
        <w:rPr>
          <w:lang w:val="ru-RU"/>
        </w:rPr>
        <w:t>9.</w:t>
      </w:r>
      <w:r w:rsidRPr="005E6721">
        <w:rPr>
          <w:lang w:val="ru-RU"/>
        </w:rPr>
        <w:tab/>
      </w:r>
      <w:r>
        <w:rPr>
          <w:lang w:val="ru-RU"/>
        </w:rPr>
        <w:t>В</w:t>
      </w:r>
      <w:r w:rsidRPr="005E6721">
        <w:rPr>
          <w:lang w:val="ru-RU"/>
        </w:rPr>
        <w:t xml:space="preserve"> </w:t>
      </w:r>
      <w:r>
        <w:rPr>
          <w:lang w:val="ru-RU"/>
        </w:rPr>
        <w:t>ходе</w:t>
      </w:r>
      <w:r w:rsidRPr="005E6721">
        <w:rPr>
          <w:lang w:val="ru-RU"/>
        </w:rPr>
        <w:t xml:space="preserve"> </w:t>
      </w:r>
      <w:r w:rsidR="006F1EB2">
        <w:rPr>
          <w:lang w:val="ru-RU"/>
        </w:rPr>
        <w:t xml:space="preserve">своей </w:t>
      </w:r>
      <w:r>
        <w:rPr>
          <w:lang w:val="ru-RU"/>
        </w:rPr>
        <w:t>девятнадцатой</w:t>
      </w:r>
      <w:r w:rsidRPr="005E6721">
        <w:rPr>
          <w:lang w:val="ru-RU"/>
        </w:rPr>
        <w:t xml:space="preserve"> </w:t>
      </w:r>
      <w:r>
        <w:rPr>
          <w:lang w:val="ru-RU"/>
        </w:rPr>
        <w:t>сессии</w:t>
      </w:r>
      <w:r w:rsidR="00D475FE" w:rsidRPr="005E6721">
        <w:rPr>
          <w:lang w:val="ru-RU"/>
        </w:rPr>
        <w:t xml:space="preserve">, </w:t>
      </w:r>
      <w:r w:rsidR="00B07F37">
        <w:rPr>
          <w:lang w:val="ru-RU"/>
        </w:rPr>
        <w:t>в</w:t>
      </w:r>
      <w:r w:rsidR="00D475FE" w:rsidRPr="005E6721">
        <w:rPr>
          <w:lang w:val="ru-RU"/>
        </w:rPr>
        <w:t xml:space="preserve"> 2013</w:t>
      </w:r>
      <w:r w:rsidR="00B07F37">
        <w:rPr>
          <w:lang w:val="ru-RU"/>
        </w:rPr>
        <w:t xml:space="preserve"> году</w:t>
      </w:r>
      <w:r w:rsidR="00D475FE" w:rsidRPr="005E6721">
        <w:rPr>
          <w:lang w:val="ru-RU"/>
        </w:rPr>
        <w:t xml:space="preserve">, </w:t>
      </w:r>
      <w:r>
        <w:rPr>
          <w:lang w:val="ru-RU"/>
        </w:rPr>
        <w:t>Комитет рассмотрел два документа</w:t>
      </w:r>
      <w:r w:rsidR="006F1EB2">
        <w:rPr>
          <w:lang w:val="ru-RU"/>
        </w:rPr>
        <w:t>,</w:t>
      </w:r>
      <w:r>
        <w:rPr>
          <w:lang w:val="ru-RU"/>
        </w:rPr>
        <w:t xml:space="preserve"> п</w:t>
      </w:r>
      <w:r w:rsidR="006F1EB2">
        <w:rPr>
          <w:lang w:val="ru-RU"/>
        </w:rPr>
        <w:t xml:space="preserve">одготовленные </w:t>
      </w:r>
      <w:r>
        <w:rPr>
          <w:lang w:val="ru-RU"/>
        </w:rPr>
        <w:t>ЕАОС</w:t>
      </w:r>
      <w:r w:rsidR="00D475FE" w:rsidRPr="005E6721">
        <w:rPr>
          <w:lang w:val="ru-RU"/>
        </w:rPr>
        <w:t>:</w:t>
      </w:r>
    </w:p>
    <w:p w:rsidR="00D475FE" w:rsidRPr="006F1EB2" w:rsidRDefault="006F1EB2" w:rsidP="006F1EB2">
      <w:pPr>
        <w:pStyle w:val="SingleTxtG"/>
        <w:ind w:firstLine="567"/>
        <w:rPr>
          <w:lang w:val="ru-RU"/>
        </w:rPr>
      </w:pPr>
      <w:r w:rsidRPr="006F1EB2">
        <w:rPr>
          <w:lang w:val="ru-RU"/>
        </w:rPr>
        <w:t>(</w:t>
      </w:r>
      <w:r>
        <w:rPr>
          <w:lang w:val="ru-RU"/>
        </w:rPr>
        <w:t>а</w:t>
      </w:r>
      <w:r w:rsidR="00D475FE" w:rsidRPr="006F1EB2">
        <w:rPr>
          <w:lang w:val="ru-RU"/>
        </w:rPr>
        <w:t>)</w:t>
      </w:r>
      <w:r w:rsidR="00D475FE" w:rsidRPr="006F1EB2">
        <w:rPr>
          <w:lang w:val="ru-RU"/>
        </w:rPr>
        <w:tab/>
      </w:r>
      <w:r w:rsidR="004120D0">
        <w:rPr>
          <w:lang w:val="ru-RU"/>
        </w:rPr>
        <w:t>к</w:t>
      </w:r>
      <w:r>
        <w:rPr>
          <w:lang w:val="ru-RU"/>
        </w:rPr>
        <w:t>раткий</w:t>
      </w:r>
      <w:r w:rsidRPr="006F1EB2">
        <w:rPr>
          <w:lang w:val="ru-RU"/>
        </w:rPr>
        <w:t xml:space="preserve"> </w:t>
      </w:r>
      <w:r>
        <w:rPr>
          <w:lang w:val="ru-RU"/>
        </w:rPr>
        <w:t>обзор</w:t>
      </w:r>
      <w:r w:rsidRPr="006F1EB2">
        <w:rPr>
          <w:lang w:val="ru-RU"/>
        </w:rPr>
        <w:t xml:space="preserve"> </w:t>
      </w:r>
      <w:r>
        <w:rPr>
          <w:lang w:val="ru-RU"/>
        </w:rPr>
        <w:t>по</w:t>
      </w:r>
      <w:r w:rsidRPr="006F1EB2">
        <w:rPr>
          <w:lang w:val="ru-RU"/>
        </w:rPr>
        <w:t xml:space="preserve"> </w:t>
      </w:r>
      <w:r>
        <w:rPr>
          <w:lang w:val="ru-RU"/>
        </w:rPr>
        <w:t>вопросу</w:t>
      </w:r>
      <w:r w:rsidRPr="006F1EB2">
        <w:rPr>
          <w:lang w:val="ru-RU"/>
        </w:rPr>
        <w:t xml:space="preserve"> </w:t>
      </w:r>
      <w:r>
        <w:rPr>
          <w:lang w:val="ru-RU"/>
        </w:rPr>
        <w:t>налаживания</w:t>
      </w:r>
      <w:r w:rsidRPr="006F1EB2">
        <w:rPr>
          <w:lang w:val="ru-RU"/>
        </w:rPr>
        <w:t xml:space="preserve"> </w:t>
      </w:r>
      <w:r>
        <w:rPr>
          <w:lang w:val="ru-RU"/>
        </w:rPr>
        <w:t>регулярного</w:t>
      </w:r>
      <w:r w:rsidRPr="006F1EB2">
        <w:rPr>
          <w:lang w:val="ru-RU"/>
        </w:rPr>
        <w:t xml:space="preserve"> </w:t>
      </w:r>
      <w:r>
        <w:rPr>
          <w:lang w:val="ru-RU"/>
        </w:rPr>
        <w:t>процесса</w:t>
      </w:r>
      <w:r w:rsidRPr="006F1EB2">
        <w:rPr>
          <w:lang w:val="ru-RU"/>
        </w:rPr>
        <w:t xml:space="preserve"> </w:t>
      </w:r>
      <w:r>
        <w:rPr>
          <w:lang w:val="ru-RU"/>
        </w:rPr>
        <w:t>оценки</w:t>
      </w:r>
      <w:r w:rsidRPr="006F1EB2">
        <w:rPr>
          <w:lang w:val="ru-RU"/>
        </w:rPr>
        <w:t xml:space="preserve"> </w:t>
      </w:r>
      <w:r>
        <w:rPr>
          <w:lang w:val="ru-RU"/>
        </w:rPr>
        <w:t>окружающей среды и экологической отчетности, подкрепляемого поэтапным формирование</w:t>
      </w:r>
      <w:r w:rsidR="00730C47">
        <w:rPr>
          <w:lang w:val="ru-RU"/>
        </w:rPr>
        <w:t>м Общей</w:t>
      </w:r>
      <w:r>
        <w:rPr>
          <w:lang w:val="ru-RU"/>
        </w:rPr>
        <w:t xml:space="preserve"> системы экологической информации</w:t>
      </w:r>
      <w:r w:rsidR="00D475FE" w:rsidRPr="006F1EB2">
        <w:rPr>
          <w:lang w:val="ru-RU"/>
        </w:rPr>
        <w:t xml:space="preserve"> (</w:t>
      </w:r>
      <w:r w:rsidR="00D475FE" w:rsidRPr="00C0219E">
        <w:t>ECE</w:t>
      </w:r>
      <w:r w:rsidR="00D475FE" w:rsidRPr="006F1EB2">
        <w:rPr>
          <w:lang w:val="ru-RU"/>
        </w:rPr>
        <w:t>/</w:t>
      </w:r>
      <w:r w:rsidR="00D475FE" w:rsidRPr="00C0219E">
        <w:t>CEP</w:t>
      </w:r>
      <w:r w:rsidR="00D475FE" w:rsidRPr="006F1EB2">
        <w:rPr>
          <w:lang w:val="ru-RU"/>
        </w:rPr>
        <w:t>/2013/15);</w:t>
      </w:r>
    </w:p>
    <w:p w:rsidR="00D475FE" w:rsidRPr="006F1EB2" w:rsidRDefault="00D475FE" w:rsidP="006F1EB2">
      <w:pPr>
        <w:pStyle w:val="SingleTxtG"/>
        <w:ind w:firstLine="567"/>
        <w:rPr>
          <w:lang w:val="ru-RU"/>
        </w:rPr>
      </w:pPr>
      <w:r w:rsidRPr="006F1EB2">
        <w:rPr>
          <w:lang w:val="ru-RU"/>
        </w:rPr>
        <w:t>(</w:t>
      </w:r>
      <w:r w:rsidR="00320E7A">
        <w:rPr>
          <w:lang w:val="ru-RU"/>
        </w:rPr>
        <w:t>б</w:t>
      </w:r>
      <w:r w:rsidRPr="006F1EB2">
        <w:rPr>
          <w:lang w:val="ru-RU"/>
        </w:rPr>
        <w:t>)</w:t>
      </w:r>
      <w:r w:rsidRPr="006F1EB2">
        <w:rPr>
          <w:lang w:val="ru-RU"/>
        </w:rPr>
        <w:tab/>
      </w:r>
      <w:r w:rsidR="004120D0">
        <w:rPr>
          <w:lang w:val="ru-RU"/>
        </w:rPr>
        <w:t>о</w:t>
      </w:r>
      <w:r w:rsidR="006F1EB2">
        <w:rPr>
          <w:lang w:val="ru-RU"/>
        </w:rPr>
        <w:t>бзор</w:t>
      </w:r>
      <w:r w:rsidR="00AC19F6" w:rsidRPr="00AC19F6">
        <w:rPr>
          <w:lang w:val="ru-RU"/>
        </w:rPr>
        <w:t xml:space="preserve"> </w:t>
      </w:r>
      <w:r w:rsidR="00AC19F6">
        <w:rPr>
          <w:lang w:val="ru-RU"/>
        </w:rPr>
        <w:t>изменений</w:t>
      </w:r>
      <w:r w:rsidR="000C3ED2">
        <w:rPr>
          <w:lang w:val="ru-RU"/>
        </w:rPr>
        <w:t xml:space="preserve"> </w:t>
      </w:r>
      <w:r w:rsidR="00730C47">
        <w:rPr>
          <w:lang w:val="ru-RU"/>
        </w:rPr>
        <w:t>Общей системы</w:t>
      </w:r>
      <w:r w:rsidR="006F1EB2">
        <w:rPr>
          <w:lang w:val="ru-RU"/>
        </w:rPr>
        <w:t xml:space="preserve"> эк</w:t>
      </w:r>
      <w:r w:rsidR="00730C47">
        <w:rPr>
          <w:lang w:val="ru-RU"/>
        </w:rPr>
        <w:t xml:space="preserve">ологической информации, </w:t>
      </w:r>
      <w:r w:rsidR="003E3995">
        <w:rPr>
          <w:lang w:val="ru-RU"/>
        </w:rPr>
        <w:t>которые повлияли</w:t>
      </w:r>
      <w:r w:rsidR="006F1EB2">
        <w:rPr>
          <w:lang w:val="ru-RU"/>
        </w:rPr>
        <w:t xml:space="preserve"> на эк</w:t>
      </w:r>
      <w:r w:rsidR="000C3ED2">
        <w:rPr>
          <w:lang w:val="ru-RU"/>
        </w:rPr>
        <w:t>ологическую оценку и отчетность,</w:t>
      </w:r>
      <w:r w:rsidR="006F1EB2">
        <w:rPr>
          <w:lang w:val="ru-RU"/>
        </w:rPr>
        <w:t xml:space="preserve"> со времени проведения седьмой Конференции министров «Окружающая среда для Европы»</w:t>
      </w:r>
      <w:r w:rsidRPr="006F1EB2">
        <w:rPr>
          <w:lang w:val="ru-RU"/>
        </w:rPr>
        <w:t>(</w:t>
      </w:r>
      <w:r w:rsidRPr="00C0219E">
        <w:t>ECE</w:t>
      </w:r>
      <w:r w:rsidRPr="006F1EB2">
        <w:rPr>
          <w:lang w:val="ru-RU"/>
        </w:rPr>
        <w:t>/</w:t>
      </w:r>
      <w:r w:rsidRPr="00C0219E">
        <w:t>CEP</w:t>
      </w:r>
      <w:r w:rsidRPr="006F1EB2">
        <w:rPr>
          <w:lang w:val="ru-RU"/>
        </w:rPr>
        <w:t>/2013/18).</w:t>
      </w:r>
    </w:p>
    <w:p w:rsidR="00D475FE" w:rsidRPr="003A1088" w:rsidRDefault="006F1EB2" w:rsidP="00C205C0">
      <w:pPr>
        <w:pStyle w:val="SingleTxtG"/>
        <w:rPr>
          <w:lang w:val="ru-RU"/>
        </w:rPr>
      </w:pPr>
      <w:r>
        <w:rPr>
          <w:lang w:val="ru-RU"/>
        </w:rPr>
        <w:lastRenderedPageBreak/>
        <w:t>Комитет</w:t>
      </w:r>
      <w:r w:rsidRPr="00320E7A">
        <w:rPr>
          <w:lang w:val="ru-RU"/>
        </w:rPr>
        <w:t xml:space="preserve"> </w:t>
      </w:r>
      <w:r>
        <w:rPr>
          <w:lang w:val="ru-RU"/>
        </w:rPr>
        <w:t>задался</w:t>
      </w:r>
      <w:r w:rsidRPr="00320E7A">
        <w:rPr>
          <w:lang w:val="ru-RU"/>
        </w:rPr>
        <w:t xml:space="preserve"> </w:t>
      </w:r>
      <w:r>
        <w:rPr>
          <w:lang w:val="ru-RU"/>
        </w:rPr>
        <w:t>вопросом</w:t>
      </w:r>
      <w:r w:rsidRPr="00320E7A">
        <w:rPr>
          <w:lang w:val="ru-RU"/>
        </w:rPr>
        <w:t xml:space="preserve"> </w:t>
      </w:r>
      <w:r w:rsidR="00D475FE" w:rsidRPr="00320E7A">
        <w:rPr>
          <w:lang w:val="ru-RU"/>
        </w:rPr>
        <w:t xml:space="preserve"> “</w:t>
      </w:r>
      <w:r w:rsidR="00130BA6">
        <w:rPr>
          <w:lang w:val="ru-RU"/>
        </w:rPr>
        <w:t>к</w:t>
      </w:r>
      <w:r w:rsidR="00320E7A">
        <w:rPr>
          <w:lang w:val="ru-RU"/>
        </w:rPr>
        <w:t>ак должен быть организован и оформлен процесс регулярной оценки с учетом преимуществ СЕИС</w:t>
      </w:r>
      <w:r w:rsidR="00D475FE" w:rsidRPr="00320E7A">
        <w:rPr>
          <w:lang w:val="ru-RU"/>
        </w:rPr>
        <w:t xml:space="preserve">?” </w:t>
      </w:r>
      <w:r w:rsidR="00D475FE" w:rsidRPr="003A1088">
        <w:rPr>
          <w:lang w:val="ru-RU"/>
        </w:rPr>
        <w:t>(</w:t>
      </w:r>
      <w:r w:rsidR="00D475FE" w:rsidRPr="00AF3F54">
        <w:t>ECE</w:t>
      </w:r>
      <w:r w:rsidR="00D475FE" w:rsidRPr="003A1088">
        <w:rPr>
          <w:lang w:val="ru-RU"/>
        </w:rPr>
        <w:t>/</w:t>
      </w:r>
      <w:r w:rsidR="00D475FE" w:rsidRPr="00AF3F54">
        <w:t>CEP</w:t>
      </w:r>
      <w:r w:rsidR="00D475FE" w:rsidRPr="003A1088">
        <w:rPr>
          <w:lang w:val="ru-RU"/>
        </w:rPr>
        <w:t>/2013/</w:t>
      </w:r>
      <w:r w:rsidR="00320E7A" w:rsidRPr="003A1088">
        <w:rPr>
          <w:lang w:val="ru-RU"/>
        </w:rPr>
        <w:t xml:space="preserve">2, </w:t>
      </w:r>
      <w:r w:rsidR="00320E7A">
        <w:rPr>
          <w:lang w:val="ru-RU"/>
        </w:rPr>
        <w:t>абзац</w:t>
      </w:r>
      <w:r w:rsidR="00D475FE" w:rsidRPr="003A1088">
        <w:rPr>
          <w:lang w:val="ru-RU"/>
        </w:rPr>
        <w:t>. 39(</w:t>
      </w:r>
      <w:r w:rsidR="00D475FE">
        <w:t>b</w:t>
      </w:r>
      <w:r w:rsidR="00D475FE" w:rsidRPr="003A1088">
        <w:rPr>
          <w:lang w:val="ru-RU"/>
        </w:rPr>
        <w:t>)).</w:t>
      </w:r>
    </w:p>
    <w:p w:rsidR="00D475FE" w:rsidRPr="00F34C31" w:rsidRDefault="00F34C31" w:rsidP="00F34C31">
      <w:pPr>
        <w:pStyle w:val="SingleTxtG"/>
        <w:rPr>
          <w:lang w:val="ru-RU"/>
        </w:rPr>
      </w:pPr>
      <w:r w:rsidRPr="00F34C31">
        <w:rPr>
          <w:lang w:val="ru-RU"/>
        </w:rPr>
        <w:t>10.</w:t>
      </w:r>
      <w:r w:rsidRPr="00F34C31">
        <w:rPr>
          <w:lang w:val="ru-RU"/>
        </w:rPr>
        <w:tab/>
      </w:r>
      <w:r>
        <w:rPr>
          <w:lang w:val="ru-RU"/>
        </w:rPr>
        <w:t>В</w:t>
      </w:r>
      <w:r w:rsidRPr="00F34C31">
        <w:rPr>
          <w:lang w:val="ru-RU"/>
        </w:rPr>
        <w:t xml:space="preserve"> </w:t>
      </w:r>
      <w:r>
        <w:rPr>
          <w:lang w:val="ru-RU"/>
        </w:rPr>
        <w:t>ходе</w:t>
      </w:r>
      <w:r w:rsidRPr="00F34C31">
        <w:rPr>
          <w:lang w:val="ru-RU"/>
        </w:rPr>
        <w:t xml:space="preserve"> </w:t>
      </w:r>
      <w:r>
        <w:rPr>
          <w:lang w:val="ru-RU"/>
        </w:rPr>
        <w:t>своей</w:t>
      </w:r>
      <w:r w:rsidRPr="00F34C31">
        <w:rPr>
          <w:lang w:val="ru-RU"/>
        </w:rPr>
        <w:t xml:space="preserve"> </w:t>
      </w:r>
      <w:r>
        <w:rPr>
          <w:lang w:val="ru-RU"/>
        </w:rPr>
        <w:t>двадцатой</w:t>
      </w:r>
      <w:r w:rsidRPr="00F34C31">
        <w:rPr>
          <w:lang w:val="ru-RU"/>
        </w:rPr>
        <w:t xml:space="preserve"> </w:t>
      </w:r>
      <w:r>
        <w:rPr>
          <w:lang w:val="ru-RU"/>
        </w:rPr>
        <w:t>сессии</w:t>
      </w:r>
      <w:r w:rsidRPr="00F34C31">
        <w:rPr>
          <w:lang w:val="ru-RU"/>
        </w:rPr>
        <w:t xml:space="preserve">, </w:t>
      </w:r>
      <w:r>
        <w:rPr>
          <w:lang w:val="ru-RU"/>
        </w:rPr>
        <w:t>в</w:t>
      </w:r>
      <w:r w:rsidR="00D475FE" w:rsidRPr="00F34C31">
        <w:rPr>
          <w:lang w:val="ru-RU"/>
        </w:rPr>
        <w:t xml:space="preserve"> 2015</w:t>
      </w:r>
      <w:r w:rsidRPr="00F34C31">
        <w:rPr>
          <w:lang w:val="ru-RU"/>
        </w:rPr>
        <w:t xml:space="preserve"> </w:t>
      </w:r>
      <w:r>
        <w:rPr>
          <w:lang w:val="ru-RU"/>
        </w:rPr>
        <w:t>году</w:t>
      </w:r>
      <w:r w:rsidR="00D475FE" w:rsidRPr="00F34C31">
        <w:rPr>
          <w:lang w:val="ru-RU"/>
        </w:rPr>
        <w:t xml:space="preserve">, </w:t>
      </w:r>
      <w:r>
        <w:rPr>
          <w:lang w:val="ru-RU"/>
        </w:rPr>
        <w:t>Комитет</w:t>
      </w:r>
      <w:r w:rsidRPr="00F34C31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F34C31">
        <w:rPr>
          <w:lang w:val="ru-RU"/>
        </w:rPr>
        <w:t xml:space="preserve"> </w:t>
      </w:r>
      <w:r>
        <w:rPr>
          <w:lang w:val="ru-RU"/>
        </w:rPr>
        <w:t>доклад</w:t>
      </w:r>
      <w:r w:rsidRPr="00F34C31">
        <w:rPr>
          <w:lang w:val="ru-RU"/>
        </w:rPr>
        <w:t xml:space="preserve">, </w:t>
      </w:r>
      <w:r>
        <w:rPr>
          <w:lang w:val="ru-RU"/>
        </w:rPr>
        <w:t>подготовленный</w:t>
      </w:r>
      <w:r w:rsidRPr="00F34C31">
        <w:rPr>
          <w:lang w:val="ru-RU"/>
        </w:rPr>
        <w:t xml:space="preserve"> </w:t>
      </w:r>
      <w:r>
        <w:rPr>
          <w:lang w:val="ru-RU"/>
        </w:rPr>
        <w:t>Группой</w:t>
      </w:r>
      <w:r w:rsidRPr="00F34C31">
        <w:rPr>
          <w:lang w:val="ru-RU"/>
        </w:rPr>
        <w:t xml:space="preserve"> </w:t>
      </w:r>
      <w:r w:rsidR="00256AEC">
        <w:rPr>
          <w:lang w:val="ru-RU"/>
        </w:rPr>
        <w:t>Друзей</w:t>
      </w:r>
      <w:r w:rsidRPr="00F34C31">
        <w:rPr>
          <w:lang w:val="ru-RU"/>
        </w:rPr>
        <w:t xml:space="preserve"> </w:t>
      </w:r>
      <w:r>
        <w:rPr>
          <w:lang w:val="ru-RU"/>
        </w:rPr>
        <w:t>СЕИС</w:t>
      </w:r>
      <w:r w:rsidRPr="00F34C31">
        <w:rPr>
          <w:lang w:val="ru-RU"/>
        </w:rPr>
        <w:t xml:space="preserve">, </w:t>
      </w:r>
      <w:r>
        <w:rPr>
          <w:lang w:val="ru-RU"/>
        </w:rPr>
        <w:t>а</w:t>
      </w:r>
      <w:r w:rsidRPr="00F34C31">
        <w:rPr>
          <w:lang w:val="ru-RU"/>
        </w:rPr>
        <w:t xml:space="preserve"> </w:t>
      </w:r>
      <w:r>
        <w:rPr>
          <w:lang w:val="ru-RU"/>
        </w:rPr>
        <w:t>также</w:t>
      </w:r>
      <w:r w:rsidRPr="00F34C31">
        <w:rPr>
          <w:lang w:val="ru-RU"/>
        </w:rPr>
        <w:t xml:space="preserve"> </w:t>
      </w:r>
      <w:r w:rsidR="00256AEC">
        <w:rPr>
          <w:lang w:val="ru-RU"/>
        </w:rPr>
        <w:t>итоги</w:t>
      </w:r>
      <w:r w:rsidRPr="00F34C31">
        <w:rPr>
          <w:lang w:val="ru-RU"/>
        </w:rPr>
        <w:t xml:space="preserve"> </w:t>
      </w:r>
      <w:r>
        <w:rPr>
          <w:lang w:val="ru-RU"/>
        </w:rPr>
        <w:t>работы</w:t>
      </w:r>
      <w:r w:rsidRPr="00F34C31">
        <w:rPr>
          <w:lang w:val="ru-RU"/>
        </w:rPr>
        <w:t xml:space="preserve"> </w:t>
      </w:r>
      <w:r>
        <w:rPr>
          <w:lang w:val="ru-RU"/>
        </w:rPr>
        <w:t>Группы</w:t>
      </w:r>
      <w:r w:rsidRPr="00F34C31">
        <w:rPr>
          <w:lang w:val="ru-RU"/>
        </w:rPr>
        <w:t xml:space="preserve"> </w:t>
      </w:r>
      <w:r>
        <w:rPr>
          <w:lang w:val="ru-RU"/>
        </w:rPr>
        <w:t>друзей</w:t>
      </w:r>
      <w:r w:rsidRPr="00F34C31">
        <w:rPr>
          <w:lang w:val="ru-RU"/>
        </w:rPr>
        <w:t xml:space="preserve"> </w:t>
      </w:r>
      <w:r>
        <w:rPr>
          <w:lang w:val="ru-RU"/>
        </w:rPr>
        <w:t>СЕИС</w:t>
      </w:r>
      <w:r w:rsidRPr="00F34C31">
        <w:rPr>
          <w:lang w:val="ru-RU"/>
        </w:rPr>
        <w:t xml:space="preserve"> </w:t>
      </w:r>
      <w:r>
        <w:rPr>
          <w:lang w:val="ru-RU"/>
        </w:rPr>
        <w:t>в</w:t>
      </w:r>
      <w:r w:rsidRPr="00F34C31">
        <w:rPr>
          <w:lang w:val="ru-RU"/>
        </w:rPr>
        <w:t xml:space="preserve"> </w:t>
      </w:r>
      <w:r>
        <w:rPr>
          <w:lang w:val="ru-RU"/>
        </w:rPr>
        <w:t>период</w:t>
      </w:r>
      <w:r w:rsidRPr="00F34C31">
        <w:rPr>
          <w:lang w:val="ru-RU"/>
        </w:rPr>
        <w:t xml:space="preserve"> </w:t>
      </w:r>
      <w:r>
        <w:rPr>
          <w:lang w:val="ru-RU"/>
        </w:rPr>
        <w:t>с</w:t>
      </w:r>
      <w:r w:rsidRPr="00F34C31">
        <w:rPr>
          <w:lang w:val="ru-RU"/>
        </w:rPr>
        <w:t xml:space="preserve"> </w:t>
      </w:r>
      <w:r>
        <w:rPr>
          <w:lang w:val="ru-RU"/>
        </w:rPr>
        <w:t>марта</w:t>
      </w:r>
      <w:r w:rsidRPr="00F34C31">
        <w:rPr>
          <w:lang w:val="ru-RU"/>
        </w:rPr>
        <w:t xml:space="preserve"> </w:t>
      </w:r>
      <w:r>
        <w:rPr>
          <w:lang w:val="ru-RU"/>
        </w:rPr>
        <w:t>по</w:t>
      </w:r>
      <w:r w:rsidRPr="00F34C31">
        <w:rPr>
          <w:lang w:val="ru-RU"/>
        </w:rPr>
        <w:t xml:space="preserve"> </w:t>
      </w:r>
      <w:r>
        <w:rPr>
          <w:lang w:val="ru-RU"/>
        </w:rPr>
        <w:t>июль</w:t>
      </w:r>
      <w:r w:rsidRPr="00F34C31">
        <w:rPr>
          <w:lang w:val="ru-RU"/>
        </w:rPr>
        <w:t xml:space="preserve"> 2014 </w:t>
      </w:r>
      <w:r>
        <w:rPr>
          <w:lang w:val="ru-RU"/>
        </w:rPr>
        <w:t>года</w:t>
      </w:r>
      <w:r w:rsidR="00256AEC">
        <w:rPr>
          <w:lang w:val="ru-RU"/>
        </w:rPr>
        <w:t xml:space="preserve">. </w:t>
      </w:r>
      <w:r w:rsidRPr="00F34C31">
        <w:rPr>
          <w:lang w:val="ru-RU"/>
        </w:rPr>
        <w:t xml:space="preserve"> </w:t>
      </w:r>
      <w:r w:rsidR="00256AEC">
        <w:rPr>
          <w:lang w:val="ru-RU"/>
        </w:rPr>
        <w:t>В докладе</w:t>
      </w:r>
      <w:r w:rsidRPr="00F34C31">
        <w:rPr>
          <w:lang w:val="ru-RU"/>
        </w:rPr>
        <w:t xml:space="preserve"> </w:t>
      </w:r>
      <w:r w:rsidR="00D475FE" w:rsidRPr="00F34C31">
        <w:rPr>
          <w:lang w:val="ru-RU"/>
        </w:rPr>
        <w:t>“</w:t>
      </w:r>
      <w:r w:rsidRPr="00F34C31">
        <w:rPr>
          <w:lang w:val="ru-RU"/>
        </w:rPr>
        <w:t xml:space="preserve"> </w:t>
      </w:r>
      <w:r>
        <w:rPr>
          <w:lang w:val="ru-RU"/>
        </w:rPr>
        <w:t>было</w:t>
      </w:r>
      <w:r w:rsidRPr="00F34C31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F34C31">
        <w:rPr>
          <w:lang w:val="ru-RU"/>
        </w:rPr>
        <w:t xml:space="preserve"> </w:t>
      </w:r>
      <w:r>
        <w:rPr>
          <w:lang w:val="ru-RU"/>
        </w:rPr>
        <w:t>провести</w:t>
      </w:r>
      <w:r w:rsidRPr="00F34C31">
        <w:rPr>
          <w:lang w:val="ru-RU"/>
        </w:rPr>
        <w:t xml:space="preserve"> </w:t>
      </w:r>
      <w:r>
        <w:rPr>
          <w:lang w:val="ru-RU"/>
        </w:rPr>
        <w:t>работу</w:t>
      </w:r>
      <w:r w:rsidRPr="00F34C31">
        <w:rPr>
          <w:lang w:val="ru-RU"/>
        </w:rPr>
        <w:t xml:space="preserve"> </w:t>
      </w:r>
      <w:r>
        <w:rPr>
          <w:lang w:val="ru-RU"/>
        </w:rPr>
        <w:t>по</w:t>
      </w:r>
      <w:r w:rsidRPr="00F34C31">
        <w:rPr>
          <w:lang w:val="ru-RU"/>
        </w:rPr>
        <w:t xml:space="preserve"> </w:t>
      </w:r>
      <w:r>
        <w:rPr>
          <w:lang w:val="ru-RU"/>
        </w:rPr>
        <w:t>вопросу</w:t>
      </w:r>
      <w:r w:rsidRPr="00F34C31">
        <w:rPr>
          <w:lang w:val="ru-RU"/>
        </w:rPr>
        <w:t xml:space="preserve"> </w:t>
      </w:r>
      <w:r>
        <w:rPr>
          <w:lang w:val="ru-RU"/>
        </w:rPr>
        <w:t>об</w:t>
      </w:r>
      <w:r w:rsidRPr="00F34C31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F34C31">
        <w:rPr>
          <w:lang w:val="ru-RU"/>
        </w:rPr>
        <w:t xml:space="preserve"> </w:t>
      </w:r>
      <w:r>
        <w:rPr>
          <w:lang w:val="ru-RU"/>
        </w:rPr>
        <w:t>и</w:t>
      </w:r>
      <w:r w:rsidRPr="00F34C31">
        <w:rPr>
          <w:lang w:val="ru-RU"/>
        </w:rPr>
        <w:t xml:space="preserve"> </w:t>
      </w:r>
      <w:r>
        <w:rPr>
          <w:lang w:val="ru-RU"/>
        </w:rPr>
        <w:t>определении</w:t>
      </w:r>
      <w:r w:rsidRPr="00F34C31">
        <w:rPr>
          <w:lang w:val="ru-RU"/>
        </w:rPr>
        <w:t xml:space="preserve"> </w:t>
      </w:r>
      <w:r>
        <w:rPr>
          <w:lang w:val="ru-RU"/>
        </w:rPr>
        <w:t>формата</w:t>
      </w:r>
      <w:r w:rsidRPr="00F34C31">
        <w:rPr>
          <w:lang w:val="ru-RU"/>
        </w:rPr>
        <w:t xml:space="preserve"> </w:t>
      </w:r>
      <w:r>
        <w:rPr>
          <w:lang w:val="ru-RU"/>
        </w:rPr>
        <w:t>процесса</w:t>
      </w:r>
      <w:r w:rsidRPr="00F34C31">
        <w:rPr>
          <w:lang w:val="ru-RU"/>
        </w:rPr>
        <w:t xml:space="preserve"> </w:t>
      </w:r>
      <w:r>
        <w:rPr>
          <w:lang w:val="ru-RU"/>
        </w:rPr>
        <w:t>регулярной</w:t>
      </w:r>
      <w:r w:rsidRPr="00F34C31">
        <w:rPr>
          <w:lang w:val="ru-RU"/>
        </w:rPr>
        <w:t xml:space="preserve"> </w:t>
      </w:r>
      <w:r>
        <w:rPr>
          <w:lang w:val="ru-RU"/>
        </w:rPr>
        <w:t>экологической</w:t>
      </w:r>
      <w:r w:rsidRPr="00F34C31">
        <w:rPr>
          <w:lang w:val="ru-RU"/>
        </w:rPr>
        <w:t xml:space="preserve"> </w:t>
      </w:r>
      <w:r>
        <w:rPr>
          <w:lang w:val="ru-RU"/>
        </w:rPr>
        <w:t>оценки</w:t>
      </w:r>
      <w:r w:rsidRPr="00F34C31">
        <w:rPr>
          <w:lang w:val="ru-RU"/>
        </w:rPr>
        <w:t xml:space="preserve"> </w:t>
      </w:r>
      <w:r>
        <w:rPr>
          <w:lang w:val="ru-RU"/>
        </w:rPr>
        <w:t>после</w:t>
      </w:r>
      <w:r w:rsidRPr="00F34C31">
        <w:rPr>
          <w:lang w:val="ru-RU"/>
        </w:rPr>
        <w:t xml:space="preserve"> </w:t>
      </w:r>
      <w:r>
        <w:rPr>
          <w:lang w:val="ru-RU"/>
        </w:rPr>
        <w:t>двадцатой</w:t>
      </w:r>
      <w:r w:rsidRPr="00F34C31">
        <w:rPr>
          <w:lang w:val="ru-RU"/>
        </w:rPr>
        <w:t xml:space="preserve"> </w:t>
      </w:r>
      <w:r>
        <w:rPr>
          <w:lang w:val="ru-RU"/>
        </w:rPr>
        <w:t>сессии</w:t>
      </w:r>
      <w:r w:rsidRPr="00F34C31">
        <w:rPr>
          <w:lang w:val="ru-RU"/>
        </w:rPr>
        <w:t xml:space="preserve"> </w:t>
      </w:r>
      <w:r>
        <w:rPr>
          <w:lang w:val="ru-RU"/>
        </w:rPr>
        <w:t xml:space="preserve">КЭП </w:t>
      </w:r>
      <w:r w:rsidR="00D475FE" w:rsidRPr="00F34C31">
        <w:rPr>
          <w:lang w:val="ru-RU"/>
        </w:rPr>
        <w:t>[</w:t>
      </w:r>
      <w:r>
        <w:rPr>
          <w:lang w:val="ru-RU"/>
        </w:rPr>
        <w:t>Комитет по экологической политике</w:t>
      </w:r>
      <w:r w:rsidR="00D475FE" w:rsidRPr="00F34C31">
        <w:rPr>
          <w:lang w:val="ru-RU"/>
        </w:rPr>
        <w:t>]</w:t>
      </w:r>
      <w:r>
        <w:rPr>
          <w:lang w:val="ru-RU"/>
        </w:rPr>
        <w:t xml:space="preserve"> с учетом итогов ее работы, относящихся к целевым показателям и индикаторам результативности СЕИС</w:t>
      </w:r>
      <w:r w:rsidR="00D475FE" w:rsidRPr="00FE630A">
        <w:rPr>
          <w:lang w:val="ru-RU"/>
        </w:rPr>
        <w:t>” (</w:t>
      </w:r>
      <w:r w:rsidR="00D475FE">
        <w:t>ECE</w:t>
      </w:r>
      <w:r w:rsidR="00D475FE" w:rsidRPr="00FE630A">
        <w:rPr>
          <w:lang w:val="ru-RU"/>
        </w:rPr>
        <w:t>/</w:t>
      </w:r>
      <w:r w:rsidR="00D475FE">
        <w:t>CEP</w:t>
      </w:r>
      <w:r w:rsidR="00D475FE" w:rsidRPr="00FE630A">
        <w:rPr>
          <w:lang w:val="ru-RU"/>
        </w:rPr>
        <w:t xml:space="preserve">/2014/7, </w:t>
      </w:r>
      <w:r w:rsidR="00D475FE">
        <w:t>para</w:t>
      </w:r>
      <w:r w:rsidR="00D475FE" w:rsidRPr="00FE630A">
        <w:rPr>
          <w:lang w:val="ru-RU"/>
        </w:rPr>
        <w:t xml:space="preserve">. </w:t>
      </w:r>
      <w:r w:rsidR="00D475FE" w:rsidRPr="003A1088">
        <w:rPr>
          <w:lang w:val="ru-RU"/>
        </w:rPr>
        <w:t>27).</w:t>
      </w:r>
    </w:p>
    <w:p w:rsidR="00D475FE" w:rsidRPr="003A1088" w:rsidRDefault="00D475FE">
      <w:pPr>
        <w:pStyle w:val="SingleTxtG"/>
        <w:rPr>
          <w:lang w:val="ru-RU"/>
        </w:rPr>
      </w:pPr>
      <w:r w:rsidRPr="00B32F07">
        <w:rPr>
          <w:lang w:val="ru-RU"/>
        </w:rPr>
        <w:t>11.</w:t>
      </w:r>
      <w:r w:rsidRPr="00B32F07">
        <w:rPr>
          <w:lang w:val="ru-RU"/>
        </w:rPr>
        <w:tab/>
      </w:r>
      <w:r w:rsidR="00FE630A">
        <w:rPr>
          <w:lang w:val="ru-RU"/>
        </w:rPr>
        <w:t>В</w:t>
      </w:r>
      <w:r w:rsidR="00FE630A" w:rsidRPr="00B32F07">
        <w:rPr>
          <w:lang w:val="ru-RU"/>
        </w:rPr>
        <w:t xml:space="preserve"> </w:t>
      </w:r>
      <w:r w:rsidR="00FE630A">
        <w:rPr>
          <w:lang w:val="ru-RU"/>
        </w:rPr>
        <w:t>ходе</w:t>
      </w:r>
      <w:r w:rsidR="00FE630A" w:rsidRPr="00B32F07">
        <w:rPr>
          <w:lang w:val="ru-RU"/>
        </w:rPr>
        <w:t xml:space="preserve"> </w:t>
      </w:r>
      <w:r w:rsidR="00FE630A">
        <w:rPr>
          <w:lang w:val="ru-RU"/>
        </w:rPr>
        <w:t>своей</w:t>
      </w:r>
      <w:r w:rsidR="00FE630A" w:rsidRPr="00B32F07">
        <w:rPr>
          <w:lang w:val="ru-RU"/>
        </w:rPr>
        <w:t xml:space="preserve"> </w:t>
      </w:r>
      <w:r w:rsidR="00FE630A">
        <w:rPr>
          <w:lang w:val="ru-RU"/>
        </w:rPr>
        <w:t>двадцать</w:t>
      </w:r>
      <w:r w:rsidR="00B32F07" w:rsidRPr="00B32F07">
        <w:rPr>
          <w:lang w:val="ru-RU"/>
        </w:rPr>
        <w:t xml:space="preserve"> </w:t>
      </w:r>
      <w:r w:rsidR="00B32F07">
        <w:rPr>
          <w:lang w:val="ru-RU"/>
        </w:rPr>
        <w:t>первой</w:t>
      </w:r>
      <w:r w:rsidR="00B32F07" w:rsidRPr="00B32F07">
        <w:rPr>
          <w:lang w:val="ru-RU"/>
        </w:rPr>
        <w:t xml:space="preserve"> </w:t>
      </w:r>
      <w:r w:rsidR="00B32F07">
        <w:rPr>
          <w:lang w:val="ru-RU"/>
        </w:rPr>
        <w:t>сессии</w:t>
      </w:r>
      <w:r w:rsidR="00B32F07" w:rsidRPr="00B32F07">
        <w:rPr>
          <w:lang w:val="ru-RU"/>
        </w:rPr>
        <w:t xml:space="preserve">, </w:t>
      </w:r>
      <w:r w:rsidR="00B32F07">
        <w:rPr>
          <w:lang w:val="ru-RU"/>
        </w:rPr>
        <w:t>в</w:t>
      </w:r>
      <w:r w:rsidR="00B32F07" w:rsidRPr="00B32F07">
        <w:rPr>
          <w:lang w:val="ru-RU"/>
        </w:rPr>
        <w:t xml:space="preserve"> </w:t>
      </w:r>
      <w:r w:rsidRPr="00B32F07">
        <w:rPr>
          <w:lang w:val="ru-RU"/>
        </w:rPr>
        <w:t>2015</w:t>
      </w:r>
      <w:r w:rsidR="00B32F07" w:rsidRPr="00B32F07">
        <w:rPr>
          <w:lang w:val="ru-RU"/>
        </w:rPr>
        <w:t xml:space="preserve"> </w:t>
      </w:r>
      <w:r w:rsidR="00B32F07">
        <w:rPr>
          <w:lang w:val="ru-RU"/>
        </w:rPr>
        <w:t>году</w:t>
      </w:r>
      <w:r w:rsidRPr="00B32F07">
        <w:rPr>
          <w:lang w:val="ru-RU"/>
        </w:rPr>
        <w:t xml:space="preserve">, </w:t>
      </w:r>
      <w:r w:rsidR="00B32F07">
        <w:rPr>
          <w:lang w:val="ru-RU"/>
        </w:rPr>
        <w:t>Комитет</w:t>
      </w:r>
      <w:r w:rsidR="00B32F07" w:rsidRPr="00B32F07">
        <w:rPr>
          <w:lang w:val="ru-RU"/>
        </w:rPr>
        <w:t xml:space="preserve"> </w:t>
      </w:r>
      <w:r w:rsidR="00B32F07">
        <w:rPr>
          <w:lang w:val="ru-RU"/>
        </w:rPr>
        <w:t>рассмотрел</w:t>
      </w:r>
      <w:r w:rsidR="00B32F07" w:rsidRPr="00B32F07">
        <w:rPr>
          <w:lang w:val="ru-RU"/>
        </w:rPr>
        <w:t xml:space="preserve"> </w:t>
      </w:r>
      <w:r w:rsidR="00B32F07">
        <w:rPr>
          <w:lang w:val="ru-RU"/>
        </w:rPr>
        <w:t>записку</w:t>
      </w:r>
      <w:r w:rsidR="00B32F07" w:rsidRPr="00B32F07">
        <w:rPr>
          <w:lang w:val="ru-RU"/>
        </w:rPr>
        <w:t xml:space="preserve"> </w:t>
      </w:r>
      <w:r w:rsidR="00B32F07">
        <w:rPr>
          <w:lang w:val="ru-RU"/>
        </w:rPr>
        <w:t>Группы</w:t>
      </w:r>
      <w:r w:rsidR="00B32F07" w:rsidRPr="00B32F07">
        <w:rPr>
          <w:lang w:val="ru-RU"/>
        </w:rPr>
        <w:t xml:space="preserve"> </w:t>
      </w:r>
      <w:r w:rsidR="00B32F07">
        <w:rPr>
          <w:lang w:val="ru-RU"/>
        </w:rPr>
        <w:t>друзей</w:t>
      </w:r>
      <w:r w:rsidR="00B32F07" w:rsidRPr="00B32F07">
        <w:rPr>
          <w:lang w:val="ru-RU"/>
        </w:rPr>
        <w:t xml:space="preserve"> </w:t>
      </w:r>
      <w:r w:rsidR="00B32F07">
        <w:rPr>
          <w:lang w:val="ru-RU"/>
        </w:rPr>
        <w:t>СЕИС, регулярный процесс оценки состояния окружающей среды, основанный на Общей системы экологической информации</w:t>
      </w:r>
      <w:r w:rsidRPr="00B32F07">
        <w:rPr>
          <w:lang w:val="ru-RU"/>
        </w:rPr>
        <w:t xml:space="preserve"> (</w:t>
      </w:r>
      <w:r w:rsidRPr="00C205C0">
        <w:t>ECE</w:t>
      </w:r>
      <w:r w:rsidRPr="00B32F07">
        <w:rPr>
          <w:lang w:val="ru-RU"/>
        </w:rPr>
        <w:t>/</w:t>
      </w:r>
      <w:r w:rsidRPr="00C205C0">
        <w:t>CEP</w:t>
      </w:r>
      <w:r w:rsidRPr="00B32F07">
        <w:rPr>
          <w:lang w:val="ru-RU"/>
        </w:rPr>
        <w:t xml:space="preserve">/2015/10). </w:t>
      </w:r>
      <w:r w:rsidR="00B32F07">
        <w:rPr>
          <w:lang w:val="ru-RU"/>
        </w:rPr>
        <w:t>В</w:t>
      </w:r>
      <w:r w:rsidR="00B32F07" w:rsidRPr="003A1088">
        <w:rPr>
          <w:lang w:val="ru-RU"/>
        </w:rPr>
        <w:t xml:space="preserve"> </w:t>
      </w:r>
      <w:r w:rsidR="00B32F07">
        <w:rPr>
          <w:lang w:val="ru-RU"/>
        </w:rPr>
        <w:t>записке</w:t>
      </w:r>
      <w:r w:rsidR="00B32F07" w:rsidRPr="003A1088">
        <w:rPr>
          <w:lang w:val="ru-RU"/>
        </w:rPr>
        <w:t xml:space="preserve"> </w:t>
      </w:r>
      <w:r w:rsidR="00B32F07">
        <w:rPr>
          <w:lang w:val="ru-RU"/>
        </w:rPr>
        <w:t>говорится</w:t>
      </w:r>
      <w:r w:rsidR="00B32F07" w:rsidRPr="003A1088">
        <w:rPr>
          <w:lang w:val="ru-RU"/>
        </w:rPr>
        <w:t xml:space="preserve">, </w:t>
      </w:r>
      <w:r w:rsidR="00B32F07">
        <w:rPr>
          <w:lang w:val="ru-RU"/>
        </w:rPr>
        <w:t>что</w:t>
      </w:r>
      <w:r w:rsidRPr="003A1088">
        <w:rPr>
          <w:lang w:val="ru-RU"/>
        </w:rPr>
        <w:t>:</w:t>
      </w:r>
    </w:p>
    <w:p w:rsidR="00D475FE" w:rsidRPr="00923DE9" w:rsidRDefault="00D475FE" w:rsidP="00923DE9">
      <w:pPr>
        <w:pStyle w:val="SingleTxtG"/>
        <w:ind w:firstLine="567"/>
        <w:rPr>
          <w:lang w:val="ru-RU"/>
        </w:rPr>
      </w:pPr>
      <w:r w:rsidRPr="00923DE9">
        <w:rPr>
          <w:lang w:val="ru-RU"/>
        </w:rPr>
        <w:t>(</w:t>
      </w:r>
      <w:r>
        <w:t>a</w:t>
      </w:r>
      <w:r w:rsidRPr="00923DE9">
        <w:rPr>
          <w:lang w:val="ru-RU"/>
        </w:rPr>
        <w:t>)</w:t>
      </w:r>
      <w:r w:rsidRPr="00923DE9">
        <w:rPr>
          <w:lang w:val="ru-RU"/>
        </w:rPr>
        <w:tab/>
      </w:r>
      <w:r w:rsidR="00B32F07">
        <w:rPr>
          <w:lang w:val="ru-RU"/>
        </w:rPr>
        <w:t>СЕИС</w:t>
      </w:r>
      <w:r w:rsidR="00B32F07" w:rsidRPr="00923DE9">
        <w:rPr>
          <w:lang w:val="ru-RU"/>
        </w:rPr>
        <w:t xml:space="preserve"> «</w:t>
      </w:r>
      <w:r w:rsidR="00130BA6">
        <w:rPr>
          <w:lang w:val="ru-RU"/>
        </w:rPr>
        <w:t>о</w:t>
      </w:r>
      <w:r w:rsidR="00B32F07">
        <w:rPr>
          <w:lang w:val="ru-RU"/>
        </w:rPr>
        <w:t>беспечит</w:t>
      </w:r>
      <w:r w:rsidR="00B32F07" w:rsidRPr="00923DE9">
        <w:rPr>
          <w:lang w:val="ru-RU"/>
        </w:rPr>
        <w:t xml:space="preserve"> </w:t>
      </w:r>
      <w:r w:rsidR="00B32F07">
        <w:rPr>
          <w:lang w:val="ru-RU"/>
        </w:rPr>
        <w:t>доступ</w:t>
      </w:r>
      <w:r w:rsidR="00B32F07" w:rsidRPr="00923DE9">
        <w:rPr>
          <w:lang w:val="ru-RU"/>
        </w:rPr>
        <w:t xml:space="preserve"> </w:t>
      </w:r>
      <w:r w:rsidR="00B32F07">
        <w:rPr>
          <w:lang w:val="ru-RU"/>
        </w:rPr>
        <w:t>для</w:t>
      </w:r>
      <w:r w:rsidR="00B32F07" w:rsidRPr="00923DE9">
        <w:rPr>
          <w:lang w:val="ru-RU"/>
        </w:rPr>
        <w:t xml:space="preserve"> </w:t>
      </w:r>
      <w:r w:rsidR="00B32F07">
        <w:rPr>
          <w:lang w:val="ru-RU"/>
        </w:rPr>
        <w:t>поколения</w:t>
      </w:r>
      <w:r w:rsidR="00B32F07" w:rsidRPr="00923DE9">
        <w:rPr>
          <w:lang w:val="ru-RU"/>
        </w:rPr>
        <w:t xml:space="preserve"> </w:t>
      </w:r>
      <w:r w:rsidR="00B32F07">
        <w:rPr>
          <w:lang w:val="ru-RU"/>
        </w:rPr>
        <w:t>оценок</w:t>
      </w:r>
      <w:r w:rsidR="00B32F07" w:rsidRPr="00923DE9">
        <w:rPr>
          <w:lang w:val="ru-RU"/>
        </w:rPr>
        <w:t xml:space="preserve"> </w:t>
      </w:r>
      <w:r w:rsidR="00B32F07">
        <w:rPr>
          <w:lang w:val="ru-RU"/>
        </w:rPr>
        <w:t>к</w:t>
      </w:r>
      <w:r w:rsidR="00B32F07" w:rsidRPr="00923DE9">
        <w:rPr>
          <w:lang w:val="ru-RU"/>
        </w:rPr>
        <w:t xml:space="preserve"> </w:t>
      </w:r>
      <w:r w:rsidR="00B32F07">
        <w:rPr>
          <w:lang w:val="ru-RU"/>
        </w:rPr>
        <w:t>обширным</w:t>
      </w:r>
      <w:r w:rsidR="00B32F07" w:rsidRPr="00923DE9">
        <w:rPr>
          <w:lang w:val="ru-RU"/>
        </w:rPr>
        <w:t xml:space="preserve"> </w:t>
      </w:r>
      <w:r w:rsidR="00B32F07">
        <w:rPr>
          <w:lang w:val="ru-RU"/>
        </w:rPr>
        <w:t>данным</w:t>
      </w:r>
      <w:r w:rsidR="00B32F07" w:rsidRPr="00923DE9">
        <w:rPr>
          <w:lang w:val="ru-RU"/>
        </w:rPr>
        <w:t xml:space="preserve"> </w:t>
      </w:r>
      <w:r w:rsidR="00B32F07">
        <w:rPr>
          <w:lang w:val="ru-RU"/>
        </w:rPr>
        <w:t>и</w:t>
      </w:r>
      <w:r w:rsidR="00B32F07" w:rsidRPr="00923DE9">
        <w:rPr>
          <w:lang w:val="ru-RU"/>
        </w:rPr>
        <w:t xml:space="preserve"> </w:t>
      </w:r>
      <w:r w:rsidR="00B32F07">
        <w:rPr>
          <w:lang w:val="ru-RU"/>
        </w:rPr>
        <w:t>информации</w:t>
      </w:r>
      <w:r w:rsidR="00B32F07" w:rsidRPr="00923DE9">
        <w:rPr>
          <w:lang w:val="ru-RU"/>
        </w:rPr>
        <w:t xml:space="preserve"> </w:t>
      </w:r>
      <w:r w:rsidR="00923DE9">
        <w:rPr>
          <w:lang w:val="ru-RU"/>
        </w:rPr>
        <w:t>или</w:t>
      </w:r>
      <w:r w:rsidR="00923DE9" w:rsidRPr="00923DE9">
        <w:rPr>
          <w:lang w:val="ru-RU"/>
        </w:rPr>
        <w:t xml:space="preserve"> </w:t>
      </w:r>
      <w:r w:rsidR="00923DE9">
        <w:rPr>
          <w:lang w:val="ru-RU"/>
        </w:rPr>
        <w:t>же</w:t>
      </w:r>
      <w:r w:rsidR="00923DE9" w:rsidRPr="00923DE9">
        <w:rPr>
          <w:lang w:val="ru-RU"/>
        </w:rPr>
        <w:t xml:space="preserve"> </w:t>
      </w:r>
      <w:r w:rsidR="00923DE9">
        <w:rPr>
          <w:lang w:val="ru-RU"/>
        </w:rPr>
        <w:t>к</w:t>
      </w:r>
      <w:r w:rsidR="00923DE9" w:rsidRPr="00923DE9">
        <w:rPr>
          <w:lang w:val="ru-RU"/>
        </w:rPr>
        <w:t xml:space="preserve"> </w:t>
      </w:r>
      <w:r w:rsidR="00923DE9">
        <w:rPr>
          <w:lang w:val="ru-RU"/>
        </w:rPr>
        <w:t>информации</w:t>
      </w:r>
      <w:r w:rsidR="00923DE9" w:rsidRPr="00923DE9">
        <w:rPr>
          <w:lang w:val="ru-RU"/>
        </w:rPr>
        <w:t xml:space="preserve"> </w:t>
      </w:r>
      <w:r w:rsidR="00923DE9">
        <w:rPr>
          <w:lang w:val="ru-RU"/>
        </w:rPr>
        <w:t>об</w:t>
      </w:r>
      <w:r w:rsidR="00923DE9" w:rsidRPr="00923DE9">
        <w:rPr>
          <w:lang w:val="ru-RU"/>
        </w:rPr>
        <w:t xml:space="preserve"> </w:t>
      </w:r>
      <w:r w:rsidR="00923DE9">
        <w:rPr>
          <w:lang w:val="ru-RU"/>
        </w:rPr>
        <w:t>окружающей</w:t>
      </w:r>
      <w:r w:rsidR="00923DE9" w:rsidRPr="00923DE9">
        <w:rPr>
          <w:lang w:val="ru-RU"/>
        </w:rPr>
        <w:t xml:space="preserve"> </w:t>
      </w:r>
      <w:r w:rsidR="00923DE9">
        <w:rPr>
          <w:lang w:val="ru-RU"/>
        </w:rPr>
        <w:t>среде</w:t>
      </w:r>
      <w:r w:rsidR="00923DE9" w:rsidRPr="00923DE9">
        <w:rPr>
          <w:lang w:val="ru-RU"/>
        </w:rPr>
        <w:t xml:space="preserve"> </w:t>
      </w:r>
      <w:r w:rsidR="00923DE9">
        <w:rPr>
          <w:lang w:val="ru-RU"/>
        </w:rPr>
        <w:t>в</w:t>
      </w:r>
      <w:r w:rsidR="00923DE9" w:rsidRPr="00923DE9">
        <w:rPr>
          <w:lang w:val="ru-RU"/>
        </w:rPr>
        <w:t xml:space="preserve"> </w:t>
      </w:r>
      <w:r w:rsidR="00923DE9">
        <w:rPr>
          <w:lang w:val="ru-RU"/>
        </w:rPr>
        <w:t>целом</w:t>
      </w:r>
      <w:r w:rsidR="00923DE9" w:rsidRPr="00923DE9">
        <w:rPr>
          <w:lang w:val="ru-RU"/>
        </w:rPr>
        <w:t xml:space="preserve"> </w:t>
      </w:r>
      <w:r w:rsidR="00923DE9">
        <w:rPr>
          <w:lang w:val="ru-RU"/>
        </w:rPr>
        <w:t>или</w:t>
      </w:r>
      <w:r w:rsidR="00923DE9" w:rsidRPr="00923DE9">
        <w:rPr>
          <w:lang w:val="ru-RU"/>
        </w:rPr>
        <w:t xml:space="preserve"> </w:t>
      </w:r>
      <w:r w:rsidR="00923DE9">
        <w:rPr>
          <w:lang w:val="ru-RU"/>
        </w:rPr>
        <w:t>же</w:t>
      </w:r>
      <w:r w:rsidR="00923DE9" w:rsidRPr="00923DE9">
        <w:rPr>
          <w:lang w:val="ru-RU"/>
        </w:rPr>
        <w:t xml:space="preserve"> </w:t>
      </w:r>
      <w:r w:rsidR="00923DE9">
        <w:rPr>
          <w:lang w:val="ru-RU"/>
        </w:rPr>
        <w:t>по</w:t>
      </w:r>
      <w:r w:rsidR="00923DE9" w:rsidRPr="00923DE9">
        <w:rPr>
          <w:lang w:val="ru-RU"/>
        </w:rPr>
        <w:t xml:space="preserve"> </w:t>
      </w:r>
      <w:r w:rsidR="00923DE9">
        <w:rPr>
          <w:lang w:val="ru-RU"/>
        </w:rPr>
        <w:t>тематическим</w:t>
      </w:r>
      <w:r w:rsidR="00923DE9" w:rsidRPr="00923DE9">
        <w:rPr>
          <w:lang w:val="ru-RU"/>
        </w:rPr>
        <w:t xml:space="preserve"> </w:t>
      </w:r>
      <w:r w:rsidR="00923DE9">
        <w:rPr>
          <w:lang w:val="ru-RU"/>
        </w:rPr>
        <w:t xml:space="preserve">областям» </w:t>
      </w:r>
      <w:r w:rsidR="00923DE9" w:rsidRPr="00923DE9">
        <w:rPr>
          <w:lang w:val="ru-RU"/>
        </w:rPr>
        <w:t>(</w:t>
      </w:r>
      <w:r w:rsidR="00923DE9">
        <w:rPr>
          <w:lang w:val="ru-RU"/>
        </w:rPr>
        <w:t>абзац</w:t>
      </w:r>
      <w:r w:rsidRPr="00923DE9">
        <w:rPr>
          <w:lang w:val="ru-RU"/>
        </w:rPr>
        <w:t xml:space="preserve">. 16). </w:t>
      </w:r>
      <w:r w:rsidR="00923DE9">
        <w:rPr>
          <w:lang w:val="ru-RU"/>
        </w:rPr>
        <w:t>«СЕИС в панъевропейском регионе будет также  включать, на сколько это возможно, некоторые данные, главным образом количественные, необходимые для отчетности по международным экологическим соглашения</w:t>
      </w:r>
      <w:r w:rsidR="00256AEC">
        <w:rPr>
          <w:lang w:val="ru-RU"/>
        </w:rPr>
        <w:t>м</w:t>
      </w:r>
      <w:r w:rsidR="00923DE9">
        <w:rPr>
          <w:lang w:val="ru-RU"/>
        </w:rPr>
        <w:t>»</w:t>
      </w:r>
      <w:r w:rsidRPr="00923DE9">
        <w:rPr>
          <w:lang w:val="ru-RU"/>
        </w:rPr>
        <w:t xml:space="preserve"> (</w:t>
      </w:r>
      <w:r w:rsidR="00923DE9">
        <w:rPr>
          <w:lang w:val="ru-RU"/>
        </w:rPr>
        <w:t>абзац</w:t>
      </w:r>
      <w:r w:rsidRPr="00923DE9">
        <w:rPr>
          <w:lang w:val="ru-RU"/>
        </w:rPr>
        <w:t>. 16);</w:t>
      </w:r>
    </w:p>
    <w:p w:rsidR="00D475FE" w:rsidRPr="00F53C8D" w:rsidRDefault="00B32F07" w:rsidP="00F53C8D">
      <w:pPr>
        <w:pStyle w:val="SingleTxtG"/>
        <w:ind w:firstLine="567"/>
        <w:rPr>
          <w:lang w:val="ru-RU"/>
        </w:rPr>
      </w:pPr>
      <w:r w:rsidRPr="009B0E76">
        <w:rPr>
          <w:lang w:val="ru-RU"/>
        </w:rPr>
        <w:t>(</w:t>
      </w:r>
      <w:r>
        <w:rPr>
          <w:lang w:val="ru-RU"/>
        </w:rPr>
        <w:t>б</w:t>
      </w:r>
      <w:r w:rsidR="00D475FE" w:rsidRPr="009B0E76">
        <w:rPr>
          <w:lang w:val="ru-RU"/>
        </w:rPr>
        <w:t>)</w:t>
      </w:r>
      <w:r w:rsidR="00D475FE" w:rsidRPr="009B0E76">
        <w:rPr>
          <w:lang w:val="ru-RU"/>
        </w:rPr>
        <w:tab/>
      </w:r>
      <w:r w:rsidR="00F53C8D">
        <w:rPr>
          <w:lang w:val="ru-RU"/>
        </w:rPr>
        <w:t>«</w:t>
      </w:r>
      <w:r w:rsidR="00D56234">
        <w:rPr>
          <w:lang w:val="ru-RU"/>
        </w:rPr>
        <w:t>П</w:t>
      </w:r>
      <w:r w:rsidR="009B0E76" w:rsidRPr="009B0E76">
        <w:rPr>
          <w:lang w:val="ru-RU"/>
        </w:rPr>
        <w:t xml:space="preserve">одготовка </w:t>
      </w:r>
      <w:r w:rsidR="009B0E76">
        <w:rPr>
          <w:lang w:val="ru-RU"/>
        </w:rPr>
        <w:t>оценок на национальном уровне будет</w:t>
      </w:r>
      <w:r w:rsidR="009B0E76" w:rsidRPr="009B0E76">
        <w:rPr>
          <w:lang w:val="ru-RU"/>
        </w:rPr>
        <w:t xml:space="preserve"> проводиться в соответствии с национальным законода</w:t>
      </w:r>
      <w:r w:rsidR="00F53C8D">
        <w:rPr>
          <w:lang w:val="ru-RU"/>
        </w:rPr>
        <w:t>тельством в этой области” (абзац</w:t>
      </w:r>
      <w:r w:rsidR="006A5E8F">
        <w:rPr>
          <w:lang w:val="ru-RU"/>
        </w:rPr>
        <w:t xml:space="preserve"> </w:t>
      </w:r>
      <w:r w:rsidR="009B0E76" w:rsidRPr="009B0E76">
        <w:rPr>
          <w:lang w:val="ru-RU"/>
        </w:rPr>
        <w:t>18). “Подготовка оценок н</w:t>
      </w:r>
      <w:r w:rsidR="00F53C8D">
        <w:rPr>
          <w:lang w:val="ru-RU"/>
        </w:rPr>
        <w:t>а панъевропейском уровне будет</w:t>
      </w:r>
      <w:r w:rsidR="009B0E76" w:rsidRPr="009B0E76">
        <w:rPr>
          <w:lang w:val="ru-RU"/>
        </w:rPr>
        <w:t xml:space="preserve"> проводиться по мере необходимости для поддержки региональных и глобальных дискуссий. Такие оценки будут способствовать выявлению общих экологических проблем в регионе и принятию решений об ответных мерах на региональном уровне, а также будут способствовать принятию решений и выработке политики на глобальном уровне</w:t>
      </w:r>
      <w:r w:rsidR="00F53C8D">
        <w:rPr>
          <w:lang w:val="ru-RU"/>
        </w:rPr>
        <w:t>»</w:t>
      </w:r>
      <w:r w:rsidR="00F53C8D" w:rsidRPr="00F53C8D">
        <w:rPr>
          <w:lang w:val="ru-RU"/>
        </w:rPr>
        <w:t xml:space="preserve"> (</w:t>
      </w:r>
      <w:r w:rsidR="00F53C8D">
        <w:rPr>
          <w:lang w:val="ru-RU"/>
        </w:rPr>
        <w:t>абзац</w:t>
      </w:r>
      <w:r w:rsidR="00D475FE" w:rsidRPr="00F53C8D">
        <w:rPr>
          <w:lang w:val="ru-RU"/>
        </w:rPr>
        <w:t>. 20);</w:t>
      </w:r>
    </w:p>
    <w:p w:rsidR="00D475FE" w:rsidRPr="006A5E8F" w:rsidRDefault="00B32F07" w:rsidP="006A5E8F">
      <w:pPr>
        <w:pStyle w:val="SingleTxtG"/>
        <w:ind w:firstLine="567"/>
        <w:rPr>
          <w:b/>
          <w:bCs/>
          <w:lang w:val="ru-RU"/>
        </w:rPr>
      </w:pPr>
      <w:r w:rsidRPr="00471229">
        <w:rPr>
          <w:lang w:val="ru-RU"/>
        </w:rPr>
        <w:t>(</w:t>
      </w:r>
      <w:r>
        <w:rPr>
          <w:lang w:val="ru-RU"/>
        </w:rPr>
        <w:t>в</w:t>
      </w:r>
      <w:r w:rsidR="00D475FE" w:rsidRPr="00471229">
        <w:rPr>
          <w:lang w:val="ru-RU"/>
        </w:rPr>
        <w:t>)</w:t>
      </w:r>
      <w:r w:rsidR="00D475FE" w:rsidRPr="00471229">
        <w:rPr>
          <w:lang w:val="ru-RU"/>
        </w:rPr>
        <w:tab/>
        <w:t>“</w:t>
      </w:r>
      <w:r w:rsidR="00D56234">
        <w:rPr>
          <w:b/>
          <w:bCs/>
          <w:lang w:val="ru-RU"/>
        </w:rPr>
        <w:t>П</w:t>
      </w:r>
      <w:r w:rsidR="00AD2E7C">
        <w:rPr>
          <w:b/>
          <w:bCs/>
          <w:lang w:val="ru-RU"/>
        </w:rPr>
        <w:t>роцесс</w:t>
      </w:r>
      <w:r w:rsidR="00AD2E7C" w:rsidRPr="00471229">
        <w:rPr>
          <w:b/>
          <w:bCs/>
          <w:lang w:val="ru-RU"/>
        </w:rPr>
        <w:t xml:space="preserve"> </w:t>
      </w:r>
      <w:r w:rsidR="00AD2E7C">
        <w:rPr>
          <w:b/>
          <w:bCs/>
          <w:lang w:val="ru-RU"/>
        </w:rPr>
        <w:t>региональной</w:t>
      </w:r>
      <w:r w:rsidR="00AD2E7C" w:rsidRPr="00471229">
        <w:rPr>
          <w:b/>
          <w:bCs/>
          <w:lang w:val="ru-RU"/>
        </w:rPr>
        <w:t xml:space="preserve"> </w:t>
      </w:r>
      <w:r w:rsidR="00AD2E7C">
        <w:rPr>
          <w:b/>
          <w:bCs/>
          <w:lang w:val="ru-RU"/>
        </w:rPr>
        <w:t>оценки</w:t>
      </w:r>
      <w:r w:rsidR="00AD2E7C" w:rsidRPr="00471229">
        <w:rPr>
          <w:b/>
          <w:bCs/>
          <w:lang w:val="ru-RU"/>
        </w:rPr>
        <w:t xml:space="preserve"> </w:t>
      </w:r>
      <w:r w:rsidR="00AD2E7C">
        <w:rPr>
          <w:b/>
          <w:bCs/>
          <w:lang w:val="ru-RU"/>
        </w:rPr>
        <w:t>в</w:t>
      </w:r>
      <w:r w:rsidR="00AD2E7C" w:rsidRPr="00471229">
        <w:rPr>
          <w:b/>
          <w:bCs/>
          <w:lang w:val="ru-RU"/>
        </w:rPr>
        <w:t xml:space="preserve"> </w:t>
      </w:r>
      <w:r w:rsidR="00AD2E7C">
        <w:rPr>
          <w:b/>
          <w:bCs/>
          <w:lang w:val="ru-RU"/>
        </w:rPr>
        <w:t>панъевропейском</w:t>
      </w:r>
      <w:r w:rsidR="00AD2E7C" w:rsidRPr="00471229">
        <w:rPr>
          <w:b/>
          <w:bCs/>
          <w:lang w:val="ru-RU"/>
        </w:rPr>
        <w:t xml:space="preserve"> </w:t>
      </w:r>
      <w:r w:rsidR="00AD2E7C">
        <w:rPr>
          <w:b/>
          <w:bCs/>
          <w:lang w:val="ru-RU"/>
        </w:rPr>
        <w:t>регионе</w:t>
      </w:r>
      <w:r w:rsidR="00D475FE" w:rsidRPr="00471229">
        <w:rPr>
          <w:b/>
          <w:bCs/>
          <w:lang w:val="ru-RU"/>
        </w:rPr>
        <w:t xml:space="preserve"> [</w:t>
      </w:r>
      <w:r w:rsidR="00EB3EDF">
        <w:rPr>
          <w:b/>
          <w:bCs/>
          <w:lang w:val="ru-RU"/>
        </w:rPr>
        <w:t>Глобальная экологическая</w:t>
      </w:r>
      <w:r w:rsidR="00831CD5" w:rsidRPr="00471229">
        <w:rPr>
          <w:b/>
          <w:bCs/>
          <w:lang w:val="ru-RU"/>
        </w:rPr>
        <w:t xml:space="preserve"> </w:t>
      </w:r>
      <w:r w:rsidR="00EB3EDF">
        <w:rPr>
          <w:b/>
          <w:bCs/>
          <w:lang w:val="ru-RU"/>
        </w:rPr>
        <w:t>перспектива</w:t>
      </w:r>
      <w:r w:rsidR="00D475FE" w:rsidRPr="00471229">
        <w:rPr>
          <w:b/>
          <w:bCs/>
          <w:lang w:val="ru-RU"/>
        </w:rPr>
        <w:t xml:space="preserve"> (</w:t>
      </w:r>
      <w:r w:rsidR="00EB3EDF">
        <w:rPr>
          <w:b/>
          <w:bCs/>
          <w:lang w:val="ru-RU"/>
        </w:rPr>
        <w:t>ГЭП</w:t>
      </w:r>
      <w:r w:rsidR="00D475FE" w:rsidRPr="00471229">
        <w:rPr>
          <w:b/>
          <w:bCs/>
          <w:lang w:val="ru-RU"/>
        </w:rPr>
        <w:t xml:space="preserve">)] </w:t>
      </w:r>
      <w:r w:rsidR="00AD2E7C">
        <w:rPr>
          <w:b/>
          <w:bCs/>
          <w:lang w:val="ru-RU"/>
        </w:rPr>
        <w:t>основанный</w:t>
      </w:r>
      <w:r w:rsidR="00AD2E7C" w:rsidRPr="00471229">
        <w:rPr>
          <w:b/>
          <w:bCs/>
          <w:lang w:val="ru-RU"/>
        </w:rPr>
        <w:t xml:space="preserve"> </w:t>
      </w:r>
      <w:r w:rsidR="00AD2E7C">
        <w:rPr>
          <w:b/>
          <w:bCs/>
          <w:lang w:val="ru-RU"/>
        </w:rPr>
        <w:t>на</w:t>
      </w:r>
      <w:r w:rsidR="00AD2E7C" w:rsidRPr="00471229">
        <w:rPr>
          <w:b/>
          <w:bCs/>
          <w:lang w:val="ru-RU"/>
        </w:rPr>
        <w:t xml:space="preserve"> </w:t>
      </w:r>
      <w:r w:rsidR="00860665">
        <w:rPr>
          <w:b/>
          <w:bCs/>
          <w:lang w:val="ru-RU"/>
        </w:rPr>
        <w:t>Д</w:t>
      </w:r>
      <w:r w:rsidR="00AD2E7C">
        <w:rPr>
          <w:b/>
          <w:bCs/>
          <w:lang w:val="ru-RU"/>
        </w:rPr>
        <w:t>окладе</w:t>
      </w:r>
      <w:r w:rsidR="00AD2E7C" w:rsidRPr="00471229">
        <w:rPr>
          <w:b/>
          <w:bCs/>
          <w:lang w:val="ru-RU"/>
        </w:rPr>
        <w:t xml:space="preserve"> </w:t>
      </w:r>
      <w:r w:rsidR="00471229">
        <w:rPr>
          <w:b/>
          <w:bCs/>
          <w:lang w:val="ru-RU"/>
        </w:rPr>
        <w:t>Европейского</w:t>
      </w:r>
      <w:r w:rsidR="00007C7F">
        <w:rPr>
          <w:b/>
          <w:bCs/>
          <w:lang w:val="ru-RU"/>
        </w:rPr>
        <w:t xml:space="preserve"> агентства по окружающей среде</w:t>
      </w:r>
      <w:r w:rsidR="00D475FE" w:rsidRPr="00471229">
        <w:rPr>
          <w:b/>
          <w:bCs/>
          <w:lang w:val="ru-RU"/>
        </w:rPr>
        <w:t xml:space="preserve"> [</w:t>
      </w:r>
      <w:r w:rsidR="00007C7F">
        <w:rPr>
          <w:b/>
          <w:bCs/>
          <w:lang w:val="ru-RU"/>
        </w:rPr>
        <w:t>о состоянии</w:t>
      </w:r>
      <w:r w:rsidR="00007C7F" w:rsidRPr="00471229">
        <w:rPr>
          <w:b/>
          <w:bCs/>
          <w:lang w:val="ru-RU"/>
        </w:rPr>
        <w:t xml:space="preserve"> </w:t>
      </w:r>
      <w:r w:rsidR="00007C7F">
        <w:rPr>
          <w:b/>
          <w:bCs/>
          <w:lang w:val="ru-RU"/>
        </w:rPr>
        <w:t>окружающей</w:t>
      </w:r>
      <w:r w:rsidR="00007C7F" w:rsidRPr="00471229">
        <w:rPr>
          <w:b/>
          <w:bCs/>
          <w:lang w:val="ru-RU"/>
        </w:rPr>
        <w:t xml:space="preserve"> </w:t>
      </w:r>
      <w:r w:rsidR="00007C7F">
        <w:rPr>
          <w:b/>
          <w:bCs/>
          <w:lang w:val="ru-RU"/>
        </w:rPr>
        <w:t>среды</w:t>
      </w:r>
      <w:r w:rsidR="00D475FE" w:rsidRPr="00471229">
        <w:rPr>
          <w:b/>
          <w:bCs/>
          <w:lang w:val="ru-RU"/>
        </w:rPr>
        <w:t xml:space="preserve"> (</w:t>
      </w:r>
      <w:r w:rsidR="00D475FE">
        <w:rPr>
          <w:b/>
          <w:bCs/>
        </w:rPr>
        <w:t>SOER</w:t>
      </w:r>
      <w:r w:rsidR="00D475FE" w:rsidRPr="00471229">
        <w:rPr>
          <w:b/>
          <w:bCs/>
          <w:lang w:val="ru-RU"/>
        </w:rPr>
        <w:t xml:space="preserve">)] </w:t>
      </w:r>
      <w:r w:rsidR="00007C7F">
        <w:rPr>
          <w:b/>
          <w:bCs/>
          <w:lang w:val="ru-RU"/>
        </w:rPr>
        <w:t xml:space="preserve">может способствовать </w:t>
      </w:r>
      <w:r w:rsidR="00376250">
        <w:rPr>
          <w:b/>
          <w:bCs/>
          <w:lang w:val="ru-RU"/>
        </w:rPr>
        <w:t xml:space="preserve">процессу оценки </w:t>
      </w:r>
      <w:r w:rsidR="00007C7F">
        <w:rPr>
          <w:b/>
          <w:bCs/>
          <w:lang w:val="ru-RU"/>
        </w:rPr>
        <w:t>или стат</w:t>
      </w:r>
      <w:r w:rsidR="00376250">
        <w:rPr>
          <w:b/>
          <w:bCs/>
          <w:lang w:val="ru-RU"/>
        </w:rPr>
        <w:t>ь единым процессом панъевропейской оценки, который производит регулярную оценку по состоянию окружающей среды</w:t>
      </w:r>
      <w:r w:rsidR="00860665">
        <w:rPr>
          <w:b/>
          <w:bCs/>
          <w:lang w:val="ru-RU"/>
        </w:rPr>
        <w:t>,</w:t>
      </w:r>
      <w:r w:rsidR="00376250">
        <w:rPr>
          <w:b/>
          <w:bCs/>
          <w:lang w:val="ru-RU"/>
        </w:rPr>
        <w:t xml:space="preserve"> служащей </w:t>
      </w:r>
      <w:r w:rsidR="006A5E8F">
        <w:rPr>
          <w:b/>
          <w:bCs/>
          <w:lang w:val="ru-RU"/>
        </w:rPr>
        <w:t>целому ряду целей</w:t>
      </w:r>
      <w:r w:rsidR="00376250">
        <w:rPr>
          <w:b/>
          <w:bCs/>
          <w:lang w:val="ru-RU"/>
        </w:rPr>
        <w:t xml:space="preserve"> </w:t>
      </w:r>
      <w:r w:rsidR="00D475FE" w:rsidRPr="006A5E8F">
        <w:rPr>
          <w:lang w:val="ru-RU"/>
        </w:rPr>
        <w:t>” (</w:t>
      </w:r>
      <w:r w:rsidR="006A5E8F">
        <w:rPr>
          <w:lang w:val="ru-RU"/>
        </w:rPr>
        <w:t xml:space="preserve">абзац </w:t>
      </w:r>
      <w:r w:rsidR="00D475FE" w:rsidRPr="006A5E8F">
        <w:rPr>
          <w:lang w:val="ru-RU"/>
        </w:rPr>
        <w:t>28);</w:t>
      </w:r>
    </w:p>
    <w:p w:rsidR="00D475FE" w:rsidRPr="006A5E8F" w:rsidRDefault="00B32F07" w:rsidP="006A5E8F">
      <w:pPr>
        <w:pStyle w:val="SingleTxtG"/>
        <w:ind w:firstLine="567"/>
        <w:rPr>
          <w:lang w:val="ru-RU"/>
        </w:rPr>
      </w:pPr>
      <w:r w:rsidRPr="006A5E8F">
        <w:rPr>
          <w:lang w:val="ru-RU"/>
        </w:rPr>
        <w:t>(</w:t>
      </w:r>
      <w:r>
        <w:rPr>
          <w:lang w:val="ru-RU"/>
        </w:rPr>
        <w:t>г</w:t>
      </w:r>
      <w:r w:rsidR="00D475FE" w:rsidRPr="006A5E8F">
        <w:rPr>
          <w:lang w:val="ru-RU"/>
        </w:rPr>
        <w:t>)</w:t>
      </w:r>
      <w:r w:rsidR="00D475FE" w:rsidRPr="006A5E8F">
        <w:rPr>
          <w:lang w:val="ru-RU"/>
        </w:rPr>
        <w:tab/>
      </w:r>
      <w:r w:rsidR="006A5E8F">
        <w:rPr>
          <w:lang w:val="ru-RU"/>
        </w:rPr>
        <w:t>«</w:t>
      </w:r>
      <w:r w:rsidR="00D56234">
        <w:rPr>
          <w:lang w:val="ru-RU"/>
        </w:rPr>
        <w:t>Б</w:t>
      </w:r>
      <w:r w:rsidR="006A5E8F" w:rsidRPr="006A5E8F">
        <w:rPr>
          <w:lang w:val="ru-RU"/>
        </w:rPr>
        <w:t xml:space="preserve">аза знаний, созданная через </w:t>
      </w:r>
      <w:r w:rsidR="006A5E8F">
        <w:rPr>
          <w:lang w:val="ru-RU"/>
        </w:rPr>
        <w:t>СЕИС</w:t>
      </w:r>
      <w:r w:rsidR="006A5E8F" w:rsidRPr="006A5E8F">
        <w:rPr>
          <w:lang w:val="ru-RU"/>
        </w:rPr>
        <w:t xml:space="preserve">, будет использовать, где это возможно, существующую техническую инфраструктуру </w:t>
      </w:r>
      <w:r w:rsidR="006A5E8F">
        <w:rPr>
          <w:lang w:val="ru-RU"/>
        </w:rPr>
        <w:t>и платформы. «ЮНЕП в прямом включении»</w:t>
      </w:r>
      <w:r w:rsidR="006A5E8F" w:rsidRPr="006A5E8F">
        <w:rPr>
          <w:lang w:val="ru-RU"/>
        </w:rPr>
        <w:t xml:space="preserve"> должна </w:t>
      </w:r>
      <w:r w:rsidR="006A5E8F">
        <w:rPr>
          <w:lang w:val="ru-RU"/>
        </w:rPr>
        <w:t>по</w:t>
      </w:r>
      <w:r w:rsidR="006A5E8F" w:rsidRPr="006A5E8F">
        <w:rPr>
          <w:lang w:val="ru-RU"/>
        </w:rPr>
        <w:t>слу</w:t>
      </w:r>
      <w:r w:rsidR="006A5E8F">
        <w:rPr>
          <w:lang w:val="ru-RU"/>
        </w:rPr>
        <w:t>жить основной платформой на панъ</w:t>
      </w:r>
      <w:r w:rsidR="006A5E8F" w:rsidRPr="006A5E8F">
        <w:rPr>
          <w:lang w:val="ru-RU"/>
        </w:rPr>
        <w:t>европ</w:t>
      </w:r>
      <w:r w:rsidR="006A5E8F">
        <w:rPr>
          <w:lang w:val="ru-RU"/>
        </w:rPr>
        <w:t>ейском уровне, обеспечивая связь</w:t>
      </w:r>
      <w:r w:rsidR="00FD07B5">
        <w:rPr>
          <w:lang w:val="ru-RU"/>
        </w:rPr>
        <w:t xml:space="preserve"> с </w:t>
      </w:r>
      <w:r w:rsidR="006A5E8F" w:rsidRPr="006A5E8F">
        <w:rPr>
          <w:lang w:val="ru-RU"/>
        </w:rPr>
        <w:t>национальными и субрегиональными платформами и</w:t>
      </w:r>
      <w:r w:rsidR="006A5E8F">
        <w:rPr>
          <w:lang w:val="ru-RU"/>
        </w:rPr>
        <w:t xml:space="preserve"> обеспечивая</w:t>
      </w:r>
      <w:r w:rsidR="006A5E8F" w:rsidRPr="006A5E8F">
        <w:rPr>
          <w:lang w:val="ru-RU"/>
        </w:rPr>
        <w:t xml:space="preserve"> централизованный доступ к базе знаний, включая оценки, данные и информацию,</w:t>
      </w:r>
      <w:r w:rsidR="006A5E8F">
        <w:rPr>
          <w:lang w:val="ru-RU"/>
        </w:rPr>
        <w:t xml:space="preserve"> которая регулярно публикуется</w:t>
      </w:r>
      <w:r w:rsidR="006A5E8F" w:rsidRPr="006A5E8F">
        <w:rPr>
          <w:lang w:val="ru-RU"/>
        </w:rPr>
        <w:t xml:space="preserve"> странами</w:t>
      </w:r>
      <w:r w:rsidR="006A5E8F">
        <w:rPr>
          <w:lang w:val="ru-RU"/>
        </w:rPr>
        <w:t>»</w:t>
      </w:r>
      <w:r w:rsidR="00D475FE" w:rsidRPr="006A5E8F">
        <w:rPr>
          <w:lang w:val="ru-RU"/>
        </w:rPr>
        <w:t xml:space="preserve"> (</w:t>
      </w:r>
      <w:r w:rsidR="006A5E8F">
        <w:rPr>
          <w:lang w:val="ru-RU"/>
        </w:rPr>
        <w:t>абзац</w:t>
      </w:r>
      <w:r w:rsidR="00D475FE" w:rsidRPr="006A5E8F">
        <w:rPr>
          <w:lang w:val="ru-RU"/>
        </w:rPr>
        <w:t xml:space="preserve"> 31(</w:t>
      </w:r>
      <w:r w:rsidR="00D475FE">
        <w:t>c</w:t>
      </w:r>
      <w:r w:rsidR="00D475FE" w:rsidRPr="006A5E8F">
        <w:rPr>
          <w:lang w:val="ru-RU"/>
        </w:rPr>
        <w:t>));</w:t>
      </w:r>
      <w:r w:rsidR="00D475FE">
        <w:rPr>
          <w:rStyle w:val="FootnoteReference"/>
        </w:rPr>
        <w:footnoteReference w:id="9"/>
      </w:r>
    </w:p>
    <w:p w:rsidR="00D475FE" w:rsidRPr="000673BF" w:rsidRDefault="00B32F07" w:rsidP="000673BF">
      <w:pPr>
        <w:pStyle w:val="SingleTxtG"/>
        <w:ind w:firstLine="567"/>
        <w:rPr>
          <w:lang w:val="ru-RU"/>
        </w:rPr>
      </w:pPr>
      <w:r w:rsidRPr="00FD07B5">
        <w:rPr>
          <w:lang w:val="ru-RU"/>
        </w:rPr>
        <w:t>(</w:t>
      </w:r>
      <w:r>
        <w:rPr>
          <w:lang w:val="ru-RU"/>
        </w:rPr>
        <w:t>д</w:t>
      </w:r>
      <w:r w:rsidR="00D475FE" w:rsidRPr="00FD07B5">
        <w:rPr>
          <w:lang w:val="ru-RU"/>
        </w:rPr>
        <w:t>)</w:t>
      </w:r>
      <w:r w:rsidR="00D475FE" w:rsidRPr="00FD07B5">
        <w:rPr>
          <w:lang w:val="ru-RU"/>
        </w:rPr>
        <w:tab/>
      </w:r>
      <w:r w:rsidR="000673BF">
        <w:rPr>
          <w:lang w:val="ru-RU"/>
        </w:rPr>
        <w:t>«</w:t>
      </w:r>
      <w:r w:rsidR="00D56234">
        <w:rPr>
          <w:lang w:val="ru-RU"/>
        </w:rPr>
        <w:t>П</w:t>
      </w:r>
      <w:r w:rsidR="00FD07B5">
        <w:rPr>
          <w:lang w:val="ru-RU"/>
        </w:rPr>
        <w:t xml:space="preserve">олитический контроль за процессом </w:t>
      </w:r>
      <w:r w:rsidR="00FD07B5" w:rsidRPr="00FD07B5">
        <w:rPr>
          <w:lang w:val="ru-RU"/>
        </w:rPr>
        <w:t xml:space="preserve">регулярного обзора </w:t>
      </w:r>
      <w:r w:rsidR="00FD07B5">
        <w:rPr>
          <w:lang w:val="ru-RU"/>
        </w:rPr>
        <w:t>состояния окружающей среды</w:t>
      </w:r>
      <w:r w:rsidR="00FD07B5" w:rsidRPr="00FD07B5">
        <w:rPr>
          <w:lang w:val="ru-RU"/>
        </w:rPr>
        <w:t xml:space="preserve"> </w:t>
      </w:r>
      <w:r w:rsidR="00FD07B5">
        <w:rPr>
          <w:lang w:val="ru-RU"/>
        </w:rPr>
        <w:t xml:space="preserve">на панъевропейском уровне будет осуществляться </w:t>
      </w:r>
      <w:r w:rsidR="00FD07B5" w:rsidRPr="00FD07B5">
        <w:rPr>
          <w:lang w:val="ru-RU"/>
        </w:rPr>
        <w:t>[Комитет</w:t>
      </w:r>
      <w:r w:rsidR="00FD07B5">
        <w:rPr>
          <w:lang w:val="ru-RU"/>
        </w:rPr>
        <w:t>ом</w:t>
      </w:r>
      <w:r w:rsidR="00FD07B5" w:rsidRPr="00FD07B5">
        <w:rPr>
          <w:lang w:val="ru-RU"/>
        </w:rPr>
        <w:t xml:space="preserve"> по экологической политике], который будет также координировать свои решения с теми, которые </w:t>
      </w:r>
      <w:r w:rsidR="00FD07B5">
        <w:rPr>
          <w:lang w:val="ru-RU"/>
        </w:rPr>
        <w:t xml:space="preserve">были </w:t>
      </w:r>
      <w:r w:rsidR="00FD07B5" w:rsidRPr="00FD07B5">
        <w:rPr>
          <w:lang w:val="ru-RU"/>
        </w:rPr>
        <w:t xml:space="preserve">приняты </w:t>
      </w:r>
      <w:r w:rsidR="00860665">
        <w:rPr>
          <w:lang w:val="ru-RU"/>
        </w:rPr>
        <w:t>на глобальном уровне, касающиеся</w:t>
      </w:r>
      <w:r w:rsidR="00FD07B5" w:rsidRPr="00FD07B5">
        <w:rPr>
          <w:lang w:val="ru-RU"/>
        </w:rPr>
        <w:t xml:space="preserve"> экологической оценки, в частности те, которые </w:t>
      </w:r>
      <w:r w:rsidR="00FD07B5">
        <w:rPr>
          <w:lang w:val="ru-RU"/>
        </w:rPr>
        <w:t>были приняты</w:t>
      </w:r>
      <w:r w:rsidR="00FD07B5" w:rsidRPr="00FD07B5">
        <w:rPr>
          <w:lang w:val="ru-RU"/>
        </w:rPr>
        <w:t xml:space="preserve"> [</w:t>
      </w:r>
      <w:r w:rsidR="00FD07B5">
        <w:rPr>
          <w:lang w:val="ru-RU"/>
        </w:rPr>
        <w:t xml:space="preserve">Ассамблеей </w:t>
      </w:r>
      <w:r w:rsidR="00FD07B5" w:rsidRPr="00FD07B5">
        <w:rPr>
          <w:lang w:val="ru-RU"/>
        </w:rPr>
        <w:t>Организации Объединенн</w:t>
      </w:r>
      <w:r w:rsidR="00FD07B5">
        <w:rPr>
          <w:lang w:val="ru-RU"/>
        </w:rPr>
        <w:t>ых Наций по окружающей среде</w:t>
      </w:r>
      <w:r w:rsidR="00FD07B5" w:rsidRPr="00FD07B5">
        <w:rPr>
          <w:lang w:val="ru-RU"/>
        </w:rPr>
        <w:t xml:space="preserve">] </w:t>
      </w:r>
      <w:r w:rsidR="00FD07B5">
        <w:rPr>
          <w:lang w:val="ru-RU"/>
        </w:rPr>
        <w:t>касательно процесса</w:t>
      </w:r>
      <w:r w:rsidR="000673BF">
        <w:rPr>
          <w:lang w:val="ru-RU"/>
        </w:rPr>
        <w:t xml:space="preserve"> и продуктов</w:t>
      </w:r>
      <w:r w:rsidR="00EB3EDF">
        <w:rPr>
          <w:lang w:val="ru-RU"/>
        </w:rPr>
        <w:t xml:space="preserve"> Глобальной экологической перспективы</w:t>
      </w:r>
      <w:r w:rsidR="000673BF">
        <w:rPr>
          <w:lang w:val="ru-RU"/>
        </w:rPr>
        <w:t>»</w:t>
      </w:r>
      <w:r w:rsidR="000673BF" w:rsidRPr="000673BF">
        <w:rPr>
          <w:lang w:val="ru-RU"/>
        </w:rPr>
        <w:t xml:space="preserve"> (</w:t>
      </w:r>
      <w:r w:rsidR="000673BF">
        <w:rPr>
          <w:lang w:val="ru-RU"/>
        </w:rPr>
        <w:t>абзац</w:t>
      </w:r>
      <w:r w:rsidR="00D475FE" w:rsidRPr="000673BF">
        <w:rPr>
          <w:lang w:val="ru-RU"/>
        </w:rPr>
        <w:t xml:space="preserve"> 32(</w:t>
      </w:r>
      <w:r w:rsidR="00D475FE">
        <w:t>a</w:t>
      </w:r>
      <w:r w:rsidR="00D475FE" w:rsidRPr="000673BF">
        <w:rPr>
          <w:lang w:val="ru-RU"/>
        </w:rPr>
        <w:t>));</w:t>
      </w:r>
    </w:p>
    <w:p w:rsidR="00D475FE" w:rsidRPr="00135C45" w:rsidRDefault="00B32F07" w:rsidP="00565F4A">
      <w:pPr>
        <w:pStyle w:val="SingleTxtG"/>
        <w:ind w:firstLine="567"/>
        <w:rPr>
          <w:lang w:val="ru-RU"/>
        </w:rPr>
      </w:pPr>
      <w:r w:rsidRPr="00381625">
        <w:rPr>
          <w:lang w:val="ru-RU"/>
        </w:rPr>
        <w:lastRenderedPageBreak/>
        <w:t>(</w:t>
      </w:r>
      <w:r>
        <w:rPr>
          <w:lang w:val="ru-RU"/>
        </w:rPr>
        <w:t>е</w:t>
      </w:r>
      <w:r w:rsidR="00D475FE" w:rsidRPr="00381625">
        <w:rPr>
          <w:lang w:val="ru-RU"/>
        </w:rPr>
        <w:t>)</w:t>
      </w:r>
      <w:r w:rsidR="00D475FE" w:rsidRPr="00381625">
        <w:rPr>
          <w:lang w:val="ru-RU"/>
        </w:rPr>
        <w:tab/>
      </w:r>
      <w:r w:rsidR="00D56234">
        <w:rPr>
          <w:lang w:val="ru-RU"/>
        </w:rPr>
        <w:t>«К</w:t>
      </w:r>
      <w:r w:rsidR="00381625">
        <w:rPr>
          <w:lang w:val="ru-RU"/>
        </w:rPr>
        <w:t xml:space="preserve">асательно регулярной панъевропейской оценки, </w:t>
      </w:r>
      <w:r w:rsidR="00135C45">
        <w:rPr>
          <w:lang w:val="ru-RU"/>
        </w:rPr>
        <w:t xml:space="preserve">ЕЭК в сотрудничестве с </w:t>
      </w:r>
      <w:r w:rsidR="00C06E9F">
        <w:rPr>
          <w:lang w:val="ru-RU"/>
        </w:rPr>
        <w:t>ЮНЕП</w:t>
      </w:r>
      <w:r w:rsidR="00135C45">
        <w:rPr>
          <w:lang w:val="ru-RU"/>
        </w:rPr>
        <w:t xml:space="preserve"> и ЕАОС будет обслуживать и поддерживать Рабочую группу</w:t>
      </w:r>
      <w:r w:rsidR="00381625">
        <w:rPr>
          <w:lang w:val="ru-RU"/>
        </w:rPr>
        <w:t xml:space="preserve"> по мониторингу и оценке окружающей среды</w:t>
      </w:r>
      <w:r w:rsidR="00135C45">
        <w:rPr>
          <w:lang w:val="ru-RU"/>
        </w:rPr>
        <w:t xml:space="preserve">» </w:t>
      </w:r>
      <w:r w:rsidR="00D475FE" w:rsidRPr="00381625">
        <w:rPr>
          <w:lang w:val="ru-RU"/>
        </w:rPr>
        <w:t>(</w:t>
      </w:r>
      <w:r w:rsidR="00135C45">
        <w:rPr>
          <w:lang w:val="ru-RU"/>
        </w:rPr>
        <w:t xml:space="preserve">абзац </w:t>
      </w:r>
      <w:r w:rsidR="00D475FE" w:rsidRPr="00135C45">
        <w:rPr>
          <w:lang w:val="ru-RU"/>
        </w:rPr>
        <w:t>32(</w:t>
      </w:r>
      <w:r w:rsidR="00D475FE">
        <w:t>c</w:t>
      </w:r>
      <w:r w:rsidR="00D475FE" w:rsidRPr="00135C45">
        <w:rPr>
          <w:lang w:val="ru-RU"/>
        </w:rPr>
        <w:t>));</w:t>
      </w:r>
    </w:p>
    <w:p w:rsidR="00D475FE" w:rsidRPr="00815AE2" w:rsidRDefault="00B32F07" w:rsidP="00815AE2">
      <w:pPr>
        <w:pStyle w:val="SingleTxtG"/>
        <w:ind w:firstLine="567"/>
        <w:rPr>
          <w:lang w:val="ru-RU"/>
        </w:rPr>
      </w:pPr>
      <w:r w:rsidRPr="00135C45">
        <w:rPr>
          <w:lang w:val="ru-RU"/>
        </w:rPr>
        <w:t>(</w:t>
      </w:r>
      <w:r>
        <w:rPr>
          <w:lang w:val="ru-RU"/>
        </w:rPr>
        <w:t>ж</w:t>
      </w:r>
      <w:r w:rsidR="00D475FE" w:rsidRPr="00135C45">
        <w:rPr>
          <w:lang w:val="ru-RU"/>
        </w:rPr>
        <w:t>)</w:t>
      </w:r>
      <w:r w:rsidR="00D475FE" w:rsidRPr="00135C45">
        <w:rPr>
          <w:lang w:val="ru-RU"/>
        </w:rPr>
        <w:tab/>
      </w:r>
      <w:r w:rsidR="00815AE2" w:rsidRPr="00815AE2">
        <w:rPr>
          <w:b/>
          <w:lang w:val="ru-RU"/>
        </w:rPr>
        <w:t>«</w:t>
      </w:r>
      <w:r w:rsidR="00D56234">
        <w:rPr>
          <w:b/>
          <w:lang w:val="ru-RU"/>
        </w:rPr>
        <w:t>Р</w:t>
      </w:r>
      <w:r w:rsidR="00135C45" w:rsidRPr="00815AE2">
        <w:rPr>
          <w:b/>
          <w:lang w:val="ru-RU"/>
        </w:rPr>
        <w:t xml:space="preserve">езультатом оценки станет следующий продукт: а) </w:t>
      </w:r>
      <w:r w:rsidR="00EB3EDF">
        <w:rPr>
          <w:b/>
          <w:lang w:val="ru-RU"/>
        </w:rPr>
        <w:t>ГЭП</w:t>
      </w:r>
      <w:r w:rsidR="00815AE2" w:rsidRPr="00815AE2">
        <w:rPr>
          <w:b/>
          <w:lang w:val="ru-RU"/>
        </w:rPr>
        <w:t xml:space="preserve"> </w:t>
      </w:r>
      <w:r w:rsidR="00135C45" w:rsidRPr="00815AE2">
        <w:rPr>
          <w:b/>
          <w:lang w:val="ru-RU"/>
        </w:rPr>
        <w:t>панъ</w:t>
      </w:r>
      <w:r w:rsidR="00815AE2" w:rsidRPr="00815AE2">
        <w:rPr>
          <w:b/>
          <w:lang w:val="ru-RU"/>
        </w:rPr>
        <w:t>европейская региональная оценка будет</w:t>
      </w:r>
      <w:r w:rsidR="00135C45" w:rsidRPr="00815AE2">
        <w:rPr>
          <w:b/>
          <w:lang w:val="ru-RU"/>
        </w:rPr>
        <w:t xml:space="preserve"> единым </w:t>
      </w:r>
      <w:r w:rsidR="00815AE2" w:rsidRPr="00815AE2">
        <w:rPr>
          <w:b/>
          <w:lang w:val="ru-RU"/>
        </w:rPr>
        <w:t>пр</w:t>
      </w:r>
      <w:r w:rsidR="00135C45" w:rsidRPr="00815AE2">
        <w:rPr>
          <w:b/>
          <w:lang w:val="ru-RU"/>
        </w:rPr>
        <w:t>о</w:t>
      </w:r>
      <w:r w:rsidR="00815AE2" w:rsidRPr="00815AE2">
        <w:rPr>
          <w:b/>
          <w:lang w:val="ru-RU"/>
        </w:rPr>
        <w:t>дуктом панъевропейской оценки для обзора состояния окружающей среды в панъевроп</w:t>
      </w:r>
      <w:r w:rsidR="00A40CFE">
        <w:rPr>
          <w:b/>
          <w:lang w:val="ru-RU"/>
        </w:rPr>
        <w:t>ейском регионе в целом, служащий</w:t>
      </w:r>
      <w:r w:rsidR="00815AE2" w:rsidRPr="00815AE2">
        <w:rPr>
          <w:b/>
          <w:lang w:val="ru-RU"/>
        </w:rPr>
        <w:t xml:space="preserve"> целому ряду целей</w:t>
      </w:r>
      <w:r w:rsidR="00135C45" w:rsidRPr="00815AE2">
        <w:rPr>
          <w:b/>
          <w:lang w:val="ru-RU"/>
        </w:rPr>
        <w:t xml:space="preserve">; </w:t>
      </w:r>
      <w:r w:rsidR="00815AE2" w:rsidRPr="00815AE2">
        <w:rPr>
          <w:b/>
          <w:lang w:val="ru-RU"/>
        </w:rPr>
        <w:t>б</w:t>
      </w:r>
      <w:r w:rsidR="00135C45" w:rsidRPr="00815AE2">
        <w:rPr>
          <w:b/>
          <w:lang w:val="ru-RU"/>
        </w:rPr>
        <w:t>) общеевропейская о</w:t>
      </w:r>
      <w:r w:rsidR="00E360E9">
        <w:rPr>
          <w:b/>
          <w:lang w:val="ru-RU"/>
        </w:rPr>
        <w:t xml:space="preserve">ценка будет основываться на </w:t>
      </w:r>
      <w:r w:rsidR="00E360E9">
        <w:rPr>
          <w:b/>
          <w:lang w:val="fr-FR"/>
        </w:rPr>
        <w:t>SOER</w:t>
      </w:r>
      <w:r w:rsidR="00135C45" w:rsidRPr="00815AE2">
        <w:rPr>
          <w:b/>
          <w:lang w:val="ru-RU"/>
        </w:rPr>
        <w:t xml:space="preserve"> ЕАОС и других региональных тематических оценках, а</w:t>
      </w:r>
      <w:r w:rsidR="00815AE2" w:rsidRPr="00815AE2">
        <w:rPr>
          <w:b/>
          <w:lang w:val="ru-RU"/>
        </w:rPr>
        <w:t xml:space="preserve"> также на национальных оценках»</w:t>
      </w:r>
      <w:r w:rsidR="00D475FE" w:rsidRPr="00815AE2">
        <w:rPr>
          <w:b/>
          <w:lang w:val="ru-RU"/>
        </w:rPr>
        <w:t xml:space="preserve"> </w:t>
      </w:r>
      <w:r w:rsidR="00D475FE" w:rsidRPr="00815AE2">
        <w:rPr>
          <w:lang w:val="ru-RU"/>
        </w:rPr>
        <w:t>(</w:t>
      </w:r>
      <w:r w:rsidR="00815AE2">
        <w:rPr>
          <w:lang w:val="ru-RU"/>
        </w:rPr>
        <w:t xml:space="preserve">абзац </w:t>
      </w:r>
      <w:r w:rsidR="00D475FE" w:rsidRPr="00815AE2">
        <w:rPr>
          <w:lang w:val="ru-RU"/>
        </w:rPr>
        <w:t>33);</w:t>
      </w:r>
    </w:p>
    <w:p w:rsidR="00D475FE" w:rsidRPr="003473A7" w:rsidRDefault="00815AE2" w:rsidP="003473A7">
      <w:pPr>
        <w:pStyle w:val="SingleTxtG"/>
        <w:ind w:firstLine="567"/>
        <w:rPr>
          <w:lang w:val="ru-RU"/>
        </w:rPr>
      </w:pPr>
      <w:r w:rsidRPr="003473A7">
        <w:rPr>
          <w:lang w:val="ru-RU"/>
        </w:rPr>
        <w:t>(</w:t>
      </w:r>
      <w:r>
        <w:rPr>
          <w:lang w:val="ru-RU"/>
        </w:rPr>
        <w:t>з</w:t>
      </w:r>
      <w:r w:rsidR="00D475FE" w:rsidRPr="003473A7">
        <w:rPr>
          <w:lang w:val="ru-RU"/>
        </w:rPr>
        <w:t>)</w:t>
      </w:r>
      <w:r w:rsidR="00D475FE" w:rsidRPr="003473A7">
        <w:rPr>
          <w:lang w:val="ru-RU"/>
        </w:rPr>
        <w:tab/>
      </w:r>
      <w:r w:rsidR="00130BA6">
        <w:rPr>
          <w:lang w:val="ru-RU"/>
        </w:rPr>
        <w:t>«С</w:t>
      </w:r>
      <w:r>
        <w:rPr>
          <w:lang w:val="ru-RU"/>
        </w:rPr>
        <w:t>оздание панъевропейск</w:t>
      </w:r>
      <w:r w:rsidR="003473A7">
        <w:rPr>
          <w:lang w:val="ru-RU"/>
        </w:rPr>
        <w:t xml:space="preserve">их оценок потребует синхронизации только с циклом </w:t>
      </w:r>
      <w:r w:rsidR="00EB3EDF">
        <w:rPr>
          <w:lang w:val="ru-RU"/>
        </w:rPr>
        <w:t>ГЭП</w:t>
      </w:r>
      <w:r w:rsidR="003473A7">
        <w:rPr>
          <w:lang w:val="ru-RU"/>
        </w:rPr>
        <w:t>, и никакими другими циклами оценки»</w:t>
      </w:r>
      <w:r w:rsidR="003473A7" w:rsidRPr="003473A7">
        <w:rPr>
          <w:lang w:val="ru-RU"/>
        </w:rPr>
        <w:t xml:space="preserve"> (</w:t>
      </w:r>
      <w:r w:rsidR="003473A7">
        <w:rPr>
          <w:lang w:val="ru-RU"/>
        </w:rPr>
        <w:t>абзац</w:t>
      </w:r>
      <w:r w:rsidR="00D475FE" w:rsidRPr="003473A7">
        <w:rPr>
          <w:lang w:val="ru-RU"/>
        </w:rPr>
        <w:t xml:space="preserve"> 34(</w:t>
      </w:r>
      <w:r w:rsidR="00D475FE">
        <w:t>c</w:t>
      </w:r>
      <w:r w:rsidR="00D475FE" w:rsidRPr="003473A7">
        <w:rPr>
          <w:lang w:val="ru-RU"/>
        </w:rPr>
        <w:t>)).</w:t>
      </w:r>
    </w:p>
    <w:p w:rsidR="00D475FE" w:rsidRPr="003473A7" w:rsidRDefault="00D475FE" w:rsidP="003473A7">
      <w:pPr>
        <w:pStyle w:val="SingleTxtG"/>
        <w:rPr>
          <w:lang w:val="ru-RU"/>
        </w:rPr>
      </w:pPr>
      <w:r w:rsidRPr="003473A7">
        <w:rPr>
          <w:lang w:val="ru-RU"/>
        </w:rPr>
        <w:t>12.</w:t>
      </w:r>
      <w:r w:rsidRPr="003473A7">
        <w:rPr>
          <w:lang w:val="ru-RU"/>
        </w:rPr>
        <w:tab/>
      </w:r>
      <w:r w:rsidR="003473A7">
        <w:rPr>
          <w:lang w:val="ru-RU"/>
        </w:rPr>
        <w:t>Комитет «</w:t>
      </w:r>
      <w:r w:rsidR="00746CEC">
        <w:rPr>
          <w:b/>
          <w:lang w:val="ru-RU"/>
        </w:rPr>
        <w:t>о</w:t>
      </w:r>
      <w:r w:rsidR="003473A7" w:rsidRPr="003473A7">
        <w:rPr>
          <w:b/>
          <w:lang w:val="ru-RU"/>
        </w:rPr>
        <w:t>добрил предлагаемую организацию и форму процесса регулярной оценки состояния окружающей среды на основе СЕИС</w:t>
      </w:r>
      <w:r w:rsidRPr="003473A7">
        <w:rPr>
          <w:lang w:val="ru-RU"/>
        </w:rPr>
        <w:t xml:space="preserve"> (</w:t>
      </w:r>
      <w:r w:rsidRPr="001153A7">
        <w:t>ECE</w:t>
      </w:r>
      <w:r w:rsidRPr="003473A7">
        <w:rPr>
          <w:lang w:val="ru-RU"/>
        </w:rPr>
        <w:t>/</w:t>
      </w:r>
      <w:r w:rsidRPr="001153A7">
        <w:t>CEP</w:t>
      </w:r>
      <w:r w:rsidRPr="003473A7">
        <w:rPr>
          <w:lang w:val="ru-RU"/>
        </w:rPr>
        <w:t>/2015/10)</w:t>
      </w:r>
      <w:r w:rsidR="003473A7">
        <w:rPr>
          <w:lang w:val="ru-RU"/>
        </w:rPr>
        <w:t>»</w:t>
      </w:r>
      <w:r w:rsidRPr="003473A7">
        <w:rPr>
          <w:lang w:val="ru-RU"/>
        </w:rPr>
        <w:t>(</w:t>
      </w:r>
      <w:r>
        <w:t>ECE</w:t>
      </w:r>
      <w:r w:rsidRPr="003473A7">
        <w:rPr>
          <w:lang w:val="ru-RU"/>
        </w:rPr>
        <w:t>/</w:t>
      </w:r>
      <w:r>
        <w:t>CEP</w:t>
      </w:r>
      <w:r w:rsidRPr="003473A7">
        <w:rPr>
          <w:lang w:val="ru-RU"/>
        </w:rPr>
        <w:t xml:space="preserve">/2015/2, </w:t>
      </w:r>
      <w:r w:rsidR="003473A7">
        <w:rPr>
          <w:lang w:val="ru-RU"/>
        </w:rPr>
        <w:t>абзац</w:t>
      </w:r>
      <w:r w:rsidRPr="003473A7">
        <w:rPr>
          <w:lang w:val="ru-RU"/>
        </w:rPr>
        <w:t xml:space="preserve"> 42(</w:t>
      </w:r>
      <w:r>
        <w:t>a</w:t>
      </w:r>
      <w:r w:rsidRPr="003473A7">
        <w:rPr>
          <w:lang w:val="ru-RU"/>
        </w:rPr>
        <w:t xml:space="preserve">)) </w:t>
      </w:r>
      <w:r w:rsidR="003473A7">
        <w:rPr>
          <w:lang w:val="ru-RU"/>
        </w:rPr>
        <w:t xml:space="preserve">и </w:t>
      </w:r>
      <w:r w:rsidR="003473A7" w:rsidRPr="003473A7">
        <w:rPr>
          <w:b/>
          <w:lang w:val="ru-RU"/>
        </w:rPr>
        <w:t>«принял решение о запуске</w:t>
      </w:r>
      <w:r w:rsidR="003473A7">
        <w:rPr>
          <w:lang w:val="ru-RU"/>
        </w:rPr>
        <w:t xml:space="preserve"> </w:t>
      </w:r>
      <w:r w:rsidRPr="003473A7">
        <w:rPr>
          <w:b/>
          <w:bCs/>
          <w:lang w:val="ru-RU"/>
        </w:rPr>
        <w:t>[</w:t>
      </w:r>
      <w:r w:rsidR="00E360E9">
        <w:rPr>
          <w:b/>
          <w:bCs/>
          <w:lang w:val="ru-RU"/>
        </w:rPr>
        <w:t xml:space="preserve">региональной оценки </w:t>
      </w:r>
      <w:r w:rsidR="00EB3EDF">
        <w:rPr>
          <w:b/>
          <w:bCs/>
          <w:lang w:val="ru-RU"/>
        </w:rPr>
        <w:t>ГЭП</w:t>
      </w:r>
      <w:r w:rsidR="003473A7">
        <w:rPr>
          <w:b/>
          <w:bCs/>
          <w:lang w:val="ru-RU"/>
        </w:rPr>
        <w:t>-6</w:t>
      </w:r>
      <w:r w:rsidRPr="003473A7">
        <w:rPr>
          <w:b/>
          <w:bCs/>
          <w:lang w:val="ru-RU"/>
        </w:rPr>
        <w:t xml:space="preserve">] </w:t>
      </w:r>
      <w:r w:rsidR="003473A7">
        <w:rPr>
          <w:b/>
          <w:bCs/>
          <w:lang w:val="ru-RU"/>
        </w:rPr>
        <w:t>в качестве региональной оценки состояния окружающей среды на конференции в Батуми»</w:t>
      </w:r>
      <w:r w:rsidRPr="003473A7">
        <w:rPr>
          <w:lang w:val="ru-RU"/>
        </w:rPr>
        <w:t xml:space="preserve"> (</w:t>
      </w:r>
      <w:r w:rsidR="0042010E">
        <w:rPr>
          <w:lang w:val="ru-RU"/>
        </w:rPr>
        <w:t>там же</w:t>
      </w:r>
      <w:r w:rsidRPr="003473A7">
        <w:rPr>
          <w:lang w:val="ru-RU"/>
        </w:rPr>
        <w:t xml:space="preserve">, </w:t>
      </w:r>
      <w:r w:rsidR="0042010E">
        <w:rPr>
          <w:lang w:val="ru-RU"/>
        </w:rPr>
        <w:t>абзац</w:t>
      </w:r>
      <w:r w:rsidRPr="003473A7">
        <w:rPr>
          <w:lang w:val="ru-RU"/>
        </w:rPr>
        <w:t xml:space="preserve"> </w:t>
      </w:r>
      <w:r w:rsidRPr="0042010E">
        <w:rPr>
          <w:lang w:val="ru-RU"/>
        </w:rPr>
        <w:t>42(</w:t>
      </w:r>
      <w:r>
        <w:t>b</w:t>
      </w:r>
      <w:r w:rsidRPr="0042010E">
        <w:rPr>
          <w:lang w:val="ru-RU"/>
        </w:rPr>
        <w:t>)).</w:t>
      </w:r>
    </w:p>
    <w:p w:rsidR="00D475FE" w:rsidRPr="00020657" w:rsidRDefault="00D475FE" w:rsidP="00C875F3">
      <w:pPr>
        <w:pStyle w:val="H1G"/>
        <w:rPr>
          <w:lang w:val="ru-RU"/>
        </w:rPr>
      </w:pPr>
      <w:r w:rsidRPr="0042010E">
        <w:rPr>
          <w:lang w:val="ru-RU"/>
        </w:rPr>
        <w:tab/>
      </w:r>
      <w:r w:rsidR="00D0034C">
        <w:rPr>
          <w:lang w:val="ru-RU"/>
        </w:rPr>
        <w:t>Г</w:t>
      </w:r>
      <w:r w:rsidRPr="00020657">
        <w:rPr>
          <w:lang w:val="ru-RU"/>
        </w:rPr>
        <w:t>.</w:t>
      </w:r>
      <w:r w:rsidRPr="00020657">
        <w:rPr>
          <w:lang w:val="ru-RU"/>
        </w:rPr>
        <w:tab/>
      </w:r>
      <w:bookmarkStart w:id="1" w:name="_Hlk519241706"/>
      <w:r w:rsidR="00020657">
        <w:rPr>
          <w:lang w:val="ru-RU"/>
        </w:rPr>
        <w:t>Восьмая Конференция министров «Окружающая среда для Европы»</w:t>
      </w:r>
      <w:r w:rsidRPr="00020657">
        <w:rPr>
          <w:lang w:val="ru-RU"/>
        </w:rPr>
        <w:t>, 2016</w:t>
      </w:r>
      <w:bookmarkEnd w:id="1"/>
    </w:p>
    <w:p w:rsidR="00D475FE" w:rsidRPr="00305DFC" w:rsidRDefault="00D475FE" w:rsidP="00261A06">
      <w:pPr>
        <w:pStyle w:val="SingleTxtG"/>
        <w:rPr>
          <w:lang w:val="ru-RU"/>
        </w:rPr>
      </w:pPr>
      <w:r w:rsidRPr="00305DFC">
        <w:rPr>
          <w:lang w:val="ru-RU"/>
        </w:rPr>
        <w:t>13.</w:t>
      </w:r>
      <w:r w:rsidRPr="00305DFC">
        <w:rPr>
          <w:lang w:val="ru-RU"/>
        </w:rPr>
        <w:tab/>
      </w:r>
      <w:r w:rsidR="00020657" w:rsidRPr="00305DFC">
        <w:rPr>
          <w:lang w:val="ru-RU"/>
        </w:rPr>
        <w:t xml:space="preserve">В декларации, сделанной на восьмой </w:t>
      </w:r>
      <w:r w:rsidR="00305DFC">
        <w:rPr>
          <w:lang w:val="ru-RU"/>
        </w:rPr>
        <w:t xml:space="preserve">Конференции министров </w:t>
      </w:r>
      <w:r w:rsidR="00020657" w:rsidRPr="00305DFC">
        <w:rPr>
          <w:lang w:val="ru-RU"/>
        </w:rPr>
        <w:t>(Батуми, Г</w:t>
      </w:r>
      <w:r w:rsidR="00305DFC" w:rsidRPr="00305DFC">
        <w:rPr>
          <w:lang w:val="ru-RU"/>
        </w:rPr>
        <w:t>рузия, июнь 2016 года), “</w:t>
      </w:r>
      <w:r w:rsidR="00305DFC">
        <w:rPr>
          <w:lang w:val="ru-RU"/>
        </w:rPr>
        <w:t>Экологичнее</w:t>
      </w:r>
      <w:r w:rsidR="00020657" w:rsidRPr="00305DFC">
        <w:rPr>
          <w:lang w:val="ru-RU"/>
        </w:rPr>
        <w:t>, чище, умнее!</w:t>
      </w:r>
      <w:r w:rsidR="00305DFC">
        <w:rPr>
          <w:lang w:val="ru-RU"/>
        </w:rPr>
        <w:t xml:space="preserve"> Министры «</w:t>
      </w:r>
      <w:r w:rsidR="00020657" w:rsidRPr="00305DFC">
        <w:rPr>
          <w:lang w:val="ru-RU"/>
        </w:rPr>
        <w:t>П</w:t>
      </w:r>
      <w:r w:rsidR="00320127">
        <w:rPr>
          <w:lang w:val="ru-RU"/>
        </w:rPr>
        <w:t>риветствуя прогресс в развитии О</w:t>
      </w:r>
      <w:r w:rsidR="00020657" w:rsidRPr="00305DFC">
        <w:rPr>
          <w:lang w:val="ru-RU"/>
        </w:rPr>
        <w:t>бщей системы экологической информации (</w:t>
      </w:r>
      <w:r w:rsidR="00305DFC">
        <w:rPr>
          <w:lang w:val="ru-RU"/>
        </w:rPr>
        <w:t>СЕИС</w:t>
      </w:r>
      <w:r w:rsidR="00020657" w:rsidRPr="00305DFC">
        <w:rPr>
          <w:lang w:val="ru-RU"/>
        </w:rPr>
        <w:t>) для поддержки рег</w:t>
      </w:r>
      <w:r w:rsidR="00305DFC">
        <w:rPr>
          <w:lang w:val="ru-RU"/>
        </w:rPr>
        <w:t xml:space="preserve">улярного процесса </w:t>
      </w:r>
      <w:r w:rsidR="00020657" w:rsidRPr="00305DFC">
        <w:rPr>
          <w:lang w:val="ru-RU"/>
        </w:rPr>
        <w:t>оценки</w:t>
      </w:r>
      <w:r w:rsidR="00305DFC">
        <w:rPr>
          <w:lang w:val="ru-RU"/>
        </w:rPr>
        <w:t xml:space="preserve"> </w:t>
      </w:r>
      <w:r w:rsidR="00320127">
        <w:rPr>
          <w:lang w:val="ru-RU"/>
        </w:rPr>
        <w:t xml:space="preserve">состояния </w:t>
      </w:r>
      <w:r w:rsidR="00305DFC">
        <w:rPr>
          <w:lang w:val="ru-RU"/>
        </w:rPr>
        <w:t>окружающей среды, предложили</w:t>
      </w:r>
      <w:r w:rsidR="00020657" w:rsidRPr="00305DFC">
        <w:rPr>
          <w:lang w:val="ru-RU"/>
        </w:rPr>
        <w:t xml:space="preserve"> странам продолжать</w:t>
      </w:r>
      <w:r w:rsidR="00305DFC">
        <w:rPr>
          <w:lang w:val="ru-RU"/>
        </w:rPr>
        <w:t xml:space="preserve"> прилагать</w:t>
      </w:r>
      <w:r w:rsidR="00320127">
        <w:rPr>
          <w:lang w:val="ru-RU"/>
        </w:rPr>
        <w:t xml:space="preserve"> свои усилия и продолжи</w:t>
      </w:r>
      <w:r w:rsidR="00020657" w:rsidRPr="00305DFC">
        <w:rPr>
          <w:lang w:val="ru-RU"/>
        </w:rPr>
        <w:t xml:space="preserve">ть развивать свои национальные информационные системы, чтобы </w:t>
      </w:r>
      <w:r w:rsidR="00305DFC">
        <w:rPr>
          <w:lang w:val="ru-RU"/>
        </w:rPr>
        <w:t xml:space="preserve">создать СЕИС </w:t>
      </w:r>
      <w:r w:rsidR="00020657" w:rsidRPr="00305DFC">
        <w:rPr>
          <w:lang w:val="ru-RU"/>
        </w:rPr>
        <w:t xml:space="preserve"> в странах Европы и Центральной Азии к 2021 году</w:t>
      </w:r>
      <w:r w:rsidR="00305DFC">
        <w:rPr>
          <w:lang w:val="ru-RU"/>
        </w:rPr>
        <w:t xml:space="preserve">. В этой связи, </w:t>
      </w:r>
      <w:r w:rsidR="00386FBA">
        <w:rPr>
          <w:lang w:val="ru-RU"/>
        </w:rPr>
        <w:t>мы отмечаем ценность «</w:t>
      </w:r>
      <w:r w:rsidR="00C06E9F">
        <w:rPr>
          <w:lang w:val="ru-RU"/>
        </w:rPr>
        <w:t>ЮНЕП</w:t>
      </w:r>
      <w:r w:rsidR="00386FBA">
        <w:rPr>
          <w:lang w:val="ru-RU"/>
        </w:rPr>
        <w:t xml:space="preserve"> в прям включении» и Группы по наблюдениям Земли в качестве глобальных платформ обмена знаниями. </w:t>
      </w:r>
      <w:r w:rsidR="00386FBA" w:rsidRPr="00261A06">
        <w:rPr>
          <w:b/>
          <w:lang w:val="ru-RU"/>
        </w:rPr>
        <w:t>Мы приветствуем запуск Европейской региональной оценки гло</w:t>
      </w:r>
      <w:r w:rsidR="00EB3EDF">
        <w:rPr>
          <w:b/>
          <w:lang w:val="ru-RU"/>
        </w:rPr>
        <w:t>бальной экологической перспективы</w:t>
      </w:r>
      <w:r w:rsidR="00261A06" w:rsidRPr="00261A06">
        <w:rPr>
          <w:b/>
          <w:lang w:val="ru-RU"/>
        </w:rPr>
        <w:t xml:space="preserve"> в качестве регулярной панъевропейской экологической оценки.</w:t>
      </w:r>
      <w:r w:rsidR="00261A06">
        <w:rPr>
          <w:b/>
          <w:lang w:val="ru-RU"/>
        </w:rPr>
        <w:t xml:space="preserve"> </w:t>
      </w:r>
      <w:r w:rsidR="00E360E9">
        <w:rPr>
          <w:lang w:val="ru-RU"/>
        </w:rPr>
        <w:t xml:space="preserve">Оценка </w:t>
      </w:r>
      <w:r w:rsidR="00EB3EDF">
        <w:rPr>
          <w:lang w:val="ru-RU"/>
        </w:rPr>
        <w:t>ГЭП</w:t>
      </w:r>
      <w:r w:rsidR="00261A06">
        <w:rPr>
          <w:lang w:val="ru-RU"/>
        </w:rPr>
        <w:t xml:space="preserve">-6 для панъевропейского региона основывается на существующих национальных, субрегиональных и тематических оценках, включая доклад, подготовленный в 2015 году Европейским агентством по окружающей </w:t>
      </w:r>
      <w:r w:rsidR="00261A06" w:rsidRPr="00261A06">
        <w:rPr>
          <w:lang w:val="ru-RU"/>
        </w:rPr>
        <w:t>среде</w:t>
      </w:r>
      <w:r w:rsidR="00261A06" w:rsidRPr="00261A06">
        <w:rPr>
          <w:i/>
          <w:lang w:val="ru-RU"/>
        </w:rPr>
        <w:t xml:space="preserve"> о Состоянии и перспективах окружающей среды</w:t>
      </w:r>
      <w:r w:rsidR="00261A06">
        <w:rPr>
          <w:lang w:val="ru-RU"/>
        </w:rPr>
        <w:t xml:space="preserve">» </w:t>
      </w:r>
      <w:r w:rsidRPr="00261A06">
        <w:rPr>
          <w:lang w:val="ru-RU"/>
        </w:rPr>
        <w:t>(</w:t>
      </w:r>
      <w:r w:rsidR="00261A06">
        <w:t>ECE</w:t>
      </w:r>
      <w:r w:rsidR="00261A06" w:rsidRPr="00261A06">
        <w:rPr>
          <w:lang w:val="ru-RU"/>
        </w:rPr>
        <w:t>/</w:t>
      </w:r>
      <w:r w:rsidR="00261A06">
        <w:t>BATUMI</w:t>
      </w:r>
      <w:r w:rsidR="00261A06" w:rsidRPr="00261A06">
        <w:rPr>
          <w:lang w:val="ru-RU"/>
        </w:rPr>
        <w:t>.</w:t>
      </w:r>
      <w:r w:rsidR="00261A06">
        <w:t>CONF</w:t>
      </w:r>
      <w:r w:rsidR="00261A06" w:rsidRPr="00261A06">
        <w:rPr>
          <w:lang w:val="ru-RU"/>
        </w:rPr>
        <w:t>/2016/2/</w:t>
      </w:r>
      <w:r w:rsidR="00261A06">
        <w:rPr>
          <w:lang w:val="ru-RU"/>
        </w:rPr>
        <w:t xml:space="preserve">Добавление </w:t>
      </w:r>
      <w:r w:rsidRPr="00261A06">
        <w:rPr>
          <w:lang w:val="ru-RU"/>
        </w:rPr>
        <w:t xml:space="preserve">1, </w:t>
      </w:r>
      <w:r w:rsidR="00261A06">
        <w:rPr>
          <w:lang w:val="ru-RU"/>
        </w:rPr>
        <w:t>абзац</w:t>
      </w:r>
      <w:r w:rsidRPr="00261A06">
        <w:rPr>
          <w:lang w:val="ru-RU"/>
        </w:rPr>
        <w:t xml:space="preserve"> 10).</w:t>
      </w:r>
    </w:p>
    <w:p w:rsidR="00D475FE" w:rsidRPr="00805448" w:rsidRDefault="00D475FE" w:rsidP="000B0F92">
      <w:pPr>
        <w:pStyle w:val="H1G"/>
        <w:rPr>
          <w:lang w:val="ru-RU"/>
        </w:rPr>
      </w:pPr>
      <w:r w:rsidRPr="00261A06">
        <w:rPr>
          <w:lang w:val="ru-RU"/>
        </w:rPr>
        <w:tab/>
      </w:r>
      <w:r w:rsidR="00D0034C">
        <w:rPr>
          <w:lang w:val="ru-RU"/>
        </w:rPr>
        <w:t>Д</w:t>
      </w:r>
      <w:r w:rsidR="0070504F" w:rsidRPr="006F3432">
        <w:rPr>
          <w:lang w:val="ru-RU"/>
        </w:rPr>
        <w:t>.</w:t>
      </w:r>
      <w:r w:rsidRPr="006F3432">
        <w:rPr>
          <w:lang w:val="ru-RU"/>
        </w:rPr>
        <w:tab/>
      </w:r>
      <w:r w:rsidR="006F3432">
        <w:rPr>
          <w:lang w:val="ru-RU"/>
        </w:rPr>
        <w:t>Комитет по экологической политике</w:t>
      </w:r>
      <w:r w:rsidRPr="006F3432">
        <w:rPr>
          <w:lang w:val="ru-RU"/>
        </w:rPr>
        <w:t xml:space="preserve">, 2017 </w:t>
      </w:r>
      <w:r w:rsidR="00805448">
        <w:rPr>
          <w:lang w:val="ru-RU"/>
        </w:rPr>
        <w:t>и далее</w:t>
      </w:r>
    </w:p>
    <w:p w:rsidR="00D475FE" w:rsidRPr="00805448" w:rsidRDefault="00D475FE" w:rsidP="00F61222">
      <w:pPr>
        <w:pStyle w:val="SingleTxtG"/>
        <w:rPr>
          <w:lang w:val="ru-RU"/>
        </w:rPr>
      </w:pPr>
      <w:r w:rsidRPr="00805448">
        <w:rPr>
          <w:lang w:val="ru-RU"/>
        </w:rPr>
        <w:t>14.</w:t>
      </w:r>
      <w:r w:rsidRPr="00805448">
        <w:rPr>
          <w:lang w:val="ru-RU"/>
        </w:rPr>
        <w:tab/>
      </w:r>
      <w:r w:rsidR="00805448">
        <w:rPr>
          <w:lang w:val="ru-RU"/>
        </w:rPr>
        <w:t xml:space="preserve">Со времени проведения восьмой Конференции министров, Комитет по экологической политике продолжил рассмотрение регулярной </w:t>
      </w:r>
      <w:r w:rsidR="003A1088">
        <w:rPr>
          <w:lang w:val="ru-RU"/>
        </w:rPr>
        <w:t>панъевропейской экологической оценки и связанные с ней вопросы</w:t>
      </w:r>
      <w:r w:rsidRPr="00805448">
        <w:rPr>
          <w:lang w:val="ru-RU"/>
        </w:rPr>
        <w:t>.</w:t>
      </w:r>
    </w:p>
    <w:p w:rsidR="001E48E5" w:rsidRPr="00DE4950" w:rsidRDefault="00D475FE" w:rsidP="00DE4950">
      <w:pPr>
        <w:pStyle w:val="SingleTxtG"/>
        <w:rPr>
          <w:lang w:val="ru-RU"/>
        </w:rPr>
      </w:pPr>
      <w:r w:rsidRPr="00DE4950">
        <w:rPr>
          <w:lang w:val="ru-RU"/>
        </w:rPr>
        <w:t>15.</w:t>
      </w:r>
      <w:r w:rsidRPr="00DE4950">
        <w:rPr>
          <w:lang w:val="ru-RU"/>
        </w:rPr>
        <w:tab/>
      </w:r>
      <w:r w:rsidR="001E48E5">
        <w:rPr>
          <w:lang w:val="ru-RU"/>
        </w:rPr>
        <w:t xml:space="preserve">В январе 2017 года в рамках </w:t>
      </w:r>
      <w:r w:rsidR="001E48E5" w:rsidRPr="001E48E5">
        <w:rPr>
          <w:lang w:val="ru-RU"/>
        </w:rPr>
        <w:t>двадцать в</w:t>
      </w:r>
      <w:r w:rsidR="001E48E5">
        <w:rPr>
          <w:lang w:val="ru-RU"/>
        </w:rPr>
        <w:t xml:space="preserve">торой сессии </w:t>
      </w:r>
      <w:r w:rsidR="001E48E5" w:rsidRPr="001E48E5">
        <w:rPr>
          <w:lang w:val="ru-RU"/>
        </w:rPr>
        <w:t>Комитет утвердил пересм</w:t>
      </w:r>
      <w:r w:rsidR="001E48E5">
        <w:rPr>
          <w:lang w:val="ru-RU"/>
        </w:rPr>
        <w:t>отренный мандат и круг ведения Р</w:t>
      </w:r>
      <w:r w:rsidR="001E48E5" w:rsidRPr="001E48E5">
        <w:rPr>
          <w:lang w:val="ru-RU"/>
        </w:rPr>
        <w:t xml:space="preserve">абочей группы по мониторингу и оценке окружающей среды на 2017-2021 годы, изложенные в приложении </w:t>
      </w:r>
      <w:r w:rsidR="001E48E5" w:rsidRPr="001E48E5">
        <w:t>II</w:t>
      </w:r>
      <w:r w:rsidR="001E48E5" w:rsidRPr="001E48E5">
        <w:rPr>
          <w:lang w:val="ru-RU"/>
        </w:rPr>
        <w:t xml:space="preserve"> к документу </w:t>
      </w:r>
      <w:r w:rsidR="001E48E5" w:rsidRPr="001E48E5">
        <w:t>ECE</w:t>
      </w:r>
      <w:r w:rsidR="001E48E5" w:rsidRPr="001E48E5">
        <w:rPr>
          <w:lang w:val="ru-RU"/>
        </w:rPr>
        <w:t>/</w:t>
      </w:r>
      <w:r w:rsidR="001E48E5" w:rsidRPr="001E48E5">
        <w:t>CEP</w:t>
      </w:r>
      <w:r w:rsidR="001E48E5" w:rsidRPr="001E48E5">
        <w:rPr>
          <w:lang w:val="ru-RU"/>
        </w:rPr>
        <w:t>/2017/2, который включает</w:t>
      </w:r>
      <w:r w:rsidR="001E48E5">
        <w:rPr>
          <w:lang w:val="ru-RU"/>
        </w:rPr>
        <w:t xml:space="preserve"> в себя следующее</w:t>
      </w:r>
      <w:r w:rsidR="001E48E5" w:rsidRPr="001E48E5">
        <w:rPr>
          <w:lang w:val="ru-RU"/>
        </w:rPr>
        <w:t>:</w:t>
      </w:r>
    </w:p>
    <w:p w:rsidR="00D475FE" w:rsidRPr="008117A2" w:rsidRDefault="001E48E5" w:rsidP="00565F4A">
      <w:pPr>
        <w:pStyle w:val="SingleTxtG"/>
        <w:ind w:firstLine="567"/>
        <w:rPr>
          <w:lang w:val="ru-RU"/>
        </w:rPr>
      </w:pPr>
      <w:r w:rsidRPr="008117A2">
        <w:rPr>
          <w:lang w:val="ru-RU"/>
        </w:rPr>
        <w:t>(</w:t>
      </w:r>
      <w:r>
        <w:rPr>
          <w:lang w:val="ru-RU"/>
        </w:rPr>
        <w:t>а</w:t>
      </w:r>
      <w:r w:rsidR="00D475FE" w:rsidRPr="008117A2">
        <w:rPr>
          <w:lang w:val="ru-RU"/>
        </w:rPr>
        <w:t>)</w:t>
      </w:r>
      <w:r w:rsidR="00D475FE" w:rsidRPr="008117A2">
        <w:rPr>
          <w:lang w:val="ru-RU"/>
        </w:rPr>
        <w:tab/>
      </w:r>
      <w:r w:rsidR="008117A2" w:rsidRPr="008117A2">
        <w:rPr>
          <w:lang w:val="ru-RU"/>
        </w:rPr>
        <w:t>«</w:t>
      </w:r>
      <w:r w:rsidR="00746CEC">
        <w:rPr>
          <w:lang w:val="ru-RU"/>
        </w:rPr>
        <w:t>Ц</w:t>
      </w:r>
      <w:r w:rsidR="008117A2">
        <w:rPr>
          <w:lang w:val="ru-RU"/>
        </w:rPr>
        <w:t>ель</w:t>
      </w:r>
      <w:r w:rsidR="008117A2" w:rsidRPr="008117A2">
        <w:rPr>
          <w:lang w:val="ru-RU"/>
        </w:rPr>
        <w:t xml:space="preserve"> </w:t>
      </w:r>
      <w:r w:rsidR="008117A2">
        <w:rPr>
          <w:lang w:val="ru-RU"/>
        </w:rPr>
        <w:t>Рабочей</w:t>
      </w:r>
      <w:r w:rsidR="008117A2" w:rsidRPr="008117A2">
        <w:rPr>
          <w:lang w:val="ru-RU"/>
        </w:rPr>
        <w:t xml:space="preserve"> </w:t>
      </w:r>
      <w:r w:rsidR="008117A2">
        <w:rPr>
          <w:lang w:val="ru-RU"/>
        </w:rPr>
        <w:t>группы</w:t>
      </w:r>
      <w:r w:rsidR="008117A2" w:rsidRPr="008117A2">
        <w:rPr>
          <w:lang w:val="ru-RU"/>
        </w:rPr>
        <w:t xml:space="preserve"> </w:t>
      </w:r>
      <w:r w:rsidR="008117A2">
        <w:rPr>
          <w:lang w:val="ru-RU"/>
        </w:rPr>
        <w:t>под</w:t>
      </w:r>
      <w:r w:rsidR="008117A2" w:rsidRPr="008117A2">
        <w:rPr>
          <w:lang w:val="ru-RU"/>
        </w:rPr>
        <w:t xml:space="preserve"> </w:t>
      </w:r>
      <w:r w:rsidR="008117A2">
        <w:rPr>
          <w:lang w:val="ru-RU"/>
        </w:rPr>
        <w:t>наблюдением</w:t>
      </w:r>
      <w:r w:rsidR="008117A2" w:rsidRPr="008117A2">
        <w:rPr>
          <w:lang w:val="ru-RU"/>
        </w:rPr>
        <w:t xml:space="preserve"> </w:t>
      </w:r>
      <w:r w:rsidR="008117A2">
        <w:rPr>
          <w:lang w:val="ru-RU"/>
        </w:rPr>
        <w:t>Комитета</w:t>
      </w:r>
      <w:r w:rsidR="008117A2" w:rsidRPr="008117A2">
        <w:rPr>
          <w:lang w:val="ru-RU"/>
        </w:rPr>
        <w:t xml:space="preserve"> </w:t>
      </w:r>
      <w:r w:rsidR="008117A2">
        <w:rPr>
          <w:lang w:val="ru-RU"/>
        </w:rPr>
        <w:t>заключается в том, чтобы</w:t>
      </w:r>
      <w:r w:rsidR="00D475FE" w:rsidRPr="008117A2">
        <w:rPr>
          <w:lang w:val="ru-RU"/>
        </w:rPr>
        <w:t xml:space="preserve">:  </w:t>
      </w:r>
      <w:r w:rsidRPr="008117A2">
        <w:rPr>
          <w:lang w:val="ru-RU"/>
        </w:rPr>
        <w:t>… (</w:t>
      </w:r>
      <w:r>
        <w:rPr>
          <w:lang w:val="ru-RU"/>
        </w:rPr>
        <w:t>б</w:t>
      </w:r>
      <w:r w:rsidR="00D475FE" w:rsidRPr="008117A2">
        <w:rPr>
          <w:lang w:val="ru-RU"/>
        </w:rPr>
        <w:t>)</w:t>
      </w:r>
      <w:r w:rsidR="00D475FE">
        <w:t> </w:t>
      </w:r>
      <w:bookmarkStart w:id="2" w:name="_Hlk519241798"/>
      <w:r w:rsidR="007D1AAD">
        <w:rPr>
          <w:b/>
          <w:lang w:val="ru-RU"/>
        </w:rPr>
        <w:t>Возглавить</w:t>
      </w:r>
      <w:r w:rsidR="008117A2" w:rsidRPr="008117A2">
        <w:rPr>
          <w:b/>
          <w:lang w:val="ru-RU"/>
        </w:rPr>
        <w:t xml:space="preserve"> процесс консультаций по регулярной панъевропейской </w:t>
      </w:r>
      <w:r w:rsidR="008117A2" w:rsidRPr="008117A2">
        <w:rPr>
          <w:b/>
          <w:lang w:val="ru-RU"/>
        </w:rPr>
        <w:lastRenderedPageBreak/>
        <w:t>оценке о состоянии окружающей среды</w:t>
      </w:r>
      <w:r w:rsidR="008117A2" w:rsidRPr="008117A2">
        <w:rPr>
          <w:lang w:val="ru-RU"/>
        </w:rPr>
        <w:t xml:space="preserve"> </w:t>
      </w:r>
      <w:r w:rsidR="008117A2">
        <w:rPr>
          <w:lang w:val="ru-RU"/>
        </w:rPr>
        <w:t>и  оптимизировать регулярную подготовку докладов о состоянии окружающей среды к 2021 году»</w:t>
      </w:r>
      <w:bookmarkEnd w:id="2"/>
      <w:r w:rsidR="00D475FE" w:rsidRPr="008117A2">
        <w:rPr>
          <w:lang w:val="ru-RU"/>
        </w:rPr>
        <w:t xml:space="preserve"> (</w:t>
      </w:r>
      <w:r w:rsidR="008117A2">
        <w:rPr>
          <w:lang w:val="ru-RU"/>
        </w:rPr>
        <w:t>абзац</w:t>
      </w:r>
      <w:r w:rsidR="00D475FE" w:rsidRPr="008117A2">
        <w:rPr>
          <w:lang w:val="ru-RU"/>
        </w:rPr>
        <w:t xml:space="preserve"> 2);</w:t>
      </w:r>
    </w:p>
    <w:p w:rsidR="009178F5" w:rsidRPr="009B120C" w:rsidRDefault="008117A2" w:rsidP="00512A14">
      <w:pPr>
        <w:pStyle w:val="SingleTxtG"/>
        <w:ind w:firstLine="567"/>
        <w:rPr>
          <w:lang w:val="ru-RU"/>
        </w:rPr>
      </w:pPr>
      <w:r w:rsidRPr="00DE4950">
        <w:rPr>
          <w:lang w:val="ru-RU"/>
        </w:rPr>
        <w:t>(</w:t>
      </w:r>
      <w:r>
        <w:rPr>
          <w:lang w:val="ru-RU"/>
        </w:rPr>
        <w:t>б</w:t>
      </w:r>
      <w:r w:rsidR="00D475FE" w:rsidRPr="00DE4950">
        <w:rPr>
          <w:lang w:val="ru-RU"/>
        </w:rPr>
        <w:t>)</w:t>
      </w:r>
      <w:r w:rsidR="00D475FE" w:rsidRPr="00DE4950">
        <w:rPr>
          <w:lang w:val="ru-RU"/>
        </w:rPr>
        <w:tab/>
      </w:r>
      <w:r w:rsidR="00D56234">
        <w:rPr>
          <w:lang w:val="ru-RU"/>
        </w:rPr>
        <w:t>р</w:t>
      </w:r>
      <w:r w:rsidR="009B120C" w:rsidRPr="009B120C">
        <w:rPr>
          <w:lang w:val="ru-RU"/>
        </w:rPr>
        <w:t>абочая группа по мониторингу и</w:t>
      </w:r>
      <w:r w:rsidR="009B120C">
        <w:rPr>
          <w:lang w:val="ru-RU"/>
        </w:rPr>
        <w:t xml:space="preserve"> оценке окружающей среды должна</w:t>
      </w:r>
      <w:r w:rsidR="009B120C" w:rsidRPr="009B120C">
        <w:rPr>
          <w:lang w:val="ru-RU"/>
        </w:rPr>
        <w:t xml:space="preserve"> </w:t>
      </w:r>
      <w:r w:rsidR="009B120C">
        <w:rPr>
          <w:lang w:val="ru-RU"/>
        </w:rPr>
        <w:t>«В</w:t>
      </w:r>
      <w:r w:rsidR="00C34EF8">
        <w:rPr>
          <w:lang w:val="ru-RU"/>
        </w:rPr>
        <w:t>озглавить</w:t>
      </w:r>
      <w:r w:rsidR="009B120C" w:rsidRPr="009B120C">
        <w:rPr>
          <w:lang w:val="ru-RU"/>
        </w:rPr>
        <w:t xml:space="preserve"> процесс консультаций по регулярной панъевропейской оценке</w:t>
      </w:r>
      <w:r w:rsidR="00C34EF8">
        <w:rPr>
          <w:lang w:val="ru-RU"/>
        </w:rPr>
        <w:t xml:space="preserve">  состояния</w:t>
      </w:r>
      <w:r w:rsidR="009B120C" w:rsidRPr="009B120C">
        <w:rPr>
          <w:lang w:val="ru-RU"/>
        </w:rPr>
        <w:t xml:space="preserve"> окружающей среды</w:t>
      </w:r>
      <w:r w:rsidR="009B120C" w:rsidRPr="008117A2">
        <w:rPr>
          <w:lang w:val="ru-RU"/>
        </w:rPr>
        <w:t xml:space="preserve"> </w:t>
      </w:r>
      <w:r w:rsidR="009B120C">
        <w:rPr>
          <w:lang w:val="ru-RU"/>
        </w:rPr>
        <w:t>и  оптимизировать регулярную подготовку докладов о состоянии окружающей среды к 2020 году, и в частности</w:t>
      </w:r>
      <w:r w:rsidR="009B120C" w:rsidRPr="009B120C">
        <w:rPr>
          <w:lang w:val="ru-RU"/>
        </w:rPr>
        <w:t>: (</w:t>
      </w:r>
      <w:r w:rsidR="009B120C" w:rsidRPr="009B120C">
        <w:t>I</w:t>
      </w:r>
      <w:r w:rsidR="009B120C" w:rsidRPr="009B120C">
        <w:rPr>
          <w:lang w:val="ru-RU"/>
        </w:rPr>
        <w:t xml:space="preserve">) собрать вместе экспертов, участвующих в </w:t>
      </w:r>
      <w:r w:rsidR="009B120C">
        <w:rPr>
          <w:lang w:val="ru-RU"/>
        </w:rPr>
        <w:t xml:space="preserve">процессе </w:t>
      </w:r>
      <w:r w:rsidR="009B120C" w:rsidRPr="009B120C">
        <w:rPr>
          <w:lang w:val="ru-RU"/>
        </w:rPr>
        <w:t>Организации Объединенных Наций по окр</w:t>
      </w:r>
      <w:r w:rsidR="009B120C">
        <w:rPr>
          <w:lang w:val="ru-RU"/>
        </w:rPr>
        <w:t>ужающей среде (ЮНЕП) "Глобаль</w:t>
      </w:r>
      <w:r w:rsidR="007B7B8B">
        <w:rPr>
          <w:lang w:val="ru-RU"/>
        </w:rPr>
        <w:t>ной</w:t>
      </w:r>
      <w:r w:rsidR="009B120C">
        <w:rPr>
          <w:lang w:val="ru-RU"/>
        </w:rPr>
        <w:t xml:space="preserve"> экологиче</w:t>
      </w:r>
      <w:r w:rsidR="007B7B8B">
        <w:rPr>
          <w:lang w:val="ru-RU"/>
        </w:rPr>
        <w:t>ской перспективы</w:t>
      </w:r>
      <w:r w:rsidR="009B120C">
        <w:rPr>
          <w:lang w:val="ru-RU"/>
        </w:rPr>
        <w:t xml:space="preserve">" </w:t>
      </w:r>
      <w:r w:rsidR="007109BA">
        <w:rPr>
          <w:lang w:val="ru-RU"/>
        </w:rPr>
        <w:t>и Европейского Агентства</w:t>
      </w:r>
      <w:r w:rsidR="009B120C" w:rsidRPr="009B120C">
        <w:rPr>
          <w:lang w:val="ru-RU"/>
        </w:rPr>
        <w:t xml:space="preserve"> по окружающей среде Европейской экологической инфор</w:t>
      </w:r>
      <w:r w:rsidR="00E05B57">
        <w:rPr>
          <w:lang w:val="ru-RU"/>
        </w:rPr>
        <w:t>мационной и наблюдательной сетей (</w:t>
      </w:r>
      <w:r w:rsidR="00E05B57">
        <w:rPr>
          <w:lang w:val="fr-FR"/>
        </w:rPr>
        <w:t>EIONET</w:t>
      </w:r>
      <w:r w:rsidR="009B120C" w:rsidRPr="009B120C">
        <w:rPr>
          <w:lang w:val="ru-RU"/>
        </w:rPr>
        <w:t xml:space="preserve">), в том числе заинтересованных сторон, чтобы обсудить и </w:t>
      </w:r>
      <w:r w:rsidR="00E05B57">
        <w:rPr>
          <w:lang w:val="ru-RU"/>
        </w:rPr>
        <w:t>проконтролировать проведение регулярной панъевропейской оценки</w:t>
      </w:r>
      <w:r w:rsidR="009B120C" w:rsidRPr="009B120C">
        <w:rPr>
          <w:lang w:val="ru-RU"/>
        </w:rPr>
        <w:t xml:space="preserve"> состояния окружающей среды; (</w:t>
      </w:r>
      <w:r w:rsidR="009B120C" w:rsidRPr="009B120C">
        <w:t>II</w:t>
      </w:r>
      <w:r w:rsidR="00E05B57">
        <w:rPr>
          <w:lang w:val="ru-RU"/>
        </w:rPr>
        <w:t xml:space="preserve">) </w:t>
      </w:r>
      <w:r w:rsidR="009B120C" w:rsidRPr="009B120C">
        <w:rPr>
          <w:lang w:val="ru-RU"/>
        </w:rPr>
        <w:t>подробно</w:t>
      </w:r>
      <w:r w:rsidR="00E05B57">
        <w:rPr>
          <w:lang w:val="ru-RU"/>
        </w:rPr>
        <w:t xml:space="preserve"> обсудить </w:t>
      </w:r>
      <w:r w:rsidR="009B120C" w:rsidRPr="009B120C">
        <w:rPr>
          <w:lang w:val="ru-RU"/>
        </w:rPr>
        <w:t>региональные при</w:t>
      </w:r>
      <w:r w:rsidR="008A1128">
        <w:rPr>
          <w:lang w:val="ru-RU"/>
        </w:rPr>
        <w:t>оритеты, касающиеся опти</w:t>
      </w:r>
      <w:r w:rsidR="00C34EF8">
        <w:rPr>
          <w:lang w:val="ru-RU"/>
        </w:rPr>
        <w:t>мизации регулярной отчетности состояния</w:t>
      </w:r>
      <w:r w:rsidR="009B120C" w:rsidRPr="009B120C">
        <w:rPr>
          <w:lang w:val="ru-RU"/>
        </w:rPr>
        <w:t xml:space="preserve"> окружающей среды, с участием представителей и других тематических сетей, в том числе в рамках многосторонних пр</w:t>
      </w:r>
      <w:r w:rsidR="008A1128">
        <w:rPr>
          <w:lang w:val="ru-RU"/>
        </w:rPr>
        <w:t>иродоохранных соглашений, в обсуждении</w:t>
      </w:r>
      <w:r w:rsidR="009B120C" w:rsidRPr="009B120C">
        <w:rPr>
          <w:lang w:val="ru-RU"/>
        </w:rPr>
        <w:t>; и (</w:t>
      </w:r>
      <w:r w:rsidR="009B120C" w:rsidRPr="009B120C">
        <w:t>III</w:t>
      </w:r>
      <w:r w:rsidR="008A1128">
        <w:rPr>
          <w:lang w:val="ru-RU"/>
        </w:rPr>
        <w:t>) следить за выполнением пред</w:t>
      </w:r>
      <w:r w:rsidR="00290BDE">
        <w:rPr>
          <w:lang w:val="ru-RU"/>
        </w:rPr>
        <w:t>лагаемых</w:t>
      </w:r>
      <w:r w:rsidR="009B120C" w:rsidRPr="009B120C">
        <w:rPr>
          <w:lang w:val="ru-RU"/>
        </w:rPr>
        <w:t xml:space="preserve"> рекомендаций и указаний в</w:t>
      </w:r>
      <w:r w:rsidR="00290BDE">
        <w:rPr>
          <w:lang w:val="ru-RU"/>
        </w:rPr>
        <w:t xml:space="preserve"> рамках процесса консультаций по регулярной панъевропейской</w:t>
      </w:r>
      <w:r w:rsidR="009B120C" w:rsidRPr="009B120C">
        <w:rPr>
          <w:lang w:val="ru-RU"/>
        </w:rPr>
        <w:t xml:space="preserve"> э</w:t>
      </w:r>
      <w:r w:rsidR="00290BDE">
        <w:rPr>
          <w:lang w:val="ru-RU"/>
        </w:rPr>
        <w:t>кологической оценке и оптимизации</w:t>
      </w:r>
      <w:r w:rsidR="009B120C" w:rsidRPr="009B120C">
        <w:rPr>
          <w:lang w:val="ru-RU"/>
        </w:rPr>
        <w:t xml:space="preserve"> регулярной</w:t>
      </w:r>
      <w:r w:rsidR="00C34EF8">
        <w:rPr>
          <w:lang w:val="ru-RU"/>
        </w:rPr>
        <w:t xml:space="preserve"> отчетности состояния</w:t>
      </w:r>
      <w:r w:rsidR="00290BDE">
        <w:rPr>
          <w:lang w:val="ru-RU"/>
        </w:rPr>
        <w:t xml:space="preserve"> окружающей среды” (абзац</w:t>
      </w:r>
      <w:r w:rsidR="009B120C" w:rsidRPr="009B120C">
        <w:rPr>
          <w:lang w:val="ru-RU"/>
        </w:rPr>
        <w:t xml:space="preserve"> 3 (</w:t>
      </w:r>
      <w:r w:rsidR="009B120C" w:rsidRPr="009B120C">
        <w:t>b</w:t>
      </w:r>
      <w:r w:rsidR="009B120C" w:rsidRPr="009B120C">
        <w:rPr>
          <w:lang w:val="ru-RU"/>
        </w:rPr>
        <w:t>));</w:t>
      </w:r>
    </w:p>
    <w:p w:rsidR="0079362F" w:rsidRPr="00B76A6E" w:rsidRDefault="008117A2" w:rsidP="0079362F">
      <w:pPr>
        <w:pStyle w:val="SingleTxtG"/>
        <w:ind w:firstLine="567"/>
        <w:rPr>
          <w:lang w:val="ru-RU"/>
        </w:rPr>
      </w:pPr>
      <w:r w:rsidRPr="0079362F">
        <w:rPr>
          <w:lang w:val="ru-RU"/>
        </w:rPr>
        <w:t>(</w:t>
      </w:r>
      <w:r>
        <w:rPr>
          <w:lang w:val="ru-RU"/>
        </w:rPr>
        <w:t>в</w:t>
      </w:r>
      <w:r w:rsidR="0079362F" w:rsidRPr="0079362F">
        <w:rPr>
          <w:lang w:val="ru-RU"/>
        </w:rPr>
        <w:t>)</w:t>
      </w:r>
      <w:r w:rsidR="0079362F" w:rsidRPr="0079362F">
        <w:rPr>
          <w:lang w:val="ru-RU"/>
        </w:rPr>
        <w:tab/>
      </w:r>
      <w:r w:rsidR="0079362F">
        <w:rPr>
          <w:lang w:val="ru-RU"/>
        </w:rPr>
        <w:t>«</w:t>
      </w:r>
      <w:r w:rsidR="0090323D">
        <w:rPr>
          <w:lang w:val="ru-RU"/>
        </w:rPr>
        <w:t>В</w:t>
      </w:r>
      <w:r w:rsidR="0079362F" w:rsidRPr="0079362F">
        <w:rPr>
          <w:lang w:val="ru-RU"/>
        </w:rPr>
        <w:t xml:space="preserve"> </w:t>
      </w:r>
      <w:r w:rsidR="0079362F">
        <w:rPr>
          <w:lang w:val="ru-RU"/>
        </w:rPr>
        <w:t xml:space="preserve">период до </w:t>
      </w:r>
      <w:r w:rsidR="0079362F" w:rsidRPr="0079362F">
        <w:rPr>
          <w:lang w:val="ru-RU"/>
        </w:rPr>
        <w:t xml:space="preserve">2021 года будут достигнуты следующие результаты: ... </w:t>
      </w:r>
      <w:r w:rsidR="0079362F" w:rsidRPr="0079362F">
        <w:t>e</w:t>
      </w:r>
      <w:r w:rsidR="0079362F" w:rsidRPr="0079362F">
        <w:rPr>
          <w:lang w:val="ru-RU"/>
        </w:rPr>
        <w:t xml:space="preserve">) </w:t>
      </w:r>
      <w:r w:rsidR="0079362F" w:rsidRPr="0079362F">
        <w:rPr>
          <w:b/>
          <w:lang w:val="ru-RU"/>
        </w:rPr>
        <w:t>будет оказываться помощь в подготовке регулярной панъевропейской экологической оценки</w:t>
      </w:r>
      <w:r w:rsidR="0079362F" w:rsidRPr="0079362F">
        <w:rPr>
          <w:lang w:val="ru-RU"/>
        </w:rPr>
        <w:t xml:space="preserve"> и других соответствующих докладов о сос</w:t>
      </w:r>
      <w:r w:rsidR="0079362F">
        <w:rPr>
          <w:lang w:val="ru-RU"/>
        </w:rPr>
        <w:t>тоянии окружающей среды» (абзац</w:t>
      </w:r>
      <w:r w:rsidR="0079362F" w:rsidRPr="0079362F">
        <w:rPr>
          <w:lang w:val="ru-RU"/>
        </w:rPr>
        <w:t xml:space="preserve"> 13). 4).</w:t>
      </w:r>
    </w:p>
    <w:p w:rsidR="00D475FE" w:rsidRPr="009C0872" w:rsidRDefault="00D475FE" w:rsidP="00C519A6">
      <w:pPr>
        <w:pStyle w:val="SingleTxtG"/>
        <w:rPr>
          <w:lang w:val="ru-RU"/>
        </w:rPr>
      </w:pPr>
      <w:r w:rsidRPr="009C0872">
        <w:rPr>
          <w:lang w:val="ru-RU"/>
        </w:rPr>
        <w:t>16.</w:t>
      </w:r>
      <w:r w:rsidRPr="009C0872">
        <w:rPr>
          <w:lang w:val="ru-RU"/>
        </w:rPr>
        <w:tab/>
      </w:r>
      <w:r w:rsidR="00512A14">
        <w:rPr>
          <w:lang w:val="ru-RU"/>
        </w:rPr>
        <w:t>В</w:t>
      </w:r>
      <w:r w:rsidR="00512A14" w:rsidRPr="009C0872">
        <w:rPr>
          <w:lang w:val="ru-RU"/>
        </w:rPr>
        <w:t xml:space="preserve"> </w:t>
      </w:r>
      <w:r w:rsidR="00512A14">
        <w:rPr>
          <w:lang w:val="ru-RU"/>
        </w:rPr>
        <w:t>ноябре</w:t>
      </w:r>
      <w:r w:rsidR="00512A14" w:rsidRPr="009C0872">
        <w:rPr>
          <w:lang w:val="ru-RU"/>
        </w:rPr>
        <w:t xml:space="preserve"> 2017 </w:t>
      </w:r>
      <w:r w:rsidR="00512A14">
        <w:rPr>
          <w:lang w:val="ru-RU"/>
        </w:rPr>
        <w:t>года</w:t>
      </w:r>
      <w:r w:rsidR="00512A14" w:rsidRPr="009C0872">
        <w:rPr>
          <w:lang w:val="ru-RU"/>
        </w:rPr>
        <w:t xml:space="preserve"> в </w:t>
      </w:r>
      <w:r w:rsidR="00512A14">
        <w:rPr>
          <w:lang w:val="ru-RU"/>
        </w:rPr>
        <w:t>рамках</w:t>
      </w:r>
      <w:r w:rsidR="00512A14" w:rsidRPr="009C0872">
        <w:rPr>
          <w:lang w:val="ru-RU"/>
        </w:rPr>
        <w:t xml:space="preserve"> </w:t>
      </w:r>
      <w:r w:rsidR="00512A14">
        <w:rPr>
          <w:lang w:val="ru-RU"/>
        </w:rPr>
        <w:t>двадцать</w:t>
      </w:r>
      <w:r w:rsidR="00512A14" w:rsidRPr="009C0872">
        <w:rPr>
          <w:lang w:val="ru-RU"/>
        </w:rPr>
        <w:t xml:space="preserve"> </w:t>
      </w:r>
      <w:r w:rsidR="00512A14">
        <w:rPr>
          <w:lang w:val="ru-RU"/>
        </w:rPr>
        <w:t>третьей</w:t>
      </w:r>
      <w:r w:rsidR="00512A14" w:rsidRPr="009C0872">
        <w:rPr>
          <w:lang w:val="ru-RU"/>
        </w:rPr>
        <w:t xml:space="preserve"> </w:t>
      </w:r>
      <w:r w:rsidR="00512A14">
        <w:rPr>
          <w:lang w:val="ru-RU"/>
        </w:rPr>
        <w:t>сессии</w:t>
      </w:r>
      <w:r w:rsidR="00512A14" w:rsidRPr="009C0872">
        <w:rPr>
          <w:lang w:val="ru-RU"/>
        </w:rPr>
        <w:t xml:space="preserve"> </w:t>
      </w:r>
      <w:r w:rsidR="009C0872">
        <w:rPr>
          <w:lang w:val="ru-RU"/>
        </w:rPr>
        <w:t>Комитет</w:t>
      </w:r>
      <w:r w:rsidR="009C0872" w:rsidRPr="009C0872">
        <w:rPr>
          <w:lang w:val="ru-RU"/>
        </w:rPr>
        <w:t xml:space="preserve"> </w:t>
      </w:r>
      <w:r w:rsidR="009C0872">
        <w:rPr>
          <w:lang w:val="ru-RU"/>
        </w:rPr>
        <w:t>не</w:t>
      </w:r>
      <w:r w:rsidR="009C0872" w:rsidRPr="009C0872">
        <w:rPr>
          <w:lang w:val="ru-RU"/>
        </w:rPr>
        <w:t xml:space="preserve"> </w:t>
      </w:r>
      <w:r w:rsidR="009C0872">
        <w:rPr>
          <w:lang w:val="ru-RU"/>
        </w:rPr>
        <w:t>принял</w:t>
      </w:r>
      <w:r w:rsidR="009C0872" w:rsidRPr="009C0872">
        <w:rPr>
          <w:lang w:val="ru-RU"/>
        </w:rPr>
        <w:t xml:space="preserve"> </w:t>
      </w:r>
      <w:r w:rsidR="009C0872">
        <w:rPr>
          <w:lang w:val="ru-RU"/>
        </w:rPr>
        <w:t>никаких</w:t>
      </w:r>
      <w:r w:rsidR="009C0872" w:rsidRPr="009C0872">
        <w:rPr>
          <w:lang w:val="ru-RU"/>
        </w:rPr>
        <w:t xml:space="preserve"> </w:t>
      </w:r>
      <w:r w:rsidR="009C0872">
        <w:rPr>
          <w:lang w:val="ru-RU"/>
        </w:rPr>
        <w:t>решений</w:t>
      </w:r>
      <w:r w:rsidR="009C0872" w:rsidRPr="009C0872">
        <w:rPr>
          <w:lang w:val="ru-RU"/>
        </w:rPr>
        <w:t xml:space="preserve"> </w:t>
      </w:r>
      <w:r w:rsidR="009C0872">
        <w:rPr>
          <w:lang w:val="ru-RU"/>
        </w:rPr>
        <w:t>по</w:t>
      </w:r>
      <w:r w:rsidR="009C0872" w:rsidRPr="009C0872">
        <w:rPr>
          <w:lang w:val="ru-RU"/>
        </w:rPr>
        <w:t xml:space="preserve"> </w:t>
      </w:r>
      <w:r w:rsidR="009C0872">
        <w:rPr>
          <w:lang w:val="ru-RU"/>
        </w:rPr>
        <w:t>следующей</w:t>
      </w:r>
      <w:r w:rsidR="009C0872" w:rsidRPr="009C0872">
        <w:rPr>
          <w:lang w:val="ru-RU"/>
        </w:rPr>
        <w:t xml:space="preserve"> </w:t>
      </w:r>
      <w:r w:rsidR="009C0872">
        <w:rPr>
          <w:lang w:val="ru-RU"/>
        </w:rPr>
        <w:t>панъевропейской</w:t>
      </w:r>
      <w:r w:rsidR="009C0872" w:rsidRPr="009C0872">
        <w:rPr>
          <w:lang w:val="ru-RU"/>
        </w:rPr>
        <w:t xml:space="preserve"> </w:t>
      </w:r>
      <w:r w:rsidR="005B270E">
        <w:rPr>
          <w:lang w:val="ru-RU"/>
        </w:rPr>
        <w:t>оценке</w:t>
      </w:r>
      <w:r w:rsidR="009C0872" w:rsidRPr="009C0872">
        <w:rPr>
          <w:lang w:val="ru-RU"/>
        </w:rPr>
        <w:t xml:space="preserve"> </w:t>
      </w:r>
      <w:r w:rsidR="005B270E">
        <w:rPr>
          <w:lang w:val="ru-RU"/>
        </w:rPr>
        <w:t>состояния</w:t>
      </w:r>
      <w:r w:rsidR="009C0872" w:rsidRPr="009C0872">
        <w:rPr>
          <w:lang w:val="ru-RU"/>
        </w:rPr>
        <w:t xml:space="preserve"> </w:t>
      </w:r>
      <w:r w:rsidR="009C0872">
        <w:rPr>
          <w:lang w:val="ru-RU"/>
        </w:rPr>
        <w:t>окружающей</w:t>
      </w:r>
      <w:r w:rsidR="009C0872" w:rsidRPr="009C0872">
        <w:rPr>
          <w:lang w:val="ru-RU"/>
        </w:rPr>
        <w:t xml:space="preserve"> </w:t>
      </w:r>
      <w:r w:rsidR="009C0872">
        <w:rPr>
          <w:lang w:val="ru-RU"/>
        </w:rPr>
        <w:t>среды.</w:t>
      </w:r>
    </w:p>
    <w:p w:rsidR="00D475FE" w:rsidRPr="009C0872" w:rsidRDefault="00D475FE" w:rsidP="00110B5F">
      <w:pPr>
        <w:pStyle w:val="HChG"/>
        <w:outlineLvl w:val="0"/>
        <w:rPr>
          <w:lang w:val="ru-RU"/>
        </w:rPr>
      </w:pPr>
      <w:r w:rsidRPr="009C0872">
        <w:rPr>
          <w:lang w:val="ru-RU"/>
        </w:rPr>
        <w:tab/>
      </w:r>
      <w:r w:rsidR="009C0872">
        <w:t>III</w:t>
      </w:r>
      <w:r w:rsidR="009C0872" w:rsidRPr="00D0034C">
        <w:rPr>
          <w:lang w:val="ru-RU"/>
        </w:rPr>
        <w:t>.</w:t>
      </w:r>
      <w:r w:rsidR="009C0872" w:rsidRPr="00D0034C">
        <w:rPr>
          <w:lang w:val="ru-RU"/>
        </w:rPr>
        <w:tab/>
      </w:r>
      <w:r w:rsidR="009C0872">
        <w:rPr>
          <w:lang w:val="ru-RU"/>
        </w:rPr>
        <w:t>Смежные процессы</w:t>
      </w:r>
    </w:p>
    <w:p w:rsidR="009C0872" w:rsidRPr="009C0872" w:rsidRDefault="00D475FE" w:rsidP="00565F4A">
      <w:pPr>
        <w:pStyle w:val="SingleTxtG"/>
        <w:rPr>
          <w:lang w:val="ru-RU"/>
        </w:rPr>
      </w:pPr>
      <w:r w:rsidRPr="00D0034C">
        <w:rPr>
          <w:lang w:val="ru-RU"/>
        </w:rPr>
        <w:t>17.</w:t>
      </w:r>
      <w:r w:rsidRPr="00D0034C">
        <w:rPr>
          <w:lang w:val="ru-RU"/>
        </w:rPr>
        <w:tab/>
      </w:r>
      <w:r w:rsidR="009C0872" w:rsidRPr="009C0872">
        <w:rPr>
          <w:lang w:val="ru-RU"/>
        </w:rPr>
        <w:t>Два важных международных пр</w:t>
      </w:r>
      <w:r w:rsidR="009C0872">
        <w:rPr>
          <w:lang w:val="ru-RU"/>
        </w:rPr>
        <w:t>оцесса связаны с регулярной панъ</w:t>
      </w:r>
      <w:r w:rsidR="009C0872" w:rsidRPr="009C0872">
        <w:rPr>
          <w:lang w:val="ru-RU"/>
        </w:rPr>
        <w:t xml:space="preserve">европейской экологической оценкой: доклады </w:t>
      </w:r>
      <w:r w:rsidR="009C0872">
        <w:rPr>
          <w:lang w:val="ru-RU"/>
        </w:rPr>
        <w:t xml:space="preserve">ЕАОС </w:t>
      </w:r>
      <w:r w:rsidR="009C0872" w:rsidRPr="009C0872">
        <w:rPr>
          <w:lang w:val="ru-RU"/>
        </w:rPr>
        <w:t>о состоянии</w:t>
      </w:r>
      <w:r w:rsidR="009C0872">
        <w:rPr>
          <w:lang w:val="ru-RU"/>
        </w:rPr>
        <w:t xml:space="preserve"> </w:t>
      </w:r>
      <w:r w:rsidR="005B2DEA">
        <w:rPr>
          <w:lang w:val="ru-RU"/>
        </w:rPr>
        <w:t xml:space="preserve">и перспективах </w:t>
      </w:r>
      <w:r w:rsidR="009C0872">
        <w:rPr>
          <w:lang w:val="ru-RU"/>
        </w:rPr>
        <w:t>окружающей среды</w:t>
      </w:r>
      <w:r w:rsidR="00E360E9">
        <w:rPr>
          <w:lang w:val="ru-RU"/>
        </w:rPr>
        <w:t xml:space="preserve">; и процесс </w:t>
      </w:r>
      <w:r w:rsidR="00EB3EDF">
        <w:rPr>
          <w:lang w:val="ru-RU"/>
        </w:rPr>
        <w:t>ГЭП</w:t>
      </w:r>
      <w:r w:rsidR="009C0872" w:rsidRPr="009C0872">
        <w:rPr>
          <w:lang w:val="ru-RU"/>
        </w:rPr>
        <w:t xml:space="preserve"> под руководством ЮНЕП</w:t>
      </w:r>
      <w:r w:rsidR="005B2DEA">
        <w:rPr>
          <w:lang w:val="ru-RU"/>
        </w:rPr>
        <w:t>.</w:t>
      </w:r>
    </w:p>
    <w:p w:rsidR="00D475FE" w:rsidRPr="0054108E" w:rsidRDefault="00D475FE" w:rsidP="00C205C0">
      <w:pPr>
        <w:pStyle w:val="H1G"/>
        <w:rPr>
          <w:lang w:val="ru-RU"/>
        </w:rPr>
      </w:pPr>
      <w:r w:rsidRPr="009C0872">
        <w:rPr>
          <w:lang w:val="ru-RU"/>
        </w:rPr>
        <w:tab/>
      </w:r>
      <w:r w:rsidR="0054108E">
        <w:t>A</w:t>
      </w:r>
      <w:r w:rsidR="0054108E" w:rsidRPr="0054108E">
        <w:rPr>
          <w:lang w:val="ru-RU"/>
        </w:rPr>
        <w:t>.</w:t>
      </w:r>
      <w:r w:rsidR="0054108E" w:rsidRPr="0054108E">
        <w:rPr>
          <w:lang w:val="ru-RU"/>
        </w:rPr>
        <w:tab/>
      </w:r>
      <w:r w:rsidR="0054108E">
        <w:rPr>
          <w:lang w:val="ru-RU"/>
        </w:rPr>
        <w:t>Д</w:t>
      </w:r>
      <w:r w:rsidR="0054108E" w:rsidRPr="009C0872">
        <w:rPr>
          <w:lang w:val="ru-RU"/>
        </w:rPr>
        <w:t xml:space="preserve">оклады </w:t>
      </w:r>
      <w:r w:rsidR="0054108E">
        <w:rPr>
          <w:lang w:val="ru-RU"/>
        </w:rPr>
        <w:t xml:space="preserve">ЕАОС </w:t>
      </w:r>
      <w:r w:rsidR="0054108E" w:rsidRPr="009C0872">
        <w:rPr>
          <w:lang w:val="ru-RU"/>
        </w:rPr>
        <w:t>о</w:t>
      </w:r>
      <w:r w:rsidR="00E14EB2">
        <w:rPr>
          <w:lang w:val="ru-RU"/>
        </w:rPr>
        <w:t xml:space="preserve"> состоянии и перспективах окружающей среде</w:t>
      </w:r>
      <w:r w:rsidR="0054108E" w:rsidRPr="009C0872">
        <w:rPr>
          <w:lang w:val="ru-RU"/>
        </w:rPr>
        <w:t xml:space="preserve"> </w:t>
      </w:r>
    </w:p>
    <w:p w:rsidR="00D475FE" w:rsidRPr="00E14EB2" w:rsidRDefault="00D475FE" w:rsidP="00E14EB2">
      <w:pPr>
        <w:pStyle w:val="SingleTxtG"/>
        <w:rPr>
          <w:lang w:val="ru-RU"/>
        </w:rPr>
      </w:pPr>
      <w:r w:rsidRPr="00515316">
        <w:rPr>
          <w:lang w:val="ru-RU"/>
        </w:rPr>
        <w:t>18.</w:t>
      </w:r>
      <w:r w:rsidRPr="00515316">
        <w:rPr>
          <w:lang w:val="ru-RU"/>
        </w:rPr>
        <w:tab/>
      </w:r>
      <w:r w:rsidR="0054108E" w:rsidRPr="00515316">
        <w:rPr>
          <w:lang w:val="ru-RU"/>
        </w:rPr>
        <w:t xml:space="preserve">Доклад </w:t>
      </w:r>
      <w:r w:rsidR="00E14EB2">
        <w:rPr>
          <w:lang w:val="ru-RU"/>
        </w:rPr>
        <w:t xml:space="preserve">ЕАОС </w:t>
      </w:r>
      <w:r w:rsidR="0054108E" w:rsidRPr="00515316">
        <w:rPr>
          <w:lang w:val="ru-RU"/>
        </w:rPr>
        <w:t xml:space="preserve">о состоянии и перспективах публикуется каждые пять лет и, среди прочего, используется для оценки прогресса, достигнутого странами </w:t>
      </w:r>
      <w:r w:rsidR="00515316">
        <w:rPr>
          <w:lang w:val="ru-RU"/>
        </w:rPr>
        <w:t>Европейского Союза в отношении П</w:t>
      </w:r>
      <w:r w:rsidR="0054108E" w:rsidRPr="00515316">
        <w:rPr>
          <w:lang w:val="ru-RU"/>
        </w:rPr>
        <w:t xml:space="preserve">рограмм действий Европейского Союза в области окружающей среды и других общих обязательств. </w:t>
      </w:r>
      <w:r w:rsidR="00E14EB2">
        <w:rPr>
          <w:lang w:val="ru-RU"/>
        </w:rPr>
        <w:t xml:space="preserve">В марте 2015 года было опубликовано последнее издание </w:t>
      </w:r>
      <w:r w:rsidR="00515316" w:rsidRPr="00E14EB2">
        <w:rPr>
          <w:i/>
          <w:lang w:val="ru-RU"/>
        </w:rPr>
        <w:t>Доклад</w:t>
      </w:r>
      <w:r w:rsidR="00E14EB2" w:rsidRPr="00E14EB2">
        <w:rPr>
          <w:i/>
          <w:lang w:val="ru-RU"/>
        </w:rPr>
        <w:t>а</w:t>
      </w:r>
      <w:r w:rsidR="00515316" w:rsidRPr="00E14EB2">
        <w:rPr>
          <w:i/>
          <w:lang w:val="ru-RU"/>
        </w:rPr>
        <w:t xml:space="preserve"> об окружающей среде в Европе: состояние и прогноз на будущее</w:t>
      </w:r>
      <w:r w:rsidR="00E14EB2">
        <w:rPr>
          <w:lang w:val="ru-RU"/>
        </w:rPr>
        <w:t>, 2015 (</w:t>
      </w:r>
      <w:r w:rsidR="0054108E" w:rsidRPr="0054108E">
        <w:t>SOER</w:t>
      </w:r>
      <w:r w:rsidR="0054108E" w:rsidRPr="00515316">
        <w:rPr>
          <w:lang w:val="ru-RU"/>
        </w:rPr>
        <w:t xml:space="preserve"> 2015)</w:t>
      </w:r>
      <w:r w:rsidRPr="00E14EB2">
        <w:rPr>
          <w:lang w:val="ru-RU"/>
        </w:rPr>
        <w:t xml:space="preserve"> (</w:t>
      </w:r>
      <w:r w:rsidRPr="00DF76AF">
        <w:t>ECE</w:t>
      </w:r>
      <w:r w:rsidRPr="00E14EB2">
        <w:rPr>
          <w:lang w:val="ru-RU"/>
        </w:rPr>
        <w:t>/</w:t>
      </w:r>
      <w:r w:rsidRPr="00DF76AF">
        <w:t>CEP</w:t>
      </w:r>
      <w:r w:rsidRPr="00E14EB2">
        <w:rPr>
          <w:lang w:val="ru-RU"/>
        </w:rPr>
        <w:t xml:space="preserve">/2015/10, </w:t>
      </w:r>
      <w:r>
        <w:t>para</w:t>
      </w:r>
      <w:r w:rsidRPr="00E14EB2">
        <w:rPr>
          <w:lang w:val="ru-RU"/>
        </w:rPr>
        <w:t xml:space="preserve">. </w:t>
      </w:r>
      <w:r w:rsidRPr="00B76A6E">
        <w:rPr>
          <w:lang w:val="ru-RU"/>
        </w:rPr>
        <w:t>27(</w:t>
      </w:r>
      <w:r>
        <w:t>a</w:t>
      </w:r>
      <w:r w:rsidRPr="00B76A6E">
        <w:rPr>
          <w:lang w:val="ru-RU"/>
        </w:rPr>
        <w:t>)).</w:t>
      </w:r>
    </w:p>
    <w:p w:rsidR="00D25D67" w:rsidRPr="00D25D67" w:rsidRDefault="00D475FE" w:rsidP="00FC2E7B">
      <w:pPr>
        <w:pStyle w:val="SingleTxtG"/>
        <w:rPr>
          <w:iCs/>
          <w:lang w:val="ru-RU"/>
        </w:rPr>
      </w:pPr>
      <w:r w:rsidRPr="000A4D1E">
        <w:rPr>
          <w:lang w:val="ru-RU"/>
        </w:rPr>
        <w:t>19.</w:t>
      </w:r>
      <w:r w:rsidRPr="000A4D1E">
        <w:rPr>
          <w:lang w:val="ru-RU"/>
        </w:rPr>
        <w:tab/>
      </w:r>
      <w:r w:rsidR="00E14EB2">
        <w:rPr>
          <w:lang w:val="ru-RU"/>
        </w:rPr>
        <w:t>В</w:t>
      </w:r>
      <w:r w:rsidR="00E14EB2" w:rsidRPr="000A4D1E">
        <w:rPr>
          <w:lang w:val="ru-RU"/>
        </w:rPr>
        <w:t xml:space="preserve"> 2019 </w:t>
      </w:r>
      <w:r w:rsidR="00E14EB2">
        <w:rPr>
          <w:lang w:val="ru-RU"/>
        </w:rPr>
        <w:t>и</w:t>
      </w:r>
      <w:r w:rsidR="00E14EB2" w:rsidRPr="000A4D1E">
        <w:rPr>
          <w:lang w:val="ru-RU"/>
        </w:rPr>
        <w:t xml:space="preserve"> 2020 </w:t>
      </w:r>
      <w:r w:rsidR="00D25D67">
        <w:rPr>
          <w:lang w:val="ru-RU"/>
        </w:rPr>
        <w:t>годах</w:t>
      </w:r>
      <w:r w:rsidR="00E14EB2" w:rsidRPr="000A4D1E">
        <w:rPr>
          <w:lang w:val="ru-RU"/>
        </w:rPr>
        <w:t xml:space="preserve"> </w:t>
      </w:r>
      <w:r w:rsidR="00E14EB2">
        <w:rPr>
          <w:lang w:val="ru-RU"/>
        </w:rPr>
        <w:t>будет</w:t>
      </w:r>
      <w:r w:rsidR="00E14EB2" w:rsidRPr="000A4D1E">
        <w:rPr>
          <w:lang w:val="ru-RU"/>
        </w:rPr>
        <w:t xml:space="preserve"> </w:t>
      </w:r>
      <w:r w:rsidR="00E14EB2">
        <w:rPr>
          <w:lang w:val="ru-RU"/>
        </w:rPr>
        <w:t>запущен</w:t>
      </w:r>
      <w:r w:rsidR="00E14EB2" w:rsidRPr="000A4D1E">
        <w:rPr>
          <w:lang w:val="ru-RU"/>
        </w:rPr>
        <w:t xml:space="preserve"> </w:t>
      </w:r>
      <w:r w:rsidRPr="00FC2E7B">
        <w:t>SOER</w:t>
      </w:r>
      <w:r w:rsidR="00D25D67">
        <w:rPr>
          <w:lang w:val="ru-RU"/>
        </w:rPr>
        <w:t xml:space="preserve"> 2020:</w:t>
      </w:r>
      <w:r w:rsidRPr="000A4D1E">
        <w:rPr>
          <w:i/>
          <w:iCs/>
          <w:lang w:val="ru-RU"/>
        </w:rPr>
        <w:t xml:space="preserve"> </w:t>
      </w:r>
      <w:r w:rsidR="00D25D67">
        <w:rPr>
          <w:i/>
          <w:iCs/>
          <w:lang w:val="ru-RU"/>
        </w:rPr>
        <w:t>Комплексная о</w:t>
      </w:r>
      <w:r w:rsidR="000A4D1E">
        <w:rPr>
          <w:i/>
          <w:iCs/>
          <w:lang w:val="ru-RU"/>
        </w:rPr>
        <w:t>ценка</w:t>
      </w:r>
      <w:r w:rsidR="000A4D1E" w:rsidRPr="000A4D1E">
        <w:rPr>
          <w:i/>
          <w:iCs/>
          <w:lang w:val="ru-RU"/>
        </w:rPr>
        <w:t xml:space="preserve"> </w:t>
      </w:r>
      <w:r w:rsidR="000A4D1E">
        <w:rPr>
          <w:i/>
          <w:iCs/>
          <w:lang w:val="ru-RU"/>
        </w:rPr>
        <w:t>состояния</w:t>
      </w:r>
      <w:r w:rsidR="000A4D1E" w:rsidRPr="000A4D1E">
        <w:rPr>
          <w:i/>
          <w:iCs/>
          <w:lang w:val="ru-RU"/>
        </w:rPr>
        <w:t xml:space="preserve"> </w:t>
      </w:r>
      <w:r w:rsidR="000A4D1E">
        <w:rPr>
          <w:i/>
          <w:iCs/>
          <w:lang w:val="ru-RU"/>
        </w:rPr>
        <w:t>окружающей</w:t>
      </w:r>
      <w:r w:rsidR="000A4D1E" w:rsidRPr="000A4D1E">
        <w:rPr>
          <w:i/>
          <w:iCs/>
          <w:lang w:val="ru-RU"/>
        </w:rPr>
        <w:t xml:space="preserve"> </w:t>
      </w:r>
      <w:r w:rsidR="000A4D1E">
        <w:rPr>
          <w:i/>
          <w:iCs/>
          <w:lang w:val="ru-RU"/>
        </w:rPr>
        <w:t>среды</w:t>
      </w:r>
      <w:r w:rsidR="00D25D67">
        <w:rPr>
          <w:i/>
          <w:iCs/>
          <w:lang w:val="ru-RU"/>
        </w:rPr>
        <w:t xml:space="preserve"> </w:t>
      </w:r>
      <w:r w:rsidR="00D25D67" w:rsidRPr="00D25D67">
        <w:rPr>
          <w:iCs/>
          <w:lang w:val="ru-RU"/>
        </w:rPr>
        <w:t xml:space="preserve">будет выпущена в 2019 году, с последующим </w:t>
      </w:r>
      <w:r w:rsidR="00D25D67" w:rsidRPr="00B1624A">
        <w:rPr>
          <w:i/>
          <w:iCs/>
          <w:lang w:val="ru-RU"/>
        </w:rPr>
        <w:t xml:space="preserve">Синтезом </w:t>
      </w:r>
      <w:r w:rsidR="00D25D67" w:rsidRPr="00D25D67">
        <w:rPr>
          <w:iCs/>
          <w:lang w:val="ru-RU"/>
        </w:rPr>
        <w:t>взаимодействия с заинтересованными сторонами;</w:t>
      </w:r>
      <w:r w:rsidR="00D25D67">
        <w:rPr>
          <w:i/>
          <w:iCs/>
          <w:lang w:val="ru-RU"/>
        </w:rPr>
        <w:t xml:space="preserve"> </w:t>
      </w:r>
      <w:r w:rsidR="000A4D1E" w:rsidRPr="000A4D1E">
        <w:rPr>
          <w:i/>
          <w:iCs/>
          <w:lang w:val="ru-RU"/>
        </w:rPr>
        <w:t xml:space="preserve"> </w:t>
      </w:r>
      <w:r w:rsidR="000A4D1E" w:rsidRPr="000A4D1E">
        <w:rPr>
          <w:iCs/>
          <w:lang w:val="ru-RU"/>
        </w:rPr>
        <w:t>и</w:t>
      </w:r>
      <w:r w:rsidR="000A4D1E">
        <w:rPr>
          <w:iCs/>
          <w:lang w:val="ru-RU"/>
        </w:rPr>
        <w:t xml:space="preserve"> </w:t>
      </w:r>
      <w:r w:rsidR="00D25D67">
        <w:rPr>
          <w:i/>
          <w:iCs/>
          <w:lang w:val="ru-RU"/>
        </w:rPr>
        <w:t>Обобщающий доклад</w:t>
      </w:r>
      <w:r w:rsidR="00D25D67" w:rsidRPr="00D25D67">
        <w:rPr>
          <w:iCs/>
          <w:lang w:val="ru-RU"/>
        </w:rPr>
        <w:t xml:space="preserve">, основанный на ключевых выводах </w:t>
      </w:r>
      <w:r w:rsidR="00D25D67">
        <w:rPr>
          <w:i/>
          <w:iCs/>
          <w:lang w:val="ru-RU"/>
        </w:rPr>
        <w:t xml:space="preserve">Комплексной оценки 2019 года </w:t>
      </w:r>
      <w:r w:rsidR="00D25D67">
        <w:rPr>
          <w:iCs/>
          <w:lang w:val="ru-RU"/>
        </w:rPr>
        <w:t>и на резуль</w:t>
      </w:r>
      <w:r w:rsidR="00D25D67" w:rsidRPr="00D25D67">
        <w:rPr>
          <w:iCs/>
          <w:lang w:val="ru-RU"/>
        </w:rPr>
        <w:t>та</w:t>
      </w:r>
      <w:r w:rsidR="00D25D67">
        <w:rPr>
          <w:iCs/>
          <w:lang w:val="ru-RU"/>
        </w:rPr>
        <w:t>та</w:t>
      </w:r>
      <w:r w:rsidR="00D25D67" w:rsidRPr="00D25D67">
        <w:rPr>
          <w:iCs/>
          <w:lang w:val="ru-RU"/>
        </w:rPr>
        <w:t>х взаимодействия с заинтересованными сторона</w:t>
      </w:r>
      <w:r w:rsidR="00B1624A">
        <w:rPr>
          <w:iCs/>
          <w:lang w:val="ru-RU"/>
        </w:rPr>
        <w:t>ми</w:t>
      </w:r>
      <w:r w:rsidR="00D25D67" w:rsidRPr="00D25D67">
        <w:rPr>
          <w:iCs/>
          <w:lang w:val="ru-RU"/>
        </w:rPr>
        <w:t>, будет опубликован в 2020 году.</w:t>
      </w:r>
    </w:p>
    <w:p w:rsidR="00D475FE" w:rsidRPr="00E360E9" w:rsidRDefault="00D0034C" w:rsidP="00C205C0">
      <w:pPr>
        <w:pStyle w:val="H1G"/>
        <w:rPr>
          <w:lang w:val="ru-RU"/>
        </w:rPr>
      </w:pPr>
      <w:r w:rsidRPr="000A4D1E">
        <w:rPr>
          <w:lang w:val="ru-RU"/>
        </w:rPr>
        <w:lastRenderedPageBreak/>
        <w:tab/>
      </w:r>
      <w:r>
        <w:rPr>
          <w:lang w:val="ru-RU"/>
        </w:rPr>
        <w:t>Б</w:t>
      </w:r>
      <w:r w:rsidR="00D475FE" w:rsidRPr="00CE46E0">
        <w:rPr>
          <w:lang w:val="ru-RU"/>
        </w:rPr>
        <w:t>.</w:t>
      </w:r>
      <w:r w:rsidR="00D475FE" w:rsidRPr="00CE46E0">
        <w:rPr>
          <w:lang w:val="ru-RU"/>
        </w:rPr>
        <w:tab/>
      </w:r>
      <w:r w:rsidR="00FE03B2">
        <w:rPr>
          <w:lang w:val="ru-RU"/>
        </w:rPr>
        <w:t>Процесс Глобальной экологической перспективы</w:t>
      </w:r>
    </w:p>
    <w:p w:rsidR="00D565DF" w:rsidRPr="00B76A6E" w:rsidRDefault="00D475FE" w:rsidP="00CE46E0">
      <w:pPr>
        <w:pStyle w:val="SingleTxtG"/>
        <w:rPr>
          <w:lang w:val="ru-RU"/>
        </w:rPr>
      </w:pPr>
      <w:r w:rsidRPr="00CE46E0">
        <w:rPr>
          <w:lang w:val="ru-RU"/>
        </w:rPr>
        <w:t>20.</w:t>
      </w:r>
      <w:r w:rsidRPr="00CE46E0">
        <w:rPr>
          <w:lang w:val="ru-RU"/>
        </w:rPr>
        <w:tab/>
      </w:r>
      <w:r w:rsidR="009637FC">
        <w:rPr>
          <w:lang w:val="ru-RU"/>
        </w:rPr>
        <w:t>В</w:t>
      </w:r>
      <w:r w:rsidR="009637FC" w:rsidRPr="00CE46E0">
        <w:rPr>
          <w:lang w:val="ru-RU"/>
        </w:rPr>
        <w:t xml:space="preserve"> </w:t>
      </w:r>
      <w:r w:rsidR="009637FC">
        <w:rPr>
          <w:lang w:val="ru-RU"/>
        </w:rPr>
        <w:t>основу</w:t>
      </w:r>
      <w:r w:rsidR="009637FC" w:rsidRPr="00CE46E0">
        <w:rPr>
          <w:lang w:val="ru-RU"/>
        </w:rPr>
        <w:t xml:space="preserve"> </w:t>
      </w:r>
      <w:r w:rsidR="009637FC">
        <w:rPr>
          <w:lang w:val="ru-RU"/>
        </w:rPr>
        <w:t>последней</w:t>
      </w:r>
      <w:r w:rsidR="00D565DF" w:rsidRPr="00CE46E0">
        <w:rPr>
          <w:lang w:val="ru-RU"/>
        </w:rPr>
        <w:t xml:space="preserve"> </w:t>
      </w:r>
      <w:r w:rsidR="00D565DF" w:rsidRPr="00D565DF">
        <w:rPr>
          <w:lang w:val="ru-RU"/>
        </w:rPr>
        <w:t>гл</w:t>
      </w:r>
      <w:r w:rsidR="009637FC">
        <w:rPr>
          <w:lang w:val="ru-RU"/>
        </w:rPr>
        <w:t>обальной</w:t>
      </w:r>
      <w:r w:rsidR="009637FC" w:rsidRPr="00CE46E0">
        <w:rPr>
          <w:lang w:val="ru-RU"/>
        </w:rPr>
        <w:t xml:space="preserve"> </w:t>
      </w:r>
      <w:r w:rsidR="00FA2A90">
        <w:rPr>
          <w:lang w:val="ru-RU"/>
        </w:rPr>
        <w:t>оценки</w:t>
      </w:r>
      <w:r w:rsidR="009637FC" w:rsidRPr="00CE46E0">
        <w:rPr>
          <w:lang w:val="ru-RU"/>
        </w:rPr>
        <w:t xml:space="preserve">, </w:t>
      </w:r>
      <w:r w:rsidR="00EB3EDF">
        <w:rPr>
          <w:lang w:val="ru-RU"/>
        </w:rPr>
        <w:t>ГЭП</w:t>
      </w:r>
      <w:r w:rsidR="009637FC" w:rsidRPr="00CE46E0">
        <w:rPr>
          <w:lang w:val="ru-RU"/>
        </w:rPr>
        <w:t xml:space="preserve">-6, </w:t>
      </w:r>
      <w:r w:rsidR="00D565DF" w:rsidRPr="00CE46E0">
        <w:rPr>
          <w:lang w:val="ru-RU"/>
        </w:rPr>
        <w:t xml:space="preserve"> </w:t>
      </w:r>
      <w:r w:rsidR="009637FC">
        <w:rPr>
          <w:lang w:val="ru-RU"/>
        </w:rPr>
        <w:t>легли</w:t>
      </w:r>
      <w:r w:rsidR="009637FC" w:rsidRPr="00CE46E0">
        <w:rPr>
          <w:lang w:val="ru-RU"/>
        </w:rPr>
        <w:t xml:space="preserve"> </w:t>
      </w:r>
      <w:r w:rsidR="009637FC">
        <w:rPr>
          <w:lang w:val="ru-RU"/>
        </w:rPr>
        <w:t>выводы</w:t>
      </w:r>
      <w:r w:rsidR="00D565DF" w:rsidRPr="00CE46E0">
        <w:rPr>
          <w:lang w:val="ru-RU"/>
        </w:rPr>
        <w:t xml:space="preserve"> </w:t>
      </w:r>
      <w:r w:rsidR="00D565DF" w:rsidRPr="00D565DF">
        <w:rPr>
          <w:lang w:val="ru-RU"/>
        </w:rPr>
        <w:t>региональных</w:t>
      </w:r>
      <w:r w:rsidR="00D565DF" w:rsidRPr="00CE46E0">
        <w:rPr>
          <w:lang w:val="ru-RU"/>
        </w:rPr>
        <w:t xml:space="preserve"> </w:t>
      </w:r>
      <w:r w:rsidR="00D565DF" w:rsidRPr="00D565DF">
        <w:rPr>
          <w:lang w:val="ru-RU"/>
        </w:rPr>
        <w:t>оценок</w:t>
      </w:r>
      <w:r w:rsidR="00D565DF" w:rsidRPr="00CE46E0">
        <w:rPr>
          <w:lang w:val="ru-RU"/>
        </w:rPr>
        <w:t xml:space="preserve"> </w:t>
      </w:r>
      <w:r w:rsidR="00D565DF" w:rsidRPr="00D565DF">
        <w:rPr>
          <w:lang w:val="ru-RU"/>
        </w:rPr>
        <w:t>по</w:t>
      </w:r>
      <w:r w:rsidR="00D565DF" w:rsidRPr="00CE46E0">
        <w:rPr>
          <w:lang w:val="ru-RU"/>
        </w:rPr>
        <w:t xml:space="preserve"> </w:t>
      </w:r>
      <w:r w:rsidR="00D565DF" w:rsidRPr="00D565DF">
        <w:rPr>
          <w:lang w:val="ru-RU"/>
        </w:rPr>
        <w:t>каждому</w:t>
      </w:r>
      <w:r w:rsidR="00D565DF" w:rsidRPr="00CE46E0">
        <w:rPr>
          <w:lang w:val="ru-RU"/>
        </w:rPr>
        <w:t xml:space="preserve"> </w:t>
      </w:r>
      <w:r w:rsidR="00D565DF" w:rsidRPr="00D565DF">
        <w:rPr>
          <w:lang w:val="ru-RU"/>
        </w:rPr>
        <w:t>из</w:t>
      </w:r>
      <w:r w:rsidR="00D565DF" w:rsidRPr="00CE46E0">
        <w:rPr>
          <w:lang w:val="ru-RU"/>
        </w:rPr>
        <w:t xml:space="preserve"> </w:t>
      </w:r>
      <w:r w:rsidR="00D565DF" w:rsidRPr="00D565DF">
        <w:rPr>
          <w:lang w:val="ru-RU"/>
        </w:rPr>
        <w:t>шести</w:t>
      </w:r>
      <w:r w:rsidR="00D565DF" w:rsidRPr="00CE46E0">
        <w:rPr>
          <w:lang w:val="ru-RU"/>
        </w:rPr>
        <w:t xml:space="preserve"> </w:t>
      </w:r>
      <w:r w:rsidR="00D565DF" w:rsidRPr="00D565DF">
        <w:rPr>
          <w:lang w:val="ru-RU"/>
        </w:rPr>
        <w:t>регионов</w:t>
      </w:r>
      <w:r w:rsidR="00D565DF" w:rsidRPr="00CE46E0">
        <w:rPr>
          <w:lang w:val="ru-RU"/>
        </w:rPr>
        <w:t xml:space="preserve"> </w:t>
      </w:r>
      <w:r w:rsidR="00D565DF" w:rsidRPr="00D565DF">
        <w:rPr>
          <w:lang w:val="ru-RU"/>
        </w:rPr>
        <w:t>ЮНЕП</w:t>
      </w:r>
      <w:r w:rsidR="00D565DF" w:rsidRPr="00CE46E0">
        <w:rPr>
          <w:lang w:val="ru-RU"/>
        </w:rPr>
        <w:t xml:space="preserve">. </w:t>
      </w:r>
      <w:r w:rsidR="00D565DF" w:rsidRPr="00D565DF">
        <w:rPr>
          <w:lang w:val="ru-RU"/>
        </w:rPr>
        <w:t xml:space="preserve">Региональные оценки, в свою очередь, основываются на установленных политических и институциональных процессах и механизмах в каждом регионе и взаимодействуют с региональными партнерами и заинтересованными сторонами в целях максимального использования этих процессов и механизмов в процессе оценки. </w:t>
      </w:r>
      <w:r w:rsidR="00CE46E0">
        <w:rPr>
          <w:lang w:val="ru-RU"/>
        </w:rPr>
        <w:t xml:space="preserve">Ожидалось, что полная оценка </w:t>
      </w:r>
      <w:r w:rsidR="00EB3EDF">
        <w:rPr>
          <w:lang w:val="ru-RU"/>
        </w:rPr>
        <w:t>ГЭП</w:t>
      </w:r>
      <w:r w:rsidR="00CE46E0">
        <w:rPr>
          <w:lang w:val="ru-RU"/>
        </w:rPr>
        <w:t>-6 будет запущена</w:t>
      </w:r>
      <w:r w:rsidR="00D565DF" w:rsidRPr="00D565DF">
        <w:rPr>
          <w:lang w:val="ru-RU"/>
        </w:rPr>
        <w:t xml:space="preserve"> на третьем совещании Ассамблеи Организации Объединенных Наций по окружающей среде в 2018 году (</w:t>
      </w:r>
      <w:r w:rsidR="00D565DF" w:rsidRPr="00D565DF">
        <w:t>ECE</w:t>
      </w:r>
      <w:r w:rsidR="00D565DF" w:rsidRPr="00D565DF">
        <w:rPr>
          <w:lang w:val="ru-RU"/>
        </w:rPr>
        <w:t>/</w:t>
      </w:r>
      <w:r w:rsidR="00D565DF" w:rsidRPr="00D565DF">
        <w:t>CEP</w:t>
      </w:r>
      <w:r w:rsidR="00CE46E0">
        <w:rPr>
          <w:lang w:val="ru-RU"/>
        </w:rPr>
        <w:t xml:space="preserve">/2015/10, абзац </w:t>
      </w:r>
      <w:r w:rsidR="00D565DF" w:rsidRPr="00D565DF">
        <w:rPr>
          <w:lang w:val="ru-RU"/>
        </w:rPr>
        <w:t>11). 27 (</w:t>
      </w:r>
      <w:r w:rsidR="00D565DF" w:rsidRPr="00D565DF">
        <w:t>b</w:t>
      </w:r>
      <w:r w:rsidR="00D565DF" w:rsidRPr="00D565DF">
        <w:rPr>
          <w:lang w:val="ru-RU"/>
        </w:rPr>
        <w:t>)). Теперь он</w:t>
      </w:r>
      <w:r w:rsidR="00CE46E0">
        <w:rPr>
          <w:lang w:val="ru-RU"/>
        </w:rPr>
        <w:t xml:space="preserve">а будет запущена </w:t>
      </w:r>
      <w:r w:rsidR="00D565DF" w:rsidRPr="00D565DF">
        <w:rPr>
          <w:lang w:val="ru-RU"/>
        </w:rPr>
        <w:t>на четвертом заседании Ассамблеи Организации Объединенных Наций по окружающей среде, которое состоится 11-15 марта 2019 года</w:t>
      </w:r>
      <w:r w:rsidR="00CE46E0">
        <w:rPr>
          <w:lang w:val="ru-RU"/>
        </w:rPr>
        <w:t>.</w:t>
      </w:r>
    </w:p>
    <w:p w:rsidR="00E91A1C" w:rsidRPr="00B437D1" w:rsidRDefault="00D475FE" w:rsidP="0088201D">
      <w:pPr>
        <w:pStyle w:val="SingleTxtG"/>
        <w:rPr>
          <w:lang w:val="ru-RU"/>
        </w:rPr>
      </w:pPr>
      <w:r w:rsidRPr="00B437D1">
        <w:rPr>
          <w:lang w:val="ru-RU"/>
        </w:rPr>
        <w:t>21.</w:t>
      </w:r>
      <w:r w:rsidRPr="00B437D1">
        <w:rPr>
          <w:lang w:val="ru-RU"/>
        </w:rPr>
        <w:tab/>
      </w:r>
      <w:r w:rsidR="00ED53E6">
        <w:rPr>
          <w:lang w:val="ru-RU"/>
        </w:rPr>
        <w:t>Касательно возможной</w:t>
      </w:r>
      <w:r w:rsidR="008660B6">
        <w:rPr>
          <w:lang w:val="ru-RU"/>
        </w:rPr>
        <w:t xml:space="preserve"> </w:t>
      </w:r>
      <w:r w:rsidR="00FE03B2">
        <w:rPr>
          <w:lang w:val="ru-RU"/>
        </w:rPr>
        <w:t xml:space="preserve">седьмой </w:t>
      </w:r>
      <w:r w:rsidR="00E91A1C">
        <w:rPr>
          <w:lang w:val="ru-RU"/>
        </w:rPr>
        <w:t>Г</w:t>
      </w:r>
      <w:r w:rsidR="00E91A1C" w:rsidRPr="00E91A1C">
        <w:rPr>
          <w:lang w:val="ru-RU"/>
        </w:rPr>
        <w:t>лоб</w:t>
      </w:r>
      <w:r w:rsidR="00FE03B2">
        <w:rPr>
          <w:lang w:val="ru-RU"/>
        </w:rPr>
        <w:t>альной экологической перспективы</w:t>
      </w:r>
      <w:r w:rsidR="00E91A1C" w:rsidRPr="00E91A1C">
        <w:rPr>
          <w:lang w:val="ru-RU"/>
        </w:rPr>
        <w:t>:</w:t>
      </w:r>
    </w:p>
    <w:p w:rsidR="00E91A1C" w:rsidRPr="00E91A1C" w:rsidRDefault="00E91A1C" w:rsidP="00E91A1C">
      <w:pPr>
        <w:pStyle w:val="SingleTxtG"/>
        <w:ind w:firstLine="567"/>
        <w:rPr>
          <w:lang w:val="ru-RU"/>
        </w:rPr>
      </w:pPr>
      <w:r>
        <w:t>a</w:t>
      </w:r>
      <w:r w:rsidR="002701AC">
        <w:rPr>
          <w:lang w:val="ru-RU"/>
        </w:rPr>
        <w:t>) г</w:t>
      </w:r>
      <w:r w:rsidRPr="00E91A1C">
        <w:rPr>
          <w:lang w:val="ru-RU"/>
        </w:rPr>
        <w:t>руппа высокого уровня, которая</w:t>
      </w:r>
      <w:r w:rsidR="008660B6">
        <w:rPr>
          <w:lang w:val="ru-RU"/>
        </w:rPr>
        <w:t xml:space="preserve"> помогает направлять процесс </w:t>
      </w:r>
      <w:r w:rsidR="00EB3EDF">
        <w:rPr>
          <w:lang w:val="ru-RU"/>
        </w:rPr>
        <w:t>ГЭП</w:t>
      </w:r>
      <w:r w:rsidRPr="00E91A1C">
        <w:rPr>
          <w:lang w:val="ru-RU"/>
        </w:rPr>
        <w:t xml:space="preserve">, рекомендовала провести оценку </w:t>
      </w:r>
      <w:r w:rsidR="00000F83">
        <w:rPr>
          <w:lang w:val="ru-RU"/>
        </w:rPr>
        <w:t xml:space="preserve">процесса </w:t>
      </w:r>
      <w:r w:rsidRPr="00E91A1C">
        <w:rPr>
          <w:lang w:val="ru-RU"/>
        </w:rPr>
        <w:t>до принятия како</w:t>
      </w:r>
      <w:r w:rsidR="00386139">
        <w:rPr>
          <w:lang w:val="ru-RU"/>
        </w:rPr>
        <w:t xml:space="preserve">го-либо решения по седьмому </w:t>
      </w:r>
      <w:r w:rsidR="00EB3EDF">
        <w:rPr>
          <w:lang w:val="ru-RU"/>
        </w:rPr>
        <w:t>ГЭП</w:t>
      </w:r>
      <w:r w:rsidRPr="00E91A1C">
        <w:rPr>
          <w:lang w:val="ru-RU"/>
        </w:rPr>
        <w:t>;</w:t>
      </w:r>
    </w:p>
    <w:p w:rsidR="00E91A1C" w:rsidRPr="00E91A1C" w:rsidRDefault="00386139" w:rsidP="0088201D">
      <w:pPr>
        <w:pStyle w:val="SingleTxtG"/>
        <w:ind w:firstLine="567"/>
        <w:rPr>
          <w:lang w:val="ru-RU"/>
        </w:rPr>
      </w:pPr>
      <w:r>
        <w:rPr>
          <w:lang w:val="ru-RU"/>
        </w:rPr>
        <w:t>(б) ЮНЕП заказала среднесрочную оценку</w:t>
      </w:r>
      <w:r w:rsidR="00E91A1C" w:rsidRPr="00E91A1C">
        <w:rPr>
          <w:lang w:val="ru-RU"/>
        </w:rPr>
        <w:t xml:space="preserve"> про</w:t>
      </w:r>
      <w:r>
        <w:rPr>
          <w:lang w:val="ru-RU"/>
        </w:rPr>
        <w:t xml:space="preserve">цесса </w:t>
      </w:r>
      <w:r w:rsidR="00EB3EDF">
        <w:rPr>
          <w:lang w:val="ru-RU"/>
        </w:rPr>
        <w:t>ГЭП</w:t>
      </w:r>
      <w:r w:rsidR="00E91A1C" w:rsidRPr="00E91A1C">
        <w:rPr>
          <w:lang w:val="ru-RU"/>
        </w:rPr>
        <w:t xml:space="preserve"> </w:t>
      </w:r>
      <w:r w:rsidR="0088201D">
        <w:rPr>
          <w:lang w:val="ru-RU"/>
        </w:rPr>
        <w:t xml:space="preserve">ее </w:t>
      </w:r>
      <w:r>
        <w:rPr>
          <w:lang w:val="ru-RU"/>
        </w:rPr>
        <w:t>независимым</w:t>
      </w:r>
      <w:r w:rsidR="0088201D">
        <w:rPr>
          <w:lang w:val="ru-RU"/>
        </w:rPr>
        <w:t xml:space="preserve"> отделом оценки, который обозначил проблему финансирования </w:t>
      </w:r>
      <w:r w:rsidR="00000F83">
        <w:rPr>
          <w:lang w:val="ru-RU"/>
        </w:rPr>
        <w:t>в качестве главного вызова</w:t>
      </w:r>
      <w:r w:rsidR="0088201D">
        <w:rPr>
          <w:lang w:val="ru-RU"/>
        </w:rPr>
        <w:t xml:space="preserve"> для процесса </w:t>
      </w:r>
      <w:r w:rsidR="00EB3EDF">
        <w:rPr>
          <w:lang w:val="ru-RU"/>
        </w:rPr>
        <w:t>ГЭП</w:t>
      </w:r>
      <w:r w:rsidR="00E91A1C" w:rsidRPr="00E91A1C">
        <w:rPr>
          <w:lang w:val="ru-RU"/>
        </w:rPr>
        <w:t>;</w:t>
      </w:r>
    </w:p>
    <w:p w:rsidR="00E91A1C" w:rsidRPr="00E91A1C" w:rsidRDefault="002701AC" w:rsidP="00B437D1">
      <w:pPr>
        <w:pStyle w:val="SingleTxtG"/>
        <w:ind w:firstLine="567"/>
        <w:rPr>
          <w:lang w:val="ru-RU"/>
        </w:rPr>
      </w:pPr>
      <w:r>
        <w:rPr>
          <w:lang w:val="ru-RU"/>
        </w:rPr>
        <w:t>в) у</w:t>
      </w:r>
      <w:r w:rsidR="0088201D">
        <w:rPr>
          <w:lang w:val="ru-RU"/>
        </w:rPr>
        <w:t xml:space="preserve">читывая то, что процесс </w:t>
      </w:r>
      <w:r w:rsidR="00EB3EDF">
        <w:rPr>
          <w:lang w:val="ru-RU"/>
        </w:rPr>
        <w:t>ГЭП</w:t>
      </w:r>
      <w:r w:rsidR="0088201D">
        <w:rPr>
          <w:lang w:val="ru-RU"/>
        </w:rPr>
        <w:t>-6 столкнулся с проблемой</w:t>
      </w:r>
      <w:r w:rsidR="00E91A1C" w:rsidRPr="00E91A1C">
        <w:rPr>
          <w:lang w:val="ru-RU"/>
        </w:rPr>
        <w:t xml:space="preserve"> финансирования, ЮНЕП в ходе нескольких брифингов р</w:t>
      </w:r>
      <w:r w:rsidR="0088201D">
        <w:rPr>
          <w:lang w:val="ru-RU"/>
        </w:rPr>
        <w:t>екомендовала поставить будущие Г</w:t>
      </w:r>
      <w:r w:rsidR="00E91A1C" w:rsidRPr="00E91A1C">
        <w:rPr>
          <w:lang w:val="ru-RU"/>
        </w:rPr>
        <w:t>лоб</w:t>
      </w:r>
      <w:r w:rsidR="00E87E5A">
        <w:rPr>
          <w:lang w:val="ru-RU"/>
        </w:rPr>
        <w:t>альные экологические перспективы</w:t>
      </w:r>
      <w:r w:rsidR="00E91A1C" w:rsidRPr="00E91A1C">
        <w:rPr>
          <w:lang w:val="ru-RU"/>
        </w:rPr>
        <w:t xml:space="preserve"> на более стабильную финансовую и структурную основу.</w:t>
      </w:r>
    </w:p>
    <w:p w:rsidR="00B437D1" w:rsidRPr="00B437D1" w:rsidRDefault="00D475FE" w:rsidP="009A060D">
      <w:pPr>
        <w:pStyle w:val="SingleTxtG"/>
        <w:rPr>
          <w:lang w:val="ru-RU"/>
        </w:rPr>
      </w:pPr>
      <w:r w:rsidRPr="00B437D1">
        <w:rPr>
          <w:lang w:val="ru-RU"/>
        </w:rPr>
        <w:t>22.</w:t>
      </w:r>
      <w:r w:rsidRPr="00B437D1">
        <w:rPr>
          <w:lang w:val="ru-RU"/>
        </w:rPr>
        <w:tab/>
      </w:r>
      <w:r w:rsidR="00B437D1">
        <w:rPr>
          <w:lang w:val="ru-RU"/>
        </w:rPr>
        <w:t xml:space="preserve">Таким образом, </w:t>
      </w:r>
      <w:r w:rsidR="00B437D1" w:rsidRPr="00B437D1">
        <w:rPr>
          <w:lang w:val="ru-RU"/>
        </w:rPr>
        <w:t>на данном этапе невозможно определить гр</w:t>
      </w:r>
      <w:r w:rsidR="00B437D1">
        <w:rPr>
          <w:lang w:val="ru-RU"/>
        </w:rPr>
        <w:t>а</w:t>
      </w:r>
      <w:r w:rsidR="00210E36">
        <w:rPr>
          <w:lang w:val="ru-RU"/>
        </w:rPr>
        <w:t>фик седьмого издания Глобальной экологической перспективы</w:t>
      </w:r>
      <w:r w:rsidR="00000F83">
        <w:rPr>
          <w:lang w:val="ru-RU"/>
        </w:rPr>
        <w:t xml:space="preserve">; это также </w:t>
      </w:r>
      <w:r w:rsidR="00000F83" w:rsidRPr="00000F83">
        <w:rPr>
          <w:lang w:val="ru-RU"/>
        </w:rPr>
        <w:t>может помешат</w:t>
      </w:r>
      <w:r w:rsidR="00000F83">
        <w:rPr>
          <w:lang w:val="ru-RU"/>
        </w:rPr>
        <w:t xml:space="preserve">ь синхронизации панъевропейской экологической оценки с циклом ГЭП. Более того, невозможно </w:t>
      </w:r>
      <w:r w:rsidR="00000F83" w:rsidRPr="00000F83">
        <w:rPr>
          <w:lang w:val="ru-RU"/>
        </w:rPr>
        <w:t xml:space="preserve">определить, будет ли выделен достаточный бюджет </w:t>
      </w:r>
      <w:r w:rsidR="009A060D">
        <w:rPr>
          <w:lang w:val="ru-RU"/>
        </w:rPr>
        <w:t>для проведения еще одной серии</w:t>
      </w:r>
      <w:r w:rsidR="00B437D1" w:rsidRPr="00B437D1">
        <w:rPr>
          <w:lang w:val="ru-RU"/>
        </w:rPr>
        <w:t xml:space="preserve"> региональных оценок.</w:t>
      </w:r>
    </w:p>
    <w:p w:rsidR="00D475FE" w:rsidRPr="00B356D8" w:rsidRDefault="00D475FE" w:rsidP="00110B5F">
      <w:pPr>
        <w:pStyle w:val="HChG"/>
        <w:outlineLvl w:val="0"/>
        <w:rPr>
          <w:lang w:val="ru-RU"/>
        </w:rPr>
      </w:pPr>
      <w:r w:rsidRPr="00B437D1">
        <w:rPr>
          <w:bCs/>
          <w:lang w:val="ru-RU"/>
        </w:rPr>
        <w:tab/>
      </w:r>
      <w:r>
        <w:rPr>
          <w:bCs/>
        </w:rPr>
        <w:t>IV</w:t>
      </w:r>
      <w:r w:rsidRPr="00B356D8">
        <w:rPr>
          <w:bCs/>
          <w:lang w:val="ru-RU"/>
        </w:rPr>
        <w:t>.</w:t>
      </w:r>
      <w:r w:rsidRPr="00B356D8">
        <w:rPr>
          <w:bCs/>
          <w:lang w:val="ru-RU"/>
        </w:rPr>
        <w:tab/>
      </w:r>
      <w:r w:rsidR="00B356D8">
        <w:rPr>
          <w:bCs/>
          <w:lang w:val="ru-RU"/>
        </w:rPr>
        <w:t>Концепция следующей панъевропейской экологической оценки</w:t>
      </w:r>
    </w:p>
    <w:p w:rsidR="00D475FE" w:rsidRPr="00B356D8" w:rsidRDefault="00D475FE" w:rsidP="00312BF5">
      <w:pPr>
        <w:pStyle w:val="SingleTxtG"/>
        <w:rPr>
          <w:lang w:val="ru-RU"/>
        </w:rPr>
      </w:pPr>
      <w:r w:rsidRPr="00B356D8">
        <w:rPr>
          <w:lang w:val="ru-RU"/>
        </w:rPr>
        <w:t>23.</w:t>
      </w:r>
      <w:r w:rsidRPr="00B356D8">
        <w:rPr>
          <w:lang w:val="ru-RU"/>
        </w:rPr>
        <w:tab/>
      </w:r>
      <w:r w:rsidR="00B356D8" w:rsidRPr="00B356D8">
        <w:rPr>
          <w:lang w:val="ru-RU"/>
        </w:rPr>
        <w:t>Для разработки концепции</w:t>
      </w:r>
      <w:r w:rsidR="00B356D8">
        <w:rPr>
          <w:lang w:val="ru-RU"/>
        </w:rPr>
        <w:t xml:space="preserve"> следующей панъ</w:t>
      </w:r>
      <w:r w:rsidR="00B356D8" w:rsidRPr="00B356D8">
        <w:rPr>
          <w:lang w:val="ru-RU"/>
        </w:rPr>
        <w:t>ев</w:t>
      </w:r>
      <w:r w:rsidR="00B356D8">
        <w:rPr>
          <w:lang w:val="ru-RU"/>
        </w:rPr>
        <w:t>ропейской экологической оценки Р</w:t>
      </w:r>
      <w:r w:rsidR="00B356D8" w:rsidRPr="00B356D8">
        <w:rPr>
          <w:lang w:val="ru-RU"/>
        </w:rPr>
        <w:t>або</w:t>
      </w:r>
      <w:r w:rsidR="00B356D8">
        <w:rPr>
          <w:lang w:val="ru-RU"/>
        </w:rPr>
        <w:t>чая группа, возможно, пожелает:</w:t>
      </w:r>
    </w:p>
    <w:p w:rsidR="00D475FE" w:rsidRPr="00B356D8" w:rsidRDefault="00D475FE" w:rsidP="00B356D8">
      <w:pPr>
        <w:pStyle w:val="SingleTxtG"/>
        <w:rPr>
          <w:lang w:val="ru-RU"/>
        </w:rPr>
      </w:pPr>
      <w:r w:rsidRPr="00B356D8">
        <w:rPr>
          <w:lang w:val="ru-RU"/>
        </w:rPr>
        <w:tab/>
        <w:t>(</w:t>
      </w:r>
      <w:r>
        <w:t>a</w:t>
      </w:r>
      <w:r w:rsidRPr="00B356D8">
        <w:rPr>
          <w:lang w:val="ru-RU"/>
        </w:rPr>
        <w:t>)</w:t>
      </w:r>
      <w:r w:rsidRPr="00B356D8">
        <w:rPr>
          <w:lang w:val="ru-RU"/>
        </w:rPr>
        <w:tab/>
      </w:r>
      <w:r w:rsidR="006D7180">
        <w:rPr>
          <w:lang w:val="ru-RU"/>
        </w:rPr>
        <w:t>р</w:t>
      </w:r>
      <w:r w:rsidR="00B356D8" w:rsidRPr="00B356D8">
        <w:rPr>
          <w:lang w:val="ru-RU"/>
        </w:rPr>
        <w:t>ассмотреть ряд элементов, изложенных в первом разделе этой главы;</w:t>
      </w:r>
    </w:p>
    <w:p w:rsidR="00D475FE" w:rsidRPr="00B356D8" w:rsidRDefault="00D475FE" w:rsidP="000553A0">
      <w:pPr>
        <w:pStyle w:val="SingleTxtG"/>
        <w:rPr>
          <w:lang w:val="ru-RU"/>
        </w:rPr>
      </w:pPr>
      <w:r w:rsidRPr="00B356D8">
        <w:rPr>
          <w:lang w:val="ru-RU"/>
        </w:rPr>
        <w:tab/>
      </w:r>
      <w:r w:rsidR="00B356D8" w:rsidRPr="00B356D8">
        <w:rPr>
          <w:lang w:val="ru-RU"/>
        </w:rPr>
        <w:t>(</w:t>
      </w:r>
      <w:r w:rsidR="00B356D8">
        <w:rPr>
          <w:lang w:val="ru-RU"/>
        </w:rPr>
        <w:t>б</w:t>
      </w:r>
      <w:r w:rsidRPr="00B356D8">
        <w:rPr>
          <w:lang w:val="ru-RU"/>
        </w:rPr>
        <w:t>)</w:t>
      </w:r>
      <w:r w:rsidRPr="00B356D8">
        <w:rPr>
          <w:lang w:val="ru-RU"/>
        </w:rPr>
        <w:tab/>
      </w:r>
      <w:r w:rsidR="006D7180">
        <w:rPr>
          <w:lang w:val="ru-RU"/>
        </w:rPr>
        <w:t>о</w:t>
      </w:r>
      <w:r w:rsidR="00B356D8" w:rsidRPr="00B356D8">
        <w:rPr>
          <w:lang w:val="ru-RU"/>
        </w:rPr>
        <w:t>пределить процесс и сроки подготовки оценки;</w:t>
      </w:r>
    </w:p>
    <w:p w:rsidR="00D475FE" w:rsidRPr="00B356D8" w:rsidRDefault="00D475FE" w:rsidP="000553A0">
      <w:pPr>
        <w:pStyle w:val="SingleTxtG"/>
        <w:rPr>
          <w:lang w:val="ru-RU"/>
        </w:rPr>
      </w:pPr>
      <w:r w:rsidRPr="00B356D8">
        <w:rPr>
          <w:lang w:val="ru-RU"/>
        </w:rPr>
        <w:tab/>
      </w:r>
      <w:r w:rsidR="00B356D8" w:rsidRPr="00B356D8">
        <w:rPr>
          <w:lang w:val="ru-RU"/>
        </w:rPr>
        <w:t>(</w:t>
      </w:r>
      <w:r w:rsidR="00B356D8">
        <w:rPr>
          <w:lang w:val="ru-RU"/>
        </w:rPr>
        <w:t>в</w:t>
      </w:r>
      <w:r w:rsidRPr="00B356D8">
        <w:rPr>
          <w:lang w:val="ru-RU"/>
        </w:rPr>
        <w:t>)</w:t>
      </w:r>
      <w:r w:rsidRPr="00B356D8">
        <w:rPr>
          <w:lang w:val="ru-RU"/>
        </w:rPr>
        <w:tab/>
      </w:r>
      <w:r w:rsidR="006D7180">
        <w:rPr>
          <w:lang w:val="ru-RU"/>
        </w:rPr>
        <w:t>р</w:t>
      </w:r>
      <w:r w:rsidR="00B356D8" w:rsidRPr="00B356D8">
        <w:rPr>
          <w:lang w:val="ru-RU"/>
        </w:rPr>
        <w:t>ассмотреть варианты сферы охвата и формы оценки.</w:t>
      </w:r>
    </w:p>
    <w:p w:rsidR="00D475FE" w:rsidRPr="00A436A6" w:rsidRDefault="00D475FE" w:rsidP="00565F4A">
      <w:pPr>
        <w:pStyle w:val="H1G"/>
        <w:rPr>
          <w:lang w:val="ru-RU"/>
        </w:rPr>
      </w:pPr>
      <w:r w:rsidRPr="00B356D8">
        <w:rPr>
          <w:lang w:val="ru-RU"/>
        </w:rPr>
        <w:tab/>
      </w:r>
      <w:r w:rsidR="00A436A6">
        <w:t>A</w:t>
      </w:r>
      <w:r w:rsidR="00A436A6" w:rsidRPr="0088409D">
        <w:rPr>
          <w:lang w:val="ru-RU"/>
        </w:rPr>
        <w:t>.</w:t>
      </w:r>
      <w:r w:rsidR="00A436A6" w:rsidRPr="0088409D">
        <w:rPr>
          <w:lang w:val="ru-RU"/>
        </w:rPr>
        <w:tab/>
      </w:r>
      <w:r w:rsidR="00A436A6">
        <w:rPr>
          <w:lang w:val="ru-RU"/>
        </w:rPr>
        <w:t>Элементы для рассмотрения</w:t>
      </w:r>
    </w:p>
    <w:p w:rsidR="00463AB1" w:rsidRPr="00463AB1" w:rsidRDefault="00D475FE">
      <w:pPr>
        <w:pStyle w:val="SingleTxtG"/>
        <w:rPr>
          <w:lang w:val="ru-RU"/>
        </w:rPr>
      </w:pPr>
      <w:r w:rsidRPr="0088409D">
        <w:rPr>
          <w:lang w:val="ru-RU"/>
        </w:rPr>
        <w:t>24.</w:t>
      </w:r>
      <w:r w:rsidRPr="0088409D">
        <w:rPr>
          <w:lang w:val="ru-RU"/>
        </w:rPr>
        <w:tab/>
      </w:r>
      <w:r w:rsidR="00463AB1" w:rsidRPr="00463AB1">
        <w:rPr>
          <w:lang w:val="ru-RU"/>
        </w:rPr>
        <w:t>При раз</w:t>
      </w:r>
      <w:r w:rsidR="0088409D">
        <w:rPr>
          <w:lang w:val="ru-RU"/>
        </w:rPr>
        <w:t>работке концепции следующей панъ</w:t>
      </w:r>
      <w:r w:rsidR="00463AB1" w:rsidRPr="00463AB1">
        <w:rPr>
          <w:lang w:val="ru-RU"/>
        </w:rPr>
        <w:t xml:space="preserve">европейской экологической оценки на основе вопросов, поднятых в главах </w:t>
      </w:r>
      <w:r w:rsidR="00463AB1" w:rsidRPr="00463AB1">
        <w:t>II</w:t>
      </w:r>
      <w:r w:rsidR="00463AB1" w:rsidRPr="00463AB1">
        <w:rPr>
          <w:lang w:val="ru-RU"/>
        </w:rPr>
        <w:t xml:space="preserve"> и </w:t>
      </w:r>
      <w:r w:rsidR="00463AB1" w:rsidRPr="00463AB1">
        <w:t>III</w:t>
      </w:r>
      <w:r w:rsidR="0088409D">
        <w:rPr>
          <w:lang w:val="ru-RU"/>
        </w:rPr>
        <w:t>, необходимо учитывать следующие элементы:</w:t>
      </w:r>
    </w:p>
    <w:p w:rsidR="00637BA7" w:rsidRPr="00424ED4" w:rsidRDefault="00424ED4" w:rsidP="00424ED4">
      <w:pPr>
        <w:pStyle w:val="SingleTxtG"/>
        <w:ind w:firstLine="567"/>
        <w:rPr>
          <w:lang w:val="ru-RU"/>
        </w:rPr>
      </w:pPr>
      <w:r w:rsidRPr="00424ED4">
        <w:rPr>
          <w:lang w:val="ru-RU"/>
        </w:rPr>
        <w:t>(</w:t>
      </w:r>
      <w:r>
        <w:t>a</w:t>
      </w:r>
      <w:r w:rsidRPr="00424ED4">
        <w:rPr>
          <w:lang w:val="ru-RU"/>
        </w:rPr>
        <w:t>)</w:t>
      </w:r>
      <w:r w:rsidRPr="00424ED4">
        <w:rPr>
          <w:lang w:val="ru-RU"/>
        </w:rPr>
        <w:tab/>
      </w:r>
      <w:r w:rsidR="006D7180">
        <w:rPr>
          <w:lang w:val="ru-RU"/>
        </w:rPr>
        <w:t>м</w:t>
      </w:r>
      <w:r w:rsidR="00F82A88">
        <w:rPr>
          <w:lang w:val="ru-RU"/>
        </w:rPr>
        <w:t>андат предполагает</w:t>
      </w:r>
      <w:r w:rsidR="00B76A6E">
        <w:rPr>
          <w:lang w:val="ru-RU"/>
        </w:rPr>
        <w:t xml:space="preserve"> регулярный процесс</w:t>
      </w:r>
      <w:r w:rsidR="00B76A6E" w:rsidRPr="00B76A6E">
        <w:rPr>
          <w:lang w:val="ru-RU"/>
        </w:rPr>
        <w:t xml:space="preserve"> </w:t>
      </w:r>
      <w:r w:rsidR="00B76A6E">
        <w:rPr>
          <w:lang w:val="ru-RU"/>
        </w:rPr>
        <w:t>экологической</w:t>
      </w:r>
      <w:r w:rsidR="00B76A6E" w:rsidRPr="00B76A6E">
        <w:rPr>
          <w:lang w:val="ru-RU"/>
        </w:rPr>
        <w:t xml:space="preserve"> </w:t>
      </w:r>
      <w:r w:rsidR="00BF5093">
        <w:rPr>
          <w:lang w:val="ru-RU"/>
        </w:rPr>
        <w:t>оценки в панъ</w:t>
      </w:r>
      <w:r w:rsidR="00637BA7" w:rsidRPr="00637BA7">
        <w:rPr>
          <w:lang w:val="ru-RU"/>
        </w:rPr>
        <w:t>европейском регионе на осн</w:t>
      </w:r>
      <w:r w:rsidR="00B76A6E">
        <w:rPr>
          <w:lang w:val="ru-RU"/>
        </w:rPr>
        <w:t>ове СЕИС</w:t>
      </w:r>
      <w:r w:rsidR="00B76A6E" w:rsidRPr="00B76A6E">
        <w:rPr>
          <w:lang w:val="ru-RU"/>
        </w:rPr>
        <w:t xml:space="preserve"> </w:t>
      </w:r>
      <w:r w:rsidR="00637BA7" w:rsidRPr="00637BA7">
        <w:rPr>
          <w:lang w:val="ru-RU"/>
        </w:rPr>
        <w:t>(для начал</w:t>
      </w:r>
      <w:r>
        <w:rPr>
          <w:lang w:val="ru-RU"/>
        </w:rPr>
        <w:t xml:space="preserve">а это было “и”, а не “на основе”, т. е. отдельный мандат на </w:t>
      </w:r>
      <w:r w:rsidR="00637BA7" w:rsidRPr="00637BA7">
        <w:rPr>
          <w:lang w:val="ru-RU"/>
        </w:rPr>
        <w:t xml:space="preserve">общеевропейскую оценку </w:t>
      </w:r>
      <w:r>
        <w:rPr>
          <w:lang w:val="ru-RU"/>
        </w:rPr>
        <w:t>и отдельный мандат на СЕИС, не связанные между собой</w:t>
      </w:r>
      <w:r w:rsidR="00637BA7" w:rsidRPr="00637BA7">
        <w:rPr>
          <w:lang w:val="ru-RU"/>
        </w:rPr>
        <w:t>);</w:t>
      </w:r>
    </w:p>
    <w:p w:rsidR="00B76A6E" w:rsidRPr="00B76A6E" w:rsidRDefault="0071487C" w:rsidP="00CD7676">
      <w:pPr>
        <w:pStyle w:val="SingleTxtG"/>
        <w:ind w:firstLine="567"/>
        <w:rPr>
          <w:lang w:val="ru-RU"/>
        </w:rPr>
      </w:pPr>
      <w:r w:rsidRPr="00CD7676">
        <w:rPr>
          <w:lang w:val="ru-RU"/>
        </w:rPr>
        <w:lastRenderedPageBreak/>
        <w:t>(</w:t>
      </w:r>
      <w:r>
        <w:rPr>
          <w:lang w:val="ru-RU"/>
        </w:rPr>
        <w:t>б</w:t>
      </w:r>
      <w:r w:rsidR="00D475FE" w:rsidRPr="00CD7676">
        <w:rPr>
          <w:lang w:val="ru-RU"/>
        </w:rPr>
        <w:t>)</w:t>
      </w:r>
      <w:r w:rsidR="00D475FE" w:rsidRPr="00CD7676">
        <w:rPr>
          <w:lang w:val="ru-RU"/>
        </w:rPr>
        <w:tab/>
        <w:t xml:space="preserve"> </w:t>
      </w:r>
      <w:r w:rsidR="006D7180">
        <w:rPr>
          <w:lang w:val="ru-RU"/>
        </w:rPr>
        <w:t>к</w:t>
      </w:r>
      <w:r w:rsidR="00B76A6E" w:rsidRPr="00B76A6E">
        <w:rPr>
          <w:lang w:val="ru-RU"/>
        </w:rPr>
        <w:t>омплексная оценка позволила бы: объедини</w:t>
      </w:r>
      <w:r w:rsidR="00312BF5">
        <w:rPr>
          <w:lang w:val="ru-RU"/>
        </w:rPr>
        <w:t>ть и оценить</w:t>
      </w:r>
      <w:r w:rsidR="00B76A6E" w:rsidRPr="00B76A6E">
        <w:rPr>
          <w:lang w:val="ru-RU"/>
        </w:rPr>
        <w:t xml:space="preserve"> данные, </w:t>
      </w:r>
      <w:r w:rsidR="00CD7676">
        <w:rPr>
          <w:lang w:val="ru-RU"/>
        </w:rPr>
        <w:t>инфор</w:t>
      </w:r>
      <w:r w:rsidR="00312BF5">
        <w:rPr>
          <w:lang w:val="ru-RU"/>
        </w:rPr>
        <w:t>мацию и знания; и способствовать</w:t>
      </w:r>
      <w:r w:rsidR="00CD7676">
        <w:rPr>
          <w:lang w:val="ru-RU"/>
        </w:rPr>
        <w:t xml:space="preserve"> пониманию</w:t>
      </w:r>
      <w:r w:rsidR="00B76A6E" w:rsidRPr="00B76A6E">
        <w:rPr>
          <w:lang w:val="ru-RU"/>
        </w:rPr>
        <w:t xml:space="preserve"> состояния окружающей среды </w:t>
      </w:r>
      <w:r w:rsidR="00DF7845">
        <w:rPr>
          <w:lang w:val="ru-RU"/>
        </w:rPr>
        <w:t>при этом оценивать</w:t>
      </w:r>
      <w:r w:rsidR="00312BF5">
        <w:rPr>
          <w:lang w:val="ru-RU"/>
        </w:rPr>
        <w:t xml:space="preserve"> прогресс</w:t>
      </w:r>
      <w:r w:rsidR="00B76A6E" w:rsidRPr="00B76A6E">
        <w:rPr>
          <w:lang w:val="ru-RU"/>
        </w:rPr>
        <w:t xml:space="preserve"> в достижении согласованных политических целей;</w:t>
      </w:r>
    </w:p>
    <w:p w:rsidR="00B76A6E" w:rsidRPr="00B76A6E" w:rsidRDefault="00B76A6E">
      <w:pPr>
        <w:pStyle w:val="SingleTxtG"/>
        <w:ind w:firstLine="567"/>
        <w:rPr>
          <w:lang w:val="ru-RU"/>
        </w:rPr>
      </w:pPr>
    </w:p>
    <w:p w:rsidR="00B76A6E" w:rsidRPr="00B76A6E" w:rsidRDefault="0071487C">
      <w:pPr>
        <w:pStyle w:val="SingleTxtG"/>
        <w:ind w:firstLine="567"/>
        <w:rPr>
          <w:lang w:val="ru-RU"/>
        </w:rPr>
      </w:pPr>
      <w:r w:rsidRPr="00CD7676">
        <w:rPr>
          <w:lang w:val="ru-RU"/>
        </w:rPr>
        <w:t>(</w:t>
      </w:r>
      <w:r>
        <w:rPr>
          <w:lang w:val="ru-RU"/>
        </w:rPr>
        <w:t>в</w:t>
      </w:r>
      <w:r w:rsidR="00CD7676" w:rsidRPr="00CD7676">
        <w:rPr>
          <w:lang w:val="ru-RU"/>
        </w:rPr>
        <w:t>)</w:t>
      </w:r>
      <w:r w:rsidR="00CD7676" w:rsidRPr="00CD7676">
        <w:rPr>
          <w:lang w:val="ru-RU"/>
        </w:rPr>
        <w:tab/>
      </w:r>
      <w:r w:rsidR="00CD7676">
        <w:rPr>
          <w:lang w:val="ru-RU"/>
        </w:rPr>
        <w:t>СЕИС</w:t>
      </w:r>
      <w:r w:rsidR="00B76A6E" w:rsidRPr="00B76A6E">
        <w:rPr>
          <w:lang w:val="ru-RU"/>
        </w:rPr>
        <w:t xml:space="preserve"> является базой знаний для </w:t>
      </w:r>
      <w:r w:rsidR="00CD7676">
        <w:rPr>
          <w:lang w:val="ru-RU"/>
        </w:rPr>
        <w:t xml:space="preserve">проведения </w:t>
      </w:r>
      <w:r w:rsidR="00B76A6E" w:rsidRPr="00B76A6E">
        <w:rPr>
          <w:lang w:val="ru-RU"/>
        </w:rPr>
        <w:t>оценки</w:t>
      </w:r>
      <w:r w:rsidR="00F16832">
        <w:rPr>
          <w:lang w:val="ru-RU"/>
        </w:rPr>
        <w:t>, включая сети, стоящие за ней</w:t>
      </w:r>
      <w:r w:rsidR="00B76A6E" w:rsidRPr="00B76A6E">
        <w:rPr>
          <w:lang w:val="ru-RU"/>
        </w:rPr>
        <w:t>;</w:t>
      </w:r>
    </w:p>
    <w:p w:rsidR="00B76A6E" w:rsidRPr="00B76A6E" w:rsidRDefault="0071487C">
      <w:pPr>
        <w:pStyle w:val="SingleTxtG"/>
        <w:ind w:firstLine="567"/>
        <w:rPr>
          <w:lang w:val="ru-RU"/>
        </w:rPr>
      </w:pPr>
      <w:r w:rsidRPr="00CD7676">
        <w:rPr>
          <w:lang w:val="ru-RU"/>
        </w:rPr>
        <w:t>(</w:t>
      </w:r>
      <w:r>
        <w:rPr>
          <w:lang w:val="ru-RU"/>
        </w:rPr>
        <w:t>г</w:t>
      </w:r>
      <w:r w:rsidR="00D475FE" w:rsidRPr="00CD7676">
        <w:rPr>
          <w:lang w:val="ru-RU"/>
        </w:rPr>
        <w:t>)</w:t>
      </w:r>
      <w:r w:rsidR="00D475FE" w:rsidRPr="00CD7676">
        <w:rPr>
          <w:lang w:val="ru-RU"/>
        </w:rPr>
        <w:tab/>
      </w:r>
      <w:r w:rsidR="00CD7676">
        <w:rPr>
          <w:lang w:val="ru-RU"/>
        </w:rPr>
        <w:t>«</w:t>
      </w:r>
      <w:r w:rsidR="00C06E9F">
        <w:rPr>
          <w:lang w:val="ru-RU"/>
        </w:rPr>
        <w:t>ЮНЕП</w:t>
      </w:r>
      <w:r w:rsidR="00CD7676">
        <w:rPr>
          <w:lang w:val="ru-RU"/>
        </w:rPr>
        <w:t xml:space="preserve"> в прямом включении»</w:t>
      </w:r>
      <w:r w:rsidR="00B76A6E" w:rsidRPr="00B76A6E">
        <w:rPr>
          <w:lang w:val="ru-RU"/>
        </w:rPr>
        <w:t xml:space="preserve"> является </w:t>
      </w:r>
      <w:r w:rsidR="00F16832">
        <w:rPr>
          <w:lang w:val="ru-RU"/>
        </w:rPr>
        <w:t>платформой. Она собирает информацию, которая доступна на региональном уровне, включая информацию ЕАОС</w:t>
      </w:r>
      <w:r w:rsidR="00B76A6E" w:rsidRPr="00B76A6E">
        <w:rPr>
          <w:lang w:val="ru-RU"/>
        </w:rPr>
        <w:t>;</w:t>
      </w:r>
    </w:p>
    <w:p w:rsidR="00B76A6E" w:rsidRPr="00CD7676" w:rsidRDefault="0071487C" w:rsidP="00CD7676">
      <w:pPr>
        <w:pStyle w:val="SingleTxtG"/>
        <w:ind w:firstLine="567"/>
        <w:rPr>
          <w:lang w:val="ru-RU"/>
        </w:rPr>
      </w:pPr>
      <w:r w:rsidRPr="00CD7676">
        <w:rPr>
          <w:lang w:val="ru-RU"/>
        </w:rPr>
        <w:t>(</w:t>
      </w:r>
      <w:r>
        <w:rPr>
          <w:lang w:val="ru-RU"/>
        </w:rPr>
        <w:t>д</w:t>
      </w:r>
      <w:r w:rsidR="00D475FE" w:rsidRPr="00CD7676">
        <w:rPr>
          <w:lang w:val="ru-RU"/>
        </w:rPr>
        <w:t>)</w:t>
      </w:r>
      <w:r w:rsidR="00D475FE" w:rsidRPr="00CD7676">
        <w:rPr>
          <w:lang w:val="ru-RU"/>
        </w:rPr>
        <w:tab/>
      </w:r>
      <w:r w:rsidR="006D7180">
        <w:rPr>
          <w:lang w:val="ru-RU"/>
        </w:rPr>
        <w:t>г</w:t>
      </w:r>
      <w:r w:rsidR="00E22E6C">
        <w:rPr>
          <w:lang w:val="ru-RU"/>
        </w:rPr>
        <w:t xml:space="preserve">осударствам-членам должна быть предоставлена возможность участвовать </w:t>
      </w:r>
      <w:r w:rsidR="00DF07D1">
        <w:rPr>
          <w:lang w:val="ru-RU"/>
        </w:rPr>
        <w:t>в подготовке оценки</w:t>
      </w:r>
      <w:r w:rsidR="00B76A6E" w:rsidRPr="00B76A6E">
        <w:rPr>
          <w:lang w:val="ru-RU"/>
        </w:rPr>
        <w:t>;</w:t>
      </w:r>
    </w:p>
    <w:p w:rsidR="00B76A6E" w:rsidRPr="00140E3F" w:rsidRDefault="0071487C" w:rsidP="00140E3F">
      <w:pPr>
        <w:pStyle w:val="SingleTxtG"/>
        <w:ind w:firstLine="567"/>
        <w:rPr>
          <w:lang w:val="ru-RU"/>
        </w:rPr>
      </w:pPr>
      <w:r w:rsidRPr="00140E3F">
        <w:rPr>
          <w:lang w:val="ru-RU"/>
        </w:rPr>
        <w:t>(</w:t>
      </w:r>
      <w:r>
        <w:rPr>
          <w:lang w:val="ru-RU"/>
        </w:rPr>
        <w:t>е</w:t>
      </w:r>
      <w:r w:rsidR="00D475FE" w:rsidRPr="00140E3F">
        <w:rPr>
          <w:lang w:val="ru-RU"/>
        </w:rPr>
        <w:t>)</w:t>
      </w:r>
      <w:r w:rsidR="00D475FE" w:rsidRPr="00140E3F">
        <w:rPr>
          <w:lang w:val="ru-RU"/>
        </w:rPr>
        <w:tab/>
      </w:r>
      <w:r w:rsidR="006D7180">
        <w:rPr>
          <w:lang w:val="ru-RU"/>
        </w:rPr>
        <w:t>н</w:t>
      </w:r>
      <w:r w:rsidR="00B76A6E" w:rsidRPr="00B76A6E">
        <w:rPr>
          <w:lang w:val="ru-RU"/>
        </w:rPr>
        <w:t>еобходимо обеспечить четкое авторство, четкую</w:t>
      </w:r>
      <w:r w:rsidR="00EB6AD7">
        <w:rPr>
          <w:lang w:val="ru-RU"/>
        </w:rPr>
        <w:t xml:space="preserve"> ответственность и четкую роль Р</w:t>
      </w:r>
      <w:r w:rsidR="00B76A6E" w:rsidRPr="00B76A6E">
        <w:rPr>
          <w:lang w:val="ru-RU"/>
        </w:rPr>
        <w:t>абочей группы;</w:t>
      </w:r>
    </w:p>
    <w:p w:rsidR="00B76A6E" w:rsidRPr="00140E3F" w:rsidRDefault="0071487C" w:rsidP="00140E3F">
      <w:pPr>
        <w:pStyle w:val="SingleTxtG"/>
        <w:ind w:firstLine="567"/>
        <w:rPr>
          <w:lang w:val="ru-RU"/>
        </w:rPr>
      </w:pPr>
      <w:r w:rsidRPr="00140E3F">
        <w:rPr>
          <w:lang w:val="ru-RU"/>
        </w:rPr>
        <w:t>(</w:t>
      </w:r>
      <w:r>
        <w:rPr>
          <w:lang w:val="ru-RU"/>
        </w:rPr>
        <w:t>ж</w:t>
      </w:r>
      <w:r w:rsidR="00D475FE" w:rsidRPr="00140E3F">
        <w:rPr>
          <w:lang w:val="ru-RU"/>
        </w:rPr>
        <w:t>)</w:t>
      </w:r>
      <w:r w:rsidR="00D475FE" w:rsidRPr="00140E3F">
        <w:rPr>
          <w:lang w:val="ru-RU"/>
        </w:rPr>
        <w:tab/>
      </w:r>
      <w:r w:rsidR="006D7180">
        <w:rPr>
          <w:lang w:val="ru-RU"/>
        </w:rPr>
        <w:t>к</w:t>
      </w:r>
      <w:r w:rsidR="00B76A6E" w:rsidRPr="00B76A6E">
        <w:rPr>
          <w:lang w:val="ru-RU"/>
        </w:rPr>
        <w:t>омитет по экологической политике должен принять окончательное решение по проектам посланий для Министров;</w:t>
      </w:r>
    </w:p>
    <w:p w:rsidR="00140E3F" w:rsidRDefault="0071487C" w:rsidP="00140E3F">
      <w:pPr>
        <w:pStyle w:val="SingleTxtG"/>
        <w:ind w:firstLine="567"/>
        <w:rPr>
          <w:lang w:val="ru-RU"/>
        </w:rPr>
      </w:pPr>
      <w:r w:rsidRPr="00140E3F">
        <w:rPr>
          <w:lang w:val="ru-RU"/>
        </w:rPr>
        <w:t>(</w:t>
      </w:r>
      <w:r>
        <w:rPr>
          <w:lang w:val="ru-RU"/>
        </w:rPr>
        <w:t>з</w:t>
      </w:r>
      <w:r w:rsidR="00D475FE" w:rsidRPr="00140E3F">
        <w:rPr>
          <w:lang w:val="ru-RU"/>
        </w:rPr>
        <w:t>)</w:t>
      </w:r>
      <w:r w:rsidR="00D475FE" w:rsidRPr="00140E3F">
        <w:rPr>
          <w:lang w:val="ru-RU"/>
        </w:rPr>
        <w:tab/>
      </w:r>
      <w:r w:rsidR="006D7180">
        <w:rPr>
          <w:lang w:val="ru-RU"/>
        </w:rPr>
        <w:t>в</w:t>
      </w:r>
      <w:r w:rsidR="00B76A6E" w:rsidRPr="00B76A6E">
        <w:rPr>
          <w:lang w:val="ru-RU"/>
        </w:rPr>
        <w:t xml:space="preserve"> то же время оценка должна продемонстрировать, что </w:t>
      </w:r>
      <w:r w:rsidR="00140E3F">
        <w:rPr>
          <w:lang w:val="ru-RU"/>
        </w:rPr>
        <w:t>СЕИС</w:t>
      </w:r>
      <w:r w:rsidR="00B76A6E" w:rsidRPr="00B76A6E">
        <w:rPr>
          <w:lang w:val="ru-RU"/>
        </w:rPr>
        <w:t xml:space="preserve"> была создана;</w:t>
      </w:r>
    </w:p>
    <w:p w:rsidR="00B76A6E" w:rsidRPr="00B76A6E" w:rsidRDefault="0071487C" w:rsidP="00140E3F">
      <w:pPr>
        <w:pStyle w:val="SingleTxtG"/>
        <w:ind w:firstLine="567"/>
        <w:rPr>
          <w:lang w:val="ru-RU"/>
        </w:rPr>
      </w:pPr>
      <w:r w:rsidRPr="00140E3F">
        <w:rPr>
          <w:lang w:val="ru-RU"/>
        </w:rPr>
        <w:t>(</w:t>
      </w:r>
      <w:r>
        <w:rPr>
          <w:lang w:val="ru-RU"/>
        </w:rPr>
        <w:t>и</w:t>
      </w:r>
      <w:r w:rsidR="00140E3F" w:rsidRPr="00140E3F">
        <w:rPr>
          <w:lang w:val="ru-RU"/>
        </w:rPr>
        <w:t>)</w:t>
      </w:r>
      <w:r w:rsidR="00140E3F" w:rsidRPr="00140E3F">
        <w:rPr>
          <w:lang w:val="ru-RU"/>
        </w:rPr>
        <w:tab/>
      </w:r>
      <w:r w:rsidR="006D7180">
        <w:rPr>
          <w:lang w:val="ru-RU"/>
        </w:rPr>
        <w:t>о</w:t>
      </w:r>
      <w:r w:rsidR="00B76A6E" w:rsidRPr="00B76A6E">
        <w:rPr>
          <w:lang w:val="ru-RU"/>
        </w:rPr>
        <w:t>це</w:t>
      </w:r>
      <w:r w:rsidR="00140E3F">
        <w:rPr>
          <w:lang w:val="ru-RU"/>
        </w:rPr>
        <w:t>нка должна быть привязана к Программе по устойчивому развитию до 2030</w:t>
      </w:r>
      <w:r w:rsidR="00B76A6E" w:rsidRPr="00B76A6E">
        <w:rPr>
          <w:lang w:val="ru-RU"/>
        </w:rPr>
        <w:t>;</w:t>
      </w:r>
    </w:p>
    <w:p w:rsidR="00600976" w:rsidRDefault="0071487C">
      <w:pPr>
        <w:pStyle w:val="SingleTxtG"/>
        <w:ind w:firstLine="567"/>
        <w:rPr>
          <w:lang w:val="ru-RU"/>
        </w:rPr>
      </w:pPr>
      <w:r w:rsidRPr="00140E3F">
        <w:rPr>
          <w:lang w:val="ru-RU"/>
        </w:rPr>
        <w:t>(</w:t>
      </w:r>
      <w:r>
        <w:rPr>
          <w:lang w:val="ru-RU"/>
        </w:rPr>
        <w:t>к</w:t>
      </w:r>
      <w:r w:rsidR="00D475FE" w:rsidRPr="00140E3F">
        <w:rPr>
          <w:lang w:val="ru-RU"/>
        </w:rPr>
        <w:t>)</w:t>
      </w:r>
      <w:r w:rsidR="00D475FE" w:rsidRPr="00140E3F">
        <w:rPr>
          <w:lang w:val="ru-RU"/>
        </w:rPr>
        <w:tab/>
      </w:r>
      <w:r w:rsidR="006D7180">
        <w:rPr>
          <w:lang w:val="ru-RU"/>
        </w:rPr>
        <w:t>о</w:t>
      </w:r>
      <w:r w:rsidR="00B76A6E" w:rsidRPr="00B76A6E">
        <w:rPr>
          <w:lang w:val="ru-RU"/>
        </w:rPr>
        <w:t>ценка должна также к</w:t>
      </w:r>
      <w:r w:rsidR="00140E3F">
        <w:rPr>
          <w:lang w:val="ru-RU"/>
        </w:rPr>
        <w:t>асаться зеленой экономики в панъ</w:t>
      </w:r>
      <w:r w:rsidR="00600976">
        <w:rPr>
          <w:lang w:val="ru-RU"/>
        </w:rPr>
        <w:t>европейском регионе;</w:t>
      </w:r>
    </w:p>
    <w:p w:rsidR="00B76A6E" w:rsidRPr="00B76A6E" w:rsidRDefault="00600976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(л)    </w:t>
      </w:r>
      <w:r w:rsidR="006D7180">
        <w:rPr>
          <w:lang w:val="ru-RU"/>
        </w:rPr>
        <w:t>в</w:t>
      </w:r>
      <w:r>
        <w:rPr>
          <w:lang w:val="ru-RU"/>
        </w:rPr>
        <w:t xml:space="preserve"> целях упорядочения</w:t>
      </w:r>
      <w:r w:rsidRPr="00600976">
        <w:rPr>
          <w:lang w:val="ru-RU"/>
        </w:rPr>
        <w:t xml:space="preserve"> отчетности на региональном уровне</w:t>
      </w:r>
      <w:r>
        <w:rPr>
          <w:lang w:val="ru-RU"/>
        </w:rPr>
        <w:t>,</w:t>
      </w:r>
      <w:r w:rsidRPr="00600976">
        <w:rPr>
          <w:lang w:val="ru-RU"/>
        </w:rPr>
        <w:t xml:space="preserve"> выводы и оценки ЕАОС SOER 2020 должны</w:t>
      </w:r>
      <w:r>
        <w:rPr>
          <w:lang w:val="ru-RU"/>
        </w:rPr>
        <w:t>,</w:t>
      </w:r>
      <w:r w:rsidRPr="00600976">
        <w:rPr>
          <w:lang w:val="ru-RU"/>
        </w:rPr>
        <w:t xml:space="preserve"> в значительной степени</w:t>
      </w:r>
      <w:r>
        <w:rPr>
          <w:lang w:val="ru-RU"/>
        </w:rPr>
        <w:t>,</w:t>
      </w:r>
      <w:r w:rsidRPr="00600976">
        <w:rPr>
          <w:lang w:val="ru-RU"/>
        </w:rPr>
        <w:t xml:space="preserve"> использоваться и</w:t>
      </w:r>
      <w:r>
        <w:rPr>
          <w:lang w:val="ru-RU"/>
        </w:rPr>
        <w:t>,</w:t>
      </w:r>
      <w:r w:rsidRPr="00600976">
        <w:rPr>
          <w:lang w:val="ru-RU"/>
        </w:rPr>
        <w:t xml:space="preserve"> в конечном итоге</w:t>
      </w:r>
      <w:r>
        <w:rPr>
          <w:lang w:val="ru-RU"/>
        </w:rPr>
        <w:t>,</w:t>
      </w:r>
      <w:r w:rsidRPr="00600976">
        <w:rPr>
          <w:lang w:val="ru-RU"/>
        </w:rPr>
        <w:t xml:space="preserve"> дополняться дополнительными элементами, охватывающими остальные страны региона.</w:t>
      </w:r>
    </w:p>
    <w:p w:rsidR="00D475FE" w:rsidRPr="00BE426F" w:rsidRDefault="00D475FE" w:rsidP="00565F4A">
      <w:pPr>
        <w:pStyle w:val="H1G"/>
        <w:rPr>
          <w:lang w:val="ru-RU"/>
        </w:rPr>
      </w:pPr>
      <w:r w:rsidRPr="00B76A6E">
        <w:rPr>
          <w:lang w:val="ru-RU"/>
        </w:rPr>
        <w:tab/>
      </w:r>
      <w:r w:rsidR="00BE426F">
        <w:rPr>
          <w:lang w:val="ru-RU"/>
        </w:rPr>
        <w:t>Б</w:t>
      </w:r>
      <w:r w:rsidR="00BE426F" w:rsidRPr="006F7762">
        <w:rPr>
          <w:lang w:val="ru-RU"/>
        </w:rPr>
        <w:t>.</w:t>
      </w:r>
      <w:r w:rsidR="00BE426F" w:rsidRPr="006F7762">
        <w:rPr>
          <w:lang w:val="ru-RU"/>
        </w:rPr>
        <w:tab/>
      </w:r>
      <w:r w:rsidR="00BE426F">
        <w:rPr>
          <w:lang w:val="ru-RU"/>
        </w:rPr>
        <w:t xml:space="preserve">Процесс и график </w:t>
      </w:r>
    </w:p>
    <w:p w:rsidR="0053344A" w:rsidRPr="009C7416" w:rsidRDefault="006F7762" w:rsidP="006F7762">
      <w:pPr>
        <w:pStyle w:val="SingleTxtG"/>
        <w:rPr>
          <w:lang w:val="ru-RU"/>
        </w:rPr>
      </w:pPr>
      <w:r w:rsidRPr="006F7762">
        <w:rPr>
          <w:lang w:val="ru-RU"/>
        </w:rPr>
        <w:t>25.</w:t>
      </w:r>
      <w:r w:rsidRPr="006F7762">
        <w:rPr>
          <w:lang w:val="ru-RU"/>
        </w:rPr>
        <w:tab/>
      </w:r>
      <w:r w:rsidR="0053344A" w:rsidRPr="006F7762">
        <w:rPr>
          <w:lang w:val="ru-RU"/>
        </w:rPr>
        <w:t>Рабочая группа могла бы начать с согла</w:t>
      </w:r>
      <w:r>
        <w:rPr>
          <w:lang w:val="ru-RU"/>
        </w:rPr>
        <w:t>сования общего подхода (раздел В</w:t>
      </w:r>
      <w:r w:rsidR="0053344A" w:rsidRPr="006F7762">
        <w:rPr>
          <w:lang w:val="ru-RU"/>
        </w:rPr>
        <w:t xml:space="preserve"> ниже) и процесса, который будет предложен Комитету по экологической политике в январе 2019 года. Период между двадцать третьей и двадцать четвертой сессиями Комитета (январь и ноябрь 2019 года) можно бы</w:t>
      </w:r>
      <w:r>
        <w:rPr>
          <w:lang w:val="ru-RU"/>
        </w:rPr>
        <w:t>ло бы использовать для усовершенствования</w:t>
      </w:r>
      <w:r w:rsidR="0053344A" w:rsidRPr="006F7762">
        <w:rPr>
          <w:lang w:val="ru-RU"/>
        </w:rPr>
        <w:t xml:space="preserve"> подхода, подлежащего согласованию </w:t>
      </w:r>
      <w:r w:rsidR="0053344A" w:rsidRPr="009C7416">
        <w:rPr>
          <w:lang w:val="ru-RU"/>
        </w:rPr>
        <w:t>Комитетом на его двадцать пятой сессии.</w:t>
      </w:r>
    </w:p>
    <w:p w:rsidR="006F7762" w:rsidRPr="009C7416" w:rsidRDefault="00D475FE" w:rsidP="006F7762">
      <w:pPr>
        <w:pStyle w:val="SingleTxtG"/>
        <w:rPr>
          <w:lang w:val="ru-RU"/>
        </w:rPr>
      </w:pPr>
      <w:r w:rsidRPr="006F7762">
        <w:rPr>
          <w:lang w:val="ru-RU"/>
        </w:rPr>
        <w:t>26.</w:t>
      </w:r>
      <w:r w:rsidRPr="006F7762">
        <w:rPr>
          <w:lang w:val="ru-RU"/>
        </w:rPr>
        <w:tab/>
      </w:r>
      <w:r w:rsidR="006F7762" w:rsidRPr="006F7762">
        <w:rPr>
          <w:lang w:val="ru-RU"/>
        </w:rPr>
        <w:t xml:space="preserve">Страны на основе своих национальных или субрегиональных докладов о состоянии окружающей среды могли бы определить </w:t>
      </w:r>
      <w:r w:rsidR="006F7762">
        <w:rPr>
          <w:lang w:val="ru-RU"/>
        </w:rPr>
        <w:t xml:space="preserve">интересующие приоритетные темы </w:t>
      </w:r>
      <w:r w:rsidR="006F7762" w:rsidRPr="006F7762">
        <w:rPr>
          <w:lang w:val="ru-RU"/>
        </w:rPr>
        <w:t xml:space="preserve">после двадцать четвертой сессии Комитета по экологической политике (январь 2019 года) </w:t>
      </w:r>
      <w:r w:rsidR="006F7762">
        <w:rPr>
          <w:lang w:val="ru-RU"/>
        </w:rPr>
        <w:t xml:space="preserve">для </w:t>
      </w:r>
      <w:r w:rsidR="006F7762" w:rsidRPr="006F7762">
        <w:rPr>
          <w:lang w:val="ru-RU"/>
        </w:rPr>
        <w:t>двадцать пятой сессии (Ноябрь 2019 года). Эта информация мо</w:t>
      </w:r>
      <w:r w:rsidR="006F7762">
        <w:rPr>
          <w:lang w:val="ru-RU"/>
        </w:rPr>
        <w:t xml:space="preserve">гла способствовать обсуждению тематик  </w:t>
      </w:r>
      <w:r w:rsidR="00766885">
        <w:rPr>
          <w:lang w:val="ru-RU"/>
        </w:rPr>
        <w:t xml:space="preserve">в </w:t>
      </w:r>
      <w:r w:rsidR="006F7762">
        <w:rPr>
          <w:lang w:val="ru-RU"/>
        </w:rPr>
        <w:t xml:space="preserve">рамках </w:t>
      </w:r>
      <w:r w:rsidR="006F7762" w:rsidRPr="006F7762">
        <w:rPr>
          <w:lang w:val="ru-RU"/>
        </w:rPr>
        <w:t>двадца</w:t>
      </w:r>
      <w:r w:rsidR="006F7762">
        <w:rPr>
          <w:lang w:val="ru-RU"/>
        </w:rPr>
        <w:t>ть пятой</w:t>
      </w:r>
      <w:r w:rsidR="009139EE">
        <w:rPr>
          <w:lang w:val="ru-RU"/>
        </w:rPr>
        <w:t xml:space="preserve"> сессии Комитета для следующей Конференции м</w:t>
      </w:r>
      <w:r w:rsidR="006F7762" w:rsidRPr="006F7762">
        <w:rPr>
          <w:lang w:val="ru-RU"/>
        </w:rPr>
        <w:t>инистров.</w:t>
      </w:r>
    </w:p>
    <w:p w:rsidR="00867CCE" w:rsidRDefault="001730E7" w:rsidP="00867CCE">
      <w:pPr>
        <w:pStyle w:val="SingleTxtG"/>
        <w:rPr>
          <w:lang w:val="ru-RU"/>
        </w:rPr>
      </w:pPr>
      <w:r w:rsidRPr="001805A6">
        <w:rPr>
          <w:lang w:val="ru-RU"/>
        </w:rPr>
        <w:t>27.</w:t>
      </w:r>
      <w:r w:rsidRPr="001805A6">
        <w:rPr>
          <w:lang w:val="ru-RU"/>
        </w:rPr>
        <w:tab/>
      </w:r>
      <w:r w:rsidR="004F1E1E">
        <w:rPr>
          <w:lang w:val="ru-RU"/>
        </w:rPr>
        <w:t>Главным образом</w:t>
      </w:r>
      <w:r w:rsidR="005A24B9" w:rsidRPr="00571D23">
        <w:rPr>
          <w:lang w:val="ru-RU"/>
        </w:rPr>
        <w:t>, 2020 год</w:t>
      </w:r>
      <w:r w:rsidR="00571D23">
        <w:rPr>
          <w:lang w:val="ru-RU"/>
        </w:rPr>
        <w:t xml:space="preserve"> будет необходим для подготовки оценки</w:t>
      </w:r>
      <w:r w:rsidR="005A24B9" w:rsidRPr="00571D23">
        <w:rPr>
          <w:lang w:val="ru-RU"/>
        </w:rPr>
        <w:t>. Рабочая групп</w:t>
      </w:r>
      <w:r w:rsidR="00631DB9">
        <w:rPr>
          <w:lang w:val="ru-RU"/>
        </w:rPr>
        <w:t xml:space="preserve">а могла бы выдвинуть предложение о </w:t>
      </w:r>
      <w:r w:rsidR="00571D23">
        <w:rPr>
          <w:lang w:val="ru-RU"/>
        </w:rPr>
        <w:t>создании редакционной</w:t>
      </w:r>
      <w:r w:rsidR="005A24B9" w:rsidRPr="00571D23">
        <w:rPr>
          <w:lang w:val="ru-RU"/>
        </w:rPr>
        <w:t xml:space="preserve"> группы для подготовки оценки</w:t>
      </w:r>
      <w:r w:rsidR="00571D23">
        <w:rPr>
          <w:lang w:val="ru-RU"/>
        </w:rPr>
        <w:t xml:space="preserve"> и Комитет принять решение по этому вопросу. Три председателя или же  заместители Председателя Комитета</w:t>
      </w:r>
      <w:r w:rsidR="004F1E1E">
        <w:rPr>
          <w:lang w:val="ru-RU"/>
        </w:rPr>
        <w:t xml:space="preserve">, Рабочей группы и Совместной целевой группы по </w:t>
      </w:r>
      <w:r w:rsidR="004363F7">
        <w:rPr>
          <w:lang w:val="ru-RU"/>
        </w:rPr>
        <w:t xml:space="preserve">экологической </w:t>
      </w:r>
      <w:r w:rsidR="004F1E1E">
        <w:rPr>
          <w:lang w:val="ru-RU"/>
        </w:rPr>
        <w:t xml:space="preserve">статистики и показателям </w:t>
      </w:r>
      <w:r w:rsidR="00571D23">
        <w:rPr>
          <w:lang w:val="ru-RU"/>
        </w:rPr>
        <w:t>могли бы возглавить</w:t>
      </w:r>
      <w:r w:rsidR="004F1E1E">
        <w:rPr>
          <w:lang w:val="ru-RU"/>
        </w:rPr>
        <w:t xml:space="preserve"> редакционную группу. Данная группа</w:t>
      </w:r>
      <w:r w:rsidR="005A24B9" w:rsidRPr="00571D23">
        <w:rPr>
          <w:lang w:val="ru-RU"/>
        </w:rPr>
        <w:t xml:space="preserve"> мог</w:t>
      </w:r>
      <w:r w:rsidR="004F1E1E">
        <w:rPr>
          <w:lang w:val="ru-RU"/>
        </w:rPr>
        <w:t>ла</w:t>
      </w:r>
      <w:r w:rsidR="005A24B9" w:rsidRPr="00571D23">
        <w:rPr>
          <w:lang w:val="ru-RU"/>
        </w:rPr>
        <w:t xml:space="preserve"> бы встречаться лично три раза, скажем, по приглашению государства-ч</w:t>
      </w:r>
      <w:r w:rsidR="004F1E1E">
        <w:rPr>
          <w:lang w:val="ru-RU"/>
        </w:rPr>
        <w:t>лена или же работать с использованием виртуальных средств. Редакционная группа</w:t>
      </w:r>
      <w:r>
        <w:rPr>
          <w:lang w:val="ru-RU"/>
        </w:rPr>
        <w:t xml:space="preserve"> могла</w:t>
      </w:r>
      <w:r w:rsidR="005A24B9" w:rsidRPr="00571D23">
        <w:rPr>
          <w:lang w:val="ru-RU"/>
        </w:rPr>
        <w:t xml:space="preserve"> бы </w:t>
      </w:r>
      <w:r w:rsidR="004F1E1E">
        <w:rPr>
          <w:lang w:val="ru-RU"/>
        </w:rPr>
        <w:t>работать при поддержке</w:t>
      </w:r>
      <w:r w:rsidR="005A24B9" w:rsidRPr="00571D23">
        <w:rPr>
          <w:lang w:val="ru-RU"/>
        </w:rPr>
        <w:t xml:space="preserve"> секретариат</w:t>
      </w:r>
      <w:r w:rsidR="004F1E1E">
        <w:rPr>
          <w:lang w:val="ru-RU"/>
        </w:rPr>
        <w:t>а</w:t>
      </w:r>
      <w:r w:rsidR="004363F7">
        <w:rPr>
          <w:lang w:val="ru-RU"/>
        </w:rPr>
        <w:t xml:space="preserve"> ЕЭК и </w:t>
      </w:r>
      <w:r w:rsidR="004363F7">
        <w:rPr>
          <w:lang w:val="ru-RU"/>
        </w:rPr>
        <w:lastRenderedPageBreak/>
        <w:t xml:space="preserve">ЮНЕП, и ЕАОС, в качестве консультанта на основе выводов </w:t>
      </w:r>
      <w:r w:rsidR="004363F7">
        <w:rPr>
          <w:lang w:val="fr-FR"/>
        </w:rPr>
        <w:t>SOER</w:t>
      </w:r>
      <w:r w:rsidR="004363F7" w:rsidRPr="004363F7">
        <w:rPr>
          <w:lang w:val="ru-RU"/>
        </w:rPr>
        <w:t xml:space="preserve"> </w:t>
      </w:r>
      <w:r w:rsidR="004363F7">
        <w:rPr>
          <w:lang w:val="ru-RU"/>
        </w:rPr>
        <w:t>2020.</w:t>
      </w:r>
      <w:r w:rsidR="00E136FC">
        <w:rPr>
          <w:lang w:val="ru-RU"/>
        </w:rPr>
        <w:t xml:space="preserve"> </w:t>
      </w:r>
      <w:r w:rsidR="004363F7">
        <w:rPr>
          <w:lang w:val="ru-RU"/>
        </w:rPr>
        <w:t xml:space="preserve">А </w:t>
      </w:r>
      <w:r w:rsidR="005A24B9" w:rsidRPr="00571D23">
        <w:rPr>
          <w:lang w:val="ru-RU"/>
        </w:rPr>
        <w:t>также</w:t>
      </w:r>
      <w:r w:rsidR="004F1E1E">
        <w:rPr>
          <w:lang w:val="ru-RU"/>
        </w:rPr>
        <w:t xml:space="preserve"> при подд</w:t>
      </w:r>
      <w:r>
        <w:rPr>
          <w:lang w:val="ru-RU"/>
        </w:rPr>
        <w:t>ержке научного</w:t>
      </w:r>
      <w:r w:rsidR="005A24B9" w:rsidRPr="00571D23">
        <w:rPr>
          <w:lang w:val="ru-RU"/>
        </w:rPr>
        <w:t xml:space="preserve"> сотрудник</w:t>
      </w:r>
      <w:r>
        <w:rPr>
          <w:lang w:val="ru-RU"/>
        </w:rPr>
        <w:t xml:space="preserve">а, </w:t>
      </w:r>
      <w:r w:rsidR="004363F7">
        <w:rPr>
          <w:lang w:val="ru-RU"/>
        </w:rPr>
        <w:t>выполняющего вспо</w:t>
      </w:r>
      <w:r w:rsidR="00867CCE">
        <w:rPr>
          <w:lang w:val="ru-RU"/>
        </w:rPr>
        <w:t xml:space="preserve">могательную роль, </w:t>
      </w:r>
      <w:r>
        <w:rPr>
          <w:lang w:val="ru-RU"/>
        </w:rPr>
        <w:t>графического</w:t>
      </w:r>
      <w:r w:rsidR="005A24B9" w:rsidRPr="00571D23">
        <w:rPr>
          <w:lang w:val="ru-RU"/>
        </w:rPr>
        <w:t xml:space="preserve"> дизайнер</w:t>
      </w:r>
      <w:r>
        <w:rPr>
          <w:lang w:val="ru-RU"/>
        </w:rPr>
        <w:t>а</w:t>
      </w:r>
      <w:r w:rsidR="005A24B9" w:rsidRPr="00571D23">
        <w:rPr>
          <w:lang w:val="ru-RU"/>
        </w:rPr>
        <w:t xml:space="preserve"> и координатор</w:t>
      </w:r>
      <w:r>
        <w:rPr>
          <w:lang w:val="ru-RU"/>
        </w:rPr>
        <w:t>а</w:t>
      </w:r>
      <w:r w:rsidR="005A24B9" w:rsidRPr="00571D23">
        <w:rPr>
          <w:lang w:val="ru-RU"/>
        </w:rPr>
        <w:t xml:space="preserve"> при условии наличия внебюджетных ресурсов. Потр</w:t>
      </w:r>
      <w:r w:rsidR="00867CCE">
        <w:rPr>
          <w:lang w:val="ru-RU"/>
        </w:rPr>
        <w:t xml:space="preserve">ебуются также ресурсы для: </w:t>
      </w:r>
    </w:p>
    <w:p w:rsidR="00C4076C" w:rsidRPr="00C4076C" w:rsidRDefault="00E136FC" w:rsidP="00C4076C">
      <w:pPr>
        <w:pStyle w:val="SingleTxtG"/>
        <w:ind w:left="1701"/>
        <w:rPr>
          <w:lang w:val="ru-RU"/>
        </w:rPr>
      </w:pPr>
      <w:r>
        <w:rPr>
          <w:lang w:val="ru-RU"/>
        </w:rPr>
        <w:t xml:space="preserve">a) </w:t>
      </w:r>
      <w:r w:rsidR="006D7180">
        <w:rPr>
          <w:lang w:val="ru-RU"/>
        </w:rPr>
        <w:t>о</w:t>
      </w:r>
      <w:r>
        <w:rPr>
          <w:lang w:val="ru-RU"/>
        </w:rPr>
        <w:t>рганизации</w:t>
      </w:r>
      <w:r w:rsidR="00C4076C" w:rsidRPr="00C4076C">
        <w:rPr>
          <w:lang w:val="ru-RU"/>
        </w:rPr>
        <w:t xml:space="preserve"> совещаний редакционной группы;</w:t>
      </w:r>
    </w:p>
    <w:p w:rsidR="00C4076C" w:rsidRPr="00C4076C" w:rsidRDefault="00E136FC" w:rsidP="00C4076C">
      <w:pPr>
        <w:pStyle w:val="SingleTxtG"/>
        <w:ind w:left="1701"/>
        <w:rPr>
          <w:lang w:val="ru-RU"/>
        </w:rPr>
      </w:pPr>
      <w:r>
        <w:rPr>
          <w:lang w:val="ru-RU"/>
        </w:rPr>
        <w:t>б</w:t>
      </w:r>
      <w:r w:rsidR="006D7180">
        <w:rPr>
          <w:lang w:val="ru-RU"/>
        </w:rPr>
        <w:t>) о</w:t>
      </w:r>
      <w:r>
        <w:rPr>
          <w:lang w:val="ru-RU"/>
        </w:rPr>
        <w:t>беспечения</w:t>
      </w:r>
      <w:r w:rsidR="00C4076C" w:rsidRPr="00C4076C">
        <w:rPr>
          <w:lang w:val="ru-RU"/>
        </w:rPr>
        <w:t xml:space="preserve"> шир</w:t>
      </w:r>
      <w:r>
        <w:rPr>
          <w:lang w:val="ru-RU"/>
        </w:rPr>
        <w:t>окого участия в совещаниях Рабочей группы и Совместной целевой группы с целью</w:t>
      </w:r>
      <w:r w:rsidR="00C4076C" w:rsidRPr="00C4076C">
        <w:rPr>
          <w:lang w:val="ru-RU"/>
        </w:rPr>
        <w:t xml:space="preserve"> обеспечения признания и актуальности политики;</w:t>
      </w:r>
    </w:p>
    <w:p w:rsidR="00C4076C" w:rsidRDefault="00E136FC" w:rsidP="00C4076C">
      <w:pPr>
        <w:pStyle w:val="SingleTxtG"/>
        <w:ind w:left="1701"/>
        <w:rPr>
          <w:lang w:val="ru-RU"/>
        </w:rPr>
      </w:pPr>
      <w:r>
        <w:rPr>
          <w:lang w:val="ru-RU"/>
        </w:rPr>
        <w:t>в</w:t>
      </w:r>
      <w:r w:rsidR="006D7180">
        <w:rPr>
          <w:lang w:val="ru-RU"/>
        </w:rPr>
        <w:t>) п</w:t>
      </w:r>
      <w:r>
        <w:rPr>
          <w:lang w:val="ru-RU"/>
        </w:rPr>
        <w:t>убликации результатов</w:t>
      </w:r>
      <w:r w:rsidR="00C4076C" w:rsidRPr="00C4076C">
        <w:rPr>
          <w:lang w:val="ru-RU"/>
        </w:rPr>
        <w:t xml:space="preserve"> оценки.</w:t>
      </w:r>
    </w:p>
    <w:p w:rsidR="00D475FE" w:rsidRPr="001805A6" w:rsidRDefault="001805A6" w:rsidP="00D0253F">
      <w:pPr>
        <w:pStyle w:val="SingleTxtG"/>
        <w:rPr>
          <w:lang w:val="ru-RU"/>
        </w:rPr>
      </w:pPr>
      <w:r w:rsidRPr="001805A6">
        <w:rPr>
          <w:lang w:val="ru-RU"/>
        </w:rPr>
        <w:t>28.</w:t>
      </w:r>
      <w:r w:rsidRPr="001805A6">
        <w:rPr>
          <w:lang w:val="ru-RU"/>
        </w:rPr>
        <w:tab/>
      </w:r>
      <w:r>
        <w:rPr>
          <w:lang w:val="ru-RU"/>
        </w:rPr>
        <w:t xml:space="preserve">Возможный график приведен в таблице </w:t>
      </w:r>
      <w:r w:rsidR="00D475FE" w:rsidRPr="001805A6">
        <w:rPr>
          <w:lang w:val="ru-RU"/>
        </w:rPr>
        <w:t xml:space="preserve"> 2.</w:t>
      </w:r>
    </w:p>
    <w:p w:rsidR="00D475FE" w:rsidRPr="001805A6" w:rsidRDefault="001805A6" w:rsidP="00565F4A">
      <w:pPr>
        <w:pStyle w:val="SingleTxtG"/>
        <w:jc w:val="left"/>
        <w:rPr>
          <w:lang w:val="ru-RU"/>
        </w:rPr>
      </w:pPr>
      <w:r>
        <w:rPr>
          <w:lang w:val="ru-RU"/>
        </w:rPr>
        <w:t>Таблица</w:t>
      </w:r>
      <w:r w:rsidR="00D475FE" w:rsidRPr="001805A6">
        <w:rPr>
          <w:lang w:val="ru-RU"/>
        </w:rPr>
        <w:t xml:space="preserve"> 2</w:t>
      </w:r>
      <w:r w:rsidR="00D475FE" w:rsidRPr="001805A6">
        <w:rPr>
          <w:lang w:val="ru-RU"/>
        </w:rPr>
        <w:br/>
      </w:r>
      <w:r>
        <w:rPr>
          <w:b/>
          <w:bCs/>
          <w:lang w:val="ru-RU"/>
        </w:rPr>
        <w:t>Возможные сроки проведения следующей панъевропейской оценке состояния окружающей среды</w:t>
      </w:r>
    </w:p>
    <w:tbl>
      <w:tblPr>
        <w:tblW w:w="851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1437"/>
        <w:gridCol w:w="107"/>
        <w:gridCol w:w="3190"/>
        <w:gridCol w:w="108"/>
        <w:gridCol w:w="3564"/>
      </w:tblGrid>
      <w:tr w:rsidR="0070504F" w:rsidRPr="0070504F" w:rsidTr="00565F4A">
        <w:trPr>
          <w:tblHeader/>
        </w:trPr>
        <w:tc>
          <w:tcPr>
            <w:tcW w:w="154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475FE" w:rsidRPr="006547E2" w:rsidRDefault="006547E2" w:rsidP="00565F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ru-RU"/>
              </w:rPr>
            </w:pPr>
            <w:r>
              <w:rPr>
                <w:i/>
                <w:sz w:val="16"/>
                <w:lang w:val="ru-RU"/>
              </w:rPr>
              <w:t>Дата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475FE" w:rsidRPr="006547E2" w:rsidRDefault="006547E2" w:rsidP="00565F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ru-RU"/>
              </w:rPr>
            </w:pPr>
            <w:r>
              <w:rPr>
                <w:i/>
                <w:sz w:val="16"/>
                <w:lang w:val="ru-RU"/>
              </w:rPr>
              <w:t>Событие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475FE" w:rsidRPr="006547E2" w:rsidRDefault="006547E2" w:rsidP="00565F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ru-RU"/>
              </w:rPr>
            </w:pPr>
            <w:r>
              <w:rPr>
                <w:i/>
                <w:sz w:val="16"/>
                <w:lang w:val="ru-RU"/>
              </w:rPr>
              <w:t>Действие</w:t>
            </w:r>
          </w:p>
        </w:tc>
      </w:tr>
      <w:tr w:rsidR="0070504F" w:rsidRPr="00DF7845" w:rsidTr="00565F4A">
        <w:tc>
          <w:tcPr>
            <w:tcW w:w="154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475FE" w:rsidRPr="0070504F" w:rsidRDefault="006547E2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 xml:space="preserve">Сентябрь </w:t>
            </w:r>
            <w:r w:rsidR="00D475FE" w:rsidRPr="0070504F">
              <w:t>2018</w:t>
            </w:r>
          </w:p>
        </w:tc>
        <w:tc>
          <w:tcPr>
            <w:tcW w:w="329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475FE" w:rsidRPr="008B6B44" w:rsidRDefault="00D475FE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 w:rsidRPr="00C03E1A">
              <w:t>20</w:t>
            </w:r>
            <w:proofErr w:type="spellStart"/>
            <w:r w:rsidR="008B6B44">
              <w:rPr>
                <w:vertAlign w:val="superscript"/>
                <w:lang w:val="ru-RU"/>
              </w:rPr>
              <w:t>ая</w:t>
            </w:r>
            <w:proofErr w:type="spellEnd"/>
            <w:r w:rsidR="008B6B44" w:rsidRPr="008B6B44">
              <w:rPr>
                <w:vertAlign w:val="superscript"/>
                <w:lang w:val="en-US"/>
              </w:rPr>
              <w:t xml:space="preserve"> </w:t>
            </w:r>
            <w:r w:rsidR="008B6B44">
              <w:rPr>
                <w:lang w:val="ru-RU"/>
              </w:rPr>
              <w:t>сессия Рабочей Группы</w:t>
            </w:r>
          </w:p>
        </w:tc>
        <w:tc>
          <w:tcPr>
            <w:tcW w:w="367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475FE" w:rsidRPr="008B6B44" w:rsidRDefault="008B6B44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Согласовать общий подход и процесс</w:t>
            </w:r>
          </w:p>
        </w:tc>
      </w:tr>
      <w:tr w:rsidR="0070504F" w:rsidRPr="00DF7845" w:rsidTr="00565F4A">
        <w:tc>
          <w:tcPr>
            <w:tcW w:w="1545" w:type="dxa"/>
            <w:gridSpan w:val="2"/>
            <w:shd w:val="clear" w:color="auto" w:fill="auto"/>
          </w:tcPr>
          <w:p w:rsidR="00D475FE" w:rsidRPr="0070504F" w:rsidRDefault="006547E2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Октябрь</w:t>
            </w:r>
            <w:r w:rsidR="00D475FE" w:rsidRPr="0070504F">
              <w:t xml:space="preserve"> 2018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D475FE" w:rsidRPr="009C7416" w:rsidRDefault="00D475FE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 w:rsidRPr="009C7416">
              <w:rPr>
                <w:lang w:val="ru-RU"/>
              </w:rPr>
              <w:t>15</w:t>
            </w:r>
            <w:r w:rsidR="008B6B44">
              <w:rPr>
                <w:vertAlign w:val="superscript"/>
                <w:lang w:val="ru-RU"/>
              </w:rPr>
              <w:t xml:space="preserve">ая </w:t>
            </w:r>
            <w:r w:rsidR="008B6B44">
              <w:rPr>
                <w:lang w:val="ru-RU"/>
              </w:rPr>
              <w:t>сессия Совместной целевой группы</w:t>
            </w:r>
            <w:r w:rsidRPr="009C7416">
              <w:rPr>
                <w:lang w:val="ru-RU"/>
              </w:rPr>
              <w:t xml:space="preserve"> 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D475FE" w:rsidRPr="00F7785A" w:rsidRDefault="00F7785A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Пересмотр предложенного общего подхода и процесса</w:t>
            </w:r>
            <w:r w:rsidR="00D475FE" w:rsidRPr="00F7785A">
              <w:rPr>
                <w:lang w:val="ru-RU"/>
              </w:rPr>
              <w:t xml:space="preserve"> </w:t>
            </w:r>
          </w:p>
        </w:tc>
      </w:tr>
      <w:tr w:rsidR="0070504F" w:rsidRPr="00DF7845" w:rsidTr="00565F4A">
        <w:tc>
          <w:tcPr>
            <w:tcW w:w="1545" w:type="dxa"/>
            <w:gridSpan w:val="2"/>
            <w:shd w:val="clear" w:color="auto" w:fill="auto"/>
          </w:tcPr>
          <w:p w:rsidR="00D475FE" w:rsidRPr="0070504F" w:rsidRDefault="006547E2" w:rsidP="00565F4A">
            <w:pPr>
              <w:suppressAutoHyphens w:val="0"/>
              <w:spacing w:before="40" w:after="120" w:line="220" w:lineRule="exact"/>
              <w:ind w:right="113"/>
            </w:pPr>
            <w:proofErr w:type="spellStart"/>
            <w:r>
              <w:t>Январь</w:t>
            </w:r>
            <w:proofErr w:type="spellEnd"/>
            <w:r w:rsidR="00691EB2">
              <w:rPr>
                <w:lang w:val="ru-RU"/>
              </w:rPr>
              <w:t xml:space="preserve"> </w:t>
            </w:r>
            <w:r w:rsidR="00D475FE" w:rsidRPr="0070504F">
              <w:t>2019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D475FE" w:rsidRPr="009C7416" w:rsidRDefault="00D475FE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 w:rsidRPr="009C7416">
              <w:rPr>
                <w:lang w:val="ru-RU"/>
              </w:rPr>
              <w:t>24</w:t>
            </w:r>
            <w:r w:rsidR="008B6B44">
              <w:rPr>
                <w:vertAlign w:val="superscript"/>
                <w:lang w:val="ru-RU"/>
              </w:rPr>
              <w:t>ая</w:t>
            </w:r>
            <w:r w:rsidR="008B6B44" w:rsidRPr="009C7416">
              <w:rPr>
                <w:vertAlign w:val="superscript"/>
                <w:lang w:val="ru-RU"/>
              </w:rPr>
              <w:t xml:space="preserve"> </w:t>
            </w:r>
            <w:r w:rsidR="008B6B44">
              <w:rPr>
                <w:lang w:val="ru-RU"/>
              </w:rPr>
              <w:t>сессия</w:t>
            </w:r>
            <w:r w:rsidR="008B6B44" w:rsidRPr="009C7416">
              <w:rPr>
                <w:lang w:val="ru-RU"/>
              </w:rPr>
              <w:t xml:space="preserve"> </w:t>
            </w:r>
            <w:r w:rsidR="008B6B44">
              <w:rPr>
                <w:lang w:val="ru-RU"/>
              </w:rPr>
              <w:t>Комитета</w:t>
            </w:r>
            <w:r w:rsidR="008B6B44" w:rsidRPr="009C7416">
              <w:rPr>
                <w:lang w:val="ru-RU"/>
              </w:rPr>
              <w:t xml:space="preserve"> </w:t>
            </w:r>
            <w:r w:rsidR="008B6B44">
              <w:rPr>
                <w:lang w:val="ru-RU"/>
              </w:rPr>
              <w:t>по</w:t>
            </w:r>
            <w:r w:rsidR="008B6B44" w:rsidRPr="009C7416">
              <w:rPr>
                <w:lang w:val="ru-RU"/>
              </w:rPr>
              <w:t xml:space="preserve"> </w:t>
            </w:r>
            <w:r w:rsidR="008B6B44">
              <w:rPr>
                <w:lang w:val="ru-RU"/>
              </w:rPr>
              <w:t>Экологической</w:t>
            </w:r>
            <w:r w:rsidR="008B6B44" w:rsidRPr="009C7416">
              <w:rPr>
                <w:lang w:val="ru-RU"/>
              </w:rPr>
              <w:t xml:space="preserve"> </w:t>
            </w:r>
            <w:r w:rsidR="008B6B44">
              <w:rPr>
                <w:lang w:val="ru-RU"/>
              </w:rPr>
              <w:t>политике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D475FE" w:rsidRPr="009C7416" w:rsidRDefault="00F7785A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Пересмотр предложенного общего подхода и процесса</w:t>
            </w:r>
          </w:p>
        </w:tc>
      </w:tr>
      <w:tr w:rsidR="0070504F" w:rsidRPr="00DF7845" w:rsidTr="00565F4A">
        <w:tc>
          <w:tcPr>
            <w:tcW w:w="1545" w:type="dxa"/>
            <w:gridSpan w:val="2"/>
            <w:shd w:val="clear" w:color="auto" w:fill="auto"/>
          </w:tcPr>
          <w:p w:rsidR="00D475FE" w:rsidRPr="0070504F" w:rsidRDefault="006547E2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Май</w:t>
            </w:r>
            <w:r w:rsidR="00D475FE" w:rsidRPr="0070504F">
              <w:t xml:space="preserve"> 2019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D475FE" w:rsidRPr="0070504F" w:rsidRDefault="00D475FE" w:rsidP="00565F4A">
            <w:pPr>
              <w:suppressAutoHyphens w:val="0"/>
              <w:spacing w:before="40" w:after="120" w:line="220" w:lineRule="exact"/>
              <w:ind w:right="113"/>
            </w:pPr>
            <w:r w:rsidRPr="0070504F">
              <w:t>21</w:t>
            </w:r>
            <w:proofErr w:type="spellStart"/>
            <w:r w:rsidR="008B6B44">
              <w:rPr>
                <w:vertAlign w:val="superscript"/>
                <w:lang w:val="ru-RU"/>
              </w:rPr>
              <w:t>ая</w:t>
            </w:r>
            <w:proofErr w:type="spellEnd"/>
            <w:r w:rsidR="008B6B44" w:rsidRPr="008B6B44">
              <w:rPr>
                <w:vertAlign w:val="superscript"/>
                <w:lang w:val="en-US"/>
              </w:rPr>
              <w:t xml:space="preserve"> </w:t>
            </w:r>
            <w:r w:rsidR="008B6B44">
              <w:rPr>
                <w:lang w:val="ru-RU"/>
              </w:rPr>
              <w:t>сессия</w:t>
            </w:r>
            <w:r w:rsidR="008B6B44" w:rsidRPr="008B6B44">
              <w:rPr>
                <w:lang w:val="en-US"/>
              </w:rPr>
              <w:t xml:space="preserve"> </w:t>
            </w:r>
            <w:r w:rsidR="008B6B44">
              <w:rPr>
                <w:lang w:val="ru-RU"/>
              </w:rPr>
              <w:t>Рабочей</w:t>
            </w:r>
            <w:r w:rsidR="008B6B44" w:rsidRPr="008B6B44">
              <w:rPr>
                <w:lang w:val="en-US"/>
              </w:rPr>
              <w:t xml:space="preserve"> </w:t>
            </w:r>
            <w:r w:rsidR="008B6B44">
              <w:rPr>
                <w:lang w:val="ru-RU"/>
              </w:rPr>
              <w:t>группы</w:t>
            </w:r>
            <w:r w:rsidRPr="0070504F">
              <w:t xml:space="preserve"> 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D475FE" w:rsidRPr="00F7785A" w:rsidRDefault="00F7785A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Уточнить вышеизложенное и опреде</w:t>
            </w:r>
            <w:r w:rsidR="00D76EB2">
              <w:rPr>
                <w:lang w:val="ru-RU"/>
              </w:rPr>
              <w:t>лить возможные приоритетные темы</w:t>
            </w:r>
          </w:p>
        </w:tc>
      </w:tr>
      <w:tr w:rsidR="0070504F" w:rsidRPr="00DF7845" w:rsidTr="00565F4A">
        <w:tc>
          <w:tcPr>
            <w:tcW w:w="1545" w:type="dxa"/>
            <w:gridSpan w:val="2"/>
            <w:shd w:val="clear" w:color="auto" w:fill="auto"/>
          </w:tcPr>
          <w:p w:rsidR="00D475FE" w:rsidRPr="0070504F" w:rsidRDefault="006547E2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Октя</w:t>
            </w:r>
            <w:r w:rsidR="00984C61">
              <w:rPr>
                <w:lang w:val="ru-RU"/>
              </w:rPr>
              <w:t>брь</w:t>
            </w:r>
            <w:r w:rsidR="00D475FE" w:rsidRPr="0070504F">
              <w:t xml:space="preserve"> 2019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D475FE" w:rsidRPr="009C7416" w:rsidRDefault="00D475FE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 w:rsidRPr="009C7416">
              <w:rPr>
                <w:lang w:val="ru-RU"/>
              </w:rPr>
              <w:t>16</w:t>
            </w:r>
            <w:r w:rsidR="008B6B44">
              <w:rPr>
                <w:vertAlign w:val="superscript"/>
                <w:lang w:val="ru-RU"/>
              </w:rPr>
              <w:t xml:space="preserve">ая </w:t>
            </w:r>
            <w:r w:rsidR="008B6B44">
              <w:rPr>
                <w:lang w:val="ru-RU"/>
              </w:rPr>
              <w:t>сессия Совместной целевой группы</w:t>
            </w:r>
            <w:r w:rsidRPr="009C7416">
              <w:rPr>
                <w:lang w:val="ru-RU"/>
              </w:rPr>
              <w:t xml:space="preserve"> 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D475FE" w:rsidRPr="009C7416" w:rsidRDefault="00D76EB2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Дальнейшее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совершенствование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общего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подхода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процесса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развитие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приоритетных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</w:t>
            </w:r>
          </w:p>
        </w:tc>
      </w:tr>
      <w:tr w:rsidR="0070504F" w:rsidRPr="00DF7845" w:rsidTr="00565F4A">
        <w:tc>
          <w:tcPr>
            <w:tcW w:w="1545" w:type="dxa"/>
            <w:gridSpan w:val="2"/>
            <w:shd w:val="clear" w:color="auto" w:fill="auto"/>
          </w:tcPr>
          <w:p w:rsidR="00D475FE" w:rsidRPr="0070504F" w:rsidRDefault="00984C61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Ноябрь</w:t>
            </w:r>
            <w:r w:rsidR="00D475FE" w:rsidRPr="0070504F">
              <w:t xml:space="preserve"> 2019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D475FE" w:rsidRPr="0070504F" w:rsidRDefault="00D475FE" w:rsidP="00565F4A">
            <w:pPr>
              <w:suppressAutoHyphens w:val="0"/>
              <w:spacing w:before="40" w:after="120" w:line="220" w:lineRule="exact"/>
              <w:ind w:right="113"/>
            </w:pPr>
            <w:r w:rsidRPr="0070504F">
              <w:t>25</w:t>
            </w:r>
            <w:proofErr w:type="spellStart"/>
            <w:r w:rsidR="008B6B44">
              <w:rPr>
                <w:vertAlign w:val="superscript"/>
                <w:lang w:val="ru-RU"/>
              </w:rPr>
              <w:t>ая</w:t>
            </w:r>
            <w:proofErr w:type="spellEnd"/>
            <w:r w:rsidR="008B6B44" w:rsidRPr="008B6B44">
              <w:rPr>
                <w:vertAlign w:val="superscript"/>
                <w:lang w:val="en-US"/>
              </w:rPr>
              <w:t xml:space="preserve"> </w:t>
            </w:r>
            <w:r w:rsidR="008B6B44">
              <w:rPr>
                <w:lang w:val="ru-RU"/>
              </w:rPr>
              <w:t>сессия</w:t>
            </w:r>
            <w:r w:rsidR="008B6B44" w:rsidRPr="008B6B44">
              <w:rPr>
                <w:lang w:val="en-US"/>
              </w:rPr>
              <w:t xml:space="preserve"> </w:t>
            </w:r>
            <w:r w:rsidR="008B6B44">
              <w:rPr>
                <w:lang w:val="ru-RU"/>
              </w:rPr>
              <w:t>Комитета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D475FE" w:rsidRPr="009C7416" w:rsidRDefault="00D76EB2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Определить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общий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подход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</w:t>
            </w:r>
            <w:r w:rsidRPr="009C741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принятие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касательно</w:t>
            </w:r>
            <w:r w:rsidRPr="009C7416">
              <w:rPr>
                <w:lang w:val="ru-RU"/>
              </w:rPr>
              <w:t xml:space="preserve"> 2 </w:t>
            </w:r>
            <w:r>
              <w:rPr>
                <w:lang w:val="ru-RU"/>
              </w:rPr>
              <w:t>тем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следующей</w:t>
            </w:r>
            <w:r w:rsidRPr="009C74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конференции</w:t>
            </w:r>
          </w:p>
        </w:tc>
      </w:tr>
      <w:tr w:rsidR="0070504F" w:rsidRPr="0070504F" w:rsidTr="00565F4A">
        <w:tc>
          <w:tcPr>
            <w:tcW w:w="1545" w:type="dxa"/>
            <w:gridSpan w:val="2"/>
            <w:shd w:val="clear" w:color="auto" w:fill="auto"/>
          </w:tcPr>
          <w:p w:rsidR="00D475FE" w:rsidRPr="0070504F" w:rsidRDefault="00984C61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Начало</w:t>
            </w:r>
            <w:r w:rsidR="00D475FE" w:rsidRPr="0070504F">
              <w:t xml:space="preserve"> 2020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D475FE" w:rsidRPr="0070504F" w:rsidRDefault="00D475FE" w:rsidP="00565F4A">
            <w:pPr>
              <w:suppressAutoHyphens w:val="0"/>
              <w:spacing w:before="40" w:after="120" w:line="220" w:lineRule="exact"/>
              <w:ind w:right="113"/>
            </w:pPr>
            <w:r w:rsidRPr="0070504F">
              <w:t>1</w:t>
            </w:r>
            <w:proofErr w:type="spellStart"/>
            <w:r w:rsidR="008B6B44">
              <w:rPr>
                <w:vertAlign w:val="superscript"/>
                <w:lang w:val="ru-RU"/>
              </w:rPr>
              <w:t>ая</w:t>
            </w:r>
            <w:proofErr w:type="spellEnd"/>
            <w:r w:rsidR="008B6B44">
              <w:rPr>
                <w:vertAlign w:val="superscript"/>
                <w:lang w:val="ru-RU"/>
              </w:rPr>
              <w:t xml:space="preserve">  </w:t>
            </w:r>
            <w:r w:rsidR="008B6B44">
              <w:rPr>
                <w:lang w:val="ru-RU"/>
              </w:rPr>
              <w:t>встреча Редакционной группы</w:t>
            </w:r>
            <w:r w:rsidRPr="0070504F">
              <w:t xml:space="preserve"> 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D475FE" w:rsidRPr="00D76EB2" w:rsidRDefault="00D76EB2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Будут определены позднее</w:t>
            </w:r>
          </w:p>
        </w:tc>
      </w:tr>
      <w:tr w:rsidR="0070504F" w:rsidRPr="0070504F" w:rsidTr="00565F4A">
        <w:tc>
          <w:tcPr>
            <w:tcW w:w="1545" w:type="dxa"/>
            <w:gridSpan w:val="2"/>
            <w:shd w:val="clear" w:color="auto" w:fill="auto"/>
          </w:tcPr>
          <w:p w:rsidR="00D475FE" w:rsidRPr="0070504F" w:rsidRDefault="00984C61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Весна</w:t>
            </w:r>
            <w:r w:rsidR="00D475FE" w:rsidRPr="0070504F">
              <w:t xml:space="preserve"> 2020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D475FE" w:rsidRPr="0070504F" w:rsidRDefault="00D475FE" w:rsidP="00565F4A">
            <w:pPr>
              <w:suppressAutoHyphens w:val="0"/>
              <w:spacing w:before="40" w:after="120" w:line="220" w:lineRule="exact"/>
              <w:ind w:right="113"/>
            </w:pPr>
            <w:r w:rsidRPr="0070504F">
              <w:t>22</w:t>
            </w:r>
            <w:proofErr w:type="spellStart"/>
            <w:r w:rsidR="008B6B44">
              <w:rPr>
                <w:vertAlign w:val="superscript"/>
                <w:lang w:val="ru-RU"/>
              </w:rPr>
              <w:t>ая</w:t>
            </w:r>
            <w:proofErr w:type="spellEnd"/>
            <w:r w:rsidR="008B6B44" w:rsidRPr="008B6B44">
              <w:rPr>
                <w:vertAlign w:val="superscript"/>
                <w:lang w:val="en-US"/>
              </w:rPr>
              <w:t xml:space="preserve"> </w:t>
            </w:r>
            <w:r w:rsidR="008B6B44">
              <w:rPr>
                <w:lang w:val="ru-RU"/>
              </w:rPr>
              <w:t>сессия</w:t>
            </w:r>
            <w:r w:rsidR="008B6B44" w:rsidRPr="008B6B44">
              <w:rPr>
                <w:lang w:val="en-US"/>
              </w:rPr>
              <w:t xml:space="preserve"> </w:t>
            </w:r>
            <w:r w:rsidR="008B6B44">
              <w:rPr>
                <w:lang w:val="ru-RU"/>
              </w:rPr>
              <w:t>Рабочей</w:t>
            </w:r>
            <w:r w:rsidR="008B6B44" w:rsidRPr="008B6B44">
              <w:rPr>
                <w:lang w:val="en-US"/>
              </w:rPr>
              <w:t xml:space="preserve"> </w:t>
            </w:r>
            <w:r w:rsidR="008B6B44">
              <w:rPr>
                <w:lang w:val="ru-RU"/>
              </w:rPr>
              <w:t>группы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D475FE" w:rsidRPr="0070504F" w:rsidRDefault="00D76EB2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Будут определены позднее</w:t>
            </w:r>
          </w:p>
        </w:tc>
      </w:tr>
      <w:tr w:rsidR="0070504F" w:rsidRPr="0070504F" w:rsidTr="00565F4A">
        <w:tc>
          <w:tcPr>
            <w:tcW w:w="1545" w:type="dxa"/>
            <w:gridSpan w:val="2"/>
            <w:shd w:val="clear" w:color="auto" w:fill="auto"/>
          </w:tcPr>
          <w:p w:rsidR="00D475FE" w:rsidRPr="0070504F" w:rsidRDefault="00984C61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Лето</w:t>
            </w:r>
            <w:r w:rsidR="00D475FE" w:rsidRPr="0070504F">
              <w:t xml:space="preserve"> 2020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D475FE" w:rsidRPr="0070504F" w:rsidRDefault="00D475FE" w:rsidP="00565F4A">
            <w:pPr>
              <w:suppressAutoHyphens w:val="0"/>
              <w:spacing w:before="40" w:after="120" w:line="220" w:lineRule="exact"/>
              <w:ind w:right="113"/>
            </w:pPr>
            <w:r w:rsidRPr="0070504F">
              <w:t>2</w:t>
            </w:r>
            <w:proofErr w:type="spellStart"/>
            <w:r w:rsidR="008B6B44">
              <w:rPr>
                <w:vertAlign w:val="superscript"/>
                <w:lang w:val="ru-RU"/>
              </w:rPr>
              <w:t>ая</w:t>
            </w:r>
            <w:proofErr w:type="spellEnd"/>
            <w:r w:rsidR="008B6B44">
              <w:rPr>
                <w:vertAlign w:val="superscript"/>
                <w:lang w:val="ru-RU"/>
              </w:rPr>
              <w:t xml:space="preserve"> </w:t>
            </w:r>
            <w:r w:rsidR="008B6B44">
              <w:rPr>
                <w:lang w:val="ru-RU"/>
              </w:rPr>
              <w:t>встреча Редакционной группы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D475FE" w:rsidRPr="0070504F" w:rsidRDefault="00D76EB2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Будут определены позднее</w:t>
            </w:r>
          </w:p>
        </w:tc>
      </w:tr>
      <w:tr w:rsidR="0070504F" w:rsidRPr="0070504F" w:rsidTr="00565F4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544" w:type="dxa"/>
            <w:gridSpan w:val="2"/>
            <w:shd w:val="clear" w:color="auto" w:fill="auto"/>
          </w:tcPr>
          <w:p w:rsidR="00D475FE" w:rsidRPr="0070504F" w:rsidRDefault="00984C61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Осень</w:t>
            </w:r>
            <w:r w:rsidR="00D475FE" w:rsidRPr="0070504F">
              <w:t xml:space="preserve"> 2020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D475FE" w:rsidRPr="0070504F" w:rsidRDefault="00D475FE" w:rsidP="00565F4A">
            <w:pPr>
              <w:suppressAutoHyphens w:val="0"/>
              <w:spacing w:before="40" w:after="120" w:line="220" w:lineRule="exact"/>
              <w:ind w:right="113"/>
            </w:pPr>
            <w:r w:rsidRPr="0070504F">
              <w:t>3</w:t>
            </w:r>
            <w:proofErr w:type="spellStart"/>
            <w:r w:rsidR="008B6B44">
              <w:rPr>
                <w:vertAlign w:val="superscript"/>
                <w:lang w:val="ru-RU"/>
              </w:rPr>
              <w:t>ья</w:t>
            </w:r>
            <w:proofErr w:type="spellEnd"/>
            <w:r w:rsidR="008B6B44">
              <w:rPr>
                <w:vertAlign w:val="superscript"/>
                <w:lang w:val="ru-RU"/>
              </w:rPr>
              <w:t xml:space="preserve"> </w:t>
            </w:r>
            <w:r w:rsidR="008B6B44">
              <w:rPr>
                <w:lang w:val="ru-RU"/>
              </w:rPr>
              <w:t>встреча Редакционной группы</w:t>
            </w:r>
          </w:p>
        </w:tc>
        <w:tc>
          <w:tcPr>
            <w:tcW w:w="3564" w:type="dxa"/>
            <w:shd w:val="clear" w:color="auto" w:fill="auto"/>
          </w:tcPr>
          <w:p w:rsidR="00D475FE" w:rsidRPr="0070504F" w:rsidRDefault="00D76EB2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Будут определены позднее</w:t>
            </w:r>
          </w:p>
        </w:tc>
      </w:tr>
      <w:tr w:rsidR="0070504F" w:rsidRPr="0070504F" w:rsidTr="00565F4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544" w:type="dxa"/>
            <w:gridSpan w:val="2"/>
            <w:shd w:val="clear" w:color="auto" w:fill="auto"/>
          </w:tcPr>
          <w:p w:rsidR="00D475FE" w:rsidRPr="0070504F" w:rsidRDefault="00D475FE" w:rsidP="00565F4A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3298" w:type="dxa"/>
            <w:gridSpan w:val="2"/>
            <w:shd w:val="clear" w:color="auto" w:fill="auto"/>
          </w:tcPr>
          <w:p w:rsidR="00D475FE" w:rsidRPr="009C7416" w:rsidRDefault="00D475FE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 w:rsidRPr="009C7416">
              <w:rPr>
                <w:lang w:val="ru-RU"/>
              </w:rPr>
              <w:t>17</w:t>
            </w:r>
            <w:r w:rsidR="008B6B44">
              <w:rPr>
                <w:vertAlign w:val="superscript"/>
                <w:lang w:val="ru-RU"/>
              </w:rPr>
              <w:t xml:space="preserve">ая </w:t>
            </w:r>
            <w:r w:rsidR="008B6B44">
              <w:rPr>
                <w:lang w:val="ru-RU"/>
              </w:rPr>
              <w:t>сессия Совместной целевой группы</w:t>
            </w:r>
            <w:r w:rsidRPr="009C7416">
              <w:rPr>
                <w:lang w:val="ru-RU"/>
              </w:rPr>
              <w:t xml:space="preserve"> </w:t>
            </w:r>
          </w:p>
        </w:tc>
        <w:tc>
          <w:tcPr>
            <w:tcW w:w="3564" w:type="dxa"/>
            <w:shd w:val="clear" w:color="auto" w:fill="auto"/>
          </w:tcPr>
          <w:p w:rsidR="00D475FE" w:rsidRPr="0070504F" w:rsidRDefault="00D76EB2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Будут определены позднее</w:t>
            </w:r>
          </w:p>
        </w:tc>
      </w:tr>
      <w:tr w:rsidR="0070504F" w:rsidRPr="0070504F" w:rsidTr="00565F4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544" w:type="dxa"/>
            <w:gridSpan w:val="2"/>
            <w:shd w:val="clear" w:color="auto" w:fill="auto"/>
          </w:tcPr>
          <w:p w:rsidR="00D475FE" w:rsidRPr="0070504F" w:rsidRDefault="00D475FE" w:rsidP="00565F4A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3298" w:type="dxa"/>
            <w:gridSpan w:val="2"/>
            <w:shd w:val="clear" w:color="auto" w:fill="auto"/>
          </w:tcPr>
          <w:p w:rsidR="00D475FE" w:rsidRPr="0070504F" w:rsidRDefault="00D475FE" w:rsidP="00565F4A">
            <w:pPr>
              <w:suppressAutoHyphens w:val="0"/>
              <w:spacing w:before="40" w:after="120" w:line="220" w:lineRule="exact"/>
              <w:ind w:right="113"/>
            </w:pPr>
            <w:r w:rsidRPr="0070504F">
              <w:t>26</w:t>
            </w:r>
            <w:proofErr w:type="spellStart"/>
            <w:r w:rsidR="008B6B44">
              <w:rPr>
                <w:vertAlign w:val="superscript"/>
                <w:lang w:val="ru-RU"/>
              </w:rPr>
              <w:t>ая</w:t>
            </w:r>
            <w:proofErr w:type="spellEnd"/>
            <w:r w:rsidR="008B6B44" w:rsidRPr="008B6B44">
              <w:rPr>
                <w:vertAlign w:val="superscript"/>
                <w:lang w:val="en-US"/>
              </w:rPr>
              <w:t xml:space="preserve"> </w:t>
            </w:r>
            <w:r w:rsidR="008B6B44">
              <w:rPr>
                <w:lang w:val="ru-RU"/>
              </w:rPr>
              <w:t>сессия</w:t>
            </w:r>
            <w:r w:rsidR="008B6B44" w:rsidRPr="008B6B44">
              <w:rPr>
                <w:lang w:val="en-US"/>
              </w:rPr>
              <w:t xml:space="preserve"> </w:t>
            </w:r>
            <w:r w:rsidR="008B6B44">
              <w:rPr>
                <w:lang w:val="ru-RU"/>
              </w:rPr>
              <w:t>Комитета</w:t>
            </w:r>
          </w:p>
        </w:tc>
        <w:tc>
          <w:tcPr>
            <w:tcW w:w="3564" w:type="dxa"/>
            <w:shd w:val="clear" w:color="auto" w:fill="auto"/>
          </w:tcPr>
          <w:p w:rsidR="00D475FE" w:rsidRPr="0070504F" w:rsidRDefault="00D76EB2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Будут определены позднее</w:t>
            </w:r>
          </w:p>
        </w:tc>
      </w:tr>
      <w:tr w:rsidR="0070504F" w:rsidRPr="00DF7845" w:rsidTr="00565F4A">
        <w:tc>
          <w:tcPr>
            <w:tcW w:w="1545" w:type="dxa"/>
            <w:gridSpan w:val="2"/>
            <w:shd w:val="clear" w:color="auto" w:fill="auto"/>
          </w:tcPr>
          <w:p w:rsidR="00D475FE" w:rsidRPr="0070504F" w:rsidRDefault="00984C61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Начало</w:t>
            </w:r>
            <w:r w:rsidR="00D475FE" w:rsidRPr="0070504F">
              <w:t xml:space="preserve"> 2021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D475FE" w:rsidRPr="0070504F" w:rsidRDefault="008B6B44" w:rsidP="00565F4A">
            <w:pPr>
              <w:suppressAutoHyphens w:val="0"/>
              <w:spacing w:before="40" w:after="120" w:line="220" w:lineRule="exact"/>
              <w:ind w:right="113"/>
            </w:pPr>
            <w:r>
              <w:rPr>
                <w:lang w:val="ru-RU"/>
              </w:rPr>
              <w:t>Специальная</w:t>
            </w:r>
            <w:r w:rsidRPr="008B6B44">
              <w:rPr>
                <w:lang w:val="en-US"/>
              </w:rPr>
              <w:t xml:space="preserve"> </w:t>
            </w:r>
            <w:r>
              <w:rPr>
                <w:lang w:val="ru-RU"/>
              </w:rPr>
              <w:t>сессия</w:t>
            </w:r>
            <w:r w:rsidRPr="008B6B44">
              <w:rPr>
                <w:lang w:val="en-US"/>
              </w:rPr>
              <w:t xml:space="preserve"> </w:t>
            </w:r>
            <w:r>
              <w:rPr>
                <w:lang w:val="ru-RU"/>
              </w:rPr>
              <w:t>Комитета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D475FE" w:rsidRPr="00D76EB2" w:rsidRDefault="00D76EB2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Рассмотрение проекта панъевропейской оценки состояния окружающей среды</w:t>
            </w:r>
          </w:p>
        </w:tc>
      </w:tr>
      <w:tr w:rsidR="0070504F" w:rsidRPr="0070504F" w:rsidTr="00565F4A">
        <w:tc>
          <w:tcPr>
            <w:tcW w:w="1545" w:type="dxa"/>
            <w:gridSpan w:val="2"/>
            <w:shd w:val="clear" w:color="auto" w:fill="auto"/>
          </w:tcPr>
          <w:p w:rsidR="00D475FE" w:rsidRPr="00D76EB2" w:rsidRDefault="00D475FE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D475FE" w:rsidRPr="0070504F" w:rsidRDefault="00D475FE" w:rsidP="00565F4A">
            <w:pPr>
              <w:suppressAutoHyphens w:val="0"/>
              <w:spacing w:before="40" w:after="120" w:line="220" w:lineRule="exact"/>
              <w:ind w:right="113"/>
            </w:pPr>
            <w:r w:rsidRPr="0070504F">
              <w:t>23</w:t>
            </w:r>
            <w:proofErr w:type="spellStart"/>
            <w:r w:rsidR="008B6B44">
              <w:rPr>
                <w:vertAlign w:val="superscript"/>
                <w:lang w:val="ru-RU"/>
              </w:rPr>
              <w:t>ья</w:t>
            </w:r>
            <w:proofErr w:type="spellEnd"/>
            <w:r w:rsidR="008B6B44" w:rsidRPr="008B6B44">
              <w:rPr>
                <w:vertAlign w:val="superscript"/>
                <w:lang w:val="en-US"/>
              </w:rPr>
              <w:t xml:space="preserve"> </w:t>
            </w:r>
            <w:r w:rsidR="008B6B44">
              <w:rPr>
                <w:lang w:val="ru-RU"/>
              </w:rPr>
              <w:t>сессия</w:t>
            </w:r>
            <w:r w:rsidR="008B6B44" w:rsidRPr="008B6B44">
              <w:rPr>
                <w:lang w:val="en-US"/>
              </w:rPr>
              <w:t xml:space="preserve"> </w:t>
            </w:r>
            <w:r w:rsidR="008B6B44">
              <w:rPr>
                <w:lang w:val="ru-RU"/>
              </w:rPr>
              <w:t>Рабочей</w:t>
            </w:r>
            <w:r w:rsidR="008B6B44" w:rsidRPr="008B6B44">
              <w:rPr>
                <w:lang w:val="en-US"/>
              </w:rPr>
              <w:t xml:space="preserve"> </w:t>
            </w:r>
            <w:r w:rsidR="008B6B44">
              <w:rPr>
                <w:lang w:val="ru-RU"/>
              </w:rPr>
              <w:t>группы</w:t>
            </w:r>
            <w:r w:rsidRPr="0070504F">
              <w:t xml:space="preserve"> 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D475FE" w:rsidRPr="00D76EB2" w:rsidRDefault="00D76EB2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Будут определены позднее</w:t>
            </w:r>
          </w:p>
        </w:tc>
      </w:tr>
      <w:tr w:rsidR="0070504F" w:rsidRPr="00DF7845" w:rsidTr="00565F4A">
        <w:tc>
          <w:tcPr>
            <w:tcW w:w="1545" w:type="dxa"/>
            <w:gridSpan w:val="2"/>
            <w:shd w:val="clear" w:color="auto" w:fill="auto"/>
          </w:tcPr>
          <w:p w:rsidR="00D475FE" w:rsidRPr="0070504F" w:rsidRDefault="00D475FE" w:rsidP="00565F4A">
            <w:pPr>
              <w:suppressAutoHyphens w:val="0"/>
              <w:spacing w:before="40" w:after="120" w:line="220" w:lineRule="exact"/>
              <w:ind w:right="113"/>
            </w:pPr>
            <w:r w:rsidRPr="0070504F">
              <w:t>2021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D475FE" w:rsidRPr="008B6B44" w:rsidRDefault="00D475FE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 w:rsidRPr="008B6B44">
              <w:rPr>
                <w:lang w:val="ru-RU"/>
              </w:rPr>
              <w:t>9</w:t>
            </w:r>
            <w:r w:rsidR="008B6B44">
              <w:rPr>
                <w:vertAlign w:val="superscript"/>
                <w:lang w:val="ru-RU"/>
              </w:rPr>
              <w:t>ая</w:t>
            </w:r>
            <w:r w:rsidR="008B6B44" w:rsidRPr="008B6B44">
              <w:rPr>
                <w:vertAlign w:val="superscript"/>
                <w:lang w:val="ru-RU"/>
              </w:rPr>
              <w:t xml:space="preserve"> </w:t>
            </w:r>
            <w:r w:rsidR="008B6B44">
              <w:rPr>
                <w:lang w:val="ru-RU"/>
              </w:rPr>
              <w:t>конференция</w:t>
            </w:r>
            <w:r w:rsidR="008B6B44" w:rsidRPr="008B6B44">
              <w:rPr>
                <w:lang w:val="ru-RU"/>
              </w:rPr>
              <w:t xml:space="preserve"> </w:t>
            </w:r>
            <w:r w:rsidR="008B6B44">
              <w:rPr>
                <w:lang w:val="ru-RU"/>
              </w:rPr>
              <w:t>Министров</w:t>
            </w:r>
            <w:r w:rsidR="008B6B44" w:rsidRPr="008B6B44">
              <w:rPr>
                <w:lang w:val="ru-RU"/>
              </w:rPr>
              <w:t xml:space="preserve"> «</w:t>
            </w:r>
            <w:r w:rsidR="008B6B44">
              <w:rPr>
                <w:lang w:val="ru-RU"/>
              </w:rPr>
              <w:t>Окружающая</w:t>
            </w:r>
            <w:r w:rsidR="008B6B44" w:rsidRPr="008B6B44">
              <w:rPr>
                <w:lang w:val="ru-RU"/>
              </w:rPr>
              <w:t xml:space="preserve"> </w:t>
            </w:r>
            <w:r w:rsidR="008B6B44">
              <w:rPr>
                <w:lang w:val="ru-RU"/>
              </w:rPr>
              <w:t>среда</w:t>
            </w:r>
            <w:r w:rsidR="008B6B44" w:rsidRPr="008B6B44">
              <w:rPr>
                <w:lang w:val="ru-RU"/>
              </w:rPr>
              <w:t xml:space="preserve"> </w:t>
            </w:r>
            <w:r w:rsidR="008B6B44">
              <w:rPr>
                <w:lang w:val="ru-RU"/>
              </w:rPr>
              <w:t>для</w:t>
            </w:r>
            <w:r w:rsidR="008B6B44" w:rsidRPr="008B6B44">
              <w:rPr>
                <w:lang w:val="ru-RU"/>
              </w:rPr>
              <w:t xml:space="preserve"> </w:t>
            </w:r>
            <w:r w:rsidR="008B6B44">
              <w:rPr>
                <w:lang w:val="ru-RU"/>
              </w:rPr>
              <w:t>Европы</w:t>
            </w:r>
            <w:r w:rsidR="008B6B44" w:rsidRPr="008B6B44">
              <w:rPr>
                <w:lang w:val="ru-RU"/>
              </w:rPr>
              <w:t>»</w:t>
            </w:r>
            <w:r w:rsidRPr="008B6B44">
              <w:rPr>
                <w:lang w:val="ru-RU"/>
              </w:rPr>
              <w:t xml:space="preserve"> 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D475FE" w:rsidRPr="00D76EB2" w:rsidRDefault="00D76EB2" w:rsidP="00565F4A">
            <w:pPr>
              <w:suppressAutoHyphens w:val="0"/>
              <w:spacing w:before="40" w:after="120" w:line="220" w:lineRule="exact"/>
              <w:ind w:right="113"/>
              <w:rPr>
                <w:lang w:val="ru-RU"/>
              </w:rPr>
            </w:pPr>
            <w:r>
              <w:rPr>
                <w:lang w:val="ru-RU"/>
              </w:rPr>
              <w:t>Рассмотрение панъевропейской оценки состояния окружающей среды</w:t>
            </w:r>
            <w:r w:rsidR="00565F4A" w:rsidRPr="00D76EB2">
              <w:rPr>
                <w:lang w:val="ru-RU"/>
              </w:rPr>
              <w:t xml:space="preserve"> </w:t>
            </w:r>
          </w:p>
        </w:tc>
      </w:tr>
    </w:tbl>
    <w:p w:rsidR="00D475FE" w:rsidRPr="00CE2836" w:rsidRDefault="00D475FE">
      <w:pPr>
        <w:pStyle w:val="H1G"/>
        <w:rPr>
          <w:lang w:val="ru-RU"/>
        </w:rPr>
      </w:pPr>
      <w:r w:rsidRPr="00D76EB2">
        <w:rPr>
          <w:lang w:val="ru-RU"/>
        </w:rPr>
        <w:lastRenderedPageBreak/>
        <w:tab/>
      </w:r>
      <w:r w:rsidR="00CE2836">
        <w:rPr>
          <w:lang w:val="ru-RU"/>
        </w:rPr>
        <w:t>В</w:t>
      </w:r>
      <w:r w:rsidRPr="00CE2836">
        <w:rPr>
          <w:lang w:val="ru-RU"/>
        </w:rPr>
        <w:t>.</w:t>
      </w:r>
      <w:r w:rsidRPr="00CE2836">
        <w:rPr>
          <w:lang w:val="ru-RU"/>
        </w:rPr>
        <w:tab/>
      </w:r>
      <w:r w:rsidR="00CE2836">
        <w:rPr>
          <w:lang w:val="ru-RU"/>
        </w:rPr>
        <w:t>Варианты</w:t>
      </w:r>
      <w:r w:rsidR="00CE2836" w:rsidRPr="00CE2836">
        <w:rPr>
          <w:lang w:val="ru-RU"/>
        </w:rPr>
        <w:t xml:space="preserve"> </w:t>
      </w:r>
      <w:r w:rsidR="00CE2836">
        <w:rPr>
          <w:lang w:val="ru-RU"/>
        </w:rPr>
        <w:t>для</w:t>
      </w:r>
      <w:r w:rsidR="00CE2836" w:rsidRPr="00CE2836">
        <w:rPr>
          <w:lang w:val="ru-RU"/>
        </w:rPr>
        <w:t xml:space="preserve"> </w:t>
      </w:r>
      <w:r w:rsidR="00CE2836">
        <w:rPr>
          <w:lang w:val="ru-RU"/>
        </w:rPr>
        <w:t>седьмой</w:t>
      </w:r>
      <w:r w:rsidR="00CE2836" w:rsidRPr="00CE2836">
        <w:rPr>
          <w:lang w:val="ru-RU"/>
        </w:rPr>
        <w:t xml:space="preserve"> </w:t>
      </w:r>
      <w:r w:rsidR="00CE2836">
        <w:rPr>
          <w:lang w:val="ru-RU"/>
        </w:rPr>
        <w:t>оценки состояния окружающей среды в панъевропейском регионе</w:t>
      </w:r>
    </w:p>
    <w:p w:rsidR="00CD2446" w:rsidRPr="00CD2446" w:rsidRDefault="00D475FE" w:rsidP="00565F4A">
      <w:pPr>
        <w:pStyle w:val="SingleTxtG"/>
        <w:rPr>
          <w:lang w:val="ru-RU"/>
        </w:rPr>
      </w:pPr>
      <w:r w:rsidRPr="00B66053">
        <w:rPr>
          <w:lang w:val="ru-RU"/>
        </w:rPr>
        <w:t>29.</w:t>
      </w:r>
      <w:r w:rsidRPr="00B66053">
        <w:rPr>
          <w:lang w:val="ru-RU"/>
        </w:rPr>
        <w:tab/>
      </w:r>
      <w:r w:rsidR="00CD2446" w:rsidRPr="00CD2446">
        <w:rPr>
          <w:lang w:val="ru-RU"/>
        </w:rPr>
        <w:t>Рабочая группа, возможно, пожелает рассмотреть следующие варианты или разработ</w:t>
      </w:r>
      <w:r w:rsidR="00B66053">
        <w:rPr>
          <w:lang w:val="ru-RU"/>
        </w:rPr>
        <w:t>ать альтернативные варианты рамок и формата следующей панъ</w:t>
      </w:r>
      <w:r w:rsidR="00CD2446" w:rsidRPr="00CD2446">
        <w:rPr>
          <w:lang w:val="ru-RU"/>
        </w:rPr>
        <w:t>европейской экологической оценки.</w:t>
      </w:r>
    </w:p>
    <w:p w:rsidR="00D475FE" w:rsidRPr="006C0BDF" w:rsidRDefault="00D475FE" w:rsidP="00110B5F">
      <w:pPr>
        <w:pStyle w:val="H23G"/>
        <w:outlineLvl w:val="0"/>
        <w:rPr>
          <w:lang w:val="ru-RU"/>
        </w:rPr>
      </w:pPr>
      <w:r w:rsidRPr="00CD2446">
        <w:rPr>
          <w:lang w:val="ru-RU"/>
        </w:rPr>
        <w:tab/>
      </w:r>
      <w:r w:rsidRPr="006C0BDF">
        <w:rPr>
          <w:lang w:val="ru-RU"/>
        </w:rPr>
        <w:t>1.</w:t>
      </w:r>
      <w:r w:rsidRPr="006C0BDF">
        <w:rPr>
          <w:lang w:val="ru-RU"/>
        </w:rPr>
        <w:tab/>
      </w:r>
      <w:r w:rsidR="006C0BDF">
        <w:rPr>
          <w:lang w:val="ru-RU"/>
        </w:rPr>
        <w:t>Всеобъемлющая комплексная экологическая оценка для панъевропейского региона</w:t>
      </w:r>
    </w:p>
    <w:p w:rsidR="00D475FE" w:rsidRPr="009C7416" w:rsidRDefault="006C0BDF" w:rsidP="00565F4A">
      <w:pPr>
        <w:pStyle w:val="SingleTxtG"/>
        <w:rPr>
          <w:lang w:val="ru-RU"/>
        </w:rPr>
      </w:pPr>
      <w:r w:rsidRPr="009C7416">
        <w:rPr>
          <w:lang w:val="ru-RU"/>
        </w:rPr>
        <w:t>30.</w:t>
      </w:r>
      <w:r w:rsidRPr="009C7416">
        <w:rPr>
          <w:lang w:val="ru-RU"/>
        </w:rPr>
        <w:tab/>
      </w:r>
      <w:r w:rsidR="00420269">
        <w:rPr>
          <w:lang w:val="ru-RU"/>
        </w:rPr>
        <w:t>Этот</w:t>
      </w:r>
      <w:r w:rsidRPr="009C7416">
        <w:rPr>
          <w:lang w:val="ru-RU"/>
        </w:rPr>
        <w:t xml:space="preserve"> </w:t>
      </w:r>
      <w:r>
        <w:rPr>
          <w:lang w:val="ru-RU"/>
        </w:rPr>
        <w:t>вариант</w:t>
      </w:r>
      <w:r w:rsidR="00D475FE" w:rsidRPr="009C7416">
        <w:rPr>
          <w:lang w:val="ru-RU"/>
        </w:rPr>
        <w:t>:</w:t>
      </w:r>
    </w:p>
    <w:p w:rsidR="00D475FE" w:rsidRPr="003F5F39" w:rsidRDefault="00CE7C4A" w:rsidP="00565F4A">
      <w:pPr>
        <w:pStyle w:val="SingleTxtG"/>
        <w:ind w:firstLine="567"/>
        <w:rPr>
          <w:lang w:val="ru-RU"/>
        </w:rPr>
      </w:pPr>
      <w:r w:rsidRPr="003F5F39">
        <w:rPr>
          <w:lang w:val="ru-RU"/>
        </w:rPr>
        <w:t>(</w:t>
      </w:r>
      <w:r>
        <w:t>a</w:t>
      </w:r>
      <w:r w:rsidRPr="003F5F39">
        <w:rPr>
          <w:lang w:val="ru-RU"/>
        </w:rPr>
        <w:t>)</w:t>
      </w:r>
      <w:r w:rsidRPr="003F5F39">
        <w:rPr>
          <w:lang w:val="ru-RU"/>
        </w:rPr>
        <w:tab/>
        <w:t xml:space="preserve">является ресурсоемким, </w:t>
      </w:r>
      <w:r>
        <w:rPr>
          <w:lang w:val="ru-RU"/>
        </w:rPr>
        <w:t>с</w:t>
      </w:r>
      <w:r w:rsidRPr="003F5F39">
        <w:rPr>
          <w:lang w:val="ru-RU"/>
        </w:rPr>
        <w:t xml:space="preserve"> </w:t>
      </w:r>
      <w:r>
        <w:rPr>
          <w:lang w:val="ru-RU"/>
        </w:rPr>
        <w:t>высокой</w:t>
      </w:r>
      <w:r w:rsidRPr="003F5F39">
        <w:rPr>
          <w:lang w:val="ru-RU"/>
        </w:rPr>
        <w:t xml:space="preserve"> </w:t>
      </w:r>
      <w:r>
        <w:rPr>
          <w:lang w:val="ru-RU"/>
        </w:rPr>
        <w:t>стоимостью</w:t>
      </w:r>
      <w:r w:rsidRPr="003F5F39">
        <w:rPr>
          <w:lang w:val="ru-RU"/>
        </w:rPr>
        <w:t xml:space="preserve"> </w:t>
      </w:r>
      <w:r w:rsidR="009B17BA">
        <w:rPr>
          <w:lang w:val="ru-RU"/>
        </w:rPr>
        <w:t>и</w:t>
      </w:r>
      <w:r w:rsidR="00B043B1">
        <w:rPr>
          <w:lang w:val="ru-RU"/>
        </w:rPr>
        <w:t xml:space="preserve"> </w:t>
      </w:r>
      <w:r w:rsidR="003F5F39">
        <w:rPr>
          <w:lang w:val="ru-RU"/>
        </w:rPr>
        <w:t>требует большое количество времени сотрудников и экспертов</w:t>
      </w:r>
      <w:r w:rsidR="00D475FE" w:rsidRPr="003F5F39">
        <w:rPr>
          <w:lang w:val="ru-RU"/>
        </w:rPr>
        <w:t>;</w:t>
      </w:r>
    </w:p>
    <w:p w:rsidR="00D475FE" w:rsidRPr="00D922B1" w:rsidRDefault="006C0BDF" w:rsidP="00565F4A">
      <w:pPr>
        <w:pStyle w:val="SingleTxtG"/>
        <w:ind w:firstLine="567"/>
        <w:rPr>
          <w:lang w:val="ru-RU"/>
        </w:rPr>
      </w:pPr>
      <w:r w:rsidRPr="00D922B1">
        <w:rPr>
          <w:lang w:val="ru-RU"/>
        </w:rPr>
        <w:t>(</w:t>
      </w:r>
      <w:r>
        <w:rPr>
          <w:lang w:val="ru-RU"/>
        </w:rPr>
        <w:t>б</w:t>
      </w:r>
      <w:r w:rsidR="00D475FE" w:rsidRPr="00D922B1">
        <w:rPr>
          <w:lang w:val="ru-RU"/>
        </w:rPr>
        <w:t>)</w:t>
      </w:r>
      <w:r w:rsidR="00D475FE" w:rsidRPr="00D922B1">
        <w:rPr>
          <w:lang w:val="ru-RU"/>
        </w:rPr>
        <w:tab/>
      </w:r>
      <w:r w:rsidR="00E136FC">
        <w:rPr>
          <w:lang w:val="ru-RU"/>
        </w:rPr>
        <w:t>я</w:t>
      </w:r>
      <w:r w:rsidR="003F5F39">
        <w:rPr>
          <w:lang w:val="ru-RU"/>
        </w:rPr>
        <w:t>вляется</w:t>
      </w:r>
      <w:r w:rsidR="003F5F39" w:rsidRPr="00D922B1">
        <w:rPr>
          <w:lang w:val="ru-RU"/>
        </w:rPr>
        <w:t xml:space="preserve"> </w:t>
      </w:r>
      <w:r w:rsidR="003F5F39">
        <w:rPr>
          <w:lang w:val="ru-RU"/>
        </w:rPr>
        <w:t>потенциально</w:t>
      </w:r>
      <w:r w:rsidR="003F5F39" w:rsidRPr="00D922B1">
        <w:rPr>
          <w:lang w:val="ru-RU"/>
        </w:rPr>
        <w:t xml:space="preserve"> </w:t>
      </w:r>
      <w:r w:rsidR="003F5F39">
        <w:rPr>
          <w:lang w:val="ru-RU"/>
        </w:rPr>
        <w:t>очень</w:t>
      </w:r>
      <w:r w:rsidR="003F5F39" w:rsidRPr="00D922B1">
        <w:rPr>
          <w:lang w:val="ru-RU"/>
        </w:rPr>
        <w:t xml:space="preserve"> </w:t>
      </w:r>
      <w:r w:rsidR="003F5F39">
        <w:rPr>
          <w:lang w:val="ru-RU"/>
        </w:rPr>
        <w:t>ценным</w:t>
      </w:r>
      <w:r w:rsidR="003F5F39" w:rsidRPr="00D922B1">
        <w:rPr>
          <w:lang w:val="ru-RU"/>
        </w:rPr>
        <w:t xml:space="preserve"> </w:t>
      </w:r>
      <w:r w:rsidR="003F5F39">
        <w:rPr>
          <w:lang w:val="ru-RU"/>
        </w:rPr>
        <w:t>для</w:t>
      </w:r>
      <w:r w:rsidR="003F5F39" w:rsidRPr="00D922B1">
        <w:rPr>
          <w:lang w:val="ru-RU"/>
        </w:rPr>
        <w:t xml:space="preserve"> </w:t>
      </w:r>
      <w:r w:rsidR="003F5F39">
        <w:rPr>
          <w:lang w:val="ru-RU"/>
        </w:rPr>
        <w:t>директивных</w:t>
      </w:r>
      <w:r w:rsidR="003F5F39" w:rsidRPr="00D922B1">
        <w:rPr>
          <w:lang w:val="ru-RU"/>
        </w:rPr>
        <w:t xml:space="preserve"> </w:t>
      </w:r>
      <w:r w:rsidR="003F5F39">
        <w:rPr>
          <w:lang w:val="ru-RU"/>
        </w:rPr>
        <w:t>органов</w:t>
      </w:r>
      <w:r w:rsidR="00D922B1" w:rsidRPr="00D922B1">
        <w:rPr>
          <w:lang w:val="ru-RU"/>
        </w:rPr>
        <w:t xml:space="preserve"> </w:t>
      </w:r>
      <w:r w:rsidR="00D922B1">
        <w:rPr>
          <w:lang w:val="ru-RU"/>
        </w:rPr>
        <w:t>и</w:t>
      </w:r>
      <w:r w:rsidR="00D922B1" w:rsidRPr="00D922B1">
        <w:rPr>
          <w:lang w:val="ru-RU"/>
        </w:rPr>
        <w:t xml:space="preserve"> </w:t>
      </w:r>
      <w:r w:rsidR="00D922B1">
        <w:rPr>
          <w:lang w:val="ru-RU"/>
        </w:rPr>
        <w:t>включает в себя обзор перспектив</w:t>
      </w:r>
      <w:r w:rsidR="00D475FE" w:rsidRPr="00D922B1">
        <w:rPr>
          <w:lang w:val="ru-RU"/>
        </w:rPr>
        <w:t>;</w:t>
      </w:r>
    </w:p>
    <w:p w:rsidR="00D475FE" w:rsidRPr="00D922B1" w:rsidRDefault="006C0BDF" w:rsidP="00565F4A">
      <w:pPr>
        <w:pStyle w:val="SingleTxtG"/>
        <w:ind w:firstLine="567"/>
        <w:rPr>
          <w:lang w:val="ru-RU"/>
        </w:rPr>
      </w:pPr>
      <w:r w:rsidRPr="00D922B1">
        <w:rPr>
          <w:lang w:val="ru-RU"/>
        </w:rPr>
        <w:t>(</w:t>
      </w:r>
      <w:r>
        <w:rPr>
          <w:lang w:val="ru-RU"/>
        </w:rPr>
        <w:t>в</w:t>
      </w:r>
      <w:r w:rsidR="00D475FE" w:rsidRPr="00D922B1">
        <w:rPr>
          <w:lang w:val="ru-RU"/>
        </w:rPr>
        <w:t>)</w:t>
      </w:r>
      <w:r w:rsidR="00D475FE" w:rsidRPr="00D922B1">
        <w:rPr>
          <w:lang w:val="ru-RU"/>
        </w:rPr>
        <w:tab/>
      </w:r>
      <w:r w:rsidR="00E136FC">
        <w:rPr>
          <w:lang w:val="ru-RU"/>
        </w:rPr>
        <w:t>п</w:t>
      </w:r>
      <w:r w:rsidR="00D922B1">
        <w:rPr>
          <w:lang w:val="ru-RU"/>
        </w:rPr>
        <w:t>отенциально</w:t>
      </w:r>
      <w:r w:rsidR="00D922B1" w:rsidRPr="00D922B1">
        <w:rPr>
          <w:lang w:val="ru-RU"/>
        </w:rPr>
        <w:t xml:space="preserve"> </w:t>
      </w:r>
      <w:r w:rsidR="00D922B1">
        <w:rPr>
          <w:lang w:val="ru-RU"/>
        </w:rPr>
        <w:t>трудно</w:t>
      </w:r>
      <w:r w:rsidR="00D922B1" w:rsidRPr="00D922B1">
        <w:rPr>
          <w:lang w:val="ru-RU"/>
        </w:rPr>
        <w:t xml:space="preserve"> </w:t>
      </w:r>
      <w:r w:rsidR="00D922B1">
        <w:rPr>
          <w:lang w:val="ru-RU"/>
        </w:rPr>
        <w:t>интегрировать</w:t>
      </w:r>
      <w:r w:rsidR="00D922B1" w:rsidRPr="00D922B1">
        <w:rPr>
          <w:lang w:val="ru-RU"/>
        </w:rPr>
        <w:t xml:space="preserve"> </w:t>
      </w:r>
      <w:r w:rsidR="00D922B1">
        <w:rPr>
          <w:lang w:val="ru-RU"/>
        </w:rPr>
        <w:t>с</w:t>
      </w:r>
      <w:r w:rsidR="00D922B1" w:rsidRPr="00D922B1">
        <w:rPr>
          <w:lang w:val="ru-RU"/>
        </w:rPr>
        <w:t xml:space="preserve"> </w:t>
      </w:r>
      <w:r w:rsidR="00D922B1">
        <w:rPr>
          <w:lang w:val="ru-RU"/>
        </w:rPr>
        <w:t>проектом</w:t>
      </w:r>
      <w:r w:rsidR="00D922B1" w:rsidRPr="00D922B1">
        <w:rPr>
          <w:lang w:val="ru-RU"/>
        </w:rPr>
        <w:t xml:space="preserve"> </w:t>
      </w:r>
      <w:r w:rsidR="00D922B1">
        <w:rPr>
          <w:lang w:val="ru-RU"/>
        </w:rPr>
        <w:t xml:space="preserve">Европейского агентства по окружающей среде </w:t>
      </w:r>
      <w:r w:rsidR="00D475FE" w:rsidRPr="006C3AEC">
        <w:t>SOER</w:t>
      </w:r>
      <w:r w:rsidR="00D475FE" w:rsidRPr="00D922B1">
        <w:rPr>
          <w:lang w:val="ru-RU"/>
        </w:rPr>
        <w:t xml:space="preserve"> 2020;</w:t>
      </w:r>
    </w:p>
    <w:p w:rsidR="00D922B1" w:rsidRPr="00D40009" w:rsidRDefault="006C0BDF" w:rsidP="00565F4A">
      <w:pPr>
        <w:pStyle w:val="SingleTxtG"/>
        <w:ind w:firstLine="567"/>
        <w:rPr>
          <w:lang w:val="ru-RU"/>
        </w:rPr>
      </w:pPr>
      <w:r w:rsidRPr="00E30501">
        <w:rPr>
          <w:lang w:val="ru-RU"/>
        </w:rPr>
        <w:t>(</w:t>
      </w:r>
      <w:r>
        <w:rPr>
          <w:lang w:val="ru-RU"/>
        </w:rPr>
        <w:t>г</w:t>
      </w:r>
      <w:r w:rsidR="00E30501" w:rsidRPr="00E30501">
        <w:rPr>
          <w:lang w:val="ru-RU"/>
        </w:rPr>
        <w:t>)</w:t>
      </w:r>
      <w:r w:rsidR="00E30501" w:rsidRPr="00E30501">
        <w:rPr>
          <w:lang w:val="ru-RU"/>
        </w:rPr>
        <w:tab/>
      </w:r>
      <w:r w:rsidR="00E136FC">
        <w:rPr>
          <w:lang w:val="ru-RU"/>
        </w:rPr>
        <w:t>т</w:t>
      </w:r>
      <w:r w:rsidR="00D40009">
        <w:rPr>
          <w:lang w:val="ru-RU"/>
        </w:rPr>
        <w:t>рудно подготовить</w:t>
      </w:r>
      <w:r w:rsidR="00D922B1" w:rsidRPr="00D40009">
        <w:rPr>
          <w:lang w:val="ru-RU"/>
        </w:rPr>
        <w:t xml:space="preserve"> в короткие сроки, в зависимости от тем, выбранных Комитетом по экологической политике для девятой конферен</w:t>
      </w:r>
      <w:r w:rsidR="00E30501">
        <w:rPr>
          <w:lang w:val="ru-RU"/>
        </w:rPr>
        <w:t>ции Окружающая среда</w:t>
      </w:r>
      <w:r w:rsidR="00D922B1" w:rsidRPr="00D40009">
        <w:rPr>
          <w:lang w:val="ru-RU"/>
        </w:rPr>
        <w:t xml:space="preserve"> для Европы;</w:t>
      </w:r>
    </w:p>
    <w:p w:rsidR="005152FB" w:rsidRPr="006C3ABA" w:rsidRDefault="006C0BDF" w:rsidP="00B75E10">
      <w:pPr>
        <w:pStyle w:val="SingleTxtG"/>
        <w:ind w:firstLine="567"/>
        <w:rPr>
          <w:lang w:val="ru-RU"/>
        </w:rPr>
      </w:pPr>
      <w:r w:rsidRPr="006C3ABA">
        <w:rPr>
          <w:lang w:val="ru-RU"/>
        </w:rPr>
        <w:t>(</w:t>
      </w:r>
      <w:r>
        <w:rPr>
          <w:lang w:val="ru-RU"/>
        </w:rPr>
        <w:t>д</w:t>
      </w:r>
      <w:r w:rsidR="00D475FE" w:rsidRPr="006C3ABA">
        <w:rPr>
          <w:lang w:val="ru-RU"/>
        </w:rPr>
        <w:t>)</w:t>
      </w:r>
      <w:r w:rsidR="00D475FE" w:rsidRPr="006C3ABA">
        <w:rPr>
          <w:lang w:val="ru-RU"/>
        </w:rPr>
        <w:tab/>
      </w:r>
      <w:r w:rsidR="00E136FC">
        <w:rPr>
          <w:lang w:val="ru-RU"/>
        </w:rPr>
        <w:t>в</w:t>
      </w:r>
      <w:r w:rsidR="00B043B1">
        <w:rPr>
          <w:lang w:val="ru-RU"/>
        </w:rPr>
        <w:t xml:space="preserve"> </w:t>
      </w:r>
      <w:r w:rsidR="005152FB">
        <w:rPr>
          <w:lang w:val="ru-RU"/>
        </w:rPr>
        <w:t>отсутствие дальнейшего</w:t>
      </w:r>
      <w:r w:rsidR="005152FB" w:rsidRPr="005152FB">
        <w:rPr>
          <w:lang w:val="ru-RU"/>
        </w:rPr>
        <w:t xml:space="preserve"> мандата Ассамблеи Организации Объединенных Наций по окружающей среде </w:t>
      </w:r>
      <w:r w:rsidR="00B75E10">
        <w:rPr>
          <w:lang w:val="ru-RU"/>
        </w:rPr>
        <w:t xml:space="preserve">в отношении следующего цикла </w:t>
      </w:r>
      <w:r w:rsidR="00EB3EDF">
        <w:rPr>
          <w:lang w:val="ru-RU"/>
        </w:rPr>
        <w:t>ГЭП</w:t>
      </w:r>
      <w:r w:rsidR="00B75E10">
        <w:rPr>
          <w:lang w:val="ru-RU"/>
        </w:rPr>
        <w:t xml:space="preserve"> (</w:t>
      </w:r>
      <w:r w:rsidR="00EB3EDF">
        <w:rPr>
          <w:lang w:val="ru-RU"/>
        </w:rPr>
        <w:t>ГЭП</w:t>
      </w:r>
      <w:r w:rsidR="005152FB" w:rsidRPr="005152FB">
        <w:rPr>
          <w:lang w:val="ru-RU"/>
        </w:rPr>
        <w:t>-7) и региональных оценок, возможно, не удастся основы</w:t>
      </w:r>
      <w:r w:rsidR="00B75E10">
        <w:rPr>
          <w:lang w:val="ru-RU"/>
        </w:rPr>
        <w:t xml:space="preserve">ваться на региональной оценке </w:t>
      </w:r>
      <w:r w:rsidR="00EB3EDF">
        <w:rPr>
          <w:lang w:val="ru-RU"/>
        </w:rPr>
        <w:t>ГЭП</w:t>
      </w:r>
      <w:r w:rsidR="005152FB" w:rsidRPr="005152FB">
        <w:rPr>
          <w:lang w:val="ru-RU"/>
        </w:rPr>
        <w:t>;</w:t>
      </w:r>
    </w:p>
    <w:p w:rsidR="00D475FE" w:rsidRPr="006C3ABA" w:rsidRDefault="006C0BDF" w:rsidP="00565F4A">
      <w:pPr>
        <w:pStyle w:val="SingleTxtG"/>
        <w:ind w:firstLine="567"/>
        <w:rPr>
          <w:lang w:val="ru-RU"/>
        </w:rPr>
      </w:pPr>
      <w:r w:rsidRPr="006C3ABA">
        <w:rPr>
          <w:lang w:val="ru-RU"/>
        </w:rPr>
        <w:t>(</w:t>
      </w:r>
      <w:r>
        <w:rPr>
          <w:lang w:val="ru-RU"/>
        </w:rPr>
        <w:t>е</w:t>
      </w:r>
      <w:r w:rsidR="00D475FE" w:rsidRPr="006C3ABA">
        <w:rPr>
          <w:lang w:val="ru-RU"/>
        </w:rPr>
        <w:t>)</w:t>
      </w:r>
      <w:r w:rsidR="00D475FE" w:rsidRPr="006C3ABA">
        <w:rPr>
          <w:lang w:val="ru-RU"/>
        </w:rPr>
        <w:tab/>
      </w:r>
      <w:r w:rsidR="00E136FC">
        <w:rPr>
          <w:lang w:val="ru-RU"/>
        </w:rPr>
        <w:t>о</w:t>
      </w:r>
      <w:r w:rsidR="000D27C4">
        <w:rPr>
          <w:lang w:val="ru-RU"/>
        </w:rPr>
        <w:t>беспечивает следующие</w:t>
      </w:r>
      <w:r w:rsidR="006C3ABA">
        <w:rPr>
          <w:lang w:val="ru-RU"/>
        </w:rPr>
        <w:t xml:space="preserve"> роли Рабочей группы</w:t>
      </w:r>
      <w:r w:rsidR="00D475FE" w:rsidRPr="006C3ABA">
        <w:rPr>
          <w:lang w:val="ru-RU"/>
        </w:rPr>
        <w:t>:</w:t>
      </w:r>
    </w:p>
    <w:p w:rsidR="00D475FE" w:rsidRPr="006C3ABA" w:rsidRDefault="006C0BDF" w:rsidP="00565F4A">
      <w:pPr>
        <w:pStyle w:val="SingleTxtG"/>
        <w:ind w:left="1710" w:hanging="9"/>
        <w:rPr>
          <w:lang w:val="ru-RU"/>
        </w:rPr>
      </w:pPr>
      <w:r w:rsidRPr="006C3ABA">
        <w:rPr>
          <w:lang w:val="ru-RU"/>
        </w:rPr>
        <w:t>(</w:t>
      </w:r>
      <w:proofErr w:type="spellStart"/>
      <w:r w:rsidR="006C3ABA" w:rsidRPr="006C3ABA">
        <w:rPr>
          <w:lang w:val="en-US"/>
        </w:rPr>
        <w:t>i</w:t>
      </w:r>
      <w:proofErr w:type="spellEnd"/>
      <w:r w:rsidR="00D475FE" w:rsidRPr="006C3ABA">
        <w:rPr>
          <w:lang w:val="ru-RU"/>
        </w:rPr>
        <w:t>)</w:t>
      </w:r>
      <w:r w:rsidR="00D475FE" w:rsidRPr="006C3ABA">
        <w:rPr>
          <w:lang w:val="ru-RU"/>
        </w:rPr>
        <w:tab/>
      </w:r>
      <w:r w:rsidR="00E136FC">
        <w:rPr>
          <w:lang w:val="ru-RU"/>
        </w:rPr>
        <w:t>п</w:t>
      </w:r>
      <w:r w:rsidR="006C3ABA">
        <w:rPr>
          <w:lang w:val="ru-RU"/>
        </w:rPr>
        <w:t>роведение</w:t>
      </w:r>
      <w:r w:rsidR="006C3ABA" w:rsidRPr="006C3ABA">
        <w:rPr>
          <w:lang w:val="ru-RU"/>
        </w:rPr>
        <w:t xml:space="preserve"> </w:t>
      </w:r>
      <w:r w:rsidR="006C3ABA">
        <w:rPr>
          <w:lang w:val="ru-RU"/>
        </w:rPr>
        <w:t>консультаций</w:t>
      </w:r>
      <w:r w:rsidR="006C3ABA" w:rsidRPr="006C3ABA">
        <w:rPr>
          <w:lang w:val="ru-RU"/>
        </w:rPr>
        <w:t xml:space="preserve"> </w:t>
      </w:r>
      <w:r w:rsidR="006C3ABA">
        <w:rPr>
          <w:lang w:val="ru-RU"/>
        </w:rPr>
        <w:t>и</w:t>
      </w:r>
      <w:r w:rsidR="006C3ABA" w:rsidRPr="006C3ABA">
        <w:rPr>
          <w:lang w:val="ru-RU"/>
        </w:rPr>
        <w:t xml:space="preserve"> </w:t>
      </w:r>
      <w:r w:rsidR="006C3ABA">
        <w:rPr>
          <w:lang w:val="ru-RU"/>
        </w:rPr>
        <w:t>согласование</w:t>
      </w:r>
      <w:r w:rsidR="006C3ABA" w:rsidRPr="006C3ABA">
        <w:rPr>
          <w:lang w:val="ru-RU"/>
        </w:rPr>
        <w:t xml:space="preserve"> </w:t>
      </w:r>
      <w:r w:rsidR="006C3ABA">
        <w:rPr>
          <w:lang w:val="ru-RU"/>
        </w:rPr>
        <w:t>целей</w:t>
      </w:r>
      <w:r w:rsidR="006C3ABA" w:rsidRPr="006C3ABA">
        <w:rPr>
          <w:lang w:val="ru-RU"/>
        </w:rPr>
        <w:t xml:space="preserve">, </w:t>
      </w:r>
      <w:r w:rsidR="00B043B1">
        <w:rPr>
          <w:lang w:val="ru-RU"/>
        </w:rPr>
        <w:t>рамок</w:t>
      </w:r>
      <w:r w:rsidR="006C3ABA" w:rsidRPr="006C3ABA">
        <w:rPr>
          <w:lang w:val="ru-RU"/>
        </w:rPr>
        <w:t xml:space="preserve"> </w:t>
      </w:r>
      <w:r w:rsidR="006C3ABA">
        <w:rPr>
          <w:lang w:val="ru-RU"/>
        </w:rPr>
        <w:t>и</w:t>
      </w:r>
      <w:r w:rsidR="006C3ABA" w:rsidRPr="006C3ABA">
        <w:rPr>
          <w:lang w:val="ru-RU"/>
        </w:rPr>
        <w:t xml:space="preserve"> </w:t>
      </w:r>
      <w:r w:rsidR="006C3ABA">
        <w:rPr>
          <w:lang w:val="ru-RU"/>
        </w:rPr>
        <w:t>процесс</w:t>
      </w:r>
      <w:r w:rsidR="00B043B1">
        <w:rPr>
          <w:lang w:val="ru-RU"/>
        </w:rPr>
        <w:t>а</w:t>
      </w:r>
      <w:r w:rsidR="006C3ABA" w:rsidRPr="006C3ABA">
        <w:rPr>
          <w:lang w:val="ru-RU"/>
        </w:rPr>
        <w:t xml:space="preserve"> </w:t>
      </w:r>
      <w:r w:rsidR="006C3ABA">
        <w:rPr>
          <w:lang w:val="ru-RU"/>
        </w:rPr>
        <w:t>оценки</w:t>
      </w:r>
      <w:r w:rsidR="00D475FE" w:rsidRPr="006C3ABA">
        <w:rPr>
          <w:lang w:val="ru-RU"/>
        </w:rPr>
        <w:t>;</w:t>
      </w:r>
    </w:p>
    <w:p w:rsidR="00D475FE" w:rsidRPr="006C3ABA" w:rsidRDefault="00D475FE" w:rsidP="00565F4A">
      <w:pPr>
        <w:pStyle w:val="SingleTxtG"/>
        <w:ind w:left="1710" w:hanging="9"/>
        <w:rPr>
          <w:lang w:val="ru-RU"/>
        </w:rPr>
      </w:pPr>
      <w:r w:rsidRPr="006C3ABA">
        <w:rPr>
          <w:lang w:val="ru-RU"/>
        </w:rPr>
        <w:t>(</w:t>
      </w:r>
      <w:r>
        <w:t>ii</w:t>
      </w:r>
      <w:r w:rsidRPr="006C3ABA">
        <w:rPr>
          <w:lang w:val="ru-RU"/>
        </w:rPr>
        <w:t>)</w:t>
      </w:r>
      <w:r w:rsidRPr="006C3ABA">
        <w:rPr>
          <w:lang w:val="ru-RU"/>
        </w:rPr>
        <w:tab/>
      </w:r>
      <w:r w:rsidR="00E136FC">
        <w:rPr>
          <w:lang w:val="ru-RU"/>
        </w:rPr>
        <w:t>с</w:t>
      </w:r>
      <w:r w:rsidR="006C3ABA">
        <w:rPr>
          <w:lang w:val="ru-RU"/>
        </w:rPr>
        <w:t>огласование</w:t>
      </w:r>
      <w:r w:rsidR="006C3ABA" w:rsidRPr="006C3ABA">
        <w:rPr>
          <w:lang w:val="ru-RU"/>
        </w:rPr>
        <w:t xml:space="preserve"> </w:t>
      </w:r>
      <w:r w:rsidR="006C3ABA">
        <w:rPr>
          <w:lang w:val="ru-RU"/>
        </w:rPr>
        <w:t>аннотированного</w:t>
      </w:r>
      <w:r w:rsidR="006C3ABA" w:rsidRPr="006C3ABA">
        <w:rPr>
          <w:lang w:val="ru-RU"/>
        </w:rPr>
        <w:t xml:space="preserve"> </w:t>
      </w:r>
      <w:r w:rsidR="006C3ABA">
        <w:rPr>
          <w:lang w:val="ru-RU"/>
        </w:rPr>
        <w:t>плана</w:t>
      </w:r>
      <w:r w:rsidR="006C3ABA" w:rsidRPr="006C3ABA">
        <w:rPr>
          <w:lang w:val="ru-RU"/>
        </w:rPr>
        <w:t xml:space="preserve"> </w:t>
      </w:r>
      <w:r w:rsidR="006C3ABA">
        <w:rPr>
          <w:lang w:val="ru-RU"/>
        </w:rPr>
        <w:t>оценки</w:t>
      </w:r>
      <w:r w:rsidR="006C3ABA" w:rsidRPr="006C3ABA">
        <w:rPr>
          <w:lang w:val="ru-RU"/>
        </w:rPr>
        <w:t xml:space="preserve"> </w:t>
      </w:r>
      <w:r w:rsidR="006C3ABA">
        <w:rPr>
          <w:lang w:val="ru-RU"/>
        </w:rPr>
        <w:t>и</w:t>
      </w:r>
      <w:r w:rsidR="006C3ABA" w:rsidRPr="006C3ABA">
        <w:rPr>
          <w:lang w:val="ru-RU"/>
        </w:rPr>
        <w:t xml:space="preserve"> </w:t>
      </w:r>
      <w:r w:rsidR="006C3ABA">
        <w:rPr>
          <w:lang w:val="ru-RU"/>
        </w:rPr>
        <w:t>содержание</w:t>
      </w:r>
      <w:r w:rsidRPr="006C3ABA">
        <w:rPr>
          <w:lang w:val="ru-RU"/>
        </w:rPr>
        <w:t>;</w:t>
      </w:r>
    </w:p>
    <w:p w:rsidR="00D475FE" w:rsidRPr="00DD5ED5" w:rsidRDefault="00D475FE" w:rsidP="00565F4A">
      <w:pPr>
        <w:pStyle w:val="SingleTxtG"/>
        <w:ind w:left="1710" w:hanging="9"/>
        <w:rPr>
          <w:b/>
          <w:lang w:val="ru-RU"/>
        </w:rPr>
      </w:pPr>
      <w:r w:rsidRPr="00DD5ED5">
        <w:rPr>
          <w:lang w:val="ru-RU"/>
        </w:rPr>
        <w:t>(</w:t>
      </w:r>
      <w:r>
        <w:t>iii</w:t>
      </w:r>
      <w:r w:rsidRPr="00DD5ED5">
        <w:rPr>
          <w:lang w:val="ru-RU"/>
        </w:rPr>
        <w:t>)</w:t>
      </w:r>
      <w:r w:rsidRPr="00DD5ED5">
        <w:rPr>
          <w:lang w:val="ru-RU"/>
        </w:rPr>
        <w:tab/>
      </w:r>
      <w:r w:rsidR="00E136FC">
        <w:rPr>
          <w:lang w:val="ru-RU"/>
        </w:rPr>
        <w:t>а</w:t>
      </w:r>
      <w:r w:rsidR="006C3ABA">
        <w:rPr>
          <w:lang w:val="ru-RU"/>
        </w:rPr>
        <w:t>ктивное</w:t>
      </w:r>
      <w:r w:rsidR="006C3ABA" w:rsidRPr="00DD5ED5">
        <w:rPr>
          <w:lang w:val="ru-RU"/>
        </w:rPr>
        <w:t xml:space="preserve"> </w:t>
      </w:r>
      <w:r w:rsidR="006C3ABA">
        <w:rPr>
          <w:lang w:val="ru-RU"/>
        </w:rPr>
        <w:t>участие</w:t>
      </w:r>
      <w:r w:rsidR="006C3ABA" w:rsidRPr="00DD5ED5">
        <w:rPr>
          <w:lang w:val="ru-RU"/>
        </w:rPr>
        <w:t xml:space="preserve"> </w:t>
      </w:r>
      <w:r w:rsidR="006C3ABA">
        <w:rPr>
          <w:lang w:val="ru-RU"/>
        </w:rPr>
        <w:t>в</w:t>
      </w:r>
      <w:r w:rsidR="006C3ABA" w:rsidRPr="00DD5ED5">
        <w:rPr>
          <w:lang w:val="ru-RU"/>
        </w:rPr>
        <w:t xml:space="preserve"> </w:t>
      </w:r>
      <w:r w:rsidR="006C3ABA">
        <w:rPr>
          <w:lang w:val="ru-RU"/>
        </w:rPr>
        <w:t>межправительственном</w:t>
      </w:r>
      <w:r w:rsidR="006C3ABA" w:rsidRPr="00DD5ED5">
        <w:rPr>
          <w:lang w:val="ru-RU"/>
        </w:rPr>
        <w:t xml:space="preserve"> </w:t>
      </w:r>
      <w:r w:rsidR="006C3ABA">
        <w:rPr>
          <w:lang w:val="ru-RU"/>
        </w:rPr>
        <w:t>процессе</w:t>
      </w:r>
      <w:r w:rsidR="006C3ABA" w:rsidRPr="00DD5ED5">
        <w:rPr>
          <w:lang w:val="ru-RU"/>
        </w:rPr>
        <w:t xml:space="preserve"> </w:t>
      </w:r>
      <w:r w:rsidR="006C3ABA">
        <w:rPr>
          <w:lang w:val="ru-RU"/>
        </w:rPr>
        <w:t>экспертных</w:t>
      </w:r>
      <w:r w:rsidR="006C3ABA" w:rsidRPr="00DD5ED5">
        <w:rPr>
          <w:lang w:val="ru-RU"/>
        </w:rPr>
        <w:t xml:space="preserve"> </w:t>
      </w:r>
      <w:r w:rsidR="006C3ABA">
        <w:rPr>
          <w:lang w:val="ru-RU"/>
        </w:rPr>
        <w:t>обзоров</w:t>
      </w:r>
      <w:r w:rsidR="00FD59EB">
        <w:rPr>
          <w:lang w:val="ru-RU"/>
        </w:rPr>
        <w:t xml:space="preserve"> и </w:t>
      </w:r>
      <w:r w:rsidR="000C63A1">
        <w:rPr>
          <w:lang w:val="ru-RU"/>
        </w:rPr>
        <w:t>гарантия политической актуальности</w:t>
      </w:r>
      <w:r w:rsidR="00B043B1">
        <w:rPr>
          <w:lang w:val="ru-RU"/>
        </w:rPr>
        <w:t xml:space="preserve"> оценок.</w:t>
      </w:r>
    </w:p>
    <w:p w:rsidR="00D475FE" w:rsidRPr="00DD5ED5" w:rsidRDefault="00D475FE" w:rsidP="00110B5F">
      <w:pPr>
        <w:pStyle w:val="H23G"/>
        <w:outlineLvl w:val="0"/>
        <w:rPr>
          <w:lang w:val="ru-RU"/>
        </w:rPr>
      </w:pPr>
      <w:r w:rsidRPr="00DD5ED5">
        <w:rPr>
          <w:lang w:val="ru-RU"/>
        </w:rPr>
        <w:tab/>
        <w:t>2.</w:t>
      </w:r>
      <w:r w:rsidRPr="00DD5ED5">
        <w:rPr>
          <w:lang w:val="ru-RU"/>
        </w:rPr>
        <w:tab/>
      </w:r>
      <w:r w:rsidR="00DD5ED5">
        <w:rPr>
          <w:lang w:val="ru-RU"/>
        </w:rPr>
        <w:t>Тематическая оценка на осн</w:t>
      </w:r>
      <w:r w:rsidR="005674C5">
        <w:rPr>
          <w:lang w:val="ru-RU"/>
        </w:rPr>
        <w:t>ове тем, выбранных для девятой Конференции м</w:t>
      </w:r>
      <w:r w:rsidR="00DD5ED5">
        <w:rPr>
          <w:lang w:val="ru-RU"/>
        </w:rPr>
        <w:t xml:space="preserve">инистров </w:t>
      </w:r>
      <w:r w:rsidR="008D4645">
        <w:rPr>
          <w:lang w:val="ru-RU"/>
        </w:rPr>
        <w:t>Окружающая среда для Европы</w:t>
      </w:r>
    </w:p>
    <w:p w:rsidR="00D475FE" w:rsidRPr="008D4645" w:rsidRDefault="008D4645" w:rsidP="00565F4A">
      <w:pPr>
        <w:pStyle w:val="SingleTxtG"/>
        <w:rPr>
          <w:lang w:val="ru-RU"/>
        </w:rPr>
      </w:pPr>
      <w:r w:rsidRPr="008D4645">
        <w:rPr>
          <w:lang w:val="ru-RU"/>
        </w:rPr>
        <w:t>31.</w:t>
      </w:r>
      <w:r w:rsidRPr="008D4645">
        <w:rPr>
          <w:lang w:val="ru-RU"/>
        </w:rPr>
        <w:tab/>
      </w:r>
      <w:r>
        <w:rPr>
          <w:lang w:val="ru-RU"/>
        </w:rPr>
        <w:t>Этот вариант</w:t>
      </w:r>
      <w:r w:rsidR="00D475FE" w:rsidRPr="008D4645">
        <w:rPr>
          <w:lang w:val="ru-RU"/>
        </w:rPr>
        <w:t>:</w:t>
      </w:r>
    </w:p>
    <w:p w:rsidR="008D4645" w:rsidRPr="008D4645" w:rsidRDefault="008D4645" w:rsidP="00565F4A">
      <w:pPr>
        <w:pStyle w:val="SingleTxtG"/>
        <w:ind w:firstLine="567"/>
        <w:rPr>
          <w:lang w:val="ru-RU"/>
        </w:rPr>
      </w:pPr>
      <w:r w:rsidRPr="008D4645">
        <w:rPr>
          <w:lang w:val="ru-RU"/>
        </w:rPr>
        <w:t>(</w:t>
      </w:r>
      <w:r>
        <w:t>a</w:t>
      </w:r>
      <w:r w:rsidR="00974841">
        <w:rPr>
          <w:lang w:val="ru-RU"/>
        </w:rPr>
        <w:t xml:space="preserve">)       </w:t>
      </w:r>
      <w:r w:rsidR="00C95549">
        <w:rPr>
          <w:lang w:val="ru-RU"/>
        </w:rPr>
        <w:t>п</w:t>
      </w:r>
      <w:r>
        <w:rPr>
          <w:lang w:val="ru-RU"/>
        </w:rPr>
        <w:t>редполагает развитие синтеза и обзор</w:t>
      </w:r>
      <w:r w:rsidRPr="008D4645">
        <w:rPr>
          <w:lang w:val="ru-RU"/>
        </w:rPr>
        <w:t xml:space="preserve"> различных политических вопросо</w:t>
      </w:r>
      <w:r w:rsidR="005674C5">
        <w:rPr>
          <w:lang w:val="ru-RU"/>
        </w:rPr>
        <w:t xml:space="preserve">в в виде краткого </w:t>
      </w:r>
      <w:r w:rsidRPr="008D4645">
        <w:rPr>
          <w:lang w:val="ru-RU"/>
        </w:rPr>
        <w:t>доклада</w:t>
      </w:r>
      <w:r w:rsidR="005674C5">
        <w:rPr>
          <w:lang w:val="ru-RU"/>
        </w:rPr>
        <w:t>, имеющего отношение к политике</w:t>
      </w:r>
      <w:r w:rsidRPr="008D4645">
        <w:rPr>
          <w:lang w:val="ru-RU"/>
        </w:rPr>
        <w:t xml:space="preserve">; </w:t>
      </w:r>
    </w:p>
    <w:p w:rsidR="008D4645" w:rsidRPr="000D27C4" w:rsidRDefault="006C0BDF" w:rsidP="008D4645">
      <w:pPr>
        <w:pStyle w:val="SingleTxtG"/>
        <w:ind w:firstLine="567"/>
        <w:rPr>
          <w:lang w:val="ru-RU"/>
        </w:rPr>
      </w:pPr>
      <w:r w:rsidRPr="000D27C4">
        <w:rPr>
          <w:lang w:val="ru-RU"/>
        </w:rPr>
        <w:t>(</w:t>
      </w:r>
      <w:r>
        <w:rPr>
          <w:lang w:val="ru-RU"/>
        </w:rPr>
        <w:t>б</w:t>
      </w:r>
      <w:r w:rsidR="00974841">
        <w:rPr>
          <w:lang w:val="ru-RU"/>
        </w:rPr>
        <w:t xml:space="preserve">)  </w:t>
      </w:r>
      <w:r w:rsidR="00C95549">
        <w:rPr>
          <w:lang w:val="ru-RU"/>
        </w:rPr>
        <w:t>о</w:t>
      </w:r>
      <w:r w:rsidR="008D4645" w:rsidRPr="008D4645">
        <w:rPr>
          <w:lang w:val="ru-RU"/>
        </w:rPr>
        <w:t>значает, что доклад может включать конкретные главы о</w:t>
      </w:r>
      <w:r w:rsidR="005674C5">
        <w:rPr>
          <w:lang w:val="ru-RU"/>
        </w:rPr>
        <w:t>б</w:t>
      </w:r>
      <w:r w:rsidR="008D4645" w:rsidRPr="008D4645">
        <w:rPr>
          <w:lang w:val="ru-RU"/>
        </w:rPr>
        <w:t xml:space="preserve"> </w:t>
      </w:r>
      <w:r w:rsidR="005674C5">
        <w:rPr>
          <w:lang w:val="ru-RU"/>
        </w:rPr>
        <w:t>оценке прогресса, достигнутого</w:t>
      </w:r>
      <w:r w:rsidR="008D4645" w:rsidRPr="008D4645">
        <w:rPr>
          <w:lang w:val="ru-RU"/>
        </w:rPr>
        <w:t xml:space="preserve"> в реализ</w:t>
      </w:r>
      <w:r w:rsidR="008D4645">
        <w:rPr>
          <w:lang w:val="ru-RU"/>
        </w:rPr>
        <w:t>ации некоторых решений</w:t>
      </w:r>
      <w:r w:rsidR="008D4645" w:rsidRPr="008D4645">
        <w:rPr>
          <w:lang w:val="ru-RU"/>
        </w:rPr>
        <w:t xml:space="preserve"> конференции</w:t>
      </w:r>
      <w:r w:rsidR="008D4645">
        <w:rPr>
          <w:lang w:val="ru-RU"/>
        </w:rPr>
        <w:t xml:space="preserve"> в Батуми</w:t>
      </w:r>
      <w:r w:rsidR="008D4645" w:rsidRPr="008D4645">
        <w:rPr>
          <w:lang w:val="ru-RU"/>
        </w:rPr>
        <w:t xml:space="preserve"> (например, по качеству воздуха, зеленой экономике и созданию </w:t>
      </w:r>
      <w:r w:rsidR="004B1438">
        <w:rPr>
          <w:lang w:val="ru-RU"/>
        </w:rPr>
        <w:t xml:space="preserve">СЕИС), </w:t>
      </w:r>
      <w:r w:rsidR="008D4645">
        <w:rPr>
          <w:lang w:val="ru-RU"/>
        </w:rPr>
        <w:t xml:space="preserve">и </w:t>
      </w:r>
      <w:r w:rsidR="004B1438">
        <w:rPr>
          <w:lang w:val="ru-RU"/>
        </w:rPr>
        <w:t>отдельные</w:t>
      </w:r>
      <w:r w:rsidR="005674C5">
        <w:rPr>
          <w:lang w:val="ru-RU"/>
        </w:rPr>
        <w:t xml:space="preserve"> </w:t>
      </w:r>
      <w:r w:rsidR="004B1438">
        <w:rPr>
          <w:lang w:val="ru-RU"/>
        </w:rPr>
        <w:t>соответствующие</w:t>
      </w:r>
      <w:r w:rsidR="005674C5">
        <w:rPr>
          <w:lang w:val="ru-RU"/>
        </w:rPr>
        <w:t xml:space="preserve"> </w:t>
      </w:r>
      <w:r w:rsidR="008D4645">
        <w:rPr>
          <w:lang w:val="ru-RU"/>
        </w:rPr>
        <w:t>Ц</w:t>
      </w:r>
      <w:r w:rsidR="004B1438">
        <w:rPr>
          <w:lang w:val="ru-RU"/>
        </w:rPr>
        <w:t>ели</w:t>
      </w:r>
      <w:r w:rsidR="008D4645" w:rsidRPr="008D4645">
        <w:rPr>
          <w:lang w:val="ru-RU"/>
        </w:rPr>
        <w:t xml:space="preserve"> устойч</w:t>
      </w:r>
      <w:r w:rsidR="005674C5">
        <w:rPr>
          <w:lang w:val="ru-RU"/>
        </w:rPr>
        <w:t xml:space="preserve">ивого развития согласно </w:t>
      </w:r>
      <w:r w:rsidR="008D4645" w:rsidRPr="008D4645">
        <w:rPr>
          <w:lang w:val="ru-RU"/>
        </w:rPr>
        <w:t xml:space="preserve">добровольными национальными докладами, а также </w:t>
      </w:r>
      <w:r w:rsidR="008D4645">
        <w:rPr>
          <w:lang w:val="ru-RU"/>
        </w:rPr>
        <w:t>касательно двух выбранных тем</w:t>
      </w:r>
      <w:r w:rsidR="008D4645" w:rsidRPr="008D4645">
        <w:rPr>
          <w:lang w:val="ru-RU"/>
        </w:rPr>
        <w:t xml:space="preserve"> конференции</w:t>
      </w:r>
      <w:r w:rsidR="008D4645">
        <w:rPr>
          <w:lang w:val="ru-RU"/>
        </w:rPr>
        <w:t>;</w:t>
      </w:r>
    </w:p>
    <w:p w:rsidR="009A3D84" w:rsidRDefault="006C0BDF" w:rsidP="009A3D84">
      <w:pPr>
        <w:pStyle w:val="SingleTxtG"/>
        <w:ind w:firstLine="567"/>
        <w:rPr>
          <w:lang w:val="ru-RU"/>
        </w:rPr>
      </w:pPr>
      <w:r w:rsidRPr="009A3D84">
        <w:rPr>
          <w:lang w:val="ru-RU"/>
        </w:rPr>
        <w:t>(</w:t>
      </w:r>
      <w:r>
        <w:rPr>
          <w:lang w:val="ru-RU"/>
        </w:rPr>
        <w:t>в</w:t>
      </w:r>
      <w:r w:rsidR="00974841">
        <w:rPr>
          <w:lang w:val="ru-RU"/>
        </w:rPr>
        <w:t xml:space="preserve">)     </w:t>
      </w:r>
      <w:r w:rsidR="00C95549">
        <w:rPr>
          <w:lang w:val="ru-RU"/>
        </w:rPr>
        <w:t>о</w:t>
      </w:r>
      <w:r w:rsidR="000D27C4">
        <w:rPr>
          <w:lang w:val="ru-RU"/>
        </w:rPr>
        <w:t>беспечивает следующие роли Рабочей группы</w:t>
      </w:r>
      <w:r w:rsidR="00D475FE" w:rsidRPr="009A3D84">
        <w:rPr>
          <w:lang w:val="ru-RU"/>
        </w:rPr>
        <w:t>:</w:t>
      </w:r>
    </w:p>
    <w:p w:rsidR="009A3D84" w:rsidRPr="006C3ABA" w:rsidRDefault="00835358" w:rsidP="00C95549">
      <w:pPr>
        <w:pStyle w:val="SingleTxtG"/>
        <w:ind w:firstLine="567"/>
        <w:rPr>
          <w:lang w:val="ru-RU"/>
        </w:rPr>
      </w:pPr>
      <w:r>
        <w:rPr>
          <w:lang w:val="ru-RU"/>
        </w:rPr>
        <w:t>(</w:t>
      </w:r>
      <w:r>
        <w:rPr>
          <w:lang w:val="fr-FR"/>
        </w:rPr>
        <w:t>i</w:t>
      </w:r>
      <w:r w:rsidRPr="00835358">
        <w:rPr>
          <w:lang w:val="ru-RU"/>
        </w:rPr>
        <w:t>)</w:t>
      </w:r>
      <w:r w:rsidR="00C95549">
        <w:rPr>
          <w:lang w:val="ru-RU"/>
        </w:rPr>
        <w:t xml:space="preserve">        п</w:t>
      </w:r>
      <w:r w:rsidR="009A3D84">
        <w:rPr>
          <w:lang w:val="ru-RU"/>
        </w:rPr>
        <w:t>роведение</w:t>
      </w:r>
      <w:r w:rsidR="009A3D84" w:rsidRPr="006C3ABA">
        <w:rPr>
          <w:lang w:val="ru-RU"/>
        </w:rPr>
        <w:t xml:space="preserve"> </w:t>
      </w:r>
      <w:r w:rsidR="009A3D84">
        <w:rPr>
          <w:lang w:val="ru-RU"/>
        </w:rPr>
        <w:t>консультаций</w:t>
      </w:r>
      <w:r w:rsidR="009A3D84" w:rsidRPr="006C3ABA">
        <w:rPr>
          <w:lang w:val="ru-RU"/>
        </w:rPr>
        <w:t xml:space="preserve"> </w:t>
      </w:r>
      <w:r w:rsidR="009A3D84">
        <w:rPr>
          <w:lang w:val="ru-RU"/>
        </w:rPr>
        <w:t>и</w:t>
      </w:r>
      <w:r w:rsidR="009A3D84" w:rsidRPr="006C3ABA">
        <w:rPr>
          <w:lang w:val="ru-RU"/>
        </w:rPr>
        <w:t xml:space="preserve"> </w:t>
      </w:r>
      <w:r w:rsidR="009A3D84">
        <w:rPr>
          <w:lang w:val="ru-RU"/>
        </w:rPr>
        <w:t>согласование</w:t>
      </w:r>
      <w:r w:rsidR="009A3D84" w:rsidRPr="006C3ABA">
        <w:rPr>
          <w:lang w:val="ru-RU"/>
        </w:rPr>
        <w:t xml:space="preserve"> </w:t>
      </w:r>
      <w:r w:rsidR="009A3D84">
        <w:rPr>
          <w:lang w:val="ru-RU"/>
        </w:rPr>
        <w:t>целей</w:t>
      </w:r>
      <w:r w:rsidR="009A3D84" w:rsidRPr="006C3ABA">
        <w:rPr>
          <w:lang w:val="ru-RU"/>
        </w:rPr>
        <w:t xml:space="preserve">, </w:t>
      </w:r>
      <w:r w:rsidR="007338E1">
        <w:rPr>
          <w:lang w:val="ru-RU"/>
        </w:rPr>
        <w:t>рамок</w:t>
      </w:r>
      <w:r w:rsidR="009A3D84" w:rsidRPr="006C3ABA">
        <w:rPr>
          <w:lang w:val="ru-RU"/>
        </w:rPr>
        <w:t xml:space="preserve"> </w:t>
      </w:r>
      <w:r w:rsidR="009A3D84">
        <w:rPr>
          <w:lang w:val="ru-RU"/>
        </w:rPr>
        <w:t>и</w:t>
      </w:r>
      <w:r w:rsidR="009A3D84" w:rsidRPr="006C3ABA">
        <w:rPr>
          <w:lang w:val="ru-RU"/>
        </w:rPr>
        <w:t xml:space="preserve"> </w:t>
      </w:r>
      <w:r w:rsidR="009A3D84">
        <w:rPr>
          <w:lang w:val="ru-RU"/>
        </w:rPr>
        <w:t>процесс</w:t>
      </w:r>
      <w:r w:rsidR="007338E1">
        <w:rPr>
          <w:lang w:val="ru-RU"/>
        </w:rPr>
        <w:t>а</w:t>
      </w:r>
      <w:r w:rsidR="009A3D84" w:rsidRPr="006C3ABA">
        <w:rPr>
          <w:lang w:val="ru-RU"/>
        </w:rPr>
        <w:t xml:space="preserve"> </w:t>
      </w:r>
      <w:r w:rsidR="009A3D84">
        <w:rPr>
          <w:lang w:val="ru-RU"/>
        </w:rPr>
        <w:t>оценки</w:t>
      </w:r>
      <w:r w:rsidR="009A3D84" w:rsidRPr="006C3ABA">
        <w:rPr>
          <w:lang w:val="ru-RU"/>
        </w:rPr>
        <w:t>;</w:t>
      </w:r>
    </w:p>
    <w:p w:rsidR="009A3D84" w:rsidRPr="006C3ABA" w:rsidRDefault="009A3D84" w:rsidP="009A3D84">
      <w:pPr>
        <w:pStyle w:val="SingleTxtG"/>
        <w:ind w:left="1710" w:hanging="9"/>
        <w:rPr>
          <w:lang w:val="ru-RU"/>
        </w:rPr>
      </w:pPr>
      <w:r w:rsidRPr="006C3ABA">
        <w:rPr>
          <w:lang w:val="ru-RU"/>
        </w:rPr>
        <w:t>(</w:t>
      </w:r>
      <w:r>
        <w:t>ii</w:t>
      </w:r>
      <w:r w:rsidR="00C95549">
        <w:rPr>
          <w:lang w:val="ru-RU"/>
        </w:rPr>
        <w:t>)     с</w:t>
      </w:r>
      <w:r>
        <w:rPr>
          <w:lang w:val="ru-RU"/>
        </w:rPr>
        <w:t>огласование</w:t>
      </w:r>
      <w:r w:rsidRPr="006C3ABA">
        <w:rPr>
          <w:lang w:val="ru-RU"/>
        </w:rPr>
        <w:t xml:space="preserve"> </w:t>
      </w:r>
      <w:r>
        <w:rPr>
          <w:lang w:val="ru-RU"/>
        </w:rPr>
        <w:t>аннотированного</w:t>
      </w:r>
      <w:r w:rsidRPr="006C3ABA">
        <w:rPr>
          <w:lang w:val="ru-RU"/>
        </w:rPr>
        <w:t xml:space="preserve"> </w:t>
      </w:r>
      <w:r>
        <w:rPr>
          <w:lang w:val="ru-RU"/>
        </w:rPr>
        <w:t>плана</w:t>
      </w:r>
      <w:r w:rsidRPr="006C3ABA">
        <w:rPr>
          <w:lang w:val="ru-RU"/>
        </w:rPr>
        <w:t xml:space="preserve"> </w:t>
      </w:r>
      <w:r>
        <w:rPr>
          <w:lang w:val="ru-RU"/>
        </w:rPr>
        <w:t>оценки</w:t>
      </w:r>
      <w:r w:rsidRPr="006C3ABA">
        <w:rPr>
          <w:lang w:val="ru-RU"/>
        </w:rPr>
        <w:t xml:space="preserve"> </w:t>
      </w:r>
      <w:r>
        <w:rPr>
          <w:lang w:val="ru-RU"/>
        </w:rPr>
        <w:t>и</w:t>
      </w:r>
      <w:r w:rsidRPr="006C3ABA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6C3ABA">
        <w:rPr>
          <w:lang w:val="ru-RU"/>
        </w:rPr>
        <w:t>;</w:t>
      </w:r>
    </w:p>
    <w:p w:rsidR="00D475FE" w:rsidRPr="00835358" w:rsidRDefault="009A3D84" w:rsidP="00835358">
      <w:pPr>
        <w:pStyle w:val="SingleTxtG"/>
        <w:ind w:left="1710" w:hanging="9"/>
        <w:rPr>
          <w:b/>
          <w:lang w:val="ru-RU"/>
        </w:rPr>
      </w:pPr>
      <w:r w:rsidRPr="00DD5ED5">
        <w:rPr>
          <w:lang w:val="ru-RU"/>
        </w:rPr>
        <w:lastRenderedPageBreak/>
        <w:t>(</w:t>
      </w:r>
      <w:r>
        <w:t>iii</w:t>
      </w:r>
      <w:r w:rsidR="00C95549">
        <w:rPr>
          <w:lang w:val="ru-RU"/>
        </w:rPr>
        <w:t>)    а</w:t>
      </w:r>
      <w:r>
        <w:rPr>
          <w:lang w:val="ru-RU"/>
        </w:rPr>
        <w:t>ктивное</w:t>
      </w:r>
      <w:r w:rsidRPr="00DD5ED5">
        <w:rPr>
          <w:lang w:val="ru-RU"/>
        </w:rPr>
        <w:t xml:space="preserve"> </w:t>
      </w:r>
      <w:r>
        <w:rPr>
          <w:lang w:val="ru-RU"/>
        </w:rPr>
        <w:t>участие</w:t>
      </w:r>
      <w:r w:rsidRPr="00DD5ED5">
        <w:rPr>
          <w:lang w:val="ru-RU"/>
        </w:rPr>
        <w:t xml:space="preserve"> </w:t>
      </w:r>
      <w:r>
        <w:rPr>
          <w:lang w:val="ru-RU"/>
        </w:rPr>
        <w:t>в</w:t>
      </w:r>
      <w:r w:rsidRPr="00DD5ED5">
        <w:rPr>
          <w:lang w:val="ru-RU"/>
        </w:rPr>
        <w:t xml:space="preserve"> </w:t>
      </w:r>
      <w:r>
        <w:rPr>
          <w:lang w:val="ru-RU"/>
        </w:rPr>
        <w:t>межправительственном</w:t>
      </w:r>
      <w:r w:rsidRPr="00DD5ED5">
        <w:rPr>
          <w:lang w:val="ru-RU"/>
        </w:rPr>
        <w:t xml:space="preserve"> </w:t>
      </w:r>
      <w:r>
        <w:rPr>
          <w:lang w:val="ru-RU"/>
        </w:rPr>
        <w:t>процессе</w:t>
      </w:r>
      <w:r w:rsidRPr="00DD5ED5">
        <w:rPr>
          <w:lang w:val="ru-RU"/>
        </w:rPr>
        <w:t xml:space="preserve"> </w:t>
      </w:r>
      <w:r>
        <w:rPr>
          <w:lang w:val="ru-RU"/>
        </w:rPr>
        <w:t>экспертных</w:t>
      </w:r>
      <w:r w:rsidRPr="00DD5ED5">
        <w:rPr>
          <w:lang w:val="ru-RU"/>
        </w:rPr>
        <w:t xml:space="preserve"> </w:t>
      </w:r>
      <w:r>
        <w:rPr>
          <w:lang w:val="ru-RU"/>
        </w:rPr>
        <w:t>обзоров</w:t>
      </w:r>
      <w:r w:rsidR="007338E1">
        <w:rPr>
          <w:lang w:val="ru-RU"/>
        </w:rPr>
        <w:t xml:space="preserve"> и гарантия политической актуальности оценок.</w:t>
      </w:r>
    </w:p>
    <w:p w:rsidR="00D475FE" w:rsidRPr="009C7416" w:rsidRDefault="00D475FE" w:rsidP="00110B5F">
      <w:pPr>
        <w:pStyle w:val="H23G"/>
        <w:outlineLvl w:val="0"/>
        <w:rPr>
          <w:lang w:val="ru-RU"/>
        </w:rPr>
      </w:pPr>
      <w:r w:rsidRPr="009C7416">
        <w:rPr>
          <w:lang w:val="ru-RU"/>
        </w:rPr>
        <w:tab/>
        <w:t>3.</w:t>
      </w:r>
      <w:r w:rsidRPr="009C7416">
        <w:rPr>
          <w:lang w:val="ru-RU"/>
        </w:rPr>
        <w:tab/>
      </w:r>
      <w:r w:rsidR="00420269">
        <w:rPr>
          <w:lang w:val="ru-RU"/>
        </w:rPr>
        <w:t>Доклад</w:t>
      </w:r>
      <w:r w:rsidR="00420269" w:rsidRPr="009C7416">
        <w:rPr>
          <w:lang w:val="ru-RU"/>
        </w:rPr>
        <w:t xml:space="preserve">, </w:t>
      </w:r>
      <w:r w:rsidR="00420269">
        <w:rPr>
          <w:lang w:val="ru-RU"/>
        </w:rPr>
        <w:t>основанный</w:t>
      </w:r>
      <w:r w:rsidR="00420269" w:rsidRPr="009C7416">
        <w:rPr>
          <w:lang w:val="ru-RU"/>
        </w:rPr>
        <w:t xml:space="preserve"> </w:t>
      </w:r>
      <w:r w:rsidR="00420269">
        <w:rPr>
          <w:lang w:val="ru-RU"/>
        </w:rPr>
        <w:t>на</w:t>
      </w:r>
      <w:r w:rsidR="00420269" w:rsidRPr="009C7416">
        <w:rPr>
          <w:lang w:val="ru-RU"/>
        </w:rPr>
        <w:t xml:space="preserve"> </w:t>
      </w:r>
      <w:r w:rsidR="00420269">
        <w:rPr>
          <w:lang w:val="ru-RU"/>
        </w:rPr>
        <w:t>экологических</w:t>
      </w:r>
      <w:r w:rsidR="00420269" w:rsidRPr="009C7416">
        <w:rPr>
          <w:lang w:val="ru-RU"/>
        </w:rPr>
        <w:t xml:space="preserve"> </w:t>
      </w:r>
      <w:r w:rsidR="00420269">
        <w:rPr>
          <w:lang w:val="ru-RU"/>
        </w:rPr>
        <w:t>показателях</w:t>
      </w:r>
      <w:r w:rsidR="00420269" w:rsidRPr="009C7416">
        <w:rPr>
          <w:lang w:val="ru-RU"/>
        </w:rPr>
        <w:t xml:space="preserve"> </w:t>
      </w:r>
      <w:r w:rsidR="00420269">
        <w:rPr>
          <w:lang w:val="ru-RU"/>
        </w:rPr>
        <w:t>ЕЭК</w:t>
      </w:r>
      <w:r w:rsidR="00420269" w:rsidRPr="009C7416">
        <w:rPr>
          <w:lang w:val="ru-RU"/>
        </w:rPr>
        <w:t xml:space="preserve">,  </w:t>
      </w:r>
      <w:r w:rsidR="00420269">
        <w:rPr>
          <w:lang w:val="ru-RU"/>
        </w:rPr>
        <w:t>отражающий</w:t>
      </w:r>
      <w:r w:rsidR="00420269" w:rsidRPr="009C7416">
        <w:rPr>
          <w:lang w:val="ru-RU"/>
        </w:rPr>
        <w:t xml:space="preserve"> </w:t>
      </w:r>
      <w:r w:rsidR="00420269">
        <w:rPr>
          <w:lang w:val="ru-RU"/>
        </w:rPr>
        <w:t>создание</w:t>
      </w:r>
      <w:r w:rsidR="00420269" w:rsidRPr="009C7416">
        <w:rPr>
          <w:lang w:val="ru-RU"/>
        </w:rPr>
        <w:t xml:space="preserve"> </w:t>
      </w:r>
      <w:r w:rsidR="00420269">
        <w:rPr>
          <w:lang w:val="ru-RU"/>
        </w:rPr>
        <w:t>СЕИС</w:t>
      </w:r>
      <w:r w:rsidR="00420269" w:rsidRPr="009C7416">
        <w:rPr>
          <w:lang w:val="ru-RU"/>
        </w:rPr>
        <w:t xml:space="preserve"> </w:t>
      </w:r>
      <w:r w:rsidR="00420269">
        <w:rPr>
          <w:lang w:val="ru-RU"/>
        </w:rPr>
        <w:t>в</w:t>
      </w:r>
      <w:r w:rsidR="00420269" w:rsidRPr="009C7416">
        <w:rPr>
          <w:lang w:val="ru-RU"/>
        </w:rPr>
        <w:t xml:space="preserve"> </w:t>
      </w:r>
      <w:r w:rsidR="00420269">
        <w:rPr>
          <w:lang w:val="ru-RU"/>
        </w:rPr>
        <w:t>регионе</w:t>
      </w:r>
    </w:p>
    <w:p w:rsidR="00D475FE" w:rsidRPr="009C7416" w:rsidRDefault="00D475FE" w:rsidP="00565F4A">
      <w:pPr>
        <w:pStyle w:val="SingleTxtG"/>
        <w:rPr>
          <w:lang w:val="ru-RU"/>
        </w:rPr>
      </w:pPr>
      <w:r w:rsidRPr="009C7416">
        <w:rPr>
          <w:lang w:val="ru-RU"/>
        </w:rPr>
        <w:t>3</w:t>
      </w:r>
      <w:r w:rsidR="00420269" w:rsidRPr="009C7416">
        <w:rPr>
          <w:lang w:val="ru-RU"/>
        </w:rPr>
        <w:t>2.</w:t>
      </w:r>
      <w:r w:rsidR="00420269" w:rsidRPr="009C7416">
        <w:rPr>
          <w:lang w:val="ru-RU"/>
        </w:rPr>
        <w:tab/>
      </w:r>
      <w:r w:rsidR="00420269">
        <w:rPr>
          <w:lang w:val="ru-RU"/>
        </w:rPr>
        <w:t>Этот</w:t>
      </w:r>
      <w:r w:rsidR="00420269" w:rsidRPr="009C7416">
        <w:rPr>
          <w:lang w:val="ru-RU"/>
        </w:rPr>
        <w:t xml:space="preserve"> </w:t>
      </w:r>
      <w:r w:rsidR="00420269">
        <w:rPr>
          <w:lang w:val="ru-RU"/>
        </w:rPr>
        <w:t>вариант</w:t>
      </w:r>
      <w:r w:rsidRPr="009C7416">
        <w:rPr>
          <w:lang w:val="ru-RU"/>
        </w:rPr>
        <w:t>:</w:t>
      </w:r>
    </w:p>
    <w:p w:rsidR="00D475FE" w:rsidRPr="004C0130" w:rsidRDefault="006C0BDF" w:rsidP="00565F4A">
      <w:pPr>
        <w:pStyle w:val="SingleTxtG"/>
        <w:ind w:firstLine="567"/>
        <w:rPr>
          <w:lang w:val="ru-RU"/>
        </w:rPr>
      </w:pPr>
      <w:r w:rsidRPr="004C0130">
        <w:rPr>
          <w:lang w:val="ru-RU"/>
        </w:rPr>
        <w:t>(</w:t>
      </w:r>
      <w:r>
        <w:rPr>
          <w:lang w:val="ru-RU"/>
        </w:rPr>
        <w:t>а</w:t>
      </w:r>
      <w:r w:rsidR="00D475FE" w:rsidRPr="004C0130">
        <w:rPr>
          <w:lang w:val="ru-RU"/>
        </w:rPr>
        <w:t>)</w:t>
      </w:r>
      <w:r w:rsidR="00D475FE" w:rsidRPr="004C0130">
        <w:rPr>
          <w:lang w:val="ru-RU"/>
        </w:rPr>
        <w:tab/>
      </w:r>
      <w:r w:rsidR="00840EF1">
        <w:rPr>
          <w:lang w:val="ru-RU"/>
        </w:rPr>
        <w:t>о</w:t>
      </w:r>
      <w:r w:rsidR="00420269">
        <w:rPr>
          <w:lang w:val="ru-RU"/>
        </w:rPr>
        <w:t>значает</w:t>
      </w:r>
      <w:r w:rsidR="00420269" w:rsidRPr="004C0130">
        <w:rPr>
          <w:lang w:val="ru-RU"/>
        </w:rPr>
        <w:t xml:space="preserve">, </w:t>
      </w:r>
      <w:r w:rsidR="00420269">
        <w:rPr>
          <w:lang w:val="ru-RU"/>
        </w:rPr>
        <w:t>что</w:t>
      </w:r>
      <w:r w:rsidR="00420269" w:rsidRPr="004C0130">
        <w:rPr>
          <w:lang w:val="ru-RU"/>
        </w:rPr>
        <w:t xml:space="preserve"> </w:t>
      </w:r>
      <w:r w:rsidR="00420269">
        <w:rPr>
          <w:lang w:val="ru-RU"/>
        </w:rPr>
        <w:t>данный</w:t>
      </w:r>
      <w:r w:rsidR="00420269" w:rsidRPr="004C0130">
        <w:rPr>
          <w:lang w:val="ru-RU"/>
        </w:rPr>
        <w:t xml:space="preserve"> </w:t>
      </w:r>
      <w:r w:rsidR="00420269">
        <w:rPr>
          <w:lang w:val="ru-RU"/>
        </w:rPr>
        <w:t>вид</w:t>
      </w:r>
      <w:r w:rsidR="00420269" w:rsidRPr="004C0130">
        <w:rPr>
          <w:lang w:val="ru-RU"/>
        </w:rPr>
        <w:t xml:space="preserve"> </w:t>
      </w:r>
      <w:r w:rsidR="00420269">
        <w:rPr>
          <w:lang w:val="ru-RU"/>
        </w:rPr>
        <w:t>оценки</w:t>
      </w:r>
      <w:r w:rsidR="00420269" w:rsidRPr="004C0130">
        <w:rPr>
          <w:lang w:val="ru-RU"/>
        </w:rPr>
        <w:t xml:space="preserve"> </w:t>
      </w:r>
      <w:r w:rsidR="00420269">
        <w:rPr>
          <w:lang w:val="ru-RU"/>
        </w:rPr>
        <w:t>будет</w:t>
      </w:r>
      <w:r w:rsidR="00420269" w:rsidRPr="004C0130">
        <w:rPr>
          <w:lang w:val="ru-RU"/>
        </w:rPr>
        <w:t xml:space="preserve"> </w:t>
      </w:r>
      <w:r w:rsidR="00420269">
        <w:rPr>
          <w:lang w:val="ru-RU"/>
        </w:rPr>
        <w:t>зависеть</w:t>
      </w:r>
      <w:r w:rsidR="00420269" w:rsidRPr="004C0130">
        <w:rPr>
          <w:lang w:val="ru-RU"/>
        </w:rPr>
        <w:t xml:space="preserve"> </w:t>
      </w:r>
      <w:r w:rsidR="00420269">
        <w:rPr>
          <w:lang w:val="ru-RU"/>
        </w:rPr>
        <w:t>от</w:t>
      </w:r>
      <w:r w:rsidR="00420269" w:rsidRPr="004C0130">
        <w:rPr>
          <w:lang w:val="ru-RU"/>
        </w:rPr>
        <w:t xml:space="preserve"> </w:t>
      </w:r>
      <w:r w:rsidR="00420269">
        <w:rPr>
          <w:lang w:val="ru-RU"/>
        </w:rPr>
        <w:t>сопоста</w:t>
      </w:r>
      <w:r w:rsidR="004C0130">
        <w:rPr>
          <w:lang w:val="ru-RU"/>
        </w:rPr>
        <w:t>вимости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показателей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по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всему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региону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и</w:t>
      </w:r>
      <w:r w:rsidR="004C0130" w:rsidRPr="004C0130">
        <w:rPr>
          <w:lang w:val="ru-RU"/>
        </w:rPr>
        <w:t xml:space="preserve"> </w:t>
      </w:r>
      <w:r w:rsidR="006F4260">
        <w:rPr>
          <w:lang w:val="ru-RU"/>
        </w:rPr>
        <w:t xml:space="preserve">(часто ограниченного) </w:t>
      </w:r>
      <w:r w:rsidR="004C0130">
        <w:rPr>
          <w:lang w:val="ru-RU"/>
        </w:rPr>
        <w:t>наличия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данных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в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каждой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стране</w:t>
      </w:r>
      <w:r w:rsidR="00D475FE" w:rsidRPr="004C0130">
        <w:rPr>
          <w:lang w:val="ru-RU"/>
        </w:rPr>
        <w:t>;</w:t>
      </w:r>
    </w:p>
    <w:p w:rsidR="00D475FE" w:rsidRDefault="006C0BDF" w:rsidP="00565F4A">
      <w:pPr>
        <w:pStyle w:val="SingleTxtG"/>
        <w:ind w:firstLine="567"/>
        <w:rPr>
          <w:lang w:val="ru-RU"/>
        </w:rPr>
      </w:pPr>
      <w:r w:rsidRPr="004C0130">
        <w:rPr>
          <w:lang w:val="ru-RU"/>
        </w:rPr>
        <w:t>(</w:t>
      </w:r>
      <w:r>
        <w:rPr>
          <w:lang w:val="ru-RU"/>
        </w:rPr>
        <w:t>б</w:t>
      </w:r>
      <w:r w:rsidR="00D475FE" w:rsidRPr="004C0130">
        <w:rPr>
          <w:lang w:val="ru-RU"/>
        </w:rPr>
        <w:t>)</w:t>
      </w:r>
      <w:r w:rsidR="00D475FE" w:rsidRPr="004C0130">
        <w:rPr>
          <w:lang w:val="ru-RU"/>
        </w:rPr>
        <w:tab/>
      </w:r>
      <w:r w:rsidR="00840EF1">
        <w:rPr>
          <w:lang w:val="ru-RU"/>
        </w:rPr>
        <w:t>п</w:t>
      </w:r>
      <w:r w:rsidR="004C0130">
        <w:rPr>
          <w:lang w:val="ru-RU"/>
        </w:rPr>
        <w:t>редполагает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возможность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ориентироваться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на</w:t>
      </w:r>
      <w:r w:rsidR="004C0130" w:rsidRPr="004C0130">
        <w:rPr>
          <w:lang w:val="ru-RU"/>
        </w:rPr>
        <w:t xml:space="preserve"> </w:t>
      </w:r>
      <w:r w:rsidR="00840EF1">
        <w:rPr>
          <w:lang w:val="ru-RU"/>
        </w:rPr>
        <w:t xml:space="preserve">показатели </w:t>
      </w:r>
      <w:r w:rsidR="004C0130">
        <w:rPr>
          <w:lang w:val="ru-RU"/>
        </w:rPr>
        <w:t>региона</w:t>
      </w:r>
      <w:r w:rsidR="004C0130" w:rsidRPr="004C0130">
        <w:rPr>
          <w:lang w:val="ru-RU"/>
        </w:rPr>
        <w:t xml:space="preserve">, </w:t>
      </w:r>
      <w:r w:rsidR="004C0130">
        <w:rPr>
          <w:lang w:val="ru-RU"/>
        </w:rPr>
        <w:t>используя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концепцию ДНСВР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опираясь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на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региональные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наборы</w:t>
      </w:r>
      <w:r w:rsidR="004C0130" w:rsidRPr="004C0130">
        <w:rPr>
          <w:lang w:val="ru-RU"/>
        </w:rPr>
        <w:t xml:space="preserve"> </w:t>
      </w:r>
      <w:r w:rsidR="004C0130">
        <w:rPr>
          <w:lang w:val="ru-RU"/>
        </w:rPr>
        <w:t>данных, собранных Организацией Объединенных Наций и другими международными и региональными организациями</w:t>
      </w:r>
      <w:r w:rsidR="00D475FE" w:rsidRPr="004C0130">
        <w:rPr>
          <w:lang w:val="ru-RU"/>
        </w:rPr>
        <w:t>;</w:t>
      </w:r>
    </w:p>
    <w:p w:rsidR="004C0130" w:rsidRDefault="004C0130" w:rsidP="004C0130">
      <w:pPr>
        <w:pStyle w:val="SingleTxtG"/>
        <w:ind w:firstLine="567"/>
        <w:rPr>
          <w:lang w:val="ru-RU"/>
        </w:rPr>
      </w:pPr>
      <w:r w:rsidRPr="009A3D84">
        <w:rPr>
          <w:lang w:val="ru-RU"/>
        </w:rPr>
        <w:t>(</w:t>
      </w:r>
      <w:r>
        <w:rPr>
          <w:lang w:val="ru-RU"/>
        </w:rPr>
        <w:t>в</w:t>
      </w:r>
      <w:r w:rsidRPr="009A3D84">
        <w:rPr>
          <w:lang w:val="ru-RU"/>
        </w:rPr>
        <w:t>)</w:t>
      </w:r>
      <w:r w:rsidRPr="009A3D84">
        <w:rPr>
          <w:lang w:val="ru-RU"/>
        </w:rPr>
        <w:tab/>
      </w:r>
      <w:r w:rsidR="00840EF1">
        <w:rPr>
          <w:lang w:val="ru-RU"/>
        </w:rPr>
        <w:t>о</w:t>
      </w:r>
      <w:r>
        <w:rPr>
          <w:lang w:val="ru-RU"/>
        </w:rPr>
        <w:t>беспечивает следующие роли Рабочей группы</w:t>
      </w:r>
      <w:r w:rsidRPr="009A3D84">
        <w:rPr>
          <w:lang w:val="ru-RU"/>
        </w:rPr>
        <w:t>:</w:t>
      </w:r>
    </w:p>
    <w:p w:rsidR="004C0130" w:rsidRPr="006C3ABA" w:rsidRDefault="004C0130" w:rsidP="004C0130">
      <w:pPr>
        <w:pStyle w:val="SingleTxtG"/>
        <w:ind w:firstLine="567"/>
        <w:rPr>
          <w:lang w:val="ru-RU"/>
        </w:rPr>
      </w:pPr>
      <w:r>
        <w:rPr>
          <w:lang w:val="ru-RU"/>
        </w:rPr>
        <w:t>(</w:t>
      </w:r>
      <w:r>
        <w:rPr>
          <w:lang w:val="fr-FR"/>
        </w:rPr>
        <w:t>i</w:t>
      </w:r>
      <w:r w:rsidRPr="00835358">
        <w:rPr>
          <w:lang w:val="ru-RU"/>
        </w:rPr>
        <w:t>)</w:t>
      </w:r>
      <w:r w:rsidR="00840EF1">
        <w:rPr>
          <w:lang w:val="ru-RU"/>
        </w:rPr>
        <w:t xml:space="preserve">         п</w:t>
      </w:r>
      <w:r>
        <w:rPr>
          <w:lang w:val="ru-RU"/>
        </w:rPr>
        <w:t>роведение</w:t>
      </w:r>
      <w:r w:rsidRPr="006C3ABA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6C3ABA">
        <w:rPr>
          <w:lang w:val="ru-RU"/>
        </w:rPr>
        <w:t xml:space="preserve"> </w:t>
      </w:r>
      <w:r>
        <w:rPr>
          <w:lang w:val="ru-RU"/>
        </w:rPr>
        <w:t>и</w:t>
      </w:r>
      <w:r w:rsidRPr="006C3ABA">
        <w:rPr>
          <w:lang w:val="ru-RU"/>
        </w:rPr>
        <w:t xml:space="preserve"> </w:t>
      </w:r>
      <w:r>
        <w:rPr>
          <w:lang w:val="ru-RU"/>
        </w:rPr>
        <w:t>согласование</w:t>
      </w:r>
      <w:r w:rsidRPr="006C3ABA">
        <w:rPr>
          <w:lang w:val="ru-RU"/>
        </w:rPr>
        <w:t xml:space="preserve"> </w:t>
      </w:r>
      <w:r>
        <w:rPr>
          <w:lang w:val="ru-RU"/>
        </w:rPr>
        <w:t>целей</w:t>
      </w:r>
      <w:r w:rsidRPr="006C3ABA">
        <w:rPr>
          <w:lang w:val="ru-RU"/>
        </w:rPr>
        <w:t xml:space="preserve">, </w:t>
      </w:r>
      <w:r>
        <w:rPr>
          <w:lang w:val="ru-RU"/>
        </w:rPr>
        <w:t>рамки</w:t>
      </w:r>
      <w:r w:rsidRPr="006C3ABA">
        <w:rPr>
          <w:lang w:val="ru-RU"/>
        </w:rPr>
        <w:t xml:space="preserve"> </w:t>
      </w:r>
      <w:r>
        <w:rPr>
          <w:lang w:val="ru-RU"/>
        </w:rPr>
        <w:t>и</w:t>
      </w:r>
      <w:r w:rsidRPr="006C3ABA">
        <w:rPr>
          <w:lang w:val="ru-RU"/>
        </w:rPr>
        <w:t xml:space="preserve"> </w:t>
      </w:r>
      <w:r>
        <w:rPr>
          <w:lang w:val="ru-RU"/>
        </w:rPr>
        <w:t>процесс</w:t>
      </w:r>
      <w:r w:rsidRPr="006C3ABA">
        <w:rPr>
          <w:lang w:val="ru-RU"/>
        </w:rPr>
        <w:t xml:space="preserve"> </w:t>
      </w:r>
      <w:r>
        <w:rPr>
          <w:lang w:val="ru-RU"/>
        </w:rPr>
        <w:t>оценки</w:t>
      </w:r>
      <w:r w:rsidRPr="006C3ABA">
        <w:rPr>
          <w:lang w:val="ru-RU"/>
        </w:rPr>
        <w:t>;</w:t>
      </w:r>
    </w:p>
    <w:p w:rsidR="004C0130" w:rsidRPr="006C3ABA" w:rsidRDefault="004C0130" w:rsidP="004C0130">
      <w:pPr>
        <w:pStyle w:val="SingleTxtG"/>
        <w:ind w:left="1710" w:hanging="9"/>
        <w:rPr>
          <w:lang w:val="ru-RU"/>
        </w:rPr>
      </w:pPr>
      <w:r w:rsidRPr="006C3ABA">
        <w:rPr>
          <w:lang w:val="ru-RU"/>
        </w:rPr>
        <w:t>(</w:t>
      </w:r>
      <w:r>
        <w:t>ii</w:t>
      </w:r>
      <w:r w:rsidRPr="006C3ABA">
        <w:rPr>
          <w:lang w:val="ru-RU"/>
        </w:rPr>
        <w:t>)</w:t>
      </w:r>
      <w:r w:rsidRPr="006C3ABA">
        <w:rPr>
          <w:lang w:val="ru-RU"/>
        </w:rPr>
        <w:tab/>
      </w:r>
      <w:r w:rsidR="00840EF1">
        <w:rPr>
          <w:lang w:val="ru-RU"/>
        </w:rPr>
        <w:t>с</w:t>
      </w:r>
      <w:r>
        <w:rPr>
          <w:lang w:val="ru-RU"/>
        </w:rPr>
        <w:t>огласование</w:t>
      </w:r>
      <w:r w:rsidRPr="006C3ABA">
        <w:rPr>
          <w:lang w:val="ru-RU"/>
        </w:rPr>
        <w:t xml:space="preserve"> </w:t>
      </w:r>
      <w:r>
        <w:rPr>
          <w:lang w:val="ru-RU"/>
        </w:rPr>
        <w:t>аннотированного</w:t>
      </w:r>
      <w:r w:rsidRPr="006C3ABA">
        <w:rPr>
          <w:lang w:val="ru-RU"/>
        </w:rPr>
        <w:t xml:space="preserve"> </w:t>
      </w:r>
      <w:r>
        <w:rPr>
          <w:lang w:val="ru-RU"/>
        </w:rPr>
        <w:t>плана</w:t>
      </w:r>
      <w:r w:rsidRPr="006C3ABA">
        <w:rPr>
          <w:lang w:val="ru-RU"/>
        </w:rPr>
        <w:t xml:space="preserve"> </w:t>
      </w:r>
      <w:r>
        <w:rPr>
          <w:lang w:val="ru-RU"/>
        </w:rPr>
        <w:t>оценки</w:t>
      </w:r>
      <w:r w:rsidRPr="006C3ABA">
        <w:rPr>
          <w:lang w:val="ru-RU"/>
        </w:rPr>
        <w:t xml:space="preserve"> </w:t>
      </w:r>
      <w:r>
        <w:rPr>
          <w:lang w:val="ru-RU"/>
        </w:rPr>
        <w:t>и</w:t>
      </w:r>
      <w:r w:rsidRPr="006C3ABA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6C3ABA">
        <w:rPr>
          <w:lang w:val="ru-RU"/>
        </w:rPr>
        <w:t>;</w:t>
      </w:r>
    </w:p>
    <w:p w:rsidR="004C0130" w:rsidRDefault="004C0130" w:rsidP="004C0130">
      <w:pPr>
        <w:pStyle w:val="SingleTxtG"/>
        <w:ind w:left="1710" w:hanging="9"/>
        <w:rPr>
          <w:lang w:val="ru-RU"/>
        </w:rPr>
      </w:pPr>
      <w:r w:rsidRPr="00DD5ED5">
        <w:rPr>
          <w:lang w:val="ru-RU"/>
        </w:rPr>
        <w:t>(</w:t>
      </w:r>
      <w:r>
        <w:t>iii</w:t>
      </w:r>
      <w:r w:rsidRPr="00DD5ED5">
        <w:rPr>
          <w:lang w:val="ru-RU"/>
        </w:rPr>
        <w:t>)</w:t>
      </w:r>
      <w:r w:rsidRPr="00DD5ED5">
        <w:rPr>
          <w:lang w:val="ru-RU"/>
        </w:rPr>
        <w:tab/>
      </w:r>
      <w:r w:rsidR="00840EF1">
        <w:rPr>
          <w:lang w:val="ru-RU"/>
        </w:rPr>
        <w:t>а</w:t>
      </w:r>
      <w:r>
        <w:rPr>
          <w:lang w:val="ru-RU"/>
        </w:rPr>
        <w:t>ктивное</w:t>
      </w:r>
      <w:r w:rsidRPr="00DD5ED5">
        <w:rPr>
          <w:lang w:val="ru-RU"/>
        </w:rPr>
        <w:t xml:space="preserve"> </w:t>
      </w:r>
      <w:r>
        <w:rPr>
          <w:lang w:val="ru-RU"/>
        </w:rPr>
        <w:t>участие</w:t>
      </w:r>
      <w:r w:rsidRPr="00DD5ED5">
        <w:rPr>
          <w:lang w:val="ru-RU"/>
        </w:rPr>
        <w:t xml:space="preserve"> </w:t>
      </w:r>
      <w:r>
        <w:rPr>
          <w:lang w:val="ru-RU"/>
        </w:rPr>
        <w:t>в</w:t>
      </w:r>
      <w:r w:rsidRPr="00DD5ED5">
        <w:rPr>
          <w:lang w:val="ru-RU"/>
        </w:rPr>
        <w:t xml:space="preserve"> </w:t>
      </w:r>
      <w:r>
        <w:rPr>
          <w:lang w:val="ru-RU"/>
        </w:rPr>
        <w:t>межправительственном</w:t>
      </w:r>
      <w:r w:rsidRPr="00DD5ED5">
        <w:rPr>
          <w:lang w:val="ru-RU"/>
        </w:rPr>
        <w:t xml:space="preserve"> </w:t>
      </w:r>
      <w:r>
        <w:rPr>
          <w:lang w:val="ru-RU"/>
        </w:rPr>
        <w:t>процессе</w:t>
      </w:r>
      <w:r w:rsidRPr="00DD5ED5">
        <w:rPr>
          <w:lang w:val="ru-RU"/>
        </w:rPr>
        <w:t xml:space="preserve"> </w:t>
      </w:r>
      <w:r>
        <w:rPr>
          <w:lang w:val="ru-RU"/>
        </w:rPr>
        <w:t>экспертных</w:t>
      </w:r>
      <w:r w:rsidRPr="00DD5ED5">
        <w:rPr>
          <w:lang w:val="ru-RU"/>
        </w:rPr>
        <w:t xml:space="preserve"> </w:t>
      </w:r>
      <w:r>
        <w:rPr>
          <w:lang w:val="ru-RU"/>
        </w:rPr>
        <w:t>обзоров</w:t>
      </w:r>
      <w:r w:rsidR="00840EF1">
        <w:rPr>
          <w:lang w:val="ru-RU"/>
        </w:rPr>
        <w:t xml:space="preserve"> и гарантия политической актуальности оценок.</w:t>
      </w: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5F0C2C" w:rsidRDefault="005F0C2C" w:rsidP="004C0130">
      <w:pPr>
        <w:pStyle w:val="SingleTxtG"/>
        <w:ind w:left="1710" w:hanging="9"/>
        <w:rPr>
          <w:lang w:val="ru-RU"/>
        </w:rPr>
      </w:pPr>
    </w:p>
    <w:p w:rsidR="00D475FE" w:rsidRPr="00EB3EDF" w:rsidRDefault="00167F01" w:rsidP="00F22048">
      <w:pPr>
        <w:pStyle w:val="HChG"/>
        <w:ind w:left="0" w:firstLine="0"/>
        <w:outlineLvl w:val="0"/>
        <w:rPr>
          <w:lang w:val="ru-RU"/>
        </w:rPr>
      </w:pPr>
      <w:r>
        <w:rPr>
          <w:lang w:val="ru-RU"/>
        </w:rPr>
        <w:t>Приложение</w:t>
      </w:r>
      <w:r w:rsidR="00D475FE" w:rsidRPr="00EB3EDF">
        <w:rPr>
          <w:lang w:val="ru-RU"/>
        </w:rPr>
        <w:tab/>
      </w:r>
    </w:p>
    <w:p w:rsidR="00D475FE" w:rsidRPr="00B252D1" w:rsidRDefault="00D475FE" w:rsidP="00EB170F">
      <w:pPr>
        <w:pStyle w:val="H1G"/>
        <w:rPr>
          <w:lang w:val="ru-RU"/>
        </w:rPr>
      </w:pPr>
      <w:r w:rsidRPr="00EB3EDF">
        <w:rPr>
          <w:lang w:val="ru-RU"/>
        </w:rPr>
        <w:tab/>
      </w:r>
      <w:r w:rsidR="00B252D1" w:rsidRPr="00EB3EDF">
        <w:rPr>
          <w:lang w:val="ru-RU"/>
        </w:rPr>
        <w:tab/>
      </w:r>
      <w:r w:rsidR="00B252D1">
        <w:rPr>
          <w:lang w:val="ru-RU"/>
        </w:rPr>
        <w:t>Соответствующие ссылки на документы ЕЭК</w:t>
      </w:r>
      <w:r w:rsidR="00B252D1" w:rsidRPr="00B252D1">
        <w:rPr>
          <w:lang w:val="ru-RU"/>
        </w:rPr>
        <w:t xml:space="preserve">, </w:t>
      </w:r>
      <w:r w:rsidR="00B252D1">
        <w:rPr>
          <w:lang w:val="ru-RU"/>
        </w:rPr>
        <w:t>с</w:t>
      </w:r>
      <w:r w:rsidR="009C7416">
        <w:rPr>
          <w:lang w:val="ru-RU"/>
        </w:rPr>
        <w:t xml:space="preserve"> 20</w:t>
      </w:r>
      <w:r w:rsidR="00BF70BB" w:rsidRPr="00EB3EDF">
        <w:rPr>
          <w:lang w:val="ru-RU"/>
        </w:rPr>
        <w:t>11</w:t>
      </w:r>
      <w:r w:rsidRPr="00B252D1">
        <w:rPr>
          <w:lang w:val="ru-RU"/>
        </w:rPr>
        <w:t xml:space="preserve"> </w:t>
      </w:r>
      <w:r w:rsidR="00B252D1">
        <w:rPr>
          <w:lang w:val="ru-RU"/>
        </w:rPr>
        <w:t xml:space="preserve">года по </w:t>
      </w:r>
      <w:r w:rsidR="00BF70BB">
        <w:rPr>
          <w:lang w:val="ru-RU"/>
        </w:rPr>
        <w:t>201</w:t>
      </w:r>
      <w:r w:rsidR="00BF70BB" w:rsidRPr="00EB3EDF">
        <w:rPr>
          <w:lang w:val="ru-RU"/>
        </w:rPr>
        <w:t>7</w:t>
      </w:r>
      <w:r w:rsidR="00B252D1">
        <w:rPr>
          <w:lang w:val="ru-RU"/>
        </w:rPr>
        <w:t xml:space="preserve"> год</w:t>
      </w:r>
    </w:p>
    <w:p w:rsidR="00D475FE" w:rsidRDefault="00D475FE" w:rsidP="00C875F3">
      <w:pPr>
        <w:pStyle w:val="SingleTxtG"/>
        <w:jc w:val="left"/>
      </w:pPr>
      <w:r w:rsidRPr="00C875F3">
        <w:t>Report of the Committee on Environmental Policy on its twenty-second session, ECE/CEP/2017/2, paras. 29-34 and Annex II</w:t>
      </w:r>
      <w:r>
        <w:t xml:space="preserve"> </w:t>
      </w:r>
      <w:r w:rsidRPr="00C875F3">
        <w:t>(</w:t>
      </w:r>
      <w:hyperlink r:id="rId8" w:history="1">
        <w:r w:rsidRPr="009237B2">
          <w:rPr>
            <w:rStyle w:val="Hyperlink"/>
          </w:rPr>
          <w:t>www.unece.org/fileadmin/DAM/env/documents/2017/ece/cep/ece.cep.2017.2.e.pdf</w:t>
        </w:r>
      </w:hyperlink>
      <w:r w:rsidRPr="00C875F3">
        <w:t>)</w:t>
      </w:r>
    </w:p>
    <w:p w:rsidR="00D475FE" w:rsidRDefault="00D475FE" w:rsidP="00C875F3">
      <w:pPr>
        <w:pStyle w:val="SingleTxtG"/>
        <w:jc w:val="left"/>
      </w:pPr>
      <w:r w:rsidRPr="00C875F3">
        <w:t>Batumi Ministerial Declaration,</w:t>
      </w:r>
      <w:r>
        <w:t xml:space="preserve"> </w:t>
      </w:r>
      <w:r w:rsidRPr="00C875F3">
        <w:t>ECE/BATUMI.CONF/2016/2/Add.1, para 10 (</w:t>
      </w:r>
      <w:hyperlink r:id="rId9" w:history="1">
        <w:r w:rsidRPr="009237B2">
          <w:rPr>
            <w:rStyle w:val="Hyperlink"/>
          </w:rPr>
          <w:t>www.unece.org/fileadmin/DAM/env/documents/2016/ece/ece.batumi.conf.2016.2.add.1.e.pdf</w:t>
        </w:r>
      </w:hyperlink>
      <w:r w:rsidRPr="00C875F3">
        <w:t>)</w:t>
      </w:r>
    </w:p>
    <w:p w:rsidR="00D475FE" w:rsidRDefault="00D475FE" w:rsidP="00C875F3">
      <w:pPr>
        <w:pStyle w:val="SingleTxtG"/>
        <w:jc w:val="left"/>
      </w:pPr>
      <w:r>
        <w:t>Chair’</w:t>
      </w:r>
      <w:r w:rsidRPr="00C875F3">
        <w:t>s summary of the Conference, ECE/BATUMI.CONF/2016/2/Add.3, paras. 15-20 (</w:t>
      </w:r>
      <w:hyperlink r:id="rId10" w:history="1">
        <w:r w:rsidRPr="009237B2">
          <w:rPr>
            <w:rStyle w:val="Hyperlink"/>
          </w:rPr>
          <w:t>www.unece.org/fileadmin/DAM/env/documents/2016/ece/ece.batumi.conf.2016.2.add.3.e.pdf</w:t>
        </w:r>
      </w:hyperlink>
      <w:r>
        <w:t>)</w:t>
      </w:r>
    </w:p>
    <w:p w:rsidR="00D475FE" w:rsidRDefault="00D475FE" w:rsidP="00C875F3">
      <w:pPr>
        <w:pStyle w:val="SingleTxtG"/>
        <w:jc w:val="left"/>
      </w:pPr>
      <w:r w:rsidRPr="00C875F3">
        <w:t>Report on progress in establishing the Shared Environmental Information System in support of regular reporting in the pan-European region, ECE/BATUMI.CONF/2016/8</w:t>
      </w:r>
      <w:r>
        <w:t xml:space="preserve"> </w:t>
      </w:r>
      <w:r w:rsidRPr="00C875F3">
        <w:t>(</w:t>
      </w:r>
      <w:hyperlink r:id="rId11" w:history="1">
        <w:r w:rsidRPr="009237B2">
          <w:rPr>
            <w:rStyle w:val="Hyperlink"/>
          </w:rPr>
          <w:t>www.unece.org/fileadmin/DAM/env/documents/2016/ece/ece.batumi.conf.2016.8.e.pdf</w:t>
        </w:r>
      </w:hyperlink>
      <w:r w:rsidRPr="00C875F3">
        <w:t>)</w:t>
      </w:r>
    </w:p>
    <w:p w:rsidR="00D475FE" w:rsidRDefault="00D475FE" w:rsidP="00C875F3">
      <w:pPr>
        <w:pStyle w:val="SingleTxtG"/>
        <w:jc w:val="left"/>
      </w:pPr>
      <w:r w:rsidRPr="00C875F3">
        <w:t>Revised draft report on progress in establishing SEIS in the pan-European region, ECE/CEP/S/2016/L.9</w:t>
      </w:r>
      <w:r>
        <w:t xml:space="preserve"> </w:t>
      </w:r>
      <w:r w:rsidRPr="00C875F3">
        <w:t>(</w:t>
      </w:r>
      <w:hyperlink r:id="rId12" w:history="1">
        <w:r w:rsidRPr="009237B2">
          <w:rPr>
            <w:rStyle w:val="Hyperlink"/>
          </w:rPr>
          <w:t>www.unece.org/fileadmin/DAM/env/documents/2016/ece/cep/ece.cep.s.2016.L.9.e.pdf</w:t>
        </w:r>
      </w:hyperlink>
      <w:r w:rsidRPr="00C875F3">
        <w:t>)</w:t>
      </w:r>
    </w:p>
    <w:p w:rsidR="00D475FE" w:rsidRDefault="00D475FE" w:rsidP="00C875F3">
      <w:pPr>
        <w:pStyle w:val="SingleTxtG"/>
        <w:jc w:val="left"/>
      </w:pPr>
      <w:r w:rsidRPr="00C875F3">
        <w:t>Report of the Committee on Environmental Policy on its twenty-first session, ECE/CEP</w:t>
      </w:r>
      <w:r>
        <w:t xml:space="preserve">/2015/2, paras. 32-42 and 89-94 </w:t>
      </w:r>
      <w:r w:rsidRPr="00C875F3">
        <w:t>(</w:t>
      </w:r>
      <w:hyperlink r:id="rId13" w:history="1">
        <w:r w:rsidRPr="009237B2">
          <w:rPr>
            <w:rStyle w:val="Hyperlink"/>
          </w:rPr>
          <w:t>www.unece.org/fileadmin/DAM/env/documents/2015/ece/cep/ece.cep.2015.2.e.pdf</w:t>
        </w:r>
      </w:hyperlink>
      <w:r w:rsidRPr="00C875F3">
        <w:t>)</w:t>
      </w:r>
    </w:p>
    <w:p w:rsidR="00D475FE" w:rsidRDefault="00D475FE" w:rsidP="00C875F3">
      <w:pPr>
        <w:pStyle w:val="SingleTxtG"/>
        <w:jc w:val="left"/>
      </w:pPr>
      <w:r w:rsidRPr="00C875F3">
        <w:t>Streamlining the work on environmental monitoring and assessment</w:t>
      </w:r>
      <w:r>
        <w:t xml:space="preserve">, ECE/CEP/2015/12 </w:t>
      </w:r>
      <w:r w:rsidRPr="00C875F3">
        <w:t>(</w:t>
      </w:r>
      <w:hyperlink r:id="rId14" w:history="1">
        <w:r w:rsidRPr="009237B2">
          <w:rPr>
            <w:rStyle w:val="Hyperlink"/>
          </w:rPr>
          <w:t>www.unece.org/fileadmin/DAM/env/documents/2015/ece/cep/ece.cep.2015.12.e.pdf</w:t>
        </w:r>
      </w:hyperlink>
      <w:r w:rsidRPr="00C875F3">
        <w:rPr>
          <w:color w:val="0000FF"/>
        </w:rPr>
        <w:t xml:space="preserve"> ; </w:t>
      </w:r>
      <w:hyperlink r:id="rId15" w:history="1">
        <w:r w:rsidRPr="009237B2">
          <w:rPr>
            <w:rStyle w:val="Hyperlink"/>
          </w:rPr>
          <w:t>www.unece.org/fileadmin/DAM/env/cep/CEP-21/ppt/WGEMA_JTFEI_ToR_CEP-21_e.pdf</w:t>
        </w:r>
      </w:hyperlink>
      <w:r w:rsidRPr="00C875F3">
        <w:t>)</w:t>
      </w:r>
    </w:p>
    <w:p w:rsidR="00D475FE" w:rsidRDefault="00D475FE" w:rsidP="00C875F3">
      <w:pPr>
        <w:pStyle w:val="SingleTxtG"/>
        <w:jc w:val="left"/>
      </w:pPr>
      <w:r w:rsidRPr="00C875F3">
        <w:t>Outcomes of the work of the Group of Friends of SEIS, ECE/CEP/2015/9</w:t>
      </w:r>
      <w:r>
        <w:t xml:space="preserve"> </w:t>
      </w:r>
      <w:hyperlink r:id="rId16" w:history="1">
        <w:r w:rsidRPr="009237B2">
          <w:rPr>
            <w:rStyle w:val="Hyperlink"/>
          </w:rPr>
          <w:t>(www.unece.org/fileadmin/DAM/env/documents/2015/ece/cep/ece.cep.2015.9.e.pdf</w:t>
        </w:r>
      </w:hyperlink>
      <w:r w:rsidRPr="00C875F3">
        <w:t>)</w:t>
      </w:r>
    </w:p>
    <w:p w:rsidR="00D475FE" w:rsidRDefault="00D475FE" w:rsidP="00C875F3">
      <w:pPr>
        <w:pStyle w:val="SingleTxtG"/>
        <w:jc w:val="left"/>
      </w:pPr>
      <w:r w:rsidRPr="00C875F3">
        <w:t>Regular environmental assessment process based on SEIS</w:t>
      </w:r>
      <w:r>
        <w:t xml:space="preserve">, ECE/CEP/2015/10 </w:t>
      </w:r>
      <w:r w:rsidRPr="00C875F3">
        <w:t>(</w:t>
      </w:r>
      <w:hyperlink r:id="rId17" w:history="1">
        <w:r w:rsidRPr="009237B2">
          <w:rPr>
            <w:rStyle w:val="Hyperlink"/>
          </w:rPr>
          <w:t>www.unece.org/fileadmin/DAM/env/documents/2015/ece/cep/ece.cep.2015.10.e.pdf</w:t>
        </w:r>
      </w:hyperlink>
      <w:r w:rsidRPr="00C875F3">
        <w:t>)</w:t>
      </w:r>
    </w:p>
    <w:p w:rsidR="00D475FE" w:rsidRDefault="00D475FE" w:rsidP="00C875F3">
      <w:pPr>
        <w:pStyle w:val="SingleTxtG"/>
        <w:jc w:val="left"/>
      </w:pPr>
      <w:r w:rsidRPr="00C875F3">
        <w:t xml:space="preserve">First report on progress in establishing SEIS in the pan-European region, </w:t>
      </w:r>
      <w:r>
        <w:t xml:space="preserve">ECE/CEP/2015/11 </w:t>
      </w:r>
      <w:r w:rsidRPr="00C875F3">
        <w:t>(</w:t>
      </w:r>
      <w:hyperlink r:id="rId18" w:history="1">
        <w:r w:rsidRPr="009237B2">
          <w:rPr>
            <w:rStyle w:val="Hyperlink"/>
          </w:rPr>
          <w:t>www.unece.org/fileadmin/DAM/env/documents/2015/ece/cep/ece.cep.2015.11.e.pdf</w:t>
        </w:r>
      </w:hyperlink>
      <w:r w:rsidRPr="00C875F3">
        <w:t>)</w:t>
      </w:r>
    </w:p>
    <w:p w:rsidR="00D475FE" w:rsidRDefault="00D475FE" w:rsidP="00C875F3">
      <w:pPr>
        <w:pStyle w:val="SingleTxtG"/>
        <w:jc w:val="left"/>
      </w:pPr>
      <w:r w:rsidRPr="00C875F3">
        <w:t>Targets and performance indicators for measuring progress in developing SEIS across the pan-European region, ECE/CEP/2014/8</w:t>
      </w:r>
      <w:r>
        <w:t xml:space="preserve"> </w:t>
      </w:r>
      <w:r w:rsidRPr="00C875F3">
        <w:t>(</w:t>
      </w:r>
      <w:hyperlink r:id="rId19" w:history="1">
        <w:r w:rsidRPr="009237B2">
          <w:rPr>
            <w:rStyle w:val="Hyperlink"/>
          </w:rPr>
          <w:t>www.unece.org/fileadmin/DAM/env/documents/2014/ece/cep/ece.cep.2014.8.e.pdf</w:t>
        </w:r>
      </w:hyperlink>
      <w:r w:rsidRPr="00C875F3">
        <w:t>)</w:t>
      </w:r>
    </w:p>
    <w:p w:rsidR="00D475FE" w:rsidRDefault="00D475FE" w:rsidP="00C875F3">
      <w:pPr>
        <w:pStyle w:val="SingleTxtG"/>
        <w:jc w:val="left"/>
      </w:pPr>
      <w:r w:rsidRPr="00C875F3">
        <w:t>Outcomes of the work of the Group of Friends of SEIS for the period March–July 2014</w:t>
      </w:r>
      <w:r>
        <w:t xml:space="preserve">, ECE/CEP/2014/7 </w:t>
      </w:r>
      <w:r w:rsidRPr="00C875F3">
        <w:t>(</w:t>
      </w:r>
      <w:hyperlink r:id="rId20" w:history="1">
        <w:r w:rsidRPr="009237B2">
          <w:rPr>
            <w:rStyle w:val="Hyperlink"/>
          </w:rPr>
          <w:t>www.unece.org/fileadmin/DAM/env/documents/2014/ece/cep/ece.cep.2014.7.e.pdf</w:t>
        </w:r>
      </w:hyperlink>
      <w:r w:rsidRPr="00C875F3">
        <w:t>)</w:t>
      </w:r>
    </w:p>
    <w:p w:rsidR="00D475FE" w:rsidRPr="00C875F3" w:rsidRDefault="00D475FE" w:rsidP="00C875F3">
      <w:pPr>
        <w:pStyle w:val="SingleTxtG"/>
        <w:jc w:val="left"/>
      </w:pPr>
      <w:r w:rsidRPr="00C875F3">
        <w:t>Terms of reference of the Group of Friends of SEIS, ECE/EX/11, Annex II</w:t>
      </w:r>
      <w:r>
        <w:t xml:space="preserve"> </w:t>
      </w:r>
      <w:r w:rsidRPr="00C875F3">
        <w:t>(</w:t>
      </w:r>
      <w:hyperlink r:id="rId21" w:history="1">
        <w:r w:rsidRPr="009237B2">
          <w:rPr>
            <w:rStyle w:val="Hyperlink"/>
          </w:rPr>
          <w:t>www.unece.org/fileadmin/DAM/env/documents/2014/ece/ece.ex.11.e.pdf</w:t>
        </w:r>
      </w:hyperlink>
      <w:r w:rsidRPr="00C875F3">
        <w:t>)</w:t>
      </w:r>
    </w:p>
    <w:p w:rsidR="00D475FE" w:rsidRDefault="00D475FE" w:rsidP="00C875F3">
      <w:pPr>
        <w:pStyle w:val="SingleTxtG"/>
        <w:jc w:val="left"/>
      </w:pPr>
      <w:r w:rsidRPr="00C875F3">
        <w:lastRenderedPageBreak/>
        <w:t>A review of SEIS-related developments with an impact on environmental assessment and reporting since the Astana Ministerial Conference</w:t>
      </w:r>
      <w:r>
        <w:t xml:space="preserve">, ECE/CEP/2013/18 </w:t>
      </w:r>
      <w:r w:rsidRPr="00C875F3">
        <w:t>(</w:t>
      </w:r>
      <w:hyperlink r:id="rId22" w:history="1">
        <w:r w:rsidRPr="009237B2">
          <w:rPr>
            <w:rStyle w:val="Hyperlink"/>
          </w:rPr>
          <w:t>www.unece.org/fileadmin/DAM/env/documents/2013/ece/cep/ece.cep.2013.18.e.pdf</w:t>
        </w:r>
      </w:hyperlink>
      <w:r w:rsidRPr="00C875F3">
        <w:t>)</w:t>
      </w:r>
    </w:p>
    <w:p w:rsidR="00D475FE" w:rsidRDefault="00D475FE" w:rsidP="00C875F3">
      <w:pPr>
        <w:pStyle w:val="SingleTxtG"/>
        <w:jc w:val="left"/>
      </w:pPr>
      <w:r w:rsidRPr="00C875F3">
        <w:t xml:space="preserve">Outline on the establishment of a regular assessment and reporting process underpinned by the gradual development of a </w:t>
      </w:r>
      <w:r>
        <w:t xml:space="preserve">SEIS, ECE/CEP/2013/15 </w:t>
      </w:r>
      <w:r w:rsidRPr="00C875F3">
        <w:t>(</w:t>
      </w:r>
      <w:hyperlink r:id="rId23" w:history="1">
        <w:r w:rsidRPr="009237B2">
          <w:rPr>
            <w:rStyle w:val="Hyperlink"/>
          </w:rPr>
          <w:t>www.unece.org/fileadmin/DAM/env/documents/2013/ece/cep/ece.cep.2013.15.e.pdf</w:t>
        </w:r>
      </w:hyperlink>
      <w:r w:rsidRPr="00C875F3">
        <w:t>)</w:t>
      </w:r>
    </w:p>
    <w:p w:rsidR="00D475FE" w:rsidRDefault="00D475FE" w:rsidP="00C875F3">
      <w:pPr>
        <w:pStyle w:val="SingleTxtG"/>
        <w:jc w:val="left"/>
      </w:pPr>
      <w:r w:rsidRPr="00C875F3">
        <w:t xml:space="preserve">Input by the </w:t>
      </w:r>
      <w:r>
        <w:t>Environment for Europe</w:t>
      </w:r>
      <w:r w:rsidRPr="00C875F3">
        <w:t xml:space="preserve"> partners into the gradual development of a</w:t>
      </w:r>
      <w:r>
        <w:t xml:space="preserve"> </w:t>
      </w:r>
      <w:r w:rsidRPr="00C875F3">
        <w:t>SEIS, ECE/CEP/2013/13 (</w:t>
      </w:r>
      <w:hyperlink r:id="rId24" w:history="1">
        <w:r w:rsidRPr="009237B2">
          <w:rPr>
            <w:rStyle w:val="Hyperlink"/>
          </w:rPr>
          <w:t>www.unece.org/fileadmin/DAM/env/documents/2013/ece/cep/ece.cep.2013.13.e.pdf</w:t>
        </w:r>
      </w:hyperlink>
      <w:r>
        <w:t>)</w:t>
      </w:r>
    </w:p>
    <w:p w:rsidR="00D475FE" w:rsidRDefault="00D475FE" w:rsidP="00C875F3">
      <w:pPr>
        <w:pStyle w:val="SingleTxtG"/>
        <w:jc w:val="left"/>
      </w:pPr>
      <w:r w:rsidRPr="00C875F3">
        <w:t>Proposed coordination mecha</w:t>
      </w:r>
      <w:r>
        <w:t xml:space="preserve">nism for the development of the </w:t>
      </w:r>
      <w:r w:rsidRPr="00C875F3">
        <w:t>SEIS, ECE/CEP/2013/23</w:t>
      </w:r>
      <w:r>
        <w:t xml:space="preserve"> </w:t>
      </w:r>
      <w:r w:rsidRPr="00C875F3">
        <w:t>(</w:t>
      </w:r>
      <w:hyperlink r:id="rId25" w:history="1">
        <w:r w:rsidRPr="009237B2">
          <w:rPr>
            <w:rStyle w:val="Hyperlink"/>
          </w:rPr>
          <w:t>www.unece.org/fileadmin/DAM/env/documents/2013/ece/cep/ece.cep.2013.23.e.pdf</w:t>
        </w:r>
      </w:hyperlink>
      <w:r w:rsidRPr="00C875F3">
        <w:t>)</w:t>
      </w:r>
    </w:p>
    <w:p w:rsidR="00D475FE" w:rsidRDefault="00D475FE" w:rsidP="00C875F3">
      <w:pPr>
        <w:pStyle w:val="SingleTxtG"/>
        <w:jc w:val="left"/>
      </w:pPr>
      <w:r w:rsidRPr="00C875F3">
        <w:t>Report of the Committee on Environmental Policy on its nineteenth session, ECE/CEP/2013/2, paras. 37-40, 64-69, 116 (g)(v); (l) and (m)</w:t>
      </w:r>
      <w:r>
        <w:t xml:space="preserve"> </w:t>
      </w:r>
      <w:r w:rsidRPr="00C875F3">
        <w:t>(</w:t>
      </w:r>
      <w:hyperlink r:id="rId26" w:history="1">
        <w:r w:rsidRPr="009237B2">
          <w:rPr>
            <w:rStyle w:val="Hyperlink"/>
          </w:rPr>
          <w:t>www.unece.org/fileadmin/DAM/env/documents/2013/ece/cep/ece.cep.2013.2.e.pdf</w:t>
        </w:r>
      </w:hyperlink>
      <w:r w:rsidRPr="00C875F3">
        <w:t>)</w:t>
      </w:r>
    </w:p>
    <w:p w:rsidR="00D475FE" w:rsidRPr="008A4023" w:rsidRDefault="00D475FE" w:rsidP="00C875F3">
      <w:pPr>
        <w:pStyle w:val="SingleTxtG"/>
        <w:jc w:val="left"/>
        <w:rPr>
          <w:lang w:eastAsia="zh-CN"/>
        </w:rPr>
      </w:pPr>
      <w:r w:rsidRPr="00154386">
        <w:t>A</w:t>
      </w:r>
      <w:r>
        <w:t>stana Ministerial Declaration, ECE/ASTANA.CONF/2011/2/Add.1, para. 14 (</w:t>
      </w:r>
      <w:hyperlink r:id="rId27" w:history="1">
        <w:r>
          <w:rPr>
            <w:rStyle w:val="Hyperlink"/>
          </w:rPr>
          <w:t>www.unece.org/fileadmin/DAM/env/documents/2011/ece/ece.astana.conf.2011.2.add.1.e.pdf</w:t>
        </w:r>
      </w:hyperlink>
      <w:r w:rsidRPr="008A4023">
        <w:t>)</w:t>
      </w:r>
    </w:p>
    <w:p w:rsidR="00D475FE" w:rsidRPr="008A4023" w:rsidRDefault="00D475FE" w:rsidP="00C875F3">
      <w:pPr>
        <w:pStyle w:val="SingleTxtG"/>
        <w:spacing w:before="240" w:after="0"/>
        <w:jc w:val="center"/>
        <w:rPr>
          <w:u w:val="single"/>
        </w:rPr>
      </w:pPr>
      <w:r w:rsidRPr="008A4023">
        <w:rPr>
          <w:u w:val="single"/>
        </w:rPr>
        <w:tab/>
      </w:r>
      <w:r w:rsidRPr="008A4023">
        <w:rPr>
          <w:u w:val="single"/>
        </w:rPr>
        <w:tab/>
      </w:r>
      <w:r w:rsidRPr="008A4023">
        <w:rPr>
          <w:u w:val="single"/>
        </w:rPr>
        <w:tab/>
      </w:r>
    </w:p>
    <w:p w:rsidR="00D475FE" w:rsidRPr="008A4023" w:rsidRDefault="00D475FE" w:rsidP="00A104A2"/>
    <w:sectPr w:rsidR="00D475FE" w:rsidRPr="008A4023" w:rsidSect="00B643DC">
      <w:headerReference w:type="default" r:id="rId28"/>
      <w:footerReference w:type="even" r:id="rId29"/>
      <w:footerReference w:type="default" r:id="rId3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C64" w:rsidRDefault="007D1C64"/>
  </w:endnote>
  <w:endnote w:type="continuationSeparator" w:id="0">
    <w:p w:rsidR="007D1C64" w:rsidRDefault="007D1C64"/>
  </w:endnote>
  <w:endnote w:type="continuationNotice" w:id="1">
    <w:p w:rsidR="007D1C64" w:rsidRDefault="007D1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D5" w:rsidRPr="0038354C" w:rsidRDefault="00DD5ED5" w:rsidP="0038354C">
    <w:pPr>
      <w:pStyle w:val="Footer"/>
      <w:tabs>
        <w:tab w:val="right" w:pos="9638"/>
      </w:tabs>
      <w:rPr>
        <w:sz w:val="18"/>
      </w:rPr>
    </w:pPr>
    <w:r w:rsidRPr="0038354C">
      <w:rPr>
        <w:b/>
        <w:sz w:val="18"/>
      </w:rPr>
      <w:fldChar w:fldCharType="begin"/>
    </w:r>
    <w:r w:rsidRPr="0038354C">
      <w:rPr>
        <w:b/>
        <w:sz w:val="18"/>
      </w:rPr>
      <w:instrText xml:space="preserve"> PAGE  \* MERGEFORMAT </w:instrText>
    </w:r>
    <w:r w:rsidRPr="0038354C">
      <w:rPr>
        <w:b/>
        <w:sz w:val="18"/>
      </w:rPr>
      <w:fldChar w:fldCharType="separate"/>
    </w:r>
    <w:r>
      <w:rPr>
        <w:b/>
        <w:noProof/>
        <w:sz w:val="18"/>
      </w:rPr>
      <w:t>10</w:t>
    </w:r>
    <w:r w:rsidRPr="0038354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D5" w:rsidRPr="0038354C" w:rsidRDefault="00DD5ED5" w:rsidP="0038354C">
    <w:pPr>
      <w:pStyle w:val="Footer"/>
      <w:tabs>
        <w:tab w:val="right" w:pos="9638"/>
      </w:tabs>
      <w:rPr>
        <w:b/>
        <w:sz w:val="18"/>
      </w:rPr>
    </w:pPr>
    <w:r>
      <w:tab/>
    </w:r>
    <w:r w:rsidRPr="0038354C">
      <w:rPr>
        <w:b/>
        <w:sz w:val="18"/>
      </w:rPr>
      <w:fldChar w:fldCharType="begin"/>
    </w:r>
    <w:r w:rsidRPr="0038354C">
      <w:rPr>
        <w:b/>
        <w:sz w:val="18"/>
      </w:rPr>
      <w:instrText xml:space="preserve"> PAGE  \* MERGEFORMAT </w:instrText>
    </w:r>
    <w:r w:rsidRPr="0038354C">
      <w:rPr>
        <w:b/>
        <w:sz w:val="18"/>
      </w:rPr>
      <w:fldChar w:fldCharType="separate"/>
    </w:r>
    <w:r>
      <w:rPr>
        <w:b/>
        <w:noProof/>
        <w:sz w:val="18"/>
      </w:rPr>
      <w:t>9</w:t>
    </w:r>
    <w:r w:rsidRPr="0038354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C64" w:rsidRPr="000B175B" w:rsidRDefault="007D1C6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D1C64" w:rsidRPr="00FC68B7" w:rsidRDefault="007D1C6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D1C64" w:rsidRDefault="007D1C64"/>
  </w:footnote>
  <w:footnote w:id="2">
    <w:p w:rsidR="00DD5ED5" w:rsidRDefault="00DD5ED5" w:rsidP="0033635F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98631C">
        <w:t>https://www.eea.europa.eu/publications/92-826-5409-5</w:t>
      </w:r>
      <w:r>
        <w:t xml:space="preserve"> </w:t>
      </w:r>
    </w:p>
  </w:footnote>
  <w:footnote w:id="3">
    <w:p w:rsidR="00DD5ED5" w:rsidRDefault="00DD5ED5" w:rsidP="0033635F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98631C">
        <w:t>https://www.eea.europa.eu//publications/92-828-3351-8</w:t>
      </w:r>
      <w:r>
        <w:t xml:space="preserve"> </w:t>
      </w:r>
    </w:p>
  </w:footnote>
  <w:footnote w:id="4">
    <w:p w:rsidR="00DD5ED5" w:rsidRDefault="00DD5ED5" w:rsidP="0033635F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98631C">
        <w:t>https://www.eea.europa.eu//publications/environmental_assessment_report_2003_10</w:t>
      </w:r>
      <w:r>
        <w:t xml:space="preserve"> </w:t>
      </w:r>
    </w:p>
  </w:footnote>
  <w:footnote w:id="5">
    <w:p w:rsidR="00DD5ED5" w:rsidRDefault="00DD5ED5" w:rsidP="0033635F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98631C">
        <w:t>https://www.eea.europa.eu//publications/state_of_environment_report_2007_1</w:t>
      </w:r>
      <w:r>
        <w:t xml:space="preserve"> </w:t>
      </w:r>
    </w:p>
  </w:footnote>
  <w:footnote w:id="6">
    <w:p w:rsidR="00DD5ED5" w:rsidRDefault="00DD5ED5" w:rsidP="0033635F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98631C">
        <w:t>https://www.eea.europa.eu//publications/europes-environment-aoa</w:t>
      </w:r>
      <w:r>
        <w:t xml:space="preserve"> </w:t>
      </w:r>
    </w:p>
  </w:footnote>
  <w:footnote w:id="7">
    <w:p w:rsidR="00DD5ED5" w:rsidRPr="009C7416" w:rsidRDefault="00DD5ED5" w:rsidP="0033635F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98631C">
        <w:t>http://web.unep.org/geo/sites/unep.org.geo/files/documents/unep_geo_regional_assessments_europe_16-07513_hires.pdf</w:t>
      </w:r>
      <w:r>
        <w:t xml:space="preserve"> </w:t>
      </w:r>
    </w:p>
  </w:footnote>
  <w:footnote w:id="8">
    <w:p w:rsidR="00DD5ED5" w:rsidRPr="00627063" w:rsidRDefault="00DD5ED5" w:rsidP="003F30CF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 w:rsidR="00627063" w:rsidRPr="00627063">
        <w:rPr>
          <w:lang w:val="ru-RU"/>
        </w:rPr>
        <w:tab/>
        <w:t>Жирный шрифт добавляется к цитируемому тексту здесь и по всем</w:t>
      </w:r>
      <w:r w:rsidR="00627063">
        <w:rPr>
          <w:lang w:val="ru-RU"/>
        </w:rPr>
        <w:t>у документу</w:t>
      </w:r>
      <w:r w:rsidRPr="00627063">
        <w:rPr>
          <w:lang w:val="ru-RU"/>
        </w:rPr>
        <w:t xml:space="preserve">. </w:t>
      </w:r>
    </w:p>
  </w:footnote>
  <w:footnote w:id="9">
    <w:p w:rsidR="00DD5ED5" w:rsidRPr="00A40CFE" w:rsidRDefault="00DD5ED5" w:rsidP="00565F4A">
      <w:pPr>
        <w:pStyle w:val="FootnoteText"/>
        <w:widowControl w:val="0"/>
        <w:rPr>
          <w:lang w:val="ru-RU"/>
        </w:rPr>
      </w:pPr>
      <w:r w:rsidRPr="00627063">
        <w:rPr>
          <w:lang w:val="ru-RU"/>
        </w:rPr>
        <w:tab/>
      </w:r>
      <w:r>
        <w:rPr>
          <w:rStyle w:val="FootnoteReference"/>
        </w:rPr>
        <w:footnoteRef/>
      </w:r>
      <w:r w:rsidR="00A40CFE" w:rsidRPr="00A40CFE">
        <w:rPr>
          <w:lang w:val="ru-RU"/>
        </w:rPr>
        <w:tab/>
      </w:r>
      <w:r w:rsidR="00C06E9F">
        <w:rPr>
          <w:lang w:val="ru-RU"/>
        </w:rPr>
        <w:t>ЮНЕП</w:t>
      </w:r>
      <w:r w:rsidR="00A40CFE" w:rsidRPr="00A40CFE">
        <w:rPr>
          <w:lang w:val="ru-RU"/>
        </w:rPr>
        <w:t xml:space="preserve"> </w:t>
      </w:r>
      <w:r w:rsidR="00A40CFE">
        <w:rPr>
          <w:lang w:val="ru-RU"/>
        </w:rPr>
        <w:t>в</w:t>
      </w:r>
      <w:r w:rsidR="00A40CFE" w:rsidRPr="00A40CFE">
        <w:rPr>
          <w:lang w:val="ru-RU"/>
        </w:rPr>
        <w:t xml:space="preserve"> </w:t>
      </w:r>
      <w:r w:rsidR="00A40CFE">
        <w:rPr>
          <w:lang w:val="ru-RU"/>
        </w:rPr>
        <w:t>прям</w:t>
      </w:r>
      <w:r w:rsidR="00A40CFE" w:rsidRPr="00A40CFE">
        <w:rPr>
          <w:lang w:val="ru-RU"/>
        </w:rPr>
        <w:t xml:space="preserve"> </w:t>
      </w:r>
      <w:r w:rsidR="00A40CFE">
        <w:rPr>
          <w:lang w:val="ru-RU"/>
        </w:rPr>
        <w:t>включении впоследствии был переименован на Окружающая среда в прямом включении, доступная по ссылке</w:t>
      </w:r>
      <w:r w:rsidRPr="00A40CFE">
        <w:rPr>
          <w:lang w:val="ru-RU"/>
        </w:rPr>
        <w:t xml:space="preserve"> </w:t>
      </w:r>
      <w:r>
        <w:t>https</w:t>
      </w:r>
      <w:r w:rsidRPr="00A40CFE">
        <w:rPr>
          <w:lang w:val="ru-RU"/>
        </w:rPr>
        <w:t>://</w:t>
      </w:r>
      <w:proofErr w:type="spellStart"/>
      <w:r>
        <w:t>environmentlive</w:t>
      </w:r>
      <w:proofErr w:type="spellEnd"/>
      <w:r w:rsidRPr="00A40CFE">
        <w:rPr>
          <w:lang w:val="ru-RU"/>
        </w:rPr>
        <w:t>.</w:t>
      </w:r>
      <w:proofErr w:type="spellStart"/>
      <w:r>
        <w:t>unep</w:t>
      </w:r>
      <w:proofErr w:type="spellEnd"/>
      <w:r w:rsidRPr="00A40CFE">
        <w:rPr>
          <w:lang w:val="ru-RU"/>
        </w:rPr>
        <w:t>.</w:t>
      </w:r>
      <w:r>
        <w:t>org</w:t>
      </w:r>
      <w:r w:rsidRPr="00A40CFE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D5" w:rsidRPr="0038354C" w:rsidRDefault="00DD5ED5" w:rsidP="003835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232C41"/>
    <w:multiLevelType w:val="hybridMultilevel"/>
    <w:tmpl w:val="44003308"/>
    <w:lvl w:ilvl="0" w:tplc="1944AD2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2" w15:restartNumberingAfterBreak="0">
    <w:nsid w:val="198A7278"/>
    <w:multiLevelType w:val="hybridMultilevel"/>
    <w:tmpl w:val="3E9EBC0C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10452"/>
    <w:multiLevelType w:val="hybridMultilevel"/>
    <w:tmpl w:val="CD944908"/>
    <w:lvl w:ilvl="0" w:tplc="0409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17" w15:restartNumberingAfterBreak="0">
    <w:nsid w:val="29585945"/>
    <w:multiLevelType w:val="hybridMultilevel"/>
    <w:tmpl w:val="F6FCCA66"/>
    <w:lvl w:ilvl="0" w:tplc="0B203548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84F62C1"/>
    <w:multiLevelType w:val="hybridMultilevel"/>
    <w:tmpl w:val="097AD7D2"/>
    <w:lvl w:ilvl="0" w:tplc="0B203548">
      <w:start w:val="1"/>
      <w:numFmt w:val="bullet"/>
      <w:lvlText w:val="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035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C4E13"/>
    <w:multiLevelType w:val="hybridMultilevel"/>
    <w:tmpl w:val="FF921978"/>
    <w:lvl w:ilvl="0" w:tplc="0B203548">
      <w:start w:val="1"/>
      <w:numFmt w:val="bullet"/>
      <w:lvlText w:val=""/>
      <w:lvlJc w:val="left"/>
      <w:pPr>
        <w:ind w:left="2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22" w15:restartNumberingAfterBreak="0">
    <w:nsid w:val="646F3088"/>
    <w:multiLevelType w:val="hybridMultilevel"/>
    <w:tmpl w:val="2E4C6E02"/>
    <w:lvl w:ilvl="0" w:tplc="095AFB7A">
      <w:start w:val="30"/>
      <w:numFmt w:val="decimal"/>
      <w:lvlText w:val="%1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23" w15:restartNumberingAfterBreak="0">
    <w:nsid w:val="65286908"/>
    <w:multiLevelType w:val="hybridMultilevel"/>
    <w:tmpl w:val="7812E2D0"/>
    <w:lvl w:ilvl="0" w:tplc="B5BEAD6C">
      <w:start w:val="32"/>
      <w:numFmt w:val="decimal"/>
      <w:lvlText w:val="%1"/>
      <w:lvlJc w:val="left"/>
      <w:pPr>
        <w:tabs>
          <w:tab w:val="num" w:pos="1710"/>
        </w:tabs>
        <w:ind w:left="1710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F3CBA"/>
    <w:multiLevelType w:val="hybridMultilevel"/>
    <w:tmpl w:val="23607A4E"/>
    <w:lvl w:ilvl="0" w:tplc="B3F0AA6A">
      <w:start w:val="3"/>
      <w:numFmt w:val="upperLetter"/>
      <w:lvlText w:val="%1."/>
      <w:lvlJc w:val="left"/>
      <w:pPr>
        <w:tabs>
          <w:tab w:val="num" w:pos="1128"/>
        </w:tabs>
        <w:ind w:left="1128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63949"/>
    <w:multiLevelType w:val="hybridMultilevel"/>
    <w:tmpl w:val="3E2C941A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0"/>
  </w:num>
  <w:num w:numId="14">
    <w:abstractNumId w:val="13"/>
  </w:num>
  <w:num w:numId="15">
    <w:abstractNumId w:val="19"/>
  </w:num>
  <w:num w:numId="16">
    <w:abstractNumId w:val="14"/>
  </w:num>
  <w:num w:numId="17">
    <w:abstractNumId w:val="24"/>
  </w:num>
  <w:num w:numId="18">
    <w:abstractNumId w:val="26"/>
  </w:num>
  <w:num w:numId="19">
    <w:abstractNumId w:val="23"/>
  </w:num>
  <w:num w:numId="20">
    <w:abstractNumId w:val="22"/>
  </w:num>
  <w:num w:numId="21">
    <w:abstractNumId w:val="25"/>
  </w:num>
  <w:num w:numId="22">
    <w:abstractNumId w:val="11"/>
  </w:num>
  <w:num w:numId="23">
    <w:abstractNumId w:val="16"/>
  </w:num>
  <w:num w:numId="24">
    <w:abstractNumId w:val="12"/>
  </w:num>
  <w:num w:numId="25">
    <w:abstractNumId w:val="20"/>
  </w:num>
  <w:num w:numId="26">
    <w:abstractNumId w:val="17"/>
  </w:num>
  <w:num w:numId="27">
    <w:abstractNumId w:val="21"/>
  </w:num>
  <w:num w:numId="28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F6"/>
    <w:rsid w:val="00000F83"/>
    <w:rsid w:val="00002A7D"/>
    <w:rsid w:val="00002AEA"/>
    <w:rsid w:val="000038A8"/>
    <w:rsid w:val="00006790"/>
    <w:rsid w:val="00007C7F"/>
    <w:rsid w:val="00020657"/>
    <w:rsid w:val="00027624"/>
    <w:rsid w:val="00050F6B"/>
    <w:rsid w:val="000553A0"/>
    <w:rsid w:val="000673BF"/>
    <w:rsid w:val="000678CD"/>
    <w:rsid w:val="00072C8C"/>
    <w:rsid w:val="000744C5"/>
    <w:rsid w:val="00081CE0"/>
    <w:rsid w:val="00084410"/>
    <w:rsid w:val="00084D30"/>
    <w:rsid w:val="00090320"/>
    <w:rsid w:val="000931C0"/>
    <w:rsid w:val="000A2E09"/>
    <w:rsid w:val="000A4C6A"/>
    <w:rsid w:val="000A4D1E"/>
    <w:rsid w:val="000A7E5F"/>
    <w:rsid w:val="000B0F92"/>
    <w:rsid w:val="000B1267"/>
    <w:rsid w:val="000B175B"/>
    <w:rsid w:val="000B3A0F"/>
    <w:rsid w:val="000C3ED2"/>
    <w:rsid w:val="000C63A1"/>
    <w:rsid w:val="000D0869"/>
    <w:rsid w:val="000D27C4"/>
    <w:rsid w:val="000E0415"/>
    <w:rsid w:val="000F7715"/>
    <w:rsid w:val="00110B5F"/>
    <w:rsid w:val="001153A7"/>
    <w:rsid w:val="00121CDC"/>
    <w:rsid w:val="00130BA6"/>
    <w:rsid w:val="00135C45"/>
    <w:rsid w:val="00140577"/>
    <w:rsid w:val="00140E3F"/>
    <w:rsid w:val="00145592"/>
    <w:rsid w:val="00154386"/>
    <w:rsid w:val="00156B99"/>
    <w:rsid w:val="0016589C"/>
    <w:rsid w:val="00166124"/>
    <w:rsid w:val="00167F01"/>
    <w:rsid w:val="001730E7"/>
    <w:rsid w:val="001805A6"/>
    <w:rsid w:val="00184DDA"/>
    <w:rsid w:val="001900CD"/>
    <w:rsid w:val="00192059"/>
    <w:rsid w:val="00193D42"/>
    <w:rsid w:val="00197CD3"/>
    <w:rsid w:val="001A0452"/>
    <w:rsid w:val="001B4B04"/>
    <w:rsid w:val="001B5875"/>
    <w:rsid w:val="001C4B9C"/>
    <w:rsid w:val="001C5063"/>
    <w:rsid w:val="001C6663"/>
    <w:rsid w:val="001C7895"/>
    <w:rsid w:val="001D26DF"/>
    <w:rsid w:val="001E48E5"/>
    <w:rsid w:val="001E6163"/>
    <w:rsid w:val="001F1599"/>
    <w:rsid w:val="001F19C4"/>
    <w:rsid w:val="001F7A61"/>
    <w:rsid w:val="00200518"/>
    <w:rsid w:val="002043F0"/>
    <w:rsid w:val="00207DC1"/>
    <w:rsid w:val="00210E36"/>
    <w:rsid w:val="00211E0B"/>
    <w:rsid w:val="00227287"/>
    <w:rsid w:val="00232575"/>
    <w:rsid w:val="002376CD"/>
    <w:rsid w:val="00241893"/>
    <w:rsid w:val="002418F3"/>
    <w:rsid w:val="00247258"/>
    <w:rsid w:val="00256AEC"/>
    <w:rsid w:val="00257CAC"/>
    <w:rsid w:val="00261A06"/>
    <w:rsid w:val="002657D9"/>
    <w:rsid w:val="002701AC"/>
    <w:rsid w:val="002710C2"/>
    <w:rsid w:val="0027237A"/>
    <w:rsid w:val="00290BDE"/>
    <w:rsid w:val="002974E9"/>
    <w:rsid w:val="002A2FFB"/>
    <w:rsid w:val="002A7F94"/>
    <w:rsid w:val="002B109A"/>
    <w:rsid w:val="002B4398"/>
    <w:rsid w:val="002C6D45"/>
    <w:rsid w:val="002C77C4"/>
    <w:rsid w:val="002D6E53"/>
    <w:rsid w:val="002F046D"/>
    <w:rsid w:val="002F1BA3"/>
    <w:rsid w:val="002F737C"/>
    <w:rsid w:val="00301764"/>
    <w:rsid w:val="00305DFC"/>
    <w:rsid w:val="00307742"/>
    <w:rsid w:val="00312BF5"/>
    <w:rsid w:val="00320127"/>
    <w:rsid w:val="00320E7A"/>
    <w:rsid w:val="003229D8"/>
    <w:rsid w:val="0033635F"/>
    <w:rsid w:val="00336C97"/>
    <w:rsid w:val="00337F88"/>
    <w:rsid w:val="00342432"/>
    <w:rsid w:val="00346552"/>
    <w:rsid w:val="003473A7"/>
    <w:rsid w:val="00351929"/>
    <w:rsid w:val="0035223F"/>
    <w:rsid w:val="00352D4B"/>
    <w:rsid w:val="0035638C"/>
    <w:rsid w:val="00376250"/>
    <w:rsid w:val="00381625"/>
    <w:rsid w:val="0038354C"/>
    <w:rsid w:val="00386139"/>
    <w:rsid w:val="00386FBA"/>
    <w:rsid w:val="00391842"/>
    <w:rsid w:val="003A1088"/>
    <w:rsid w:val="003A46BB"/>
    <w:rsid w:val="003A4B92"/>
    <w:rsid w:val="003A4EC7"/>
    <w:rsid w:val="003A7295"/>
    <w:rsid w:val="003B1F60"/>
    <w:rsid w:val="003B55D2"/>
    <w:rsid w:val="003C2CC4"/>
    <w:rsid w:val="003D4B23"/>
    <w:rsid w:val="003E23B8"/>
    <w:rsid w:val="003E278A"/>
    <w:rsid w:val="003E377A"/>
    <w:rsid w:val="003E3995"/>
    <w:rsid w:val="003E7FDF"/>
    <w:rsid w:val="003F30CF"/>
    <w:rsid w:val="003F5F39"/>
    <w:rsid w:val="004120D0"/>
    <w:rsid w:val="00413520"/>
    <w:rsid w:val="00415664"/>
    <w:rsid w:val="0042010E"/>
    <w:rsid w:val="00420269"/>
    <w:rsid w:val="00424ED4"/>
    <w:rsid w:val="0042632B"/>
    <w:rsid w:val="004325CB"/>
    <w:rsid w:val="004363F7"/>
    <w:rsid w:val="00440A07"/>
    <w:rsid w:val="00444530"/>
    <w:rsid w:val="0044607E"/>
    <w:rsid w:val="00450CE8"/>
    <w:rsid w:val="004535EB"/>
    <w:rsid w:val="00462880"/>
    <w:rsid w:val="00463AB1"/>
    <w:rsid w:val="00467EBC"/>
    <w:rsid w:val="00471229"/>
    <w:rsid w:val="00476641"/>
    <w:rsid w:val="00476F24"/>
    <w:rsid w:val="00496FF6"/>
    <w:rsid w:val="004A4F05"/>
    <w:rsid w:val="004B1438"/>
    <w:rsid w:val="004C0130"/>
    <w:rsid w:val="004C55B0"/>
    <w:rsid w:val="004D41FC"/>
    <w:rsid w:val="004F0546"/>
    <w:rsid w:val="004F1E1E"/>
    <w:rsid w:val="004F6B66"/>
    <w:rsid w:val="004F6BA0"/>
    <w:rsid w:val="00503BEA"/>
    <w:rsid w:val="00511975"/>
    <w:rsid w:val="00512A14"/>
    <w:rsid w:val="005152FB"/>
    <w:rsid w:val="00515316"/>
    <w:rsid w:val="00524854"/>
    <w:rsid w:val="0053132B"/>
    <w:rsid w:val="0053344A"/>
    <w:rsid w:val="00533616"/>
    <w:rsid w:val="00535ABA"/>
    <w:rsid w:val="0053768B"/>
    <w:rsid w:val="0054108E"/>
    <w:rsid w:val="0054117B"/>
    <w:rsid w:val="005420F2"/>
    <w:rsid w:val="0054285C"/>
    <w:rsid w:val="00556AA5"/>
    <w:rsid w:val="00563289"/>
    <w:rsid w:val="00564174"/>
    <w:rsid w:val="00565F4A"/>
    <w:rsid w:val="005674C5"/>
    <w:rsid w:val="00571D23"/>
    <w:rsid w:val="00584173"/>
    <w:rsid w:val="00595520"/>
    <w:rsid w:val="005A24B9"/>
    <w:rsid w:val="005A44B9"/>
    <w:rsid w:val="005B1BA0"/>
    <w:rsid w:val="005B270E"/>
    <w:rsid w:val="005B2DEA"/>
    <w:rsid w:val="005B3DB3"/>
    <w:rsid w:val="005B5D8B"/>
    <w:rsid w:val="005C35A5"/>
    <w:rsid w:val="005D15CA"/>
    <w:rsid w:val="005E6721"/>
    <w:rsid w:val="005F0C2C"/>
    <w:rsid w:val="005F3066"/>
    <w:rsid w:val="005F3E61"/>
    <w:rsid w:val="005F6728"/>
    <w:rsid w:val="00600976"/>
    <w:rsid w:val="00604DDD"/>
    <w:rsid w:val="006115CC"/>
    <w:rsid w:val="00611FC4"/>
    <w:rsid w:val="006176FB"/>
    <w:rsid w:val="00627063"/>
    <w:rsid w:val="00627742"/>
    <w:rsid w:val="00630FCB"/>
    <w:rsid w:val="00631161"/>
    <w:rsid w:val="00631DB9"/>
    <w:rsid w:val="00637BA7"/>
    <w:rsid w:val="00640B26"/>
    <w:rsid w:val="006461BE"/>
    <w:rsid w:val="006547E2"/>
    <w:rsid w:val="0065774B"/>
    <w:rsid w:val="006736BB"/>
    <w:rsid w:val="0067422F"/>
    <w:rsid w:val="006770B2"/>
    <w:rsid w:val="00680E9D"/>
    <w:rsid w:val="00691EB2"/>
    <w:rsid w:val="006933C9"/>
    <w:rsid w:val="006940E1"/>
    <w:rsid w:val="006A3C72"/>
    <w:rsid w:val="006A5E8F"/>
    <w:rsid w:val="006A6657"/>
    <w:rsid w:val="006A7392"/>
    <w:rsid w:val="006B03A1"/>
    <w:rsid w:val="006B11B0"/>
    <w:rsid w:val="006B67D9"/>
    <w:rsid w:val="006C0BDF"/>
    <w:rsid w:val="006C3ABA"/>
    <w:rsid w:val="006C3AEC"/>
    <w:rsid w:val="006C5535"/>
    <w:rsid w:val="006D0589"/>
    <w:rsid w:val="006D7180"/>
    <w:rsid w:val="006E42D0"/>
    <w:rsid w:val="006E564B"/>
    <w:rsid w:val="006E7154"/>
    <w:rsid w:val="006F1EB2"/>
    <w:rsid w:val="006F3432"/>
    <w:rsid w:val="006F4260"/>
    <w:rsid w:val="006F7762"/>
    <w:rsid w:val="007003CD"/>
    <w:rsid w:val="0070504F"/>
    <w:rsid w:val="0070701E"/>
    <w:rsid w:val="007109BA"/>
    <w:rsid w:val="00710B16"/>
    <w:rsid w:val="00710BF1"/>
    <w:rsid w:val="00713153"/>
    <w:rsid w:val="0071487C"/>
    <w:rsid w:val="0072632A"/>
    <w:rsid w:val="00730C47"/>
    <w:rsid w:val="00733140"/>
    <w:rsid w:val="007338E1"/>
    <w:rsid w:val="007358E8"/>
    <w:rsid w:val="00736ECE"/>
    <w:rsid w:val="00737561"/>
    <w:rsid w:val="0074533B"/>
    <w:rsid w:val="00746CEC"/>
    <w:rsid w:val="00757BAF"/>
    <w:rsid w:val="007643BC"/>
    <w:rsid w:val="00766885"/>
    <w:rsid w:val="00767F14"/>
    <w:rsid w:val="0077200F"/>
    <w:rsid w:val="007813A7"/>
    <w:rsid w:val="00784E6F"/>
    <w:rsid w:val="0079362F"/>
    <w:rsid w:val="007959FE"/>
    <w:rsid w:val="007A0CF1"/>
    <w:rsid w:val="007A6452"/>
    <w:rsid w:val="007B6BA5"/>
    <w:rsid w:val="007B7B8B"/>
    <w:rsid w:val="007C1F82"/>
    <w:rsid w:val="007C3390"/>
    <w:rsid w:val="007C42D8"/>
    <w:rsid w:val="007C4F4B"/>
    <w:rsid w:val="007C6833"/>
    <w:rsid w:val="007C6B35"/>
    <w:rsid w:val="007D1AAD"/>
    <w:rsid w:val="007D1C64"/>
    <w:rsid w:val="007D3DAB"/>
    <w:rsid w:val="007D7362"/>
    <w:rsid w:val="007E299B"/>
    <w:rsid w:val="007F5CE2"/>
    <w:rsid w:val="007F6611"/>
    <w:rsid w:val="00805448"/>
    <w:rsid w:val="00806242"/>
    <w:rsid w:val="00810BAC"/>
    <w:rsid w:val="008117A2"/>
    <w:rsid w:val="00815AE2"/>
    <w:rsid w:val="008175E9"/>
    <w:rsid w:val="008242D7"/>
    <w:rsid w:val="008254C3"/>
    <w:rsid w:val="0082577B"/>
    <w:rsid w:val="00831CD5"/>
    <w:rsid w:val="00832334"/>
    <w:rsid w:val="00835358"/>
    <w:rsid w:val="00840EF1"/>
    <w:rsid w:val="008424D5"/>
    <w:rsid w:val="00852409"/>
    <w:rsid w:val="00860665"/>
    <w:rsid w:val="008660B6"/>
    <w:rsid w:val="0086622F"/>
    <w:rsid w:val="008667FB"/>
    <w:rsid w:val="00866893"/>
    <w:rsid w:val="00866F02"/>
    <w:rsid w:val="00867CCE"/>
    <w:rsid w:val="00867D18"/>
    <w:rsid w:val="00871F9A"/>
    <w:rsid w:val="00871FD5"/>
    <w:rsid w:val="0088172E"/>
    <w:rsid w:val="00881EFA"/>
    <w:rsid w:val="0088201D"/>
    <w:rsid w:val="0088409D"/>
    <w:rsid w:val="008879CB"/>
    <w:rsid w:val="00887FA0"/>
    <w:rsid w:val="008979B1"/>
    <w:rsid w:val="008A1128"/>
    <w:rsid w:val="008A4023"/>
    <w:rsid w:val="008A52D4"/>
    <w:rsid w:val="008A6B25"/>
    <w:rsid w:val="008A6C4F"/>
    <w:rsid w:val="008B389E"/>
    <w:rsid w:val="008B39D8"/>
    <w:rsid w:val="008B6B44"/>
    <w:rsid w:val="008C323E"/>
    <w:rsid w:val="008C72C3"/>
    <w:rsid w:val="008D045E"/>
    <w:rsid w:val="008D3F25"/>
    <w:rsid w:val="008D4645"/>
    <w:rsid w:val="008D4D82"/>
    <w:rsid w:val="008E0E46"/>
    <w:rsid w:val="008E7116"/>
    <w:rsid w:val="008F143B"/>
    <w:rsid w:val="008F2AF6"/>
    <w:rsid w:val="008F3882"/>
    <w:rsid w:val="008F4B7C"/>
    <w:rsid w:val="008F75D0"/>
    <w:rsid w:val="0090250A"/>
    <w:rsid w:val="0090323D"/>
    <w:rsid w:val="009139EE"/>
    <w:rsid w:val="00914CAA"/>
    <w:rsid w:val="009178F5"/>
    <w:rsid w:val="009237B2"/>
    <w:rsid w:val="00923DE9"/>
    <w:rsid w:val="009258F6"/>
    <w:rsid w:val="00926E47"/>
    <w:rsid w:val="00935ED0"/>
    <w:rsid w:val="00947162"/>
    <w:rsid w:val="009528C2"/>
    <w:rsid w:val="009610D0"/>
    <w:rsid w:val="0096375C"/>
    <w:rsid w:val="009637FC"/>
    <w:rsid w:val="009662E6"/>
    <w:rsid w:val="0097095E"/>
    <w:rsid w:val="00974841"/>
    <w:rsid w:val="00976B24"/>
    <w:rsid w:val="00984C61"/>
    <w:rsid w:val="0098592B"/>
    <w:rsid w:val="00985FC4"/>
    <w:rsid w:val="0098631C"/>
    <w:rsid w:val="00986BF1"/>
    <w:rsid w:val="00990766"/>
    <w:rsid w:val="00991261"/>
    <w:rsid w:val="009945CD"/>
    <w:rsid w:val="009964C4"/>
    <w:rsid w:val="009A060D"/>
    <w:rsid w:val="009A1572"/>
    <w:rsid w:val="009A3D84"/>
    <w:rsid w:val="009A7B81"/>
    <w:rsid w:val="009B0E76"/>
    <w:rsid w:val="009B120C"/>
    <w:rsid w:val="009B17BA"/>
    <w:rsid w:val="009C038A"/>
    <w:rsid w:val="009C0872"/>
    <w:rsid w:val="009C2B69"/>
    <w:rsid w:val="009C7416"/>
    <w:rsid w:val="009D01C0"/>
    <w:rsid w:val="009D348D"/>
    <w:rsid w:val="009D6A08"/>
    <w:rsid w:val="009D731E"/>
    <w:rsid w:val="009E0080"/>
    <w:rsid w:val="009E0A16"/>
    <w:rsid w:val="009E6CB7"/>
    <w:rsid w:val="009E7970"/>
    <w:rsid w:val="009F2EAC"/>
    <w:rsid w:val="009F57E3"/>
    <w:rsid w:val="00A00C9E"/>
    <w:rsid w:val="00A03783"/>
    <w:rsid w:val="00A07F70"/>
    <w:rsid w:val="00A104A2"/>
    <w:rsid w:val="00A10F4F"/>
    <w:rsid w:val="00A11067"/>
    <w:rsid w:val="00A1704A"/>
    <w:rsid w:val="00A3458A"/>
    <w:rsid w:val="00A34AAC"/>
    <w:rsid w:val="00A354BC"/>
    <w:rsid w:val="00A400F3"/>
    <w:rsid w:val="00A40CFE"/>
    <w:rsid w:val="00A425EB"/>
    <w:rsid w:val="00A436A6"/>
    <w:rsid w:val="00A46A37"/>
    <w:rsid w:val="00A53E25"/>
    <w:rsid w:val="00A66E3E"/>
    <w:rsid w:val="00A701A6"/>
    <w:rsid w:val="00A72F22"/>
    <w:rsid w:val="00A733BC"/>
    <w:rsid w:val="00A748A6"/>
    <w:rsid w:val="00A76A69"/>
    <w:rsid w:val="00A76EF7"/>
    <w:rsid w:val="00A85DFC"/>
    <w:rsid w:val="00A879A4"/>
    <w:rsid w:val="00A93765"/>
    <w:rsid w:val="00A94FD1"/>
    <w:rsid w:val="00AA0FF8"/>
    <w:rsid w:val="00AA7AD6"/>
    <w:rsid w:val="00AB1459"/>
    <w:rsid w:val="00AB14C8"/>
    <w:rsid w:val="00AC0F2C"/>
    <w:rsid w:val="00AC19F6"/>
    <w:rsid w:val="00AC502A"/>
    <w:rsid w:val="00AD2E7C"/>
    <w:rsid w:val="00AE074B"/>
    <w:rsid w:val="00AE2BE5"/>
    <w:rsid w:val="00AE7C39"/>
    <w:rsid w:val="00AF3F54"/>
    <w:rsid w:val="00AF58C1"/>
    <w:rsid w:val="00AF7DBE"/>
    <w:rsid w:val="00B005F6"/>
    <w:rsid w:val="00B043B1"/>
    <w:rsid w:val="00B04A3F"/>
    <w:rsid w:val="00B06643"/>
    <w:rsid w:val="00B06B20"/>
    <w:rsid w:val="00B07F37"/>
    <w:rsid w:val="00B15055"/>
    <w:rsid w:val="00B1623A"/>
    <w:rsid w:val="00B1624A"/>
    <w:rsid w:val="00B250A9"/>
    <w:rsid w:val="00B252D1"/>
    <w:rsid w:val="00B30179"/>
    <w:rsid w:val="00B3079E"/>
    <w:rsid w:val="00B32F07"/>
    <w:rsid w:val="00B356D8"/>
    <w:rsid w:val="00B37B15"/>
    <w:rsid w:val="00B37E89"/>
    <w:rsid w:val="00B437D1"/>
    <w:rsid w:val="00B45C02"/>
    <w:rsid w:val="00B62646"/>
    <w:rsid w:val="00B643DC"/>
    <w:rsid w:val="00B66053"/>
    <w:rsid w:val="00B72A1E"/>
    <w:rsid w:val="00B75A4F"/>
    <w:rsid w:val="00B75E10"/>
    <w:rsid w:val="00B76A6E"/>
    <w:rsid w:val="00B77CA9"/>
    <w:rsid w:val="00B81E12"/>
    <w:rsid w:val="00BA179B"/>
    <w:rsid w:val="00BA339B"/>
    <w:rsid w:val="00BC1293"/>
    <w:rsid w:val="00BC1E7E"/>
    <w:rsid w:val="00BC20EB"/>
    <w:rsid w:val="00BC74E9"/>
    <w:rsid w:val="00BE2694"/>
    <w:rsid w:val="00BE36A9"/>
    <w:rsid w:val="00BE426F"/>
    <w:rsid w:val="00BE618E"/>
    <w:rsid w:val="00BE7BEC"/>
    <w:rsid w:val="00BF0A5A"/>
    <w:rsid w:val="00BF0E63"/>
    <w:rsid w:val="00BF12A3"/>
    <w:rsid w:val="00BF16D7"/>
    <w:rsid w:val="00BF2373"/>
    <w:rsid w:val="00BF5093"/>
    <w:rsid w:val="00BF70BB"/>
    <w:rsid w:val="00C0219E"/>
    <w:rsid w:val="00C03E1A"/>
    <w:rsid w:val="00C044E2"/>
    <w:rsid w:val="00C048CB"/>
    <w:rsid w:val="00C066F3"/>
    <w:rsid w:val="00C06E9F"/>
    <w:rsid w:val="00C16D00"/>
    <w:rsid w:val="00C205C0"/>
    <w:rsid w:val="00C34EF8"/>
    <w:rsid w:val="00C400BF"/>
    <w:rsid w:val="00C4076C"/>
    <w:rsid w:val="00C43CDC"/>
    <w:rsid w:val="00C463DD"/>
    <w:rsid w:val="00C519A6"/>
    <w:rsid w:val="00C745C3"/>
    <w:rsid w:val="00C875F3"/>
    <w:rsid w:val="00C9352B"/>
    <w:rsid w:val="00C95549"/>
    <w:rsid w:val="00CA24A4"/>
    <w:rsid w:val="00CA255F"/>
    <w:rsid w:val="00CA3A30"/>
    <w:rsid w:val="00CA4B83"/>
    <w:rsid w:val="00CB348D"/>
    <w:rsid w:val="00CD2446"/>
    <w:rsid w:val="00CD46F5"/>
    <w:rsid w:val="00CD7676"/>
    <w:rsid w:val="00CE2836"/>
    <w:rsid w:val="00CE46E0"/>
    <w:rsid w:val="00CE4A8F"/>
    <w:rsid w:val="00CE7C23"/>
    <w:rsid w:val="00CE7C4A"/>
    <w:rsid w:val="00CF071D"/>
    <w:rsid w:val="00CF574F"/>
    <w:rsid w:val="00D0034C"/>
    <w:rsid w:val="00D0253F"/>
    <w:rsid w:val="00D03F06"/>
    <w:rsid w:val="00D15B04"/>
    <w:rsid w:val="00D16996"/>
    <w:rsid w:val="00D2031B"/>
    <w:rsid w:val="00D25D67"/>
    <w:rsid w:val="00D25FE2"/>
    <w:rsid w:val="00D37DA9"/>
    <w:rsid w:val="00D40009"/>
    <w:rsid w:val="00D406A7"/>
    <w:rsid w:val="00D43252"/>
    <w:rsid w:val="00D44D86"/>
    <w:rsid w:val="00D475FE"/>
    <w:rsid w:val="00D50B7D"/>
    <w:rsid w:val="00D52012"/>
    <w:rsid w:val="00D52DB8"/>
    <w:rsid w:val="00D56234"/>
    <w:rsid w:val="00D565DF"/>
    <w:rsid w:val="00D608AB"/>
    <w:rsid w:val="00D61904"/>
    <w:rsid w:val="00D635DD"/>
    <w:rsid w:val="00D704E5"/>
    <w:rsid w:val="00D72727"/>
    <w:rsid w:val="00D76EB2"/>
    <w:rsid w:val="00D862F6"/>
    <w:rsid w:val="00D922B1"/>
    <w:rsid w:val="00D978C6"/>
    <w:rsid w:val="00DA0956"/>
    <w:rsid w:val="00DA357F"/>
    <w:rsid w:val="00DA3990"/>
    <w:rsid w:val="00DA3E12"/>
    <w:rsid w:val="00DB7BDC"/>
    <w:rsid w:val="00DC18AD"/>
    <w:rsid w:val="00DD5ED5"/>
    <w:rsid w:val="00DE4950"/>
    <w:rsid w:val="00DF07D1"/>
    <w:rsid w:val="00DF76AF"/>
    <w:rsid w:val="00DF7845"/>
    <w:rsid w:val="00DF7CAE"/>
    <w:rsid w:val="00E05B57"/>
    <w:rsid w:val="00E136FC"/>
    <w:rsid w:val="00E14EB2"/>
    <w:rsid w:val="00E22E6C"/>
    <w:rsid w:val="00E30501"/>
    <w:rsid w:val="00E360E9"/>
    <w:rsid w:val="00E423C0"/>
    <w:rsid w:val="00E42C73"/>
    <w:rsid w:val="00E6414C"/>
    <w:rsid w:val="00E7260F"/>
    <w:rsid w:val="00E7715E"/>
    <w:rsid w:val="00E8702D"/>
    <w:rsid w:val="00E87E5A"/>
    <w:rsid w:val="00E916A9"/>
    <w:rsid w:val="00E916DE"/>
    <w:rsid w:val="00E91A1C"/>
    <w:rsid w:val="00E925AD"/>
    <w:rsid w:val="00E96630"/>
    <w:rsid w:val="00EA783F"/>
    <w:rsid w:val="00EB170F"/>
    <w:rsid w:val="00EB3EDF"/>
    <w:rsid w:val="00EB6AD7"/>
    <w:rsid w:val="00ED18DC"/>
    <w:rsid w:val="00ED53E6"/>
    <w:rsid w:val="00ED6201"/>
    <w:rsid w:val="00ED7A2A"/>
    <w:rsid w:val="00EF1D7F"/>
    <w:rsid w:val="00F0137E"/>
    <w:rsid w:val="00F047F6"/>
    <w:rsid w:val="00F10FC2"/>
    <w:rsid w:val="00F16832"/>
    <w:rsid w:val="00F21786"/>
    <w:rsid w:val="00F22048"/>
    <w:rsid w:val="00F34C31"/>
    <w:rsid w:val="00F3742B"/>
    <w:rsid w:val="00F408C6"/>
    <w:rsid w:val="00F41FDB"/>
    <w:rsid w:val="00F47418"/>
    <w:rsid w:val="00F507EC"/>
    <w:rsid w:val="00F50AC4"/>
    <w:rsid w:val="00F53C8D"/>
    <w:rsid w:val="00F56D63"/>
    <w:rsid w:val="00F609A9"/>
    <w:rsid w:val="00F61222"/>
    <w:rsid w:val="00F70B34"/>
    <w:rsid w:val="00F7785A"/>
    <w:rsid w:val="00F80C99"/>
    <w:rsid w:val="00F82A88"/>
    <w:rsid w:val="00F867EC"/>
    <w:rsid w:val="00F91B2B"/>
    <w:rsid w:val="00F96DBC"/>
    <w:rsid w:val="00F97FBE"/>
    <w:rsid w:val="00FA2A90"/>
    <w:rsid w:val="00FB1A8E"/>
    <w:rsid w:val="00FC03CD"/>
    <w:rsid w:val="00FC0646"/>
    <w:rsid w:val="00FC2E7B"/>
    <w:rsid w:val="00FC68B7"/>
    <w:rsid w:val="00FD07B5"/>
    <w:rsid w:val="00FD58C5"/>
    <w:rsid w:val="00FD59EB"/>
    <w:rsid w:val="00FE03B2"/>
    <w:rsid w:val="00FE630A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1D8228"/>
  <w15:docId w15:val="{211FF279-77EC-48BA-865F-1AE1F743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90441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41F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41F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41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41F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41F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41F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41F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41F"/>
    <w:rPr>
      <w:rFonts w:asciiTheme="majorHAnsi" w:eastAsiaTheme="majorEastAsia" w:hAnsiTheme="majorHAnsi" w:cstheme="majorBidi"/>
      <w:lang w:val="en-GB" w:eastAsia="en-US"/>
    </w:rPr>
  </w:style>
  <w:style w:type="paragraph" w:customStyle="1" w:styleId="SingleTxtG">
    <w:name w:val="_ Single Txt_G"/>
    <w:basedOn w:val="Normal"/>
    <w:uiPriority w:val="99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uiPriority w:val="99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uiPriority w:val="99"/>
    <w:rsid w:val="00E925AD"/>
    <w:rPr>
      <w:rFonts w:ascii="Times New Roman" w:hAnsi="Times New Roman" w:cs="Times New Roman"/>
      <w:b/>
      <w:sz w:val="18"/>
    </w:rPr>
  </w:style>
  <w:style w:type="paragraph" w:customStyle="1" w:styleId="SMG">
    <w:name w:val="__S_M_G"/>
    <w:basedOn w:val="Normal"/>
    <w:next w:val="Normal"/>
    <w:uiPriority w:val="99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uiPriority w:val="99"/>
    <w:rsid w:val="00E925AD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uiPriority w:val="99"/>
    <w:rsid w:val="00E925AD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rsid w:val="0090441F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E925AD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90441F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semiHidden/>
    <w:rsid w:val="00E925AD"/>
    <w:rPr>
      <w:rFonts w:cs="Times New Roman"/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E925AD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90441F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90441F"/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semiHidden/>
    <w:rsid w:val="00E925AD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E925AD"/>
    <w:rPr>
      <w:rFonts w:cs="Times New Roman"/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rsid w:val="00B75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5A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41F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5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41F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5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1F"/>
    <w:rPr>
      <w:sz w:val="0"/>
      <w:szCs w:val="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70B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441F"/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rsid w:val="000A7E5F"/>
    <w:pPr>
      <w:suppressAutoHyphens w:val="0"/>
      <w:spacing w:before="100" w:beforeAutospacing="1" w:after="100" w:afterAutospacing="1" w:line="240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styleId="ListParagraph">
    <w:name w:val="List Paragraph"/>
    <w:basedOn w:val="Normal"/>
    <w:uiPriority w:val="99"/>
    <w:qFormat/>
    <w:rsid w:val="00140577"/>
    <w:pPr>
      <w:ind w:left="720"/>
      <w:contextualSpacing/>
    </w:pPr>
  </w:style>
  <w:style w:type="paragraph" w:styleId="Revision">
    <w:name w:val="Revision"/>
    <w:hidden/>
    <w:uiPriority w:val="99"/>
    <w:semiHidden/>
    <w:rsid w:val="006C3AEC"/>
    <w:rPr>
      <w:sz w:val="20"/>
      <w:szCs w:val="20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rsid w:val="009237B2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914CAA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0E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0E9D"/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nvoisin\AppData\Local\Microsoft\Windows\INetCache\Content.Outlook\NO7HPULT\www.unece.org\fileadmin\DAM\env\documents\2017\ece\cep\ece.cep.2017.2.e.pdf" TargetMode="External"/><Relationship Id="rId13" Type="http://schemas.openxmlformats.org/officeDocument/2006/relationships/hyperlink" Target="file:///C:\Users\bonvoisin\AppData\Local\Microsoft\Windows\INetCache\Content.Outlook\NO7HPULT\www.unece.org\fileadmin\DAM\env\documents\2015\ece\cep\ece.cep.2015.2.e.pdf" TargetMode="External"/><Relationship Id="rId18" Type="http://schemas.openxmlformats.org/officeDocument/2006/relationships/hyperlink" Target="file:///C:\Users\bonvoisin\AppData\Local\Microsoft\Windows\INetCache\Content.Outlook\NO7HPULT\www.unece.org\fileadmin\DAM\env\documents\2015\ece\cep\ece.cep.2015.11.e.pdf" TargetMode="External"/><Relationship Id="rId26" Type="http://schemas.openxmlformats.org/officeDocument/2006/relationships/hyperlink" Target="file:///C:\Users\bonvoisin\AppData\Local\Microsoft\Windows\INetCache\Content.Outlook\NO7HPULT\www.unece.org\fileadmin\DAM\env\documents\2013\ece\cep\ece.cep.2013.2.e.pd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bonvoisin\AppData\Local\Microsoft\Windows\INetCache\Content.Outlook\NO7HPULT\www.unece.org\fileadmin\DAM\env\documents\2014\ece\ece.ex.11.e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bonvoisin\AppData\Local\Microsoft\Windows\INetCache\Content.Outlook\NO7HPULT\www.unece.org\fileadmin\DAM\env\documents\2016\ece\cep\ece.cep.s.2016.L.9.e.pdf" TargetMode="External"/><Relationship Id="rId17" Type="http://schemas.openxmlformats.org/officeDocument/2006/relationships/hyperlink" Target="file:///C:\Users\bonvoisin\AppData\Local\Microsoft\Windows\INetCache\Content.Outlook\NO7HPULT\www.unece.org\fileadmin\DAM\env\documents\2015\ece\cep\ece.cep.2015.10.e.pdf" TargetMode="External"/><Relationship Id="rId25" Type="http://schemas.openxmlformats.org/officeDocument/2006/relationships/hyperlink" Target="file:///C:\Users\bonvoisin\AppData\Local\Microsoft\Windows\INetCache\Content.Outlook\NO7HPULT\www.unece.org\fileadmin\DAM\env\documents\2013\ece\cep\ece.cep.2013.23.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bonvoisin\AppData\Local\Microsoft\Windows\INetCache\Content.Outlook\NO7HPULT\(www.unece.org\fileadmin\DAM\env\documents\2015\ece\cep\ece.cep.2015.9.e.pdf" TargetMode="External"/><Relationship Id="rId20" Type="http://schemas.openxmlformats.org/officeDocument/2006/relationships/hyperlink" Target="file:///C:\Users\bonvoisin\AppData\Local\Microsoft\Windows\INetCache\Content.Outlook\NO7HPULT\www.unece.org\fileadmin\DAM\env\documents\2014\ece\cep\ece.cep.2014.7.e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onvoisin\AppData\Local\Microsoft\Windows\INetCache\Content.Outlook\NO7HPULT\www.unece.org\fileadmin\DAM\env\documents\2016\ece\ece.batumi.conf.2016.8.e.pdf" TargetMode="External"/><Relationship Id="rId24" Type="http://schemas.openxmlformats.org/officeDocument/2006/relationships/hyperlink" Target="file:///C:\Users\bonvoisin\AppData\Local\Microsoft\Windows\INetCache\Content.Outlook\NO7HPULT\www.unece.org\fileadmin\DAM\env\documents\2013\ece\cep\ece.cep.2013.13.e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bonvoisin\AppData\Local\Microsoft\Windows\INetCache\Content.Outlook\NO7HPULT\www.unece.org\fileadmin\DAM\env\cep\CEP-21\ppt\WGEMA_JTFEI_ToR_CEP-21_e.pdf" TargetMode="External"/><Relationship Id="rId23" Type="http://schemas.openxmlformats.org/officeDocument/2006/relationships/hyperlink" Target="file:///C:\Users\bonvoisin\AppData\Local\Microsoft\Windows\INetCache\Content.Outlook\NO7HPULT\www.unece.org\fileadmin\DAM\env\documents\2013\ece\cep\ece.cep.2013.15.e.pdf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Users\bonvoisin\AppData\Local\Microsoft\Windows\INetCache\Content.Outlook\NO7HPULT\www.unece.org\fileadmin\DAM\env\documents\2016\ece\ece.batumi.conf.2016.2.add.3.e.pdf" TargetMode="External"/><Relationship Id="rId19" Type="http://schemas.openxmlformats.org/officeDocument/2006/relationships/hyperlink" Target="file:///C:\Users\bonvoisin\AppData\Local\Microsoft\Windows\INetCache\Content.Outlook\NO7HPULT\www.unece.org\fileadmin\DAM\env\documents\2014\ece\cep\ece.cep.2014.8.e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bonvoisin\AppData\Local\Microsoft\Windows\INetCache\Content.Outlook\NO7HPULT\www.unece.org\fileadmin\DAM\env\documents\2016\ece\ece.batumi.conf.2016.2.add.1.e.pdf" TargetMode="External"/><Relationship Id="rId14" Type="http://schemas.openxmlformats.org/officeDocument/2006/relationships/hyperlink" Target="file:///C:\Users\bonvoisin\AppData\Local\Microsoft\Windows\INetCache\Content.Outlook\NO7HPULT\www.unece.org\fileadmin\DAM\env\documents\2015\ece\cep\ece.cep.2015.12.e.pdf" TargetMode="External"/><Relationship Id="rId22" Type="http://schemas.openxmlformats.org/officeDocument/2006/relationships/hyperlink" Target="file:///C:\Users\bonvoisin\AppData\Local\Microsoft\Windows\INetCache\Content.Outlook\NO7HPULT\www.unece.org\fileadmin\DAM\env\documents\2013\ece\cep\ece.cep.2013.18.e.pdf" TargetMode="External"/><Relationship Id="rId27" Type="http://schemas.openxmlformats.org/officeDocument/2006/relationships/hyperlink" Target="file:///C:\Users\bonvoisin\AppData\Local\Microsoft\Windows\INetCache\Content.Outlook\NO7HPULT\www.unece.org\fileadmin\DAM\env\documents\2011\ece\ece.astana.conf.2011.2.add.1.e.pdf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voisin\AppData\Roaming\Microsoft\Templates\CP\TEIA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1682A1-427C-4FFF-B8E0-457C6780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TEIA_E</Template>
  <TotalTime>3504</TotalTime>
  <Pages>13</Pages>
  <Words>3593</Words>
  <Characters>30010</Characters>
  <Application>Microsoft Office Word</Application>
  <DocSecurity>0</DocSecurity>
  <Lines>250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Nicholas Bonvoisin</dc:creator>
  <cp:keywords/>
  <dc:description/>
  <cp:lastModifiedBy>Nicholas Bonvoisin</cp:lastModifiedBy>
  <cp:revision>141</cp:revision>
  <cp:lastPrinted>2018-07-13T14:27:00Z</cp:lastPrinted>
  <dcterms:created xsi:type="dcterms:W3CDTF">2018-07-20T14:33:00Z</dcterms:created>
  <dcterms:modified xsi:type="dcterms:W3CDTF">2019-01-25T13:45:00Z</dcterms:modified>
</cp:coreProperties>
</file>