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0045" w14:textId="77777777" w:rsidR="00EB18E7" w:rsidRDefault="00EB18E7" w:rsidP="00EB18E7">
      <w:pPr>
        <w:spacing w:before="120"/>
        <w:rPr>
          <w:b/>
          <w:bCs/>
          <w:sz w:val="28"/>
          <w:szCs w:val="28"/>
          <w:lang w:val="en-US" w:eastAsia="zh-CN"/>
        </w:rPr>
      </w:pPr>
      <w:r>
        <w:rPr>
          <w:b/>
          <w:bCs/>
          <w:sz w:val="28"/>
          <w:szCs w:val="28"/>
          <w:lang w:val="en-US"/>
        </w:rPr>
        <w:t>Economic Commission for Europe</w:t>
      </w:r>
    </w:p>
    <w:p w14:paraId="5BCD0FDC" w14:textId="77777777" w:rsidR="00EB18E7" w:rsidRDefault="00EB18E7" w:rsidP="00EB18E7">
      <w:pPr>
        <w:spacing w:before="120"/>
        <w:rPr>
          <w:sz w:val="28"/>
          <w:szCs w:val="28"/>
          <w:lang w:val="en-US"/>
        </w:rPr>
      </w:pPr>
      <w:r>
        <w:rPr>
          <w:sz w:val="28"/>
          <w:szCs w:val="28"/>
          <w:lang w:val="en-US"/>
        </w:rPr>
        <w:t>Committee on Environmental Policy</w:t>
      </w:r>
    </w:p>
    <w:p w14:paraId="64E65EFC" w14:textId="77777777" w:rsidR="00EB18E7" w:rsidRDefault="00EB18E7" w:rsidP="00EB18E7">
      <w:pPr>
        <w:keepNext/>
        <w:spacing w:before="120"/>
        <w:rPr>
          <w:b/>
          <w:bCs/>
          <w:lang w:val="en-US"/>
        </w:rPr>
      </w:pPr>
      <w:r>
        <w:rPr>
          <w:b/>
          <w:bCs/>
          <w:lang w:val="en-US"/>
        </w:rPr>
        <w:t>Twenty-fourth session</w:t>
      </w:r>
    </w:p>
    <w:p w14:paraId="74D6D13F" w14:textId="06FE95DE" w:rsidR="00EB18E7" w:rsidRDefault="00EB18E7" w:rsidP="00EB18E7">
      <w:pPr>
        <w:keepNext/>
        <w:rPr>
          <w:sz w:val="22"/>
          <w:szCs w:val="22"/>
          <w:lang w:val="en-US"/>
        </w:rPr>
      </w:pPr>
      <w:r>
        <w:rPr>
          <w:lang w:val="en-US"/>
        </w:rPr>
        <w:t>Geneva, 29–31 January 2019</w:t>
      </w:r>
    </w:p>
    <w:p w14:paraId="702646B5" w14:textId="77777777" w:rsidR="00EB18E7" w:rsidRDefault="00EB18E7" w:rsidP="00EB18E7">
      <w:pPr>
        <w:keepNext/>
        <w:rPr>
          <w:lang w:val="en-US"/>
        </w:rPr>
      </w:pPr>
      <w:r>
        <w:rPr>
          <w:lang w:val="en-US"/>
        </w:rPr>
        <w:t>Item 5 of the provisional agenda</w:t>
      </w:r>
    </w:p>
    <w:p w14:paraId="07739275" w14:textId="77777777" w:rsidR="00EB18E7" w:rsidRDefault="00EB18E7" w:rsidP="00EB18E7">
      <w:pPr>
        <w:pStyle w:val="Heading2"/>
        <w:keepNext/>
        <w:spacing w:after="240"/>
        <w:ind w:right="3600"/>
        <w:rPr>
          <w:sz w:val="22"/>
          <w:szCs w:val="22"/>
        </w:rPr>
      </w:pPr>
      <w:r>
        <w:rPr>
          <w:b/>
          <w:bCs/>
          <w:snapToGrid w:val="0"/>
          <w:sz w:val="22"/>
          <w:szCs w:val="22"/>
        </w:rPr>
        <w:t xml:space="preserve">Environmental monitoring, assessment and reporting </w:t>
      </w:r>
    </w:p>
    <w:p w14:paraId="77C639FD" w14:textId="2C41A682" w:rsidR="00EB18E7" w:rsidRDefault="00EB18E7" w:rsidP="00EB18E7">
      <w:pPr>
        <w:pStyle w:val="BodyText2"/>
        <w:keepNext/>
        <w:spacing w:after="0" w:line="240" w:lineRule="auto"/>
        <w:rPr>
          <w:sz w:val="22"/>
          <w:szCs w:val="22"/>
          <w:lang w:eastAsia="fr-FR"/>
        </w:rPr>
      </w:pPr>
      <w:r>
        <w:rPr>
          <w:sz w:val="22"/>
          <w:szCs w:val="22"/>
          <w:lang w:eastAsia="fr-FR"/>
        </w:rPr>
        <w:t>Information paper No. 12</w:t>
      </w:r>
    </w:p>
    <w:p w14:paraId="0AAB948D" w14:textId="2135CE06" w:rsidR="00EB18E7" w:rsidRDefault="00EB18E7" w:rsidP="00EB18E7">
      <w:pPr>
        <w:rPr>
          <w:sz w:val="22"/>
          <w:szCs w:val="22"/>
          <w:lang w:eastAsia="fr-FR"/>
        </w:rPr>
      </w:pPr>
      <w:r>
        <w:rPr>
          <w:lang w:val="en-US" w:eastAsia="fr-FR"/>
        </w:rPr>
        <w:t>18 December 2018</w:t>
      </w:r>
    </w:p>
    <w:p w14:paraId="223DC8D9" w14:textId="58E909E3" w:rsidR="000C0AB1" w:rsidRDefault="000C0AB1" w:rsidP="00D14C48">
      <w:pPr>
        <w:pStyle w:val="HChG"/>
        <w:keepNext w:val="0"/>
        <w:keepLines w:val="0"/>
        <w:widowControl w:val="0"/>
      </w:pPr>
      <w:r>
        <w:tab/>
      </w:r>
      <w:r>
        <w:tab/>
      </w:r>
      <w:bookmarkStart w:id="0" w:name="OLE_LINK1"/>
      <w:r w:rsidR="00EB18E7">
        <w:t>R</w:t>
      </w:r>
      <w:r w:rsidR="00693DE6">
        <w:t>evised o</w:t>
      </w:r>
      <w:r w:rsidRPr="00C72563">
        <w:t>utline of activities leading up to 2021</w:t>
      </w:r>
      <w:bookmarkEnd w:id="0"/>
    </w:p>
    <w:p w14:paraId="374EE5DA" w14:textId="53AF3490" w:rsidR="000C0AB1" w:rsidRDefault="000C0AB1" w:rsidP="00D14C48">
      <w:pPr>
        <w:pStyle w:val="H1G"/>
        <w:keepNext w:val="0"/>
        <w:keepLines w:val="0"/>
        <w:widowControl w:val="0"/>
      </w:pPr>
      <w:r>
        <w:tab/>
      </w:r>
      <w:r>
        <w:tab/>
      </w:r>
      <w:r w:rsidR="000520F8" w:rsidRPr="00F064A4">
        <w:t xml:space="preserve">Note by the </w:t>
      </w:r>
      <w:r w:rsidR="000520F8" w:rsidRPr="00026898">
        <w:t xml:space="preserve">Working Group on Environmental Monitoring </w:t>
      </w:r>
      <w:r w:rsidR="000520F8">
        <w:br/>
      </w:r>
      <w:r w:rsidR="000520F8" w:rsidRPr="00026898">
        <w:t>and Assessment</w:t>
      </w:r>
      <w:bookmarkStart w:id="1" w:name="_GoBack"/>
      <w:bookmarkEnd w:id="1"/>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C0AB1" w14:paraId="44A899CF" w14:textId="77777777" w:rsidTr="00061EFC">
        <w:trPr>
          <w:jc w:val="center"/>
        </w:trPr>
        <w:tc>
          <w:tcPr>
            <w:tcW w:w="9637" w:type="dxa"/>
            <w:shd w:val="clear" w:color="auto" w:fill="auto"/>
          </w:tcPr>
          <w:p w14:paraId="68D4BECC" w14:textId="77777777" w:rsidR="000C0AB1" w:rsidRPr="00BA6E45" w:rsidRDefault="000C0AB1" w:rsidP="00D14C48">
            <w:pPr>
              <w:widowControl w:val="0"/>
              <w:spacing w:before="240" w:after="120"/>
              <w:ind w:left="255"/>
              <w:rPr>
                <w:i/>
                <w:sz w:val="24"/>
              </w:rPr>
            </w:pPr>
            <w:r w:rsidRPr="00BA6E45">
              <w:rPr>
                <w:i/>
                <w:sz w:val="24"/>
              </w:rPr>
              <w:t>Summary</w:t>
            </w:r>
          </w:p>
        </w:tc>
      </w:tr>
      <w:tr w:rsidR="000C0AB1" w14:paraId="39D1AB64" w14:textId="77777777" w:rsidTr="00061EFC">
        <w:trPr>
          <w:jc w:val="center"/>
        </w:trPr>
        <w:tc>
          <w:tcPr>
            <w:tcW w:w="9637" w:type="dxa"/>
            <w:shd w:val="clear" w:color="auto" w:fill="auto"/>
          </w:tcPr>
          <w:p w14:paraId="13218427" w14:textId="4B6F0572" w:rsidR="000C0AB1" w:rsidRDefault="000C0AB1" w:rsidP="00173E18">
            <w:pPr>
              <w:pStyle w:val="SingleTxtG"/>
              <w:widowControl w:val="0"/>
              <w:ind w:firstLine="567"/>
            </w:pPr>
            <w:r>
              <w:t>At its twenty-second session (25</w:t>
            </w:r>
            <w:r w:rsidR="00244CEE">
              <w:t>–</w:t>
            </w:r>
            <w:r>
              <w:t xml:space="preserve">27 January 2017), the United Nations Economic Commission for Europe (ECE) Committee on Environmental Policy renewed the mandate and terms of reference of the Working Group on Environmental Monitoring and Assessment for </w:t>
            </w:r>
            <w:r w:rsidR="000A1C13">
              <w:t xml:space="preserve">a </w:t>
            </w:r>
            <w:r>
              <w:t>five</w:t>
            </w:r>
            <w:r w:rsidR="000A1C13">
              <w:t>-</w:t>
            </w:r>
            <w:r>
              <w:t>year</w:t>
            </w:r>
            <w:r w:rsidR="000A1C13">
              <w:t xml:space="preserve"> period</w:t>
            </w:r>
            <w:r w:rsidR="006F20B3">
              <w:t xml:space="preserve"> (</w:t>
            </w:r>
            <w:r>
              <w:t>2017</w:t>
            </w:r>
            <w:r w:rsidR="00244CEE">
              <w:t>–</w:t>
            </w:r>
            <w:r>
              <w:t>2021</w:t>
            </w:r>
            <w:r w:rsidR="006F20B3">
              <w:t>)</w:t>
            </w:r>
            <w:r w:rsidR="00F76AB5">
              <w:t xml:space="preserve"> (ECE/CEP/2017/2, annex II)</w:t>
            </w:r>
            <w:r>
              <w:t xml:space="preserve">. </w:t>
            </w:r>
            <w:r w:rsidR="003C2DC1">
              <w:t xml:space="preserve">The terms of reference require the </w:t>
            </w:r>
            <w:r w:rsidR="00F76AB5">
              <w:t xml:space="preserve">Working Group to </w:t>
            </w:r>
            <w:r w:rsidR="003C2DC1">
              <w:t>prepar</w:t>
            </w:r>
            <w:r w:rsidR="00F76AB5">
              <w:t>e</w:t>
            </w:r>
            <w:r w:rsidR="003C2DC1">
              <w:t xml:space="preserve"> </w:t>
            </w:r>
            <w:r w:rsidR="00250AF5" w:rsidRPr="00532CF5">
              <w:t>annual timetable</w:t>
            </w:r>
            <w:r w:rsidR="00250AF5">
              <w:t>s</w:t>
            </w:r>
            <w:r w:rsidR="00250AF5" w:rsidRPr="00532CF5">
              <w:t xml:space="preserve"> of </w:t>
            </w:r>
            <w:r w:rsidR="00F76AB5">
              <w:t xml:space="preserve">its </w:t>
            </w:r>
            <w:r w:rsidR="00250AF5" w:rsidRPr="00532CF5">
              <w:t>activities</w:t>
            </w:r>
            <w:r w:rsidR="00120D1D">
              <w:t xml:space="preserve">. In addition, the Committee requested </w:t>
            </w:r>
            <w:r w:rsidR="00122FAB" w:rsidRPr="00122FAB">
              <w:t xml:space="preserve">a more detailed outline of </w:t>
            </w:r>
            <w:r w:rsidR="00F76AB5">
              <w:t xml:space="preserve">its </w:t>
            </w:r>
            <w:r w:rsidR="00122FAB" w:rsidRPr="00122FAB">
              <w:t>activities leading up to 2021.</w:t>
            </w:r>
          </w:p>
          <w:p w14:paraId="6BBF3939" w14:textId="7D30B7C8" w:rsidR="00120D1D" w:rsidRDefault="00120D1D" w:rsidP="00173E18">
            <w:pPr>
              <w:pStyle w:val="SingleTxtG"/>
              <w:ind w:firstLine="567"/>
            </w:pPr>
            <w:r>
              <w:t>At its nineteenth session</w:t>
            </w:r>
            <w:r w:rsidR="0079034C">
              <w:t xml:space="preserve"> </w:t>
            </w:r>
            <w:r w:rsidR="00240D4E">
              <w:t>(27</w:t>
            </w:r>
            <w:r w:rsidR="00244CEE">
              <w:t>–</w:t>
            </w:r>
            <w:r w:rsidR="00240D4E">
              <w:t>28 June 2017)</w:t>
            </w:r>
            <w:r>
              <w:t>, the Working Group considered and approved a draft outline of its activities leading up to 2021 (ECE/CEP/AC.10/2017/4)</w:t>
            </w:r>
            <w:r w:rsidR="00817DB9">
              <w:t>. However</w:t>
            </w:r>
            <w:r>
              <w:t xml:space="preserve">, </w:t>
            </w:r>
            <w:r w:rsidR="00817DB9">
              <w:t>the Committee on Environmental Policy, at its twenty-third session (Geneva,</w:t>
            </w:r>
            <w:r w:rsidR="00244CEE">
              <w:t xml:space="preserve"> 14–17 November 2017), </w:t>
            </w:r>
            <w:r w:rsidR="009C05D4">
              <w:t>requested</w:t>
            </w:r>
            <w:r w:rsidR="00244CEE" w:rsidRPr="00244CEE">
              <w:t xml:space="preserve"> the Working Group to revi</w:t>
            </w:r>
            <w:r w:rsidR="00D500BB">
              <w:t>se and streamline the outline</w:t>
            </w:r>
            <w:r w:rsidR="00244CEE" w:rsidRPr="00244CEE">
              <w:t>, as presented in document ECE/C</w:t>
            </w:r>
            <w:r w:rsidR="008409C5">
              <w:t>EP/2017/13, by including measur</w:t>
            </w:r>
            <w:r w:rsidR="00244CEE" w:rsidRPr="00244CEE">
              <w:t>able outcomes and giving priority to its core activities in accordance with the financial resources available</w:t>
            </w:r>
            <w:r w:rsidR="00616884">
              <w:t>.</w:t>
            </w:r>
          </w:p>
          <w:p w14:paraId="705CF937" w14:textId="2AB64FD2" w:rsidR="000C0AB1" w:rsidRDefault="00EB18E7" w:rsidP="006E24FE">
            <w:pPr>
              <w:pStyle w:val="SingleTxtG"/>
              <w:widowControl w:val="0"/>
              <w:ind w:firstLine="567"/>
            </w:pPr>
            <w:r>
              <w:t>At its twentieth session (</w:t>
            </w:r>
            <w:r w:rsidR="006B0FEF">
              <w:t>3–4</w:t>
            </w:r>
            <w:r>
              <w:t xml:space="preserve"> September 2018), t</w:t>
            </w:r>
            <w:r w:rsidR="003C2DC1">
              <w:t xml:space="preserve">he </w:t>
            </w:r>
            <w:r w:rsidR="00616884">
              <w:t xml:space="preserve">Working Group </w:t>
            </w:r>
            <w:r w:rsidR="00FC1780">
              <w:t>consider</w:t>
            </w:r>
            <w:r w:rsidR="00935D8D">
              <w:t>ed</w:t>
            </w:r>
            <w:r w:rsidR="00FC1780">
              <w:t xml:space="preserve"> </w:t>
            </w:r>
            <w:r>
              <w:t xml:space="preserve">a </w:t>
            </w:r>
            <w:r w:rsidR="00616884">
              <w:t xml:space="preserve">draft revised </w:t>
            </w:r>
            <w:r w:rsidR="00FC1780">
              <w:t xml:space="preserve">outline, </w:t>
            </w:r>
            <w:r w:rsidR="006E24FE" w:rsidRPr="006E24FE">
              <w:t>asked the secretariat to add a column to the main table</w:t>
            </w:r>
            <w:r w:rsidR="006E24FE">
              <w:t xml:space="preserve"> </w:t>
            </w:r>
            <w:r w:rsidR="006E24FE" w:rsidRPr="006E24FE">
              <w:t xml:space="preserve">to indicate priorities and include a summary of activities and priorities by year. In addition, the expected achievements should be toned down. </w:t>
            </w:r>
            <w:r w:rsidR="006E24FE">
              <w:t>As requested by t</w:t>
            </w:r>
            <w:r w:rsidR="006E24FE" w:rsidRPr="006E24FE">
              <w:t>he Working Group</w:t>
            </w:r>
            <w:r w:rsidR="006E24FE">
              <w:t xml:space="preserve">, </w:t>
            </w:r>
            <w:r w:rsidR="006E24FE" w:rsidRPr="006E24FE">
              <w:t xml:space="preserve">the secretariat </w:t>
            </w:r>
            <w:r w:rsidR="006E24FE">
              <w:t>circulated the further revised outline and ga</w:t>
            </w:r>
            <w:r w:rsidR="006E24FE" w:rsidRPr="006E24FE">
              <w:t xml:space="preserve">ve two weeks for </w:t>
            </w:r>
            <w:r w:rsidR="006E24FE">
              <w:t>concrete changes to be suggested. O</w:t>
            </w:r>
            <w:r w:rsidR="006E24FE" w:rsidRPr="006E24FE">
              <w:t xml:space="preserve">nce further revised, </w:t>
            </w:r>
            <w:r w:rsidR="006E24FE">
              <w:t>the secretariat sent</w:t>
            </w:r>
            <w:r w:rsidR="006E24FE" w:rsidRPr="006E24FE">
              <w:t xml:space="preserve"> it again to participants for approval by a written silence procedure.</w:t>
            </w:r>
            <w:r w:rsidR="006E24FE">
              <w:t xml:space="preserve"> The w</w:t>
            </w:r>
            <w:r>
              <w:t>ritten silence procedure</w:t>
            </w:r>
            <w:r w:rsidR="006E24FE">
              <w:t xml:space="preserve"> was completed on 26 October 2018.</w:t>
            </w:r>
          </w:p>
        </w:tc>
      </w:tr>
      <w:tr w:rsidR="000C0AB1" w14:paraId="5B3CCB04" w14:textId="77777777" w:rsidTr="00061EFC">
        <w:trPr>
          <w:jc w:val="center"/>
        </w:trPr>
        <w:tc>
          <w:tcPr>
            <w:tcW w:w="9637" w:type="dxa"/>
            <w:shd w:val="clear" w:color="auto" w:fill="auto"/>
          </w:tcPr>
          <w:p w14:paraId="3BA8F145" w14:textId="77777777" w:rsidR="000C0AB1" w:rsidRDefault="000C0AB1" w:rsidP="00D14C48">
            <w:pPr>
              <w:widowControl w:val="0"/>
            </w:pPr>
          </w:p>
        </w:tc>
      </w:tr>
    </w:tbl>
    <w:p w14:paraId="46454852" w14:textId="77777777" w:rsidR="000C0AB1" w:rsidRPr="00BA6E45" w:rsidRDefault="000C0AB1" w:rsidP="00D14C48">
      <w:pPr>
        <w:widowControl w:val="0"/>
      </w:pPr>
    </w:p>
    <w:p w14:paraId="3A1D049E" w14:textId="77777777" w:rsidR="000C0AB1" w:rsidRDefault="000C0AB1" w:rsidP="00632509">
      <w:pPr>
        <w:pStyle w:val="HChG"/>
        <w:keepNext w:val="0"/>
        <w:keepLines w:val="0"/>
        <w:pageBreakBefore/>
        <w:widowControl w:val="0"/>
      </w:pPr>
      <w:r>
        <w:lastRenderedPageBreak/>
        <w:tab/>
      </w:r>
      <w:r>
        <w:tab/>
      </w:r>
      <w:r w:rsidR="00D52CF0">
        <w:t>Introduction</w:t>
      </w:r>
    </w:p>
    <w:p w14:paraId="147C0D5A" w14:textId="02CA7CA2" w:rsidR="0026059A" w:rsidRPr="00127C6E" w:rsidRDefault="00CA1AE2" w:rsidP="00127C6E">
      <w:pPr>
        <w:pStyle w:val="SingleTxtG"/>
      </w:pPr>
      <w:r w:rsidRPr="00127C6E">
        <w:t>1.</w:t>
      </w:r>
      <w:r w:rsidRPr="00127C6E">
        <w:tab/>
      </w:r>
      <w:r w:rsidR="00727B25" w:rsidRPr="00127C6E">
        <w:t>At its twenty-second session (Geneva, 25</w:t>
      </w:r>
      <w:r w:rsidR="00244CEE" w:rsidRPr="00127C6E">
        <w:softHyphen/>
        <w:t>–</w:t>
      </w:r>
      <w:r w:rsidR="00727B25" w:rsidRPr="00127C6E">
        <w:t>27 January 2017), the United Nations Economic Commission for Europe (ECE) Committee on Environmental Policy renewed the mandate and terms of reference of the Working Group on Environmental Monitoring and Assessment</w:t>
      </w:r>
      <w:r w:rsidR="0059389D" w:rsidRPr="00127C6E">
        <w:t xml:space="preserve"> </w:t>
      </w:r>
      <w:r w:rsidR="00727B25" w:rsidRPr="00127C6E">
        <w:t xml:space="preserve">for </w:t>
      </w:r>
      <w:r w:rsidR="000A1C13">
        <w:t xml:space="preserve">a </w:t>
      </w:r>
      <w:r w:rsidR="00727B25" w:rsidRPr="00127C6E">
        <w:t>five</w:t>
      </w:r>
      <w:r w:rsidR="000A1C13">
        <w:t>-</w:t>
      </w:r>
      <w:r w:rsidR="00727B25" w:rsidRPr="00127C6E">
        <w:t>year</w:t>
      </w:r>
      <w:r w:rsidR="000A1C13">
        <w:t xml:space="preserve"> period</w:t>
      </w:r>
      <w:r w:rsidR="00727B25" w:rsidRPr="00127C6E">
        <w:t xml:space="preserve"> (2017</w:t>
      </w:r>
      <w:r w:rsidR="00244CEE" w:rsidRPr="00127C6E">
        <w:t>–</w:t>
      </w:r>
      <w:r w:rsidR="00727B25" w:rsidRPr="00127C6E">
        <w:t xml:space="preserve">2021) (ECE/CEP/2017/2, annex II). </w:t>
      </w:r>
      <w:r w:rsidR="003605D0" w:rsidRPr="00127C6E">
        <w:t xml:space="preserve">In addition, the Committee asked the Working Group to take into account the financial and human resources available in developing its yearly detailed plans of activities, and to develop </w:t>
      </w:r>
      <w:r w:rsidR="00727B25" w:rsidRPr="00127C6E">
        <w:t>a more detailed outline of activities leading up to 2021</w:t>
      </w:r>
      <w:r w:rsidR="003605D0" w:rsidRPr="00127C6E">
        <w:t xml:space="preserve"> (</w:t>
      </w:r>
      <w:r w:rsidR="004A210E" w:rsidRPr="00127C6E">
        <w:t>ECE/CEP/2017/2</w:t>
      </w:r>
      <w:r w:rsidR="003605D0" w:rsidRPr="00127C6E">
        <w:t>, para</w:t>
      </w:r>
      <w:r w:rsidR="000A1C13">
        <w:t>.</w:t>
      </w:r>
      <w:r w:rsidR="003605D0" w:rsidRPr="00127C6E">
        <w:t xml:space="preserve"> 32 (b))</w:t>
      </w:r>
      <w:r w:rsidR="00727B25" w:rsidRPr="00127C6E">
        <w:t xml:space="preserve">. </w:t>
      </w:r>
    </w:p>
    <w:p w14:paraId="69D13FFF" w14:textId="26E5CDEC" w:rsidR="00F811C4" w:rsidRPr="00127C6E" w:rsidRDefault="0026059A" w:rsidP="00127C6E">
      <w:pPr>
        <w:pStyle w:val="SingleTxtG"/>
      </w:pPr>
      <w:r w:rsidRPr="00127C6E">
        <w:t>2.</w:t>
      </w:r>
      <w:r w:rsidRPr="00127C6E">
        <w:tab/>
      </w:r>
      <w:r w:rsidR="00490ACC" w:rsidRPr="00127C6E">
        <w:t>T</w:t>
      </w:r>
      <w:r w:rsidR="00F811C4" w:rsidRPr="00127C6E">
        <w:t xml:space="preserve">he </w:t>
      </w:r>
      <w:r w:rsidR="00182516" w:rsidRPr="00127C6E">
        <w:t xml:space="preserve">terms of reference of the </w:t>
      </w:r>
      <w:r w:rsidR="00F811C4" w:rsidRPr="00127C6E">
        <w:t>Working Group</w:t>
      </w:r>
      <w:r w:rsidR="00182516" w:rsidRPr="00127C6E">
        <w:t xml:space="preserve"> provide for continued </w:t>
      </w:r>
      <w:r w:rsidR="00F811C4" w:rsidRPr="00127C6E">
        <w:t>cooperat</w:t>
      </w:r>
      <w:r w:rsidR="00182516" w:rsidRPr="00127C6E">
        <w:t>ion</w:t>
      </w:r>
      <w:r w:rsidR="00F811C4" w:rsidRPr="00127C6E">
        <w:t xml:space="preserve"> with the Joint Task Force on Environmental Statistics and Indicators</w:t>
      </w:r>
      <w:r w:rsidR="00490ACC" w:rsidRPr="00127C6E">
        <w:t xml:space="preserve">, </w:t>
      </w:r>
      <w:r w:rsidR="00182516" w:rsidRPr="00127C6E">
        <w:t>including in its work on environmental statistics and indicators, associated data sets and accompanying environmental information and data necessary to establish the Shared Environmental Information System</w:t>
      </w:r>
      <w:r w:rsidR="00F811C4" w:rsidRPr="00127C6E">
        <w:t>.</w:t>
      </w:r>
      <w:r w:rsidR="000768D1" w:rsidRPr="00127C6E">
        <w:t xml:space="preserve"> </w:t>
      </w:r>
      <w:r w:rsidR="008F401A" w:rsidRPr="00127C6E">
        <w:t>T</w:t>
      </w:r>
      <w:r w:rsidR="000768D1" w:rsidRPr="00127C6E">
        <w:t xml:space="preserve">he Working Group </w:t>
      </w:r>
      <w:r w:rsidR="004A210E" w:rsidRPr="00127C6E">
        <w:t xml:space="preserve">is </w:t>
      </w:r>
      <w:r w:rsidR="008F401A" w:rsidRPr="00127C6E">
        <w:t xml:space="preserve">also </w:t>
      </w:r>
      <w:r w:rsidR="00BB5003" w:rsidRPr="00127C6E">
        <w:t xml:space="preserve">mandated </w:t>
      </w:r>
      <w:r w:rsidR="004A210E" w:rsidRPr="00127C6E">
        <w:t xml:space="preserve">to </w:t>
      </w:r>
      <w:r w:rsidR="000768D1" w:rsidRPr="00127C6E">
        <w:t xml:space="preserve">cooperate with the Joint Task Force </w:t>
      </w:r>
      <w:r w:rsidR="008F401A" w:rsidRPr="00127C6E">
        <w:t>on the development of a regional environmental information and assessment network of networks</w:t>
      </w:r>
      <w:r w:rsidR="000A1C13">
        <w:t xml:space="preserve"> in order </w:t>
      </w:r>
      <w:r w:rsidR="000768D1" w:rsidRPr="00127C6E">
        <w:t xml:space="preserve">to ensure that all planned and future activities are synergetic and streamlined. </w:t>
      </w:r>
    </w:p>
    <w:p w14:paraId="7BC692A3" w14:textId="5607B8D1" w:rsidR="0006001E" w:rsidRPr="00127C6E" w:rsidRDefault="009350D4" w:rsidP="00127C6E">
      <w:pPr>
        <w:pStyle w:val="SingleTxtG"/>
      </w:pPr>
      <w:r>
        <w:t>3</w:t>
      </w:r>
      <w:r w:rsidR="00F811C4" w:rsidRPr="00127C6E">
        <w:t>.</w:t>
      </w:r>
      <w:r w:rsidR="00F811C4" w:rsidRPr="00127C6E">
        <w:tab/>
      </w:r>
      <w:r w:rsidR="00206DFC">
        <w:t xml:space="preserve">In 2017, </w:t>
      </w:r>
      <w:r w:rsidR="008B753F">
        <w:t xml:space="preserve">in order </w:t>
      </w:r>
      <w:r w:rsidR="00206DFC">
        <w:t>t</w:t>
      </w:r>
      <w:r w:rsidR="00AE6B92" w:rsidRPr="00127C6E">
        <w:t xml:space="preserve">o comply </w:t>
      </w:r>
      <w:r w:rsidR="00F811C4" w:rsidRPr="00127C6E">
        <w:t>with the foregoing requirements</w:t>
      </w:r>
      <w:r w:rsidR="00727B25" w:rsidRPr="00127C6E">
        <w:t>, t</w:t>
      </w:r>
      <w:r w:rsidR="00CA1AE2" w:rsidRPr="00127C6E">
        <w:t>h</w:t>
      </w:r>
      <w:r w:rsidR="00EB4328" w:rsidRPr="00127C6E">
        <w:t xml:space="preserve">e </w:t>
      </w:r>
      <w:r w:rsidR="0006001E" w:rsidRPr="00127C6E">
        <w:t>secretariat</w:t>
      </w:r>
      <w:r w:rsidR="006A7043">
        <w:t>,</w:t>
      </w:r>
      <w:r w:rsidR="0006001E" w:rsidRPr="00127C6E">
        <w:t xml:space="preserve"> </w:t>
      </w:r>
      <w:r w:rsidR="006A7043" w:rsidRPr="00127C6E">
        <w:t xml:space="preserve">in consultation with the European Environment Agency </w:t>
      </w:r>
      <w:r w:rsidR="000A0325">
        <w:t xml:space="preserve">(EEA) </w:t>
      </w:r>
      <w:r w:rsidR="006A7043" w:rsidRPr="00127C6E">
        <w:t>and the United Nations Environment Programme</w:t>
      </w:r>
      <w:r w:rsidR="008B753F">
        <w:t xml:space="preserve"> (UNEP)</w:t>
      </w:r>
      <w:r w:rsidR="006A7043">
        <w:t>,</w:t>
      </w:r>
      <w:r w:rsidR="006A7043" w:rsidRPr="00127C6E">
        <w:t xml:space="preserve"> </w:t>
      </w:r>
      <w:r w:rsidR="0006001E" w:rsidRPr="00127C6E">
        <w:t xml:space="preserve">drafted an </w:t>
      </w:r>
      <w:r w:rsidR="00CA1AE2" w:rsidRPr="00127C6E">
        <w:t>outline</w:t>
      </w:r>
      <w:r w:rsidR="0006001E" w:rsidRPr="00127C6E">
        <w:t xml:space="preserve"> of</w:t>
      </w:r>
      <w:r w:rsidR="00CA1AE2" w:rsidRPr="00127C6E">
        <w:t xml:space="preserve"> the activities to be carried out by </w:t>
      </w:r>
      <w:r w:rsidR="00490ACC" w:rsidRPr="00127C6E">
        <w:t xml:space="preserve">both </w:t>
      </w:r>
      <w:r w:rsidR="00CA1AE2" w:rsidRPr="00127C6E">
        <w:t>the Working Group</w:t>
      </w:r>
      <w:r w:rsidR="00490ACC" w:rsidRPr="00127C6E">
        <w:t xml:space="preserve"> and the Joint Task Force</w:t>
      </w:r>
      <w:r w:rsidR="00CA1AE2" w:rsidRPr="00127C6E">
        <w:t xml:space="preserve"> in the period leading up to 2021.</w:t>
      </w:r>
      <w:r w:rsidR="00DB4784" w:rsidRPr="00127C6E">
        <w:t xml:space="preserve"> </w:t>
      </w:r>
      <w:r w:rsidR="000C0AB1" w:rsidRPr="00127C6E">
        <w:t xml:space="preserve">The </w:t>
      </w:r>
      <w:r w:rsidR="00CA1AE2" w:rsidRPr="00127C6E">
        <w:t>outline</w:t>
      </w:r>
      <w:r w:rsidR="000C0AB1" w:rsidRPr="00127C6E">
        <w:t xml:space="preserve"> </w:t>
      </w:r>
      <w:r w:rsidR="00CA1AE2" w:rsidRPr="00127C6E">
        <w:t xml:space="preserve">of activities </w:t>
      </w:r>
      <w:r w:rsidR="0006001E" w:rsidRPr="00127C6E">
        <w:t xml:space="preserve">took </w:t>
      </w:r>
      <w:r w:rsidR="00EB4328" w:rsidRPr="00127C6E">
        <w:t xml:space="preserve">into consideration </w:t>
      </w:r>
      <w:r w:rsidR="000C0AB1" w:rsidRPr="00127C6E">
        <w:t xml:space="preserve">the Batumi </w:t>
      </w:r>
      <w:r w:rsidR="000065CE" w:rsidRPr="00127C6E">
        <w:t xml:space="preserve">Ministerial </w:t>
      </w:r>
      <w:r w:rsidR="000C0AB1" w:rsidRPr="00127C6E">
        <w:t>Declaration (</w:t>
      </w:r>
      <w:r w:rsidR="00C70F22" w:rsidRPr="00127C6E">
        <w:t>ECE/BATUMI.CONF/2016/2/</w:t>
      </w:r>
      <w:r w:rsidR="006F5C52" w:rsidRPr="00127C6E">
        <w:t>A</w:t>
      </w:r>
      <w:r w:rsidR="00C70F22" w:rsidRPr="00127C6E">
        <w:t>dd.1</w:t>
      </w:r>
      <w:r w:rsidR="00495928" w:rsidRPr="00127C6E">
        <w:t>, para. 10</w:t>
      </w:r>
      <w:r w:rsidR="000C0AB1" w:rsidRPr="00127C6E">
        <w:t>)</w:t>
      </w:r>
      <w:r w:rsidR="00632509" w:rsidRPr="00127C6E">
        <w:t xml:space="preserve"> and</w:t>
      </w:r>
      <w:r w:rsidR="000C0AB1" w:rsidRPr="00127C6E">
        <w:t xml:space="preserve"> the </w:t>
      </w:r>
      <w:r w:rsidR="008B753F">
        <w:t xml:space="preserve">Task Force’s </w:t>
      </w:r>
      <w:r w:rsidR="00C70F22" w:rsidRPr="00127C6E">
        <w:t>re</w:t>
      </w:r>
      <w:r w:rsidR="000C0AB1" w:rsidRPr="00127C6E">
        <w:t>new</w:t>
      </w:r>
      <w:r w:rsidR="00C70F22" w:rsidRPr="00127C6E">
        <w:t>ed</w:t>
      </w:r>
      <w:r w:rsidR="0006001E" w:rsidRPr="00127C6E">
        <w:t xml:space="preserve"> mandate and terms of reference</w:t>
      </w:r>
      <w:r w:rsidR="008B753F">
        <w:t xml:space="preserve"> </w:t>
      </w:r>
      <w:r w:rsidR="00632509" w:rsidRPr="00127C6E">
        <w:t>and</w:t>
      </w:r>
      <w:r w:rsidR="0006001E" w:rsidRPr="00127C6E">
        <w:t xml:space="preserve"> provided</w:t>
      </w:r>
      <w:r w:rsidR="00490ACC" w:rsidRPr="00127C6E">
        <w:t xml:space="preserve"> </w:t>
      </w:r>
      <w:r w:rsidR="000C0AB1" w:rsidRPr="00127C6E">
        <w:t xml:space="preserve">a road map of activities to </w:t>
      </w:r>
      <w:r w:rsidR="00632509" w:rsidRPr="00127C6E">
        <w:t>facilitate achievement of</w:t>
      </w:r>
      <w:r w:rsidR="00CE1528" w:rsidRPr="00127C6E">
        <w:t xml:space="preserve"> </w:t>
      </w:r>
      <w:r w:rsidR="00632509" w:rsidRPr="00127C6E">
        <w:t xml:space="preserve">the objectives </w:t>
      </w:r>
      <w:r w:rsidR="000C0AB1" w:rsidRPr="00127C6E">
        <w:t xml:space="preserve">of the Working Group. </w:t>
      </w:r>
    </w:p>
    <w:p w14:paraId="5E9D1C0D" w14:textId="1F425F89" w:rsidR="000233F9" w:rsidRPr="00127C6E" w:rsidRDefault="009350D4" w:rsidP="00127C6E">
      <w:pPr>
        <w:pStyle w:val="SingleTxtG"/>
      </w:pPr>
      <w:r>
        <w:t>4</w:t>
      </w:r>
      <w:r w:rsidR="00632509" w:rsidRPr="00127C6E">
        <w:t>.</w:t>
      </w:r>
      <w:r w:rsidR="00632509" w:rsidRPr="00127C6E">
        <w:tab/>
        <w:t>At its nineteenth session (Geneva, 27</w:t>
      </w:r>
      <w:r w:rsidR="00244CEE" w:rsidRPr="00127C6E">
        <w:t>–</w:t>
      </w:r>
      <w:r w:rsidR="00632509" w:rsidRPr="00127C6E">
        <w:t>28 June 2017), the Working</w:t>
      </w:r>
      <w:r w:rsidR="009C05D4" w:rsidRPr="00127C6E">
        <w:t xml:space="preserve"> Group considered and approved the</w:t>
      </w:r>
      <w:r w:rsidR="00632509" w:rsidRPr="00127C6E">
        <w:t xml:space="preserve"> draft outline of its activities leading up to 2021 (ECE/CEP/AC.10/2017/4). </w:t>
      </w:r>
      <w:r w:rsidR="008B753F">
        <w:t>It</w:t>
      </w:r>
      <w:r w:rsidR="0026059A" w:rsidRPr="00127C6E">
        <w:t xml:space="preserve"> also approved an annual timetable of activities for 2018 (ECE/CEP/AC.10/2017/3).</w:t>
      </w:r>
    </w:p>
    <w:p w14:paraId="5B43E151" w14:textId="0D414D85" w:rsidR="000C0AB1" w:rsidRDefault="009350D4" w:rsidP="00127C6E">
      <w:pPr>
        <w:pStyle w:val="SingleTxtG"/>
      </w:pPr>
      <w:r>
        <w:t>5</w:t>
      </w:r>
      <w:r w:rsidR="009C05D4" w:rsidRPr="00127C6E">
        <w:t>.</w:t>
      </w:r>
      <w:r w:rsidR="009C05D4" w:rsidRPr="00127C6E">
        <w:tab/>
      </w:r>
      <w:r w:rsidR="0026059A" w:rsidRPr="00127C6E">
        <w:t xml:space="preserve">However, </w:t>
      </w:r>
      <w:r w:rsidR="009C05D4" w:rsidRPr="00127C6E">
        <w:t xml:space="preserve">the Committee on Environmental Policy, at its twenty-third session (Geneva, 14–17 November 2017), </w:t>
      </w:r>
      <w:r w:rsidR="0026059A" w:rsidRPr="00127C6E">
        <w:t>requested</w:t>
      </w:r>
      <w:r w:rsidR="009C05D4" w:rsidRPr="00127C6E">
        <w:t xml:space="preserve"> the Working Group to revise and streamline the outline of its activities </w:t>
      </w:r>
      <w:r w:rsidR="008B753F">
        <w:t xml:space="preserve">in the period leading </w:t>
      </w:r>
      <w:r w:rsidR="009C05D4" w:rsidRPr="00127C6E">
        <w:t xml:space="preserve">up to 2021, as presented in document ECE/CEP/2017/13, by including </w:t>
      </w:r>
      <w:r w:rsidR="008409C5" w:rsidRPr="002C02F7">
        <w:t>measurable</w:t>
      </w:r>
      <w:r w:rsidR="009C05D4" w:rsidRPr="002C02F7">
        <w:t xml:space="preserve"> outcomes and giving priority to its core activities in accordance with the financial resources available.</w:t>
      </w:r>
      <w:r w:rsidRPr="002C02F7">
        <w:t xml:space="preserve"> The present document responds to that request.</w:t>
      </w:r>
      <w:r w:rsidR="006A7043">
        <w:t xml:space="preserve"> Nonetheless, it </w:t>
      </w:r>
      <w:r w:rsidR="000C0AB1" w:rsidRPr="002C02F7">
        <w:t>is a living document</w:t>
      </w:r>
      <w:r w:rsidR="008B753F">
        <w:t xml:space="preserve"> and</w:t>
      </w:r>
      <w:r w:rsidR="000C0AB1" w:rsidRPr="002C02F7">
        <w:t xml:space="preserve"> will be updated, monitored and refined </w:t>
      </w:r>
      <w:r w:rsidR="00E6202E">
        <w:t xml:space="preserve">as needed </w:t>
      </w:r>
      <w:r w:rsidR="000C0AB1" w:rsidRPr="002C02F7">
        <w:t xml:space="preserve">based on inputs from member </w:t>
      </w:r>
      <w:r w:rsidR="00CA1AE2" w:rsidRPr="002C02F7">
        <w:t>States and</w:t>
      </w:r>
      <w:r w:rsidR="000C0AB1" w:rsidRPr="002C02F7">
        <w:t xml:space="preserve"> involved organi</w:t>
      </w:r>
      <w:r w:rsidR="00CA1AE2" w:rsidRPr="002C02F7">
        <w:t>z</w:t>
      </w:r>
      <w:r w:rsidR="000C0AB1" w:rsidRPr="002C02F7">
        <w:t xml:space="preserve">ations. </w:t>
      </w:r>
      <w:r w:rsidR="006A7043">
        <w:t>6</w:t>
      </w:r>
      <w:r w:rsidR="000C0AB1" w:rsidRPr="002C02F7">
        <w:t>.</w:t>
      </w:r>
      <w:r w:rsidR="000C0AB1" w:rsidRPr="002C02F7">
        <w:tab/>
        <w:t xml:space="preserve">The Working Group will implement </w:t>
      </w:r>
      <w:r w:rsidR="00CA1AE2" w:rsidRPr="002C02F7">
        <w:t xml:space="preserve">the </w:t>
      </w:r>
      <w:r w:rsidR="00B75B64" w:rsidRPr="002C02F7">
        <w:t xml:space="preserve">activities </w:t>
      </w:r>
      <w:r w:rsidRPr="002C02F7">
        <w:t xml:space="preserve">set out in the </w:t>
      </w:r>
      <w:r w:rsidR="00D778D3">
        <w:t>T</w:t>
      </w:r>
      <w:r w:rsidR="00D778D3" w:rsidRPr="002C02F7">
        <w:t>able</w:t>
      </w:r>
      <w:r w:rsidR="00D778D3">
        <w:t xml:space="preserve"> 2</w:t>
      </w:r>
      <w:r w:rsidR="00D778D3" w:rsidRPr="002C02F7">
        <w:t xml:space="preserve"> </w:t>
      </w:r>
      <w:r w:rsidR="00B75B64" w:rsidRPr="002C02F7">
        <w:t xml:space="preserve">below with support from the secretariat and </w:t>
      </w:r>
      <w:r w:rsidR="000C0AB1" w:rsidRPr="002C02F7">
        <w:t>in close collaboration with national and international governmental and non-governmental stakeholders, including other relevant ECE bodies</w:t>
      </w:r>
      <w:r w:rsidR="004F5A3B" w:rsidRPr="002C02F7">
        <w:t xml:space="preserve"> such as the Joint Task Force.</w:t>
      </w:r>
      <w:r w:rsidRPr="002C02F7">
        <w:t xml:space="preserve"> The objectives and activities listed are as defined in the terms of reference</w:t>
      </w:r>
      <w:r w:rsidR="001B71ED" w:rsidRPr="002C02F7">
        <w:t xml:space="preserve"> of the Working Group</w:t>
      </w:r>
      <w:r w:rsidRPr="002C02F7">
        <w:t xml:space="preserve">. The necessary tasks and events have been added to the table </w:t>
      </w:r>
      <w:r w:rsidR="00E6202E">
        <w:t xml:space="preserve">in order </w:t>
      </w:r>
      <w:r w:rsidRPr="002C02F7">
        <w:t>to operationalize activities and reach objectives.</w:t>
      </w:r>
    </w:p>
    <w:p w14:paraId="504BA240" w14:textId="27FA8D3C" w:rsidR="003D09E9" w:rsidRPr="002C02F7" w:rsidRDefault="003D09E9" w:rsidP="00127C6E">
      <w:pPr>
        <w:pStyle w:val="SingleTxtG"/>
      </w:pPr>
      <w:r>
        <w:t>7</w:t>
      </w:r>
      <w:r w:rsidRPr="00DF6204">
        <w:t>.</w:t>
      </w:r>
      <w:r w:rsidRPr="00DF6204">
        <w:tab/>
        <w:t xml:space="preserve">At its </w:t>
      </w:r>
      <w:r>
        <w:t>twentieth</w:t>
      </w:r>
      <w:r w:rsidRPr="00DF6204">
        <w:t xml:space="preserve"> session (Geneva, </w:t>
      </w:r>
      <w:r>
        <w:t>3-4 September</w:t>
      </w:r>
      <w:r w:rsidRPr="00DF6204">
        <w:t xml:space="preserve"> 201</w:t>
      </w:r>
      <w:r>
        <w:t>8</w:t>
      </w:r>
      <w:r w:rsidRPr="00DF6204">
        <w:t xml:space="preserve">), the Working Group considered </w:t>
      </w:r>
      <w:r>
        <w:t xml:space="preserve">the draft </w:t>
      </w:r>
      <w:r w:rsidRPr="00DF6204">
        <w:t>revised outline of activities leading up to 2021</w:t>
      </w:r>
      <w:r>
        <w:t xml:space="preserve"> (</w:t>
      </w:r>
      <w:r w:rsidRPr="00DF6204">
        <w:t>ECE/CEP/AC.10/2018/3</w:t>
      </w:r>
      <w:r>
        <w:t>) and the a</w:t>
      </w:r>
      <w:r w:rsidRPr="00DF6204">
        <w:t>nnual timetable of activities for 2019</w:t>
      </w:r>
      <w:r>
        <w:t xml:space="preserve"> (</w:t>
      </w:r>
      <w:r w:rsidRPr="00DF6204">
        <w:t>ECE/CEP/AC.10/2018/4</w:t>
      </w:r>
      <w:r>
        <w:t xml:space="preserve">). It was agreed that further revision was necessary and the </w:t>
      </w:r>
      <w:r w:rsidRPr="00DF6204">
        <w:t xml:space="preserve">secretariat </w:t>
      </w:r>
      <w:r>
        <w:t xml:space="preserve">was requested </w:t>
      </w:r>
      <w:r w:rsidRPr="00DF6204">
        <w:t>to add a column to the main table in the draft outline of activities leading up to 2021</w:t>
      </w:r>
      <w:r>
        <w:t xml:space="preserve"> and the a</w:t>
      </w:r>
      <w:r w:rsidRPr="00DF6204">
        <w:t>nnual timetable of activities for 2019</w:t>
      </w:r>
      <w:r>
        <w:t xml:space="preserve"> </w:t>
      </w:r>
      <w:r w:rsidRPr="00DF6204">
        <w:t>to indicate priorities, includ</w:t>
      </w:r>
      <w:r>
        <w:t>ing</w:t>
      </w:r>
      <w:r w:rsidRPr="00DF6204">
        <w:t xml:space="preserve"> a summary of activities and priorities by year</w:t>
      </w:r>
      <w:r w:rsidR="00D778D3">
        <w:t xml:space="preserve"> as set out in Table 1</w:t>
      </w:r>
      <w:r>
        <w:t xml:space="preserve">. Following revisions, both documents have been approved by the Working Group through </w:t>
      </w:r>
      <w:r w:rsidR="0016503C">
        <w:t xml:space="preserve">written </w:t>
      </w:r>
      <w:r>
        <w:t>silence procedure.</w:t>
      </w:r>
    </w:p>
    <w:p w14:paraId="3965CA48" w14:textId="1D47A37C" w:rsidR="00D500BB" w:rsidRDefault="00AB7E84" w:rsidP="00464B01">
      <w:pPr>
        <w:pStyle w:val="SingleTxtG"/>
      </w:pPr>
      <w:r>
        <w:lastRenderedPageBreak/>
        <w:t>8</w:t>
      </w:r>
      <w:r w:rsidR="000C0AB1" w:rsidRPr="002C02F7">
        <w:t>.</w:t>
      </w:r>
      <w:r w:rsidR="000C0AB1" w:rsidRPr="002C02F7">
        <w:tab/>
      </w:r>
      <w:r w:rsidR="009E1F67">
        <w:t>I</w:t>
      </w:r>
      <w:r w:rsidR="000C0AB1" w:rsidRPr="002C02F7">
        <w:t xml:space="preserve">mplementation of </w:t>
      </w:r>
      <w:r w:rsidR="009E1F67">
        <w:t xml:space="preserve">the </w:t>
      </w:r>
      <w:r w:rsidR="000C0AB1" w:rsidRPr="002C02F7">
        <w:t xml:space="preserve">activities set out in this document is conditional </w:t>
      </w:r>
      <w:r w:rsidR="00CA1AE2" w:rsidRPr="002C02F7">
        <w:t xml:space="preserve">on </w:t>
      </w:r>
      <w:r w:rsidR="000C0AB1" w:rsidRPr="002C02F7">
        <w:t>mobili</w:t>
      </w:r>
      <w:r w:rsidR="00EB4328" w:rsidRPr="002C02F7">
        <w:t>z</w:t>
      </w:r>
      <w:r w:rsidR="000C0AB1" w:rsidRPr="002C02F7">
        <w:t xml:space="preserve">ation of </w:t>
      </w:r>
      <w:r w:rsidR="00CA1AE2" w:rsidRPr="002C02F7">
        <w:t>the necessary</w:t>
      </w:r>
      <w:r w:rsidR="007008BD" w:rsidRPr="002C02F7">
        <w:t xml:space="preserve"> extra</w:t>
      </w:r>
      <w:r w:rsidR="00CA1AE2" w:rsidRPr="002C02F7">
        <w:t xml:space="preserve">budgetary </w:t>
      </w:r>
      <w:r w:rsidR="000C0AB1" w:rsidRPr="002C02F7">
        <w:t>resources.</w:t>
      </w:r>
      <w:r w:rsidR="009350D4" w:rsidRPr="002C02F7">
        <w:t xml:space="preserve"> To date, funds have been made available by </w:t>
      </w:r>
      <w:r w:rsidR="00415D5D" w:rsidRPr="002C02F7">
        <w:t xml:space="preserve">Norway, </w:t>
      </w:r>
      <w:r w:rsidR="009350D4" w:rsidRPr="002C02F7">
        <w:t>the Russian Federation, Switzerland</w:t>
      </w:r>
      <w:r w:rsidR="009E1F67">
        <w:t>,</w:t>
      </w:r>
      <w:r w:rsidR="009350D4" w:rsidRPr="002C02F7">
        <w:t xml:space="preserve"> the </w:t>
      </w:r>
      <w:r w:rsidR="007352FE" w:rsidRPr="002C02F7">
        <w:t xml:space="preserve">European Union </w:t>
      </w:r>
      <w:r w:rsidR="009E1F67">
        <w:t>(</w:t>
      </w:r>
      <w:r w:rsidR="007352FE" w:rsidRPr="002C02F7">
        <w:t xml:space="preserve">through the </w:t>
      </w:r>
      <w:r w:rsidR="009350D4" w:rsidRPr="002C02F7">
        <w:t>European Environment Agency</w:t>
      </w:r>
      <w:r w:rsidR="009E1F67">
        <w:t>)</w:t>
      </w:r>
      <w:r w:rsidR="009350D4" w:rsidRPr="002C02F7">
        <w:t xml:space="preserve"> and the United Nations Development Account.</w:t>
      </w:r>
      <w:r w:rsidR="00464B01" w:rsidRPr="002C02F7">
        <w:t xml:space="preserve"> </w:t>
      </w:r>
      <w:r w:rsidR="000D7A63">
        <w:t>The Working Group will</w:t>
      </w:r>
      <w:r w:rsidR="000D7A63" w:rsidRPr="000D7A63">
        <w:t xml:space="preserve"> support the secretariat in its continuing efforts to mobilize resources and </w:t>
      </w:r>
      <w:r w:rsidR="00356C42">
        <w:t>assistance</w:t>
      </w:r>
      <w:r w:rsidR="00356C42" w:rsidRPr="000D7A63">
        <w:t xml:space="preserve"> </w:t>
      </w:r>
      <w:r w:rsidR="000D7A63" w:rsidRPr="000D7A63">
        <w:t>from regional and international organizations and member States</w:t>
      </w:r>
      <w:r w:rsidR="009E1F67">
        <w:t xml:space="preserve"> in order</w:t>
      </w:r>
      <w:r w:rsidR="000D7A63" w:rsidRPr="000D7A63">
        <w:t xml:space="preserve"> to enable the Working Group to </w:t>
      </w:r>
      <w:r w:rsidR="009E1F67">
        <w:t>fulfil its mandate</w:t>
      </w:r>
      <w:r w:rsidR="000D7A63">
        <w:t>.</w:t>
      </w:r>
    </w:p>
    <w:p w14:paraId="09FC6689" w14:textId="1CB1F094" w:rsidR="0051728A" w:rsidRDefault="00AB7E84" w:rsidP="00464B01">
      <w:pPr>
        <w:pStyle w:val="SingleTxtG"/>
      </w:pPr>
      <w:r>
        <w:t>9</w:t>
      </w:r>
      <w:r w:rsidR="00D500BB">
        <w:t>.</w:t>
      </w:r>
      <w:r w:rsidR="00D500BB">
        <w:tab/>
      </w:r>
      <w:r w:rsidR="00464B01" w:rsidRPr="002C02F7">
        <w:t>The most critical remaining resource requirement</w:t>
      </w:r>
      <w:r w:rsidR="009E1F67">
        <w:t xml:space="preserve"> is funding </w:t>
      </w:r>
      <w:r w:rsidR="00464B01" w:rsidRPr="002C02F7">
        <w:t xml:space="preserve">for the travel and subsistence of experts participating in sessions of the Working Group and Joint Task Force and </w:t>
      </w:r>
      <w:r w:rsidR="009E1F67">
        <w:t xml:space="preserve">members </w:t>
      </w:r>
      <w:r w:rsidR="00464B01" w:rsidRPr="002C02F7">
        <w:t xml:space="preserve">of the secretariat, totalling approximately $55,000 per annum. </w:t>
      </w:r>
      <w:r w:rsidR="00D500BB">
        <w:t xml:space="preserve">The resource requirements for development of a next pan-European environmental assessment </w:t>
      </w:r>
      <w:r w:rsidR="009E1F67">
        <w:t xml:space="preserve">will </w:t>
      </w:r>
      <w:r w:rsidR="00D500BB">
        <w:t xml:space="preserve">depend on its scope, nature and institutional arrangements. </w:t>
      </w:r>
      <w:r w:rsidR="00464B01" w:rsidRPr="002C02F7">
        <w:t>All</w:t>
      </w:r>
      <w:r w:rsidR="00464B01" w:rsidRPr="00127C6E">
        <w:t xml:space="preserve"> </w:t>
      </w:r>
      <w:r w:rsidR="009E1F67">
        <w:t xml:space="preserve">of the </w:t>
      </w:r>
      <w:r w:rsidR="00464B01" w:rsidRPr="00127C6E">
        <w:t>financial resource requirements</w:t>
      </w:r>
      <w:r w:rsidR="009E1F67">
        <w:t xml:space="preserve"> listed</w:t>
      </w:r>
      <w:r w:rsidR="00464B01" w:rsidRPr="00127C6E">
        <w:t>, which exclude</w:t>
      </w:r>
      <w:r w:rsidR="009E1F67">
        <w:t xml:space="preserve"> the</w:t>
      </w:r>
      <w:r w:rsidR="00464B01" w:rsidRPr="00127C6E">
        <w:t xml:space="preserve"> funding of secretariat staff time, are indicative and subject to standard United Nations programme support costs.</w:t>
      </w:r>
    </w:p>
    <w:p w14:paraId="574E3DB1" w14:textId="7CEFFEF7" w:rsidR="003D09E9" w:rsidRPr="0051728A" w:rsidRDefault="003D09E9" w:rsidP="0051728A">
      <w:pPr>
        <w:pStyle w:val="SingleTxtG"/>
        <w:jc w:val="left"/>
        <w:rPr>
          <w:b/>
        </w:rPr>
      </w:pPr>
      <w:r w:rsidRPr="0051728A">
        <w:rPr>
          <w:bCs/>
        </w:rPr>
        <w:t xml:space="preserve">Table 1. </w:t>
      </w:r>
      <w:r w:rsidR="0051728A" w:rsidRPr="0051728A">
        <w:rPr>
          <w:bCs/>
        </w:rPr>
        <w:br/>
      </w:r>
      <w:r w:rsidRPr="0051728A">
        <w:rPr>
          <w:b/>
        </w:rPr>
        <w:t>Summary of activities by</w:t>
      </w:r>
      <w:r w:rsidR="00CA6473" w:rsidRPr="00CA6473">
        <w:rPr>
          <w:b/>
        </w:rPr>
        <w:t xml:space="preserve"> </w:t>
      </w:r>
      <w:r w:rsidR="00AE2428">
        <w:rPr>
          <w:b/>
        </w:rPr>
        <w:t xml:space="preserve">objective, </w:t>
      </w:r>
      <w:r w:rsidR="00CA6473" w:rsidRPr="00CA6473">
        <w:rPr>
          <w:b/>
        </w:rPr>
        <w:t>priority and year</w:t>
      </w:r>
      <w:r w:rsidR="00CA6473" w:rsidRPr="00CA6473">
        <w:rPr>
          <w:i/>
          <w:sz w:val="18"/>
          <w:szCs w:val="18"/>
          <w:vertAlign w:val="superscript"/>
        </w:rPr>
        <w:t xml:space="preserve"> </w:t>
      </w:r>
      <w:r w:rsidR="00CA6473" w:rsidRPr="00881614">
        <w:rPr>
          <w:i/>
          <w:sz w:val="18"/>
          <w:szCs w:val="18"/>
          <w:vertAlign w:val="superscript"/>
        </w:rPr>
        <w:t>a</w:t>
      </w:r>
      <w:r w:rsidR="00CA6473" w:rsidRPr="00366E0A">
        <w:rPr>
          <w:i/>
          <w:sz w:val="18"/>
          <w:szCs w:val="18"/>
        </w:rPr>
        <w:t xml:space="preserve"> </w:t>
      </w:r>
      <w:r w:rsidR="00CA6473">
        <w:rPr>
          <w:sz w:val="18"/>
          <w:szCs w:val="18"/>
        </w:rPr>
        <w:t xml:space="preserve"> </w:t>
      </w:r>
    </w:p>
    <w:tbl>
      <w:tblPr>
        <w:tblW w:w="968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851"/>
        <w:gridCol w:w="2126"/>
        <w:gridCol w:w="2268"/>
        <w:gridCol w:w="1985"/>
        <w:gridCol w:w="1890"/>
      </w:tblGrid>
      <w:tr w:rsidR="00AE2428" w:rsidRPr="00D93D43" w14:paraId="05D83351" w14:textId="71465C27" w:rsidTr="0051728A">
        <w:trPr>
          <w:cantSplit/>
          <w:tblHeader/>
        </w:trPr>
        <w:tc>
          <w:tcPr>
            <w:tcW w:w="567" w:type="dxa"/>
            <w:tcBorders>
              <w:top w:val="single" w:sz="4" w:space="0" w:color="auto"/>
              <w:bottom w:val="nil"/>
            </w:tcBorders>
            <w:shd w:val="clear" w:color="auto" w:fill="auto"/>
            <w:vAlign w:val="bottom"/>
          </w:tcPr>
          <w:p w14:paraId="6276FCD3" w14:textId="7F7FA0D1" w:rsidR="00AE2428" w:rsidRPr="00D93D43" w:rsidRDefault="00AE2428" w:rsidP="00AE2428">
            <w:pPr>
              <w:suppressAutoHyphens w:val="0"/>
              <w:spacing w:before="80" w:after="80" w:line="200" w:lineRule="exact"/>
              <w:ind w:right="113"/>
              <w:rPr>
                <w:i/>
                <w:sz w:val="16"/>
              </w:rPr>
            </w:pPr>
          </w:p>
        </w:tc>
        <w:tc>
          <w:tcPr>
            <w:tcW w:w="851" w:type="dxa"/>
            <w:tcBorders>
              <w:top w:val="single" w:sz="4" w:space="0" w:color="auto"/>
              <w:bottom w:val="nil"/>
            </w:tcBorders>
            <w:vAlign w:val="bottom"/>
          </w:tcPr>
          <w:p w14:paraId="7EE03DB9" w14:textId="3FECEE52" w:rsidR="00AE2428" w:rsidRDefault="00AE2428" w:rsidP="00AE2428">
            <w:pPr>
              <w:suppressAutoHyphens w:val="0"/>
              <w:spacing w:before="80" w:after="80" w:line="200" w:lineRule="exact"/>
              <w:ind w:right="113"/>
              <w:rPr>
                <w:i/>
                <w:sz w:val="16"/>
              </w:rPr>
            </w:pPr>
          </w:p>
        </w:tc>
        <w:tc>
          <w:tcPr>
            <w:tcW w:w="8269" w:type="dxa"/>
            <w:gridSpan w:val="4"/>
            <w:tcBorders>
              <w:top w:val="single" w:sz="4" w:space="0" w:color="auto"/>
              <w:bottom w:val="single" w:sz="4" w:space="0" w:color="auto"/>
            </w:tcBorders>
            <w:shd w:val="clear" w:color="auto" w:fill="auto"/>
            <w:vAlign w:val="bottom"/>
          </w:tcPr>
          <w:p w14:paraId="334A48A4" w14:textId="724A685D" w:rsidR="00AE2428" w:rsidRPr="0051728A" w:rsidRDefault="00AE2428" w:rsidP="0051728A">
            <w:pPr>
              <w:suppressAutoHyphens w:val="0"/>
              <w:spacing w:before="80" w:after="80" w:line="200" w:lineRule="exact"/>
              <w:ind w:right="113"/>
              <w:jc w:val="center"/>
              <w:rPr>
                <w:i/>
                <w:sz w:val="16"/>
              </w:rPr>
            </w:pPr>
            <w:r>
              <w:rPr>
                <w:i/>
                <w:sz w:val="16"/>
              </w:rPr>
              <w:t>Objective</w:t>
            </w:r>
          </w:p>
        </w:tc>
      </w:tr>
      <w:tr w:rsidR="00AE2428" w:rsidRPr="00D93D43" w14:paraId="36195970" w14:textId="77777777" w:rsidTr="0051728A">
        <w:trPr>
          <w:cantSplit/>
          <w:tblHeader/>
        </w:trPr>
        <w:tc>
          <w:tcPr>
            <w:tcW w:w="567" w:type="dxa"/>
            <w:tcBorders>
              <w:top w:val="nil"/>
              <w:bottom w:val="single" w:sz="12" w:space="0" w:color="auto"/>
            </w:tcBorders>
            <w:shd w:val="clear" w:color="auto" w:fill="auto"/>
            <w:vAlign w:val="bottom"/>
          </w:tcPr>
          <w:p w14:paraId="0024C515" w14:textId="14AF228F" w:rsidR="00AE2428" w:rsidRDefault="00AE2428" w:rsidP="00AE2428">
            <w:pPr>
              <w:suppressAutoHyphens w:val="0"/>
              <w:spacing w:before="80" w:after="80" w:line="200" w:lineRule="exact"/>
              <w:ind w:right="113"/>
              <w:rPr>
                <w:i/>
                <w:sz w:val="16"/>
              </w:rPr>
            </w:pPr>
            <w:r>
              <w:rPr>
                <w:i/>
                <w:sz w:val="16"/>
              </w:rPr>
              <w:t>Year</w:t>
            </w:r>
          </w:p>
        </w:tc>
        <w:tc>
          <w:tcPr>
            <w:tcW w:w="851" w:type="dxa"/>
            <w:tcBorders>
              <w:top w:val="nil"/>
              <w:bottom w:val="single" w:sz="12" w:space="0" w:color="auto"/>
            </w:tcBorders>
            <w:vAlign w:val="bottom"/>
          </w:tcPr>
          <w:p w14:paraId="1DA96B4E" w14:textId="1DCD7668" w:rsidR="00AE2428" w:rsidRDefault="00AE2428" w:rsidP="00AE2428">
            <w:pPr>
              <w:suppressAutoHyphens w:val="0"/>
              <w:spacing w:before="80" w:after="80" w:line="200" w:lineRule="exact"/>
              <w:ind w:right="113"/>
              <w:rPr>
                <w:i/>
                <w:sz w:val="16"/>
              </w:rPr>
            </w:pPr>
            <w:r>
              <w:rPr>
                <w:i/>
                <w:sz w:val="16"/>
              </w:rPr>
              <w:t>Priority</w:t>
            </w:r>
          </w:p>
        </w:tc>
        <w:tc>
          <w:tcPr>
            <w:tcW w:w="2126" w:type="dxa"/>
            <w:tcBorders>
              <w:top w:val="single" w:sz="4" w:space="0" w:color="auto"/>
              <w:bottom w:val="single" w:sz="12" w:space="0" w:color="auto"/>
            </w:tcBorders>
            <w:shd w:val="clear" w:color="auto" w:fill="auto"/>
            <w:vAlign w:val="bottom"/>
          </w:tcPr>
          <w:p w14:paraId="07865D6B" w14:textId="6E443EEF" w:rsidR="00AE2428" w:rsidRPr="00AE2428" w:rsidRDefault="00AE2428" w:rsidP="00AE2428">
            <w:pPr>
              <w:suppressAutoHyphens w:val="0"/>
              <w:spacing w:before="80" w:after="80" w:line="200" w:lineRule="exact"/>
              <w:ind w:right="113"/>
              <w:rPr>
                <w:i/>
                <w:sz w:val="16"/>
              </w:rPr>
            </w:pPr>
            <w:r w:rsidRPr="008D39EC">
              <w:rPr>
                <w:i/>
                <w:sz w:val="16"/>
              </w:rPr>
              <w:t>A. Assist in the establishment and operation of national information systems in line with SEIS in Europe and Central Asia</w:t>
            </w:r>
          </w:p>
        </w:tc>
        <w:tc>
          <w:tcPr>
            <w:tcW w:w="2268" w:type="dxa"/>
            <w:tcBorders>
              <w:top w:val="single" w:sz="4" w:space="0" w:color="auto"/>
              <w:bottom w:val="single" w:sz="12" w:space="0" w:color="auto"/>
            </w:tcBorders>
            <w:shd w:val="clear" w:color="auto" w:fill="auto"/>
            <w:vAlign w:val="bottom"/>
          </w:tcPr>
          <w:p w14:paraId="48BA77B6" w14:textId="4B2F37C8" w:rsidR="00AE2428" w:rsidRPr="00AE2428" w:rsidRDefault="00AE2428" w:rsidP="00AE2428">
            <w:pPr>
              <w:suppressAutoHyphens w:val="0"/>
              <w:spacing w:before="80" w:after="80" w:line="200" w:lineRule="exact"/>
              <w:ind w:right="113"/>
              <w:rPr>
                <w:i/>
                <w:sz w:val="16"/>
              </w:rPr>
            </w:pPr>
            <w:r w:rsidRPr="008D39EC">
              <w:rPr>
                <w:i/>
                <w:sz w:val="16"/>
              </w:rPr>
              <w:t>B. Lead a process of consultation on the regular pan-European environmental assessment and the streamlining of regular state-of-the-environment reporting by 2020</w:t>
            </w:r>
          </w:p>
        </w:tc>
        <w:tc>
          <w:tcPr>
            <w:tcW w:w="1985" w:type="dxa"/>
            <w:tcBorders>
              <w:top w:val="single" w:sz="4" w:space="0" w:color="auto"/>
              <w:bottom w:val="single" w:sz="12" w:space="0" w:color="auto"/>
            </w:tcBorders>
            <w:vAlign w:val="bottom"/>
          </w:tcPr>
          <w:p w14:paraId="348F508B" w14:textId="6D7BCF4B" w:rsidR="00AE2428" w:rsidRPr="00AE2428" w:rsidRDefault="00AE2428" w:rsidP="00AE2428">
            <w:pPr>
              <w:suppressAutoHyphens w:val="0"/>
              <w:spacing w:before="80" w:after="80" w:line="200" w:lineRule="exact"/>
              <w:ind w:right="113"/>
              <w:rPr>
                <w:i/>
                <w:sz w:val="16"/>
              </w:rPr>
            </w:pPr>
            <w:r w:rsidRPr="008D39EC">
              <w:rPr>
                <w:i/>
                <w:sz w:val="16"/>
              </w:rPr>
              <w:t>C. Initiate a process of consultation on the development of a regional environmental information and assessment network of networks […]</w:t>
            </w:r>
          </w:p>
        </w:tc>
        <w:tc>
          <w:tcPr>
            <w:tcW w:w="1890" w:type="dxa"/>
            <w:tcBorders>
              <w:top w:val="single" w:sz="4" w:space="0" w:color="auto"/>
              <w:bottom w:val="single" w:sz="12" w:space="0" w:color="auto"/>
            </w:tcBorders>
            <w:vAlign w:val="bottom"/>
          </w:tcPr>
          <w:p w14:paraId="7911ACA6" w14:textId="41CC4FB4" w:rsidR="00AE2428" w:rsidRPr="00AE2428" w:rsidRDefault="00AE2428" w:rsidP="00AE2428">
            <w:pPr>
              <w:suppressAutoHyphens w:val="0"/>
              <w:spacing w:before="80" w:after="80" w:line="200" w:lineRule="exact"/>
              <w:ind w:right="113"/>
              <w:rPr>
                <w:i/>
                <w:sz w:val="16"/>
              </w:rPr>
            </w:pPr>
            <w:r w:rsidRPr="008D39EC">
              <w:rPr>
                <w:i/>
                <w:sz w:val="16"/>
              </w:rPr>
              <w:t xml:space="preserve">D. Engage in capacity-building assistance addressing specific challenges related to environmental monitoring and assessment </w:t>
            </w:r>
            <w:r>
              <w:rPr>
                <w:i/>
                <w:sz w:val="16"/>
              </w:rPr>
              <w:t>[…]</w:t>
            </w:r>
          </w:p>
        </w:tc>
      </w:tr>
      <w:tr w:rsidR="00942809" w:rsidRPr="00D93D43" w14:paraId="704B7F94" w14:textId="43D19AD0" w:rsidTr="0051728A">
        <w:trPr>
          <w:cantSplit/>
          <w:trHeight w:hRule="exact" w:val="91"/>
          <w:tblHeader/>
        </w:trPr>
        <w:tc>
          <w:tcPr>
            <w:tcW w:w="567" w:type="dxa"/>
            <w:tcBorders>
              <w:top w:val="single" w:sz="12" w:space="0" w:color="auto"/>
              <w:bottom w:val="nil"/>
            </w:tcBorders>
            <w:shd w:val="clear" w:color="auto" w:fill="auto"/>
            <w:textDirection w:val="btLr"/>
          </w:tcPr>
          <w:p w14:paraId="52354C4B" w14:textId="77777777" w:rsidR="00AE2428" w:rsidRPr="00D93D43" w:rsidRDefault="00AE2428" w:rsidP="005A5CF5">
            <w:pPr>
              <w:suppressAutoHyphens w:val="0"/>
              <w:spacing w:before="40" w:after="120" w:line="220" w:lineRule="exact"/>
              <w:ind w:right="113"/>
              <w:rPr>
                <w:b/>
              </w:rPr>
            </w:pPr>
          </w:p>
        </w:tc>
        <w:tc>
          <w:tcPr>
            <w:tcW w:w="851" w:type="dxa"/>
            <w:tcBorders>
              <w:top w:val="single" w:sz="12" w:space="0" w:color="auto"/>
            </w:tcBorders>
          </w:tcPr>
          <w:p w14:paraId="347EF069" w14:textId="77777777" w:rsidR="00AE2428" w:rsidRPr="00D93D43" w:rsidRDefault="00AE2428" w:rsidP="005A5CF5">
            <w:pPr>
              <w:suppressAutoHyphens w:val="0"/>
              <w:spacing w:before="40" w:after="120" w:line="220" w:lineRule="exact"/>
              <w:ind w:right="113"/>
            </w:pPr>
          </w:p>
        </w:tc>
        <w:tc>
          <w:tcPr>
            <w:tcW w:w="2126" w:type="dxa"/>
            <w:tcBorders>
              <w:top w:val="single" w:sz="12" w:space="0" w:color="auto"/>
            </w:tcBorders>
            <w:shd w:val="clear" w:color="auto" w:fill="auto"/>
          </w:tcPr>
          <w:p w14:paraId="61BCB6FB" w14:textId="7BACEFF8" w:rsidR="00AE2428" w:rsidRPr="00D93D43" w:rsidRDefault="00AE2428" w:rsidP="005A5CF5">
            <w:pPr>
              <w:suppressAutoHyphens w:val="0"/>
              <w:spacing w:before="40" w:after="120" w:line="220" w:lineRule="exact"/>
              <w:ind w:right="113"/>
            </w:pPr>
          </w:p>
        </w:tc>
        <w:tc>
          <w:tcPr>
            <w:tcW w:w="2268" w:type="dxa"/>
            <w:tcBorders>
              <w:top w:val="single" w:sz="12" w:space="0" w:color="auto"/>
            </w:tcBorders>
            <w:shd w:val="clear" w:color="auto" w:fill="auto"/>
          </w:tcPr>
          <w:p w14:paraId="1FC49DF1" w14:textId="77777777" w:rsidR="00AE2428" w:rsidRPr="00D93D43" w:rsidRDefault="00AE2428" w:rsidP="005A5CF5">
            <w:pPr>
              <w:suppressAutoHyphens w:val="0"/>
              <w:spacing w:before="40" w:after="120" w:line="220" w:lineRule="exact"/>
              <w:ind w:right="113"/>
              <w:rPr>
                <w:b/>
              </w:rPr>
            </w:pPr>
          </w:p>
        </w:tc>
        <w:tc>
          <w:tcPr>
            <w:tcW w:w="1985" w:type="dxa"/>
            <w:tcBorders>
              <w:top w:val="single" w:sz="12" w:space="0" w:color="auto"/>
            </w:tcBorders>
          </w:tcPr>
          <w:p w14:paraId="54EBE976" w14:textId="77777777" w:rsidR="00AE2428" w:rsidRPr="00D93D43" w:rsidRDefault="00AE2428" w:rsidP="005A5CF5">
            <w:pPr>
              <w:suppressAutoHyphens w:val="0"/>
              <w:spacing w:before="40" w:after="120" w:line="220" w:lineRule="exact"/>
              <w:ind w:right="113"/>
            </w:pPr>
          </w:p>
        </w:tc>
        <w:tc>
          <w:tcPr>
            <w:tcW w:w="1890" w:type="dxa"/>
            <w:tcBorders>
              <w:top w:val="single" w:sz="12" w:space="0" w:color="auto"/>
            </w:tcBorders>
          </w:tcPr>
          <w:p w14:paraId="5B2CF23B" w14:textId="77777777" w:rsidR="00AE2428" w:rsidRPr="00D93D43" w:rsidRDefault="00AE2428" w:rsidP="005A5CF5">
            <w:pPr>
              <w:suppressAutoHyphens w:val="0"/>
              <w:spacing w:before="40" w:after="120" w:line="220" w:lineRule="exact"/>
              <w:ind w:right="113"/>
            </w:pPr>
          </w:p>
        </w:tc>
      </w:tr>
      <w:tr w:rsidR="00942809" w:rsidRPr="007E6129" w14:paraId="381B1108" w14:textId="6655A503" w:rsidTr="0051728A">
        <w:trPr>
          <w:cantSplit/>
          <w:trHeight w:val="99"/>
        </w:trPr>
        <w:tc>
          <w:tcPr>
            <w:tcW w:w="567" w:type="dxa"/>
            <w:tcBorders>
              <w:top w:val="nil"/>
              <w:bottom w:val="nil"/>
            </w:tcBorders>
            <w:shd w:val="clear" w:color="auto" w:fill="auto"/>
          </w:tcPr>
          <w:p w14:paraId="1B6A4D4D" w14:textId="4D2977D9" w:rsidR="00AE2428" w:rsidRPr="0051728A" w:rsidRDefault="00AE2428" w:rsidP="0051728A">
            <w:pPr>
              <w:suppressAutoHyphens w:val="0"/>
              <w:spacing w:before="40"/>
              <w:ind w:right="113"/>
            </w:pPr>
            <w:r>
              <w:t>2018</w:t>
            </w:r>
          </w:p>
        </w:tc>
        <w:tc>
          <w:tcPr>
            <w:tcW w:w="851" w:type="dxa"/>
            <w:tcBorders>
              <w:top w:val="nil"/>
            </w:tcBorders>
          </w:tcPr>
          <w:p w14:paraId="2EF24439" w14:textId="13648C26" w:rsidR="00AE2428" w:rsidRDefault="00AE2428" w:rsidP="00AE2428">
            <w:pPr>
              <w:suppressAutoHyphens w:val="0"/>
              <w:spacing w:before="40"/>
              <w:ind w:right="113"/>
            </w:pPr>
            <w:r>
              <w:t>High</w:t>
            </w:r>
          </w:p>
        </w:tc>
        <w:tc>
          <w:tcPr>
            <w:tcW w:w="2126" w:type="dxa"/>
            <w:tcBorders>
              <w:top w:val="nil"/>
            </w:tcBorders>
            <w:shd w:val="clear" w:color="auto" w:fill="auto"/>
          </w:tcPr>
          <w:p w14:paraId="58243240" w14:textId="6C254C76" w:rsidR="00AE2428" w:rsidRPr="008409C5" w:rsidRDefault="00D376F5" w:rsidP="0051728A">
            <w:pPr>
              <w:suppressAutoHyphens w:val="0"/>
              <w:spacing w:before="40"/>
              <w:ind w:right="113"/>
            </w:pPr>
            <w:r>
              <w:t>A.1, A.2, A.3, A.4, A.5</w:t>
            </w:r>
          </w:p>
        </w:tc>
        <w:tc>
          <w:tcPr>
            <w:tcW w:w="2268" w:type="dxa"/>
            <w:tcBorders>
              <w:top w:val="nil"/>
            </w:tcBorders>
            <w:shd w:val="clear" w:color="auto" w:fill="auto"/>
          </w:tcPr>
          <w:p w14:paraId="7FA8B2B0" w14:textId="440F1DBA" w:rsidR="00AE2428" w:rsidRPr="000C7FCF" w:rsidRDefault="00D376F5" w:rsidP="0051728A">
            <w:pPr>
              <w:spacing w:before="40"/>
              <w:ind w:right="113"/>
            </w:pPr>
            <w:r>
              <w:t>B.2</w:t>
            </w:r>
          </w:p>
        </w:tc>
        <w:tc>
          <w:tcPr>
            <w:tcW w:w="1985" w:type="dxa"/>
            <w:tcBorders>
              <w:top w:val="nil"/>
            </w:tcBorders>
          </w:tcPr>
          <w:p w14:paraId="05DC0A4B" w14:textId="70533A7A" w:rsidR="00AE2428" w:rsidRDefault="00D376F5" w:rsidP="0051728A">
            <w:pPr>
              <w:suppressAutoHyphens w:val="0"/>
              <w:spacing w:before="40"/>
              <w:ind w:right="113"/>
            </w:pPr>
            <w:r>
              <w:t>C.2</w:t>
            </w:r>
          </w:p>
        </w:tc>
        <w:tc>
          <w:tcPr>
            <w:tcW w:w="1890" w:type="dxa"/>
            <w:tcBorders>
              <w:top w:val="nil"/>
            </w:tcBorders>
          </w:tcPr>
          <w:p w14:paraId="7EA84D49" w14:textId="79D471EA" w:rsidR="00AE2428" w:rsidRDefault="00942809" w:rsidP="00AE2428">
            <w:pPr>
              <w:suppressAutoHyphens w:val="0"/>
              <w:spacing w:before="40"/>
              <w:ind w:right="113"/>
            </w:pPr>
            <w:r>
              <w:t>-</w:t>
            </w:r>
          </w:p>
        </w:tc>
      </w:tr>
      <w:tr w:rsidR="00942809" w:rsidRPr="007E6129" w14:paraId="7A450A7D" w14:textId="19A9EAA0" w:rsidTr="0051728A">
        <w:trPr>
          <w:cantSplit/>
          <w:trHeight w:val="80"/>
        </w:trPr>
        <w:tc>
          <w:tcPr>
            <w:tcW w:w="567" w:type="dxa"/>
            <w:tcBorders>
              <w:top w:val="nil"/>
              <w:bottom w:val="nil"/>
            </w:tcBorders>
            <w:shd w:val="clear" w:color="auto" w:fill="auto"/>
          </w:tcPr>
          <w:p w14:paraId="3CC61647" w14:textId="77777777" w:rsidR="00AE2428" w:rsidRDefault="00AE2428" w:rsidP="00AE2428">
            <w:pPr>
              <w:suppressAutoHyphens w:val="0"/>
              <w:spacing w:before="40"/>
              <w:ind w:right="113"/>
            </w:pPr>
          </w:p>
        </w:tc>
        <w:tc>
          <w:tcPr>
            <w:tcW w:w="851" w:type="dxa"/>
            <w:tcBorders>
              <w:top w:val="nil"/>
            </w:tcBorders>
          </w:tcPr>
          <w:p w14:paraId="16517CC2" w14:textId="696D62A3" w:rsidR="00AE2428" w:rsidRPr="00F0177D" w:rsidRDefault="00AE2428" w:rsidP="00AE2428">
            <w:pPr>
              <w:suppressAutoHyphens w:val="0"/>
              <w:spacing w:before="40"/>
              <w:ind w:right="113"/>
            </w:pPr>
            <w:r>
              <w:t>Medium</w:t>
            </w:r>
          </w:p>
        </w:tc>
        <w:tc>
          <w:tcPr>
            <w:tcW w:w="2126" w:type="dxa"/>
            <w:tcBorders>
              <w:top w:val="nil"/>
            </w:tcBorders>
            <w:shd w:val="clear" w:color="auto" w:fill="auto"/>
          </w:tcPr>
          <w:p w14:paraId="4F2BE595" w14:textId="6E346C22" w:rsidR="00AE2428" w:rsidRDefault="00D376F5" w:rsidP="0051728A">
            <w:pPr>
              <w:spacing w:before="40"/>
              <w:ind w:right="113"/>
            </w:pPr>
            <w:r>
              <w:t>A.6</w:t>
            </w:r>
          </w:p>
        </w:tc>
        <w:tc>
          <w:tcPr>
            <w:tcW w:w="2268" w:type="dxa"/>
            <w:tcBorders>
              <w:top w:val="nil"/>
            </w:tcBorders>
            <w:shd w:val="clear" w:color="auto" w:fill="auto"/>
          </w:tcPr>
          <w:p w14:paraId="62136D6D" w14:textId="12F43B38" w:rsidR="00AE2428" w:rsidRDefault="00D376F5" w:rsidP="00AE2428">
            <w:pPr>
              <w:spacing w:before="40"/>
              <w:ind w:right="113"/>
            </w:pPr>
            <w:r>
              <w:t>B.1, B3</w:t>
            </w:r>
          </w:p>
        </w:tc>
        <w:tc>
          <w:tcPr>
            <w:tcW w:w="1985" w:type="dxa"/>
            <w:tcBorders>
              <w:top w:val="nil"/>
            </w:tcBorders>
          </w:tcPr>
          <w:p w14:paraId="1E59E8CF" w14:textId="43F73C40" w:rsidR="00AE2428" w:rsidRDefault="00D376F5" w:rsidP="00AE2428">
            <w:pPr>
              <w:suppressAutoHyphens w:val="0"/>
              <w:spacing w:before="40"/>
              <w:ind w:right="113"/>
            </w:pPr>
            <w:r>
              <w:t>C.3</w:t>
            </w:r>
          </w:p>
        </w:tc>
        <w:tc>
          <w:tcPr>
            <w:tcW w:w="1890" w:type="dxa"/>
            <w:tcBorders>
              <w:top w:val="nil"/>
            </w:tcBorders>
          </w:tcPr>
          <w:p w14:paraId="269AAE67" w14:textId="0BD4EE00" w:rsidR="00AE2428" w:rsidRDefault="00D376F5" w:rsidP="00AE2428">
            <w:pPr>
              <w:suppressAutoHyphens w:val="0"/>
              <w:spacing w:before="40"/>
              <w:ind w:right="113"/>
            </w:pPr>
            <w:r>
              <w:t>D.1</w:t>
            </w:r>
            <w:r w:rsidR="00942809">
              <w:t>, D.2, D.3</w:t>
            </w:r>
          </w:p>
        </w:tc>
      </w:tr>
      <w:tr w:rsidR="00942809" w:rsidRPr="007E6129" w14:paraId="1E5161F1" w14:textId="17217AB0" w:rsidTr="0051728A">
        <w:trPr>
          <w:cantSplit/>
          <w:trHeight w:val="80"/>
        </w:trPr>
        <w:tc>
          <w:tcPr>
            <w:tcW w:w="567" w:type="dxa"/>
            <w:tcBorders>
              <w:top w:val="nil"/>
              <w:bottom w:val="nil"/>
            </w:tcBorders>
            <w:shd w:val="clear" w:color="auto" w:fill="auto"/>
          </w:tcPr>
          <w:p w14:paraId="2AA4BFDF" w14:textId="77777777" w:rsidR="00AE2428" w:rsidRDefault="00AE2428" w:rsidP="00AE2428">
            <w:pPr>
              <w:suppressAutoHyphens w:val="0"/>
              <w:spacing w:before="40"/>
              <w:ind w:right="113"/>
            </w:pPr>
          </w:p>
        </w:tc>
        <w:tc>
          <w:tcPr>
            <w:tcW w:w="851" w:type="dxa"/>
            <w:tcBorders>
              <w:top w:val="nil"/>
            </w:tcBorders>
          </w:tcPr>
          <w:p w14:paraId="0D619366" w14:textId="33884D9B" w:rsidR="00AE2428" w:rsidRPr="00F0177D" w:rsidRDefault="00AE2428" w:rsidP="0051728A">
            <w:pPr>
              <w:suppressAutoHyphens w:val="0"/>
              <w:spacing w:before="40" w:after="120"/>
              <w:ind w:right="113"/>
            </w:pPr>
            <w:r>
              <w:t>Low</w:t>
            </w:r>
          </w:p>
        </w:tc>
        <w:tc>
          <w:tcPr>
            <w:tcW w:w="2126" w:type="dxa"/>
            <w:tcBorders>
              <w:top w:val="nil"/>
            </w:tcBorders>
            <w:shd w:val="clear" w:color="auto" w:fill="auto"/>
          </w:tcPr>
          <w:p w14:paraId="73606B2C" w14:textId="6DF32B4C" w:rsidR="00AE2428" w:rsidRDefault="00D376F5" w:rsidP="00AE2428">
            <w:pPr>
              <w:suppressAutoHyphens w:val="0"/>
              <w:spacing w:before="40"/>
              <w:ind w:right="113"/>
            </w:pPr>
            <w:r>
              <w:t>-</w:t>
            </w:r>
          </w:p>
        </w:tc>
        <w:tc>
          <w:tcPr>
            <w:tcW w:w="2268" w:type="dxa"/>
            <w:tcBorders>
              <w:top w:val="nil"/>
            </w:tcBorders>
            <w:shd w:val="clear" w:color="auto" w:fill="auto"/>
          </w:tcPr>
          <w:p w14:paraId="54FC5CE3" w14:textId="3E90943B" w:rsidR="00AE2428" w:rsidRDefault="00D376F5" w:rsidP="00AE2428">
            <w:pPr>
              <w:spacing w:before="40"/>
              <w:ind w:right="113"/>
            </w:pPr>
            <w:r>
              <w:t>-</w:t>
            </w:r>
          </w:p>
        </w:tc>
        <w:tc>
          <w:tcPr>
            <w:tcW w:w="1985" w:type="dxa"/>
            <w:tcBorders>
              <w:top w:val="nil"/>
            </w:tcBorders>
          </w:tcPr>
          <w:p w14:paraId="70844B80" w14:textId="038F2A05" w:rsidR="00AE2428" w:rsidRDefault="00942809" w:rsidP="00AE2428">
            <w:pPr>
              <w:suppressAutoHyphens w:val="0"/>
              <w:spacing w:before="40"/>
              <w:ind w:right="113"/>
            </w:pPr>
            <w:r>
              <w:t>C.4</w:t>
            </w:r>
          </w:p>
        </w:tc>
        <w:tc>
          <w:tcPr>
            <w:tcW w:w="1890" w:type="dxa"/>
            <w:tcBorders>
              <w:top w:val="nil"/>
            </w:tcBorders>
          </w:tcPr>
          <w:p w14:paraId="7A6C8089" w14:textId="662328B3" w:rsidR="00AE2428" w:rsidRDefault="00942809" w:rsidP="00AE2428">
            <w:pPr>
              <w:suppressAutoHyphens w:val="0"/>
              <w:spacing w:before="40"/>
              <w:ind w:right="113"/>
            </w:pPr>
            <w:r>
              <w:t>-</w:t>
            </w:r>
          </w:p>
        </w:tc>
      </w:tr>
      <w:tr w:rsidR="00942809" w:rsidRPr="00D93D43" w14:paraId="0FCCB13E" w14:textId="21CD7013" w:rsidTr="0051728A">
        <w:trPr>
          <w:cantSplit/>
          <w:trHeight w:val="80"/>
        </w:trPr>
        <w:tc>
          <w:tcPr>
            <w:tcW w:w="567" w:type="dxa"/>
            <w:tcBorders>
              <w:top w:val="nil"/>
              <w:bottom w:val="nil"/>
            </w:tcBorders>
            <w:shd w:val="clear" w:color="auto" w:fill="auto"/>
          </w:tcPr>
          <w:p w14:paraId="3139CB7F" w14:textId="217B1B35" w:rsidR="00942809" w:rsidRPr="0051728A" w:rsidRDefault="00942809" w:rsidP="0051728A">
            <w:pPr>
              <w:suppressAutoHyphens w:val="0"/>
              <w:spacing w:before="40"/>
              <w:ind w:right="113"/>
            </w:pPr>
            <w:r w:rsidRPr="004202FD">
              <w:t>2019</w:t>
            </w:r>
          </w:p>
        </w:tc>
        <w:tc>
          <w:tcPr>
            <w:tcW w:w="851" w:type="dxa"/>
            <w:tcBorders>
              <w:top w:val="nil"/>
              <w:bottom w:val="nil"/>
            </w:tcBorders>
          </w:tcPr>
          <w:p w14:paraId="12A64A7C" w14:textId="60E2B7E8" w:rsidR="00942809" w:rsidRDefault="00942809" w:rsidP="00AE2428">
            <w:pPr>
              <w:suppressAutoHyphens w:val="0"/>
              <w:spacing w:before="40"/>
              <w:ind w:right="113"/>
            </w:pPr>
            <w:r>
              <w:t>High</w:t>
            </w:r>
          </w:p>
        </w:tc>
        <w:tc>
          <w:tcPr>
            <w:tcW w:w="2126" w:type="dxa"/>
            <w:tcBorders>
              <w:top w:val="nil"/>
              <w:bottom w:val="nil"/>
            </w:tcBorders>
            <w:shd w:val="clear" w:color="auto" w:fill="auto"/>
          </w:tcPr>
          <w:p w14:paraId="11408F85" w14:textId="094B1BA0" w:rsidR="00942809" w:rsidRPr="002F11CD" w:rsidRDefault="00942809" w:rsidP="0051728A">
            <w:pPr>
              <w:suppressAutoHyphens w:val="0"/>
              <w:spacing w:before="40"/>
              <w:ind w:right="113"/>
            </w:pPr>
            <w:r>
              <w:t>A.1, A.2, A.3, A.5</w:t>
            </w:r>
          </w:p>
        </w:tc>
        <w:tc>
          <w:tcPr>
            <w:tcW w:w="2268" w:type="dxa"/>
            <w:tcBorders>
              <w:top w:val="nil"/>
              <w:bottom w:val="nil"/>
            </w:tcBorders>
            <w:shd w:val="clear" w:color="auto" w:fill="auto"/>
          </w:tcPr>
          <w:p w14:paraId="74CEA69F" w14:textId="5B219781" w:rsidR="00942809" w:rsidRDefault="00942809" w:rsidP="0051728A">
            <w:pPr>
              <w:spacing w:before="40"/>
              <w:ind w:right="113"/>
            </w:pPr>
            <w:r>
              <w:t>B.2</w:t>
            </w:r>
          </w:p>
        </w:tc>
        <w:tc>
          <w:tcPr>
            <w:tcW w:w="1985" w:type="dxa"/>
            <w:tcBorders>
              <w:top w:val="nil"/>
              <w:bottom w:val="nil"/>
            </w:tcBorders>
          </w:tcPr>
          <w:p w14:paraId="36DB22A4" w14:textId="24724C17" w:rsidR="00942809" w:rsidRPr="002C02F7" w:rsidRDefault="00942809" w:rsidP="0051728A">
            <w:pPr>
              <w:suppressAutoHyphens w:val="0"/>
              <w:spacing w:before="40"/>
              <w:ind w:right="113"/>
            </w:pPr>
            <w:r>
              <w:t>C.2</w:t>
            </w:r>
          </w:p>
        </w:tc>
        <w:tc>
          <w:tcPr>
            <w:tcW w:w="1890" w:type="dxa"/>
            <w:tcBorders>
              <w:top w:val="nil"/>
              <w:bottom w:val="nil"/>
            </w:tcBorders>
          </w:tcPr>
          <w:p w14:paraId="61514BD0" w14:textId="5CAD2795" w:rsidR="00942809" w:rsidRDefault="00942809" w:rsidP="00AE2428">
            <w:pPr>
              <w:suppressAutoHyphens w:val="0"/>
              <w:spacing w:before="40"/>
              <w:ind w:right="113"/>
            </w:pPr>
            <w:r>
              <w:t>D.4</w:t>
            </w:r>
          </w:p>
        </w:tc>
      </w:tr>
      <w:tr w:rsidR="00942809" w:rsidRPr="00D93D43" w14:paraId="1B9AD6FE" w14:textId="77777777" w:rsidTr="0051728A">
        <w:trPr>
          <w:cantSplit/>
          <w:trHeight w:val="80"/>
        </w:trPr>
        <w:tc>
          <w:tcPr>
            <w:tcW w:w="567" w:type="dxa"/>
            <w:tcBorders>
              <w:top w:val="nil"/>
              <w:bottom w:val="nil"/>
            </w:tcBorders>
            <w:shd w:val="clear" w:color="auto" w:fill="auto"/>
          </w:tcPr>
          <w:p w14:paraId="11B647D5" w14:textId="77777777" w:rsidR="00942809" w:rsidRPr="004202FD" w:rsidRDefault="00942809" w:rsidP="00AE2428">
            <w:pPr>
              <w:suppressAutoHyphens w:val="0"/>
              <w:spacing w:before="40"/>
              <w:ind w:right="113"/>
            </w:pPr>
          </w:p>
        </w:tc>
        <w:tc>
          <w:tcPr>
            <w:tcW w:w="851" w:type="dxa"/>
            <w:tcBorders>
              <w:top w:val="nil"/>
              <w:bottom w:val="nil"/>
            </w:tcBorders>
          </w:tcPr>
          <w:p w14:paraId="18EE7279" w14:textId="74B62E79" w:rsidR="00942809" w:rsidRDefault="00942809" w:rsidP="00AE2428">
            <w:pPr>
              <w:suppressAutoHyphens w:val="0"/>
              <w:spacing w:before="40"/>
              <w:ind w:right="113"/>
            </w:pPr>
            <w:r>
              <w:t>Medium</w:t>
            </w:r>
          </w:p>
        </w:tc>
        <w:tc>
          <w:tcPr>
            <w:tcW w:w="2126" w:type="dxa"/>
            <w:tcBorders>
              <w:top w:val="nil"/>
              <w:bottom w:val="nil"/>
            </w:tcBorders>
            <w:shd w:val="clear" w:color="auto" w:fill="auto"/>
          </w:tcPr>
          <w:p w14:paraId="0EAA595C" w14:textId="41900EA1" w:rsidR="00942809" w:rsidRPr="002F11CD" w:rsidRDefault="00942809" w:rsidP="00AE2428">
            <w:pPr>
              <w:suppressAutoHyphens w:val="0"/>
              <w:spacing w:before="40"/>
              <w:ind w:right="113"/>
            </w:pPr>
            <w:r>
              <w:t>A.6</w:t>
            </w:r>
          </w:p>
        </w:tc>
        <w:tc>
          <w:tcPr>
            <w:tcW w:w="2268" w:type="dxa"/>
            <w:tcBorders>
              <w:top w:val="nil"/>
              <w:bottom w:val="nil"/>
            </w:tcBorders>
            <w:shd w:val="clear" w:color="auto" w:fill="auto"/>
          </w:tcPr>
          <w:p w14:paraId="3832EA40" w14:textId="32BE0715" w:rsidR="00942809" w:rsidRDefault="00942809" w:rsidP="00AE2428">
            <w:pPr>
              <w:spacing w:before="40"/>
              <w:ind w:right="113"/>
            </w:pPr>
            <w:r>
              <w:t>B.1, B3</w:t>
            </w:r>
          </w:p>
        </w:tc>
        <w:tc>
          <w:tcPr>
            <w:tcW w:w="1985" w:type="dxa"/>
            <w:tcBorders>
              <w:top w:val="nil"/>
              <w:bottom w:val="nil"/>
            </w:tcBorders>
          </w:tcPr>
          <w:p w14:paraId="14516C33" w14:textId="4FDDE4AC" w:rsidR="00942809" w:rsidRPr="002C02F7" w:rsidRDefault="00942809" w:rsidP="00AE2428">
            <w:pPr>
              <w:suppressAutoHyphens w:val="0"/>
              <w:spacing w:before="40"/>
              <w:ind w:right="113"/>
            </w:pPr>
            <w:r>
              <w:t>C.3</w:t>
            </w:r>
          </w:p>
        </w:tc>
        <w:tc>
          <w:tcPr>
            <w:tcW w:w="1890" w:type="dxa"/>
            <w:tcBorders>
              <w:top w:val="nil"/>
              <w:bottom w:val="nil"/>
            </w:tcBorders>
          </w:tcPr>
          <w:p w14:paraId="12B096EE" w14:textId="5B83EBD6" w:rsidR="00942809" w:rsidRDefault="00942809" w:rsidP="00AE2428">
            <w:pPr>
              <w:suppressAutoHyphens w:val="0"/>
              <w:spacing w:before="40"/>
              <w:ind w:right="113"/>
            </w:pPr>
            <w:r>
              <w:t>D.1, D.2, D.3</w:t>
            </w:r>
          </w:p>
        </w:tc>
      </w:tr>
      <w:tr w:rsidR="00942809" w:rsidRPr="00D93D43" w14:paraId="46749CE1" w14:textId="77777777" w:rsidTr="0051728A">
        <w:trPr>
          <w:cantSplit/>
          <w:trHeight w:val="80"/>
        </w:trPr>
        <w:tc>
          <w:tcPr>
            <w:tcW w:w="567" w:type="dxa"/>
            <w:tcBorders>
              <w:top w:val="nil"/>
              <w:bottom w:val="nil"/>
            </w:tcBorders>
            <w:shd w:val="clear" w:color="auto" w:fill="auto"/>
          </w:tcPr>
          <w:p w14:paraId="7578B32A" w14:textId="77777777" w:rsidR="00942809" w:rsidRPr="004202FD" w:rsidRDefault="00942809" w:rsidP="00AE2428">
            <w:pPr>
              <w:suppressAutoHyphens w:val="0"/>
              <w:spacing w:before="40"/>
              <w:ind w:right="113"/>
            </w:pPr>
          </w:p>
        </w:tc>
        <w:tc>
          <w:tcPr>
            <w:tcW w:w="851" w:type="dxa"/>
            <w:tcBorders>
              <w:top w:val="nil"/>
              <w:bottom w:val="nil"/>
            </w:tcBorders>
          </w:tcPr>
          <w:p w14:paraId="327E57DB" w14:textId="0C21C714" w:rsidR="00942809" w:rsidRDefault="00942809" w:rsidP="0051728A">
            <w:pPr>
              <w:suppressAutoHyphens w:val="0"/>
              <w:spacing w:before="40" w:after="120"/>
              <w:ind w:right="113"/>
            </w:pPr>
            <w:r>
              <w:t>Low</w:t>
            </w:r>
          </w:p>
        </w:tc>
        <w:tc>
          <w:tcPr>
            <w:tcW w:w="2126" w:type="dxa"/>
            <w:tcBorders>
              <w:top w:val="nil"/>
              <w:bottom w:val="nil"/>
            </w:tcBorders>
            <w:shd w:val="clear" w:color="auto" w:fill="auto"/>
          </w:tcPr>
          <w:p w14:paraId="33FD414E" w14:textId="4E8E01CA" w:rsidR="00942809" w:rsidRPr="002F11CD" w:rsidRDefault="00942809" w:rsidP="00AE2428">
            <w:pPr>
              <w:suppressAutoHyphens w:val="0"/>
              <w:spacing w:before="40"/>
              <w:ind w:right="113"/>
            </w:pPr>
            <w:r>
              <w:t>-</w:t>
            </w:r>
          </w:p>
        </w:tc>
        <w:tc>
          <w:tcPr>
            <w:tcW w:w="2268" w:type="dxa"/>
            <w:tcBorders>
              <w:top w:val="nil"/>
              <w:bottom w:val="nil"/>
            </w:tcBorders>
            <w:shd w:val="clear" w:color="auto" w:fill="auto"/>
          </w:tcPr>
          <w:p w14:paraId="15BF1186" w14:textId="3F227497" w:rsidR="00942809" w:rsidRDefault="00942809" w:rsidP="00AE2428">
            <w:pPr>
              <w:spacing w:before="40"/>
              <w:ind w:right="113"/>
            </w:pPr>
            <w:r>
              <w:t>-</w:t>
            </w:r>
          </w:p>
        </w:tc>
        <w:tc>
          <w:tcPr>
            <w:tcW w:w="1985" w:type="dxa"/>
            <w:tcBorders>
              <w:top w:val="nil"/>
              <w:bottom w:val="nil"/>
            </w:tcBorders>
          </w:tcPr>
          <w:p w14:paraId="5E100065" w14:textId="32917D78" w:rsidR="00942809" w:rsidRPr="002C02F7" w:rsidRDefault="00942809" w:rsidP="00AE2428">
            <w:pPr>
              <w:suppressAutoHyphens w:val="0"/>
              <w:spacing w:before="40"/>
              <w:ind w:right="113"/>
            </w:pPr>
            <w:r>
              <w:t>C.4, C.5</w:t>
            </w:r>
          </w:p>
        </w:tc>
        <w:tc>
          <w:tcPr>
            <w:tcW w:w="1890" w:type="dxa"/>
            <w:tcBorders>
              <w:top w:val="nil"/>
              <w:bottom w:val="nil"/>
            </w:tcBorders>
          </w:tcPr>
          <w:p w14:paraId="26EBFDCE" w14:textId="6EFB4915" w:rsidR="00942809" w:rsidRDefault="00942809" w:rsidP="00AE2428">
            <w:pPr>
              <w:suppressAutoHyphens w:val="0"/>
              <w:spacing w:before="40"/>
              <w:ind w:right="113"/>
            </w:pPr>
            <w:r>
              <w:t>-</w:t>
            </w:r>
          </w:p>
        </w:tc>
      </w:tr>
      <w:tr w:rsidR="00942809" w:rsidRPr="00D93D43" w14:paraId="037D7C17" w14:textId="06D64C46" w:rsidTr="0051728A">
        <w:trPr>
          <w:cantSplit/>
          <w:trHeight w:val="80"/>
        </w:trPr>
        <w:tc>
          <w:tcPr>
            <w:tcW w:w="567" w:type="dxa"/>
            <w:tcBorders>
              <w:top w:val="nil"/>
              <w:bottom w:val="nil"/>
            </w:tcBorders>
            <w:shd w:val="clear" w:color="auto" w:fill="auto"/>
          </w:tcPr>
          <w:p w14:paraId="72A007CC" w14:textId="21625717" w:rsidR="00942809" w:rsidRPr="001E74A9" w:rsidRDefault="00942809" w:rsidP="0051728A">
            <w:pPr>
              <w:suppressAutoHyphens w:val="0"/>
              <w:spacing w:before="40"/>
              <w:ind w:right="113"/>
            </w:pPr>
            <w:r w:rsidRPr="009D78AF">
              <w:t>2020</w:t>
            </w:r>
          </w:p>
        </w:tc>
        <w:tc>
          <w:tcPr>
            <w:tcW w:w="851" w:type="dxa"/>
            <w:tcBorders>
              <w:top w:val="nil"/>
              <w:bottom w:val="nil"/>
            </w:tcBorders>
          </w:tcPr>
          <w:p w14:paraId="38F8AD02" w14:textId="53DA6FA9" w:rsidR="00942809" w:rsidRDefault="00942809" w:rsidP="00AE2428">
            <w:pPr>
              <w:suppressAutoHyphens w:val="0"/>
              <w:spacing w:before="40"/>
              <w:ind w:right="113"/>
            </w:pPr>
            <w:r>
              <w:t>High</w:t>
            </w:r>
          </w:p>
        </w:tc>
        <w:tc>
          <w:tcPr>
            <w:tcW w:w="2126" w:type="dxa"/>
            <w:tcBorders>
              <w:top w:val="nil"/>
              <w:bottom w:val="nil"/>
            </w:tcBorders>
            <w:shd w:val="clear" w:color="auto" w:fill="auto"/>
          </w:tcPr>
          <w:p w14:paraId="00580B68" w14:textId="0CD3A608" w:rsidR="00942809" w:rsidRPr="002F11CD" w:rsidRDefault="00942809" w:rsidP="0051728A">
            <w:pPr>
              <w:suppressAutoHyphens w:val="0"/>
              <w:spacing w:before="40"/>
              <w:ind w:right="113"/>
            </w:pPr>
            <w:r>
              <w:t>A.1, A.2, A.3, A.5</w:t>
            </w:r>
          </w:p>
        </w:tc>
        <w:tc>
          <w:tcPr>
            <w:tcW w:w="2268" w:type="dxa"/>
            <w:tcBorders>
              <w:top w:val="nil"/>
              <w:bottom w:val="nil"/>
            </w:tcBorders>
            <w:shd w:val="clear" w:color="auto" w:fill="auto"/>
          </w:tcPr>
          <w:p w14:paraId="4CBA56A5" w14:textId="2EF1F56B" w:rsidR="00942809" w:rsidRDefault="00942809" w:rsidP="0051728A">
            <w:pPr>
              <w:spacing w:before="40"/>
              <w:ind w:right="113"/>
            </w:pPr>
            <w:r>
              <w:t>B.2</w:t>
            </w:r>
          </w:p>
        </w:tc>
        <w:tc>
          <w:tcPr>
            <w:tcW w:w="1985" w:type="dxa"/>
            <w:tcBorders>
              <w:top w:val="nil"/>
              <w:bottom w:val="nil"/>
            </w:tcBorders>
          </w:tcPr>
          <w:p w14:paraId="239AC4D2" w14:textId="1AEABC70" w:rsidR="00942809" w:rsidRPr="002C02F7" w:rsidRDefault="00942809" w:rsidP="0051728A">
            <w:pPr>
              <w:suppressAutoHyphens w:val="0"/>
              <w:spacing w:before="40"/>
              <w:ind w:right="113"/>
            </w:pPr>
            <w:r>
              <w:t>C.2</w:t>
            </w:r>
          </w:p>
        </w:tc>
        <w:tc>
          <w:tcPr>
            <w:tcW w:w="1890" w:type="dxa"/>
            <w:tcBorders>
              <w:top w:val="nil"/>
              <w:bottom w:val="nil"/>
            </w:tcBorders>
          </w:tcPr>
          <w:p w14:paraId="6638C782" w14:textId="51809882" w:rsidR="00942809" w:rsidRDefault="00942809" w:rsidP="00AE2428">
            <w:pPr>
              <w:suppressAutoHyphens w:val="0"/>
              <w:spacing w:before="40"/>
              <w:ind w:right="113"/>
            </w:pPr>
            <w:r>
              <w:t>D.4</w:t>
            </w:r>
          </w:p>
        </w:tc>
      </w:tr>
      <w:tr w:rsidR="00942809" w:rsidRPr="00D93D43" w14:paraId="73853315" w14:textId="77777777" w:rsidTr="0051728A">
        <w:trPr>
          <w:cantSplit/>
          <w:trHeight w:val="80"/>
        </w:trPr>
        <w:tc>
          <w:tcPr>
            <w:tcW w:w="567" w:type="dxa"/>
            <w:tcBorders>
              <w:top w:val="nil"/>
              <w:bottom w:val="nil"/>
            </w:tcBorders>
            <w:shd w:val="clear" w:color="auto" w:fill="auto"/>
          </w:tcPr>
          <w:p w14:paraId="5B7EC6C4" w14:textId="77777777" w:rsidR="00942809" w:rsidRPr="009D78AF" w:rsidRDefault="00942809" w:rsidP="00AE2428">
            <w:pPr>
              <w:suppressAutoHyphens w:val="0"/>
              <w:spacing w:before="40"/>
              <w:ind w:right="113"/>
            </w:pPr>
          </w:p>
        </w:tc>
        <w:tc>
          <w:tcPr>
            <w:tcW w:w="851" w:type="dxa"/>
            <w:tcBorders>
              <w:top w:val="nil"/>
              <w:bottom w:val="nil"/>
            </w:tcBorders>
          </w:tcPr>
          <w:p w14:paraId="299C3D73" w14:textId="7DFA93F0" w:rsidR="00942809" w:rsidRDefault="00942809" w:rsidP="00AE2428">
            <w:pPr>
              <w:suppressAutoHyphens w:val="0"/>
              <w:spacing w:before="40"/>
              <w:ind w:right="113"/>
            </w:pPr>
            <w:r>
              <w:t>Medium</w:t>
            </w:r>
          </w:p>
        </w:tc>
        <w:tc>
          <w:tcPr>
            <w:tcW w:w="2126" w:type="dxa"/>
            <w:tcBorders>
              <w:top w:val="nil"/>
              <w:bottom w:val="nil"/>
            </w:tcBorders>
            <w:shd w:val="clear" w:color="auto" w:fill="auto"/>
          </w:tcPr>
          <w:p w14:paraId="69EE1BFF" w14:textId="2E952BC4" w:rsidR="00942809" w:rsidRPr="002F11CD" w:rsidRDefault="00942809" w:rsidP="00AE2428">
            <w:pPr>
              <w:suppressAutoHyphens w:val="0"/>
              <w:spacing w:before="40"/>
              <w:ind w:right="113"/>
            </w:pPr>
            <w:r>
              <w:t>A.6</w:t>
            </w:r>
          </w:p>
        </w:tc>
        <w:tc>
          <w:tcPr>
            <w:tcW w:w="2268" w:type="dxa"/>
            <w:tcBorders>
              <w:top w:val="nil"/>
              <w:bottom w:val="nil"/>
            </w:tcBorders>
            <w:shd w:val="clear" w:color="auto" w:fill="auto"/>
          </w:tcPr>
          <w:p w14:paraId="6EB500D1" w14:textId="1360E0DE" w:rsidR="00942809" w:rsidRDefault="00942809" w:rsidP="00AE2428">
            <w:pPr>
              <w:spacing w:before="40"/>
              <w:ind w:right="113"/>
            </w:pPr>
            <w:r>
              <w:t>B.1, B3</w:t>
            </w:r>
          </w:p>
        </w:tc>
        <w:tc>
          <w:tcPr>
            <w:tcW w:w="1985" w:type="dxa"/>
            <w:tcBorders>
              <w:top w:val="nil"/>
              <w:bottom w:val="nil"/>
            </w:tcBorders>
          </w:tcPr>
          <w:p w14:paraId="30ED4372" w14:textId="3A4BD4C0" w:rsidR="00942809" w:rsidRPr="002C02F7" w:rsidRDefault="00942809" w:rsidP="00AE2428">
            <w:pPr>
              <w:suppressAutoHyphens w:val="0"/>
              <w:spacing w:before="40"/>
              <w:ind w:right="113"/>
            </w:pPr>
            <w:r>
              <w:t>C.3</w:t>
            </w:r>
          </w:p>
        </w:tc>
        <w:tc>
          <w:tcPr>
            <w:tcW w:w="1890" w:type="dxa"/>
            <w:tcBorders>
              <w:top w:val="nil"/>
              <w:bottom w:val="nil"/>
            </w:tcBorders>
          </w:tcPr>
          <w:p w14:paraId="19412716" w14:textId="4D679515" w:rsidR="00942809" w:rsidRDefault="00942809" w:rsidP="00AE2428">
            <w:pPr>
              <w:suppressAutoHyphens w:val="0"/>
              <w:spacing w:before="40"/>
              <w:ind w:right="113"/>
            </w:pPr>
            <w:r>
              <w:t>D.1, D.2, D.3</w:t>
            </w:r>
          </w:p>
        </w:tc>
      </w:tr>
      <w:tr w:rsidR="00942809" w:rsidRPr="00D93D43" w14:paraId="30E0B627" w14:textId="77777777" w:rsidTr="0051728A">
        <w:trPr>
          <w:cantSplit/>
          <w:trHeight w:val="80"/>
        </w:trPr>
        <w:tc>
          <w:tcPr>
            <w:tcW w:w="567" w:type="dxa"/>
            <w:tcBorders>
              <w:top w:val="nil"/>
              <w:bottom w:val="nil"/>
            </w:tcBorders>
            <w:shd w:val="clear" w:color="auto" w:fill="auto"/>
          </w:tcPr>
          <w:p w14:paraId="6068A263" w14:textId="77777777" w:rsidR="00942809" w:rsidRPr="009D78AF" w:rsidRDefault="00942809" w:rsidP="00AE2428">
            <w:pPr>
              <w:suppressAutoHyphens w:val="0"/>
              <w:spacing w:before="40"/>
              <w:ind w:right="113"/>
            </w:pPr>
          </w:p>
        </w:tc>
        <w:tc>
          <w:tcPr>
            <w:tcW w:w="851" w:type="dxa"/>
            <w:tcBorders>
              <w:top w:val="nil"/>
              <w:bottom w:val="nil"/>
            </w:tcBorders>
          </w:tcPr>
          <w:p w14:paraId="292A94AC" w14:textId="110A4D76" w:rsidR="00942809" w:rsidRDefault="00942809" w:rsidP="0051728A">
            <w:pPr>
              <w:suppressAutoHyphens w:val="0"/>
              <w:spacing w:before="40" w:after="120"/>
              <w:ind w:right="113"/>
            </w:pPr>
            <w:r>
              <w:t>Low</w:t>
            </w:r>
          </w:p>
        </w:tc>
        <w:tc>
          <w:tcPr>
            <w:tcW w:w="2126" w:type="dxa"/>
            <w:tcBorders>
              <w:top w:val="nil"/>
              <w:bottom w:val="nil"/>
            </w:tcBorders>
            <w:shd w:val="clear" w:color="auto" w:fill="auto"/>
          </w:tcPr>
          <w:p w14:paraId="619642C1" w14:textId="2BBCD426" w:rsidR="00942809" w:rsidRPr="002F11CD" w:rsidRDefault="00942809" w:rsidP="00AE2428">
            <w:pPr>
              <w:suppressAutoHyphens w:val="0"/>
              <w:spacing w:before="40"/>
              <w:ind w:right="113"/>
            </w:pPr>
            <w:r>
              <w:t>-</w:t>
            </w:r>
          </w:p>
        </w:tc>
        <w:tc>
          <w:tcPr>
            <w:tcW w:w="2268" w:type="dxa"/>
            <w:tcBorders>
              <w:top w:val="nil"/>
              <w:bottom w:val="nil"/>
            </w:tcBorders>
            <w:shd w:val="clear" w:color="auto" w:fill="auto"/>
          </w:tcPr>
          <w:p w14:paraId="5C8BCFC3" w14:textId="069F53B5" w:rsidR="00942809" w:rsidRDefault="00942809" w:rsidP="00AE2428">
            <w:pPr>
              <w:spacing w:before="40"/>
              <w:ind w:right="113"/>
            </w:pPr>
            <w:r>
              <w:t>-</w:t>
            </w:r>
          </w:p>
        </w:tc>
        <w:tc>
          <w:tcPr>
            <w:tcW w:w="1985" w:type="dxa"/>
            <w:tcBorders>
              <w:top w:val="nil"/>
              <w:bottom w:val="nil"/>
            </w:tcBorders>
          </w:tcPr>
          <w:p w14:paraId="7AAE4A05" w14:textId="0A2DAF35" w:rsidR="00942809" w:rsidRPr="002C02F7" w:rsidRDefault="00942809" w:rsidP="00AE2428">
            <w:pPr>
              <w:suppressAutoHyphens w:val="0"/>
              <w:spacing w:before="40"/>
              <w:ind w:right="113"/>
            </w:pPr>
            <w:r>
              <w:t>C.4, C.5</w:t>
            </w:r>
          </w:p>
        </w:tc>
        <w:tc>
          <w:tcPr>
            <w:tcW w:w="1890" w:type="dxa"/>
            <w:tcBorders>
              <w:top w:val="nil"/>
              <w:bottom w:val="nil"/>
            </w:tcBorders>
          </w:tcPr>
          <w:p w14:paraId="0B5AAE63" w14:textId="19CF2903" w:rsidR="00942809" w:rsidRDefault="00942809" w:rsidP="00AE2428">
            <w:pPr>
              <w:suppressAutoHyphens w:val="0"/>
              <w:spacing w:before="40"/>
              <w:ind w:right="113"/>
            </w:pPr>
            <w:r>
              <w:t>-</w:t>
            </w:r>
          </w:p>
        </w:tc>
      </w:tr>
      <w:tr w:rsidR="00942809" w:rsidRPr="00D93D43" w14:paraId="647ACDC2" w14:textId="2B4ABB44" w:rsidTr="0051728A">
        <w:trPr>
          <w:cantSplit/>
          <w:trHeight w:val="80"/>
        </w:trPr>
        <w:tc>
          <w:tcPr>
            <w:tcW w:w="567" w:type="dxa"/>
            <w:tcBorders>
              <w:top w:val="nil"/>
              <w:bottom w:val="nil"/>
            </w:tcBorders>
            <w:shd w:val="clear" w:color="auto" w:fill="auto"/>
          </w:tcPr>
          <w:p w14:paraId="6210FFC8" w14:textId="34018E79" w:rsidR="00942809" w:rsidRPr="0051728A" w:rsidRDefault="00942809" w:rsidP="0051728A">
            <w:pPr>
              <w:suppressAutoHyphens w:val="0"/>
              <w:spacing w:before="40"/>
              <w:ind w:right="113"/>
            </w:pPr>
            <w:r w:rsidRPr="0051728A">
              <w:t>2021</w:t>
            </w:r>
          </w:p>
        </w:tc>
        <w:tc>
          <w:tcPr>
            <w:tcW w:w="851" w:type="dxa"/>
          </w:tcPr>
          <w:p w14:paraId="47B178EB" w14:textId="69988E18" w:rsidR="00942809" w:rsidRDefault="00942809" w:rsidP="00AE2428">
            <w:pPr>
              <w:suppressAutoHyphens w:val="0"/>
              <w:spacing w:before="40"/>
              <w:ind w:right="113"/>
            </w:pPr>
            <w:r>
              <w:t>High</w:t>
            </w:r>
          </w:p>
        </w:tc>
        <w:tc>
          <w:tcPr>
            <w:tcW w:w="2126" w:type="dxa"/>
            <w:shd w:val="clear" w:color="auto" w:fill="auto"/>
          </w:tcPr>
          <w:p w14:paraId="41317FC3" w14:textId="778C740D" w:rsidR="00942809" w:rsidRPr="001353AF" w:rsidRDefault="00942809" w:rsidP="0051728A">
            <w:pPr>
              <w:suppressAutoHyphens w:val="0"/>
              <w:spacing w:before="40"/>
              <w:ind w:right="113"/>
            </w:pPr>
            <w:r>
              <w:t>A.1, A.2, A.3, A.5</w:t>
            </w:r>
          </w:p>
        </w:tc>
        <w:tc>
          <w:tcPr>
            <w:tcW w:w="2268" w:type="dxa"/>
            <w:shd w:val="clear" w:color="auto" w:fill="auto"/>
          </w:tcPr>
          <w:p w14:paraId="22FF2918" w14:textId="59C69F26" w:rsidR="00942809" w:rsidRPr="001353AF" w:rsidRDefault="00942809" w:rsidP="0051728A">
            <w:pPr>
              <w:spacing w:before="40"/>
              <w:ind w:right="113"/>
            </w:pPr>
            <w:r>
              <w:t>B.2</w:t>
            </w:r>
          </w:p>
        </w:tc>
        <w:tc>
          <w:tcPr>
            <w:tcW w:w="1985" w:type="dxa"/>
          </w:tcPr>
          <w:p w14:paraId="31D83B9C" w14:textId="2B4BCE4C" w:rsidR="00942809" w:rsidRPr="002C02F7" w:rsidRDefault="00942809" w:rsidP="0051728A">
            <w:pPr>
              <w:suppressAutoHyphens w:val="0"/>
              <w:spacing w:before="40"/>
              <w:ind w:right="113"/>
            </w:pPr>
            <w:r>
              <w:t>C.2</w:t>
            </w:r>
          </w:p>
        </w:tc>
        <w:tc>
          <w:tcPr>
            <w:tcW w:w="1890" w:type="dxa"/>
          </w:tcPr>
          <w:p w14:paraId="6CFEEEE6" w14:textId="250EEF6F" w:rsidR="00942809" w:rsidRDefault="00942809" w:rsidP="00AE2428">
            <w:pPr>
              <w:suppressAutoHyphens w:val="0"/>
              <w:spacing w:before="40"/>
              <w:ind w:right="113"/>
            </w:pPr>
            <w:r>
              <w:t>D.4</w:t>
            </w:r>
          </w:p>
        </w:tc>
      </w:tr>
      <w:tr w:rsidR="00942809" w:rsidRPr="00D93D43" w14:paraId="2BE10449" w14:textId="77777777" w:rsidTr="0051728A">
        <w:trPr>
          <w:cantSplit/>
          <w:trHeight w:val="80"/>
        </w:trPr>
        <w:tc>
          <w:tcPr>
            <w:tcW w:w="567" w:type="dxa"/>
            <w:tcBorders>
              <w:top w:val="nil"/>
              <w:bottom w:val="nil"/>
            </w:tcBorders>
            <w:shd w:val="clear" w:color="auto" w:fill="auto"/>
          </w:tcPr>
          <w:p w14:paraId="27B89F49" w14:textId="77777777" w:rsidR="00942809" w:rsidRPr="00AE2428" w:rsidRDefault="00942809" w:rsidP="00AE2428">
            <w:pPr>
              <w:suppressAutoHyphens w:val="0"/>
              <w:spacing w:before="40"/>
              <w:ind w:right="113"/>
            </w:pPr>
          </w:p>
        </w:tc>
        <w:tc>
          <w:tcPr>
            <w:tcW w:w="851" w:type="dxa"/>
          </w:tcPr>
          <w:p w14:paraId="70C37993" w14:textId="1C902003" w:rsidR="00942809" w:rsidRDefault="00942809" w:rsidP="00AE2428">
            <w:pPr>
              <w:suppressAutoHyphens w:val="0"/>
              <w:spacing w:before="40"/>
              <w:ind w:right="113"/>
            </w:pPr>
            <w:r>
              <w:t>Medium</w:t>
            </w:r>
          </w:p>
        </w:tc>
        <w:tc>
          <w:tcPr>
            <w:tcW w:w="2126" w:type="dxa"/>
            <w:shd w:val="clear" w:color="auto" w:fill="auto"/>
          </w:tcPr>
          <w:p w14:paraId="161BF63D" w14:textId="624D0949" w:rsidR="00942809" w:rsidRPr="001353AF" w:rsidRDefault="00942809" w:rsidP="00AE2428">
            <w:pPr>
              <w:suppressAutoHyphens w:val="0"/>
              <w:spacing w:before="40"/>
              <w:ind w:right="113"/>
            </w:pPr>
            <w:r>
              <w:t>A.6</w:t>
            </w:r>
          </w:p>
        </w:tc>
        <w:tc>
          <w:tcPr>
            <w:tcW w:w="2268" w:type="dxa"/>
            <w:shd w:val="clear" w:color="auto" w:fill="auto"/>
          </w:tcPr>
          <w:p w14:paraId="49C2431F" w14:textId="33D45A42" w:rsidR="00942809" w:rsidRPr="001353AF" w:rsidRDefault="00942809" w:rsidP="00AE2428">
            <w:pPr>
              <w:spacing w:before="40"/>
              <w:ind w:right="113"/>
            </w:pPr>
            <w:r>
              <w:t>B.1, B3</w:t>
            </w:r>
          </w:p>
        </w:tc>
        <w:tc>
          <w:tcPr>
            <w:tcW w:w="1985" w:type="dxa"/>
          </w:tcPr>
          <w:p w14:paraId="3C95E89C" w14:textId="163609EF" w:rsidR="00942809" w:rsidRPr="002C02F7" w:rsidRDefault="00942809" w:rsidP="00AE2428">
            <w:pPr>
              <w:suppressAutoHyphens w:val="0"/>
              <w:spacing w:before="40"/>
              <w:ind w:right="113"/>
            </w:pPr>
            <w:r>
              <w:t>C.3</w:t>
            </w:r>
          </w:p>
        </w:tc>
        <w:tc>
          <w:tcPr>
            <w:tcW w:w="1890" w:type="dxa"/>
          </w:tcPr>
          <w:p w14:paraId="5E09752C" w14:textId="49044592" w:rsidR="00942809" w:rsidRDefault="00942809" w:rsidP="00AE2428">
            <w:pPr>
              <w:suppressAutoHyphens w:val="0"/>
              <w:spacing w:before="40"/>
              <w:ind w:right="113"/>
            </w:pPr>
            <w:r>
              <w:t>D.1, D.2, D.3</w:t>
            </w:r>
          </w:p>
        </w:tc>
      </w:tr>
      <w:tr w:rsidR="00942809" w:rsidRPr="00D93D43" w14:paraId="381980EC" w14:textId="77777777" w:rsidTr="0051728A">
        <w:trPr>
          <w:cantSplit/>
          <w:trHeight w:val="80"/>
        </w:trPr>
        <w:tc>
          <w:tcPr>
            <w:tcW w:w="567" w:type="dxa"/>
            <w:tcBorders>
              <w:top w:val="nil"/>
              <w:bottom w:val="single" w:sz="12" w:space="0" w:color="auto"/>
            </w:tcBorders>
            <w:shd w:val="clear" w:color="auto" w:fill="auto"/>
          </w:tcPr>
          <w:p w14:paraId="2D61BDF4" w14:textId="77777777" w:rsidR="00942809" w:rsidRPr="00AE2428" w:rsidRDefault="00942809" w:rsidP="00AE2428">
            <w:pPr>
              <w:suppressAutoHyphens w:val="0"/>
              <w:spacing w:before="40"/>
              <w:ind w:right="113"/>
            </w:pPr>
          </w:p>
        </w:tc>
        <w:tc>
          <w:tcPr>
            <w:tcW w:w="851" w:type="dxa"/>
          </w:tcPr>
          <w:p w14:paraId="19C1077E" w14:textId="6028DF24" w:rsidR="00942809" w:rsidRDefault="00942809" w:rsidP="0051728A">
            <w:pPr>
              <w:suppressAutoHyphens w:val="0"/>
              <w:spacing w:before="40" w:after="120"/>
              <w:ind w:right="113"/>
            </w:pPr>
            <w:r>
              <w:t>Low</w:t>
            </w:r>
          </w:p>
        </w:tc>
        <w:tc>
          <w:tcPr>
            <w:tcW w:w="2126" w:type="dxa"/>
            <w:shd w:val="clear" w:color="auto" w:fill="auto"/>
          </w:tcPr>
          <w:p w14:paraId="1D493C0D" w14:textId="406A2B62" w:rsidR="00942809" w:rsidRPr="001353AF" w:rsidRDefault="00942809" w:rsidP="00AE2428">
            <w:pPr>
              <w:suppressAutoHyphens w:val="0"/>
              <w:spacing w:before="40"/>
              <w:ind w:right="113"/>
            </w:pPr>
            <w:r>
              <w:t>-</w:t>
            </w:r>
          </w:p>
        </w:tc>
        <w:tc>
          <w:tcPr>
            <w:tcW w:w="2268" w:type="dxa"/>
            <w:shd w:val="clear" w:color="auto" w:fill="auto"/>
          </w:tcPr>
          <w:p w14:paraId="1D9178F2" w14:textId="74976D91" w:rsidR="00942809" w:rsidRPr="001353AF" w:rsidRDefault="00942809" w:rsidP="00AE2428">
            <w:pPr>
              <w:spacing w:before="40"/>
              <w:ind w:right="113"/>
            </w:pPr>
            <w:r>
              <w:t>-</w:t>
            </w:r>
          </w:p>
        </w:tc>
        <w:tc>
          <w:tcPr>
            <w:tcW w:w="1985" w:type="dxa"/>
          </w:tcPr>
          <w:p w14:paraId="70D9948F" w14:textId="3227E4E0" w:rsidR="00942809" w:rsidRPr="002C02F7" w:rsidRDefault="00942809" w:rsidP="00AE2428">
            <w:pPr>
              <w:suppressAutoHyphens w:val="0"/>
              <w:spacing w:before="40"/>
              <w:ind w:right="113"/>
            </w:pPr>
            <w:r>
              <w:t>C.4, C.5</w:t>
            </w:r>
          </w:p>
        </w:tc>
        <w:tc>
          <w:tcPr>
            <w:tcW w:w="1890" w:type="dxa"/>
          </w:tcPr>
          <w:p w14:paraId="66251813" w14:textId="43EDE07C" w:rsidR="00942809" w:rsidRDefault="00942809" w:rsidP="00AE2428">
            <w:pPr>
              <w:suppressAutoHyphens w:val="0"/>
              <w:spacing w:before="40"/>
              <w:ind w:right="113"/>
            </w:pPr>
            <w:r>
              <w:t>-</w:t>
            </w:r>
          </w:p>
        </w:tc>
      </w:tr>
    </w:tbl>
    <w:p w14:paraId="6900E5A6" w14:textId="6364F153" w:rsidR="003D09E9" w:rsidRDefault="00CA6473" w:rsidP="0051728A">
      <w:pPr>
        <w:widowControl w:val="0"/>
        <w:spacing w:line="220" w:lineRule="exact"/>
        <w:ind w:left="1134" w:right="1134" w:firstLine="284"/>
        <w:jc w:val="both"/>
        <w:rPr>
          <w:sz w:val="18"/>
          <w:szCs w:val="18"/>
        </w:rPr>
      </w:pPr>
      <w:r w:rsidRPr="00881614">
        <w:rPr>
          <w:i/>
          <w:sz w:val="18"/>
          <w:szCs w:val="18"/>
          <w:vertAlign w:val="superscript"/>
        </w:rPr>
        <w:t>a</w:t>
      </w:r>
      <w:r w:rsidRPr="00366E0A">
        <w:rPr>
          <w:i/>
          <w:sz w:val="18"/>
          <w:szCs w:val="18"/>
        </w:rPr>
        <w:t xml:space="preserve"> </w:t>
      </w:r>
      <w:r>
        <w:rPr>
          <w:sz w:val="18"/>
          <w:szCs w:val="18"/>
        </w:rPr>
        <w:t xml:space="preserve"> Detailed descriptions for all activities regarding objectives, implementations tasks or events, available resources and required financial resources as well as measurable outcomes or outputs noted in the summary of activities are available in Table 2.</w:t>
      </w:r>
    </w:p>
    <w:p w14:paraId="51A30F11" w14:textId="77777777" w:rsidR="00CA6473" w:rsidRDefault="00CA6473" w:rsidP="0051728A">
      <w:pPr>
        <w:widowControl w:val="0"/>
        <w:spacing w:line="220" w:lineRule="exact"/>
        <w:ind w:left="1134" w:right="2409" w:firstLine="284"/>
        <w:rPr>
          <w:sz w:val="18"/>
          <w:szCs w:val="18"/>
        </w:rPr>
      </w:pPr>
    </w:p>
    <w:p w14:paraId="7785CF0C" w14:textId="77777777" w:rsidR="00254BBF" w:rsidRPr="0016503C" w:rsidRDefault="00254BBF" w:rsidP="0051728A">
      <w:pPr>
        <w:widowControl w:val="0"/>
        <w:spacing w:line="220" w:lineRule="exact"/>
        <w:ind w:left="1134" w:right="2409" w:firstLine="284"/>
        <w:rPr>
          <w:sz w:val="18"/>
          <w:szCs w:val="18"/>
        </w:rPr>
        <w:sectPr w:rsidR="00254BBF" w:rsidRPr="0016503C" w:rsidSect="00E4752E">
          <w:footerReference w:type="even" r:id="rId8"/>
          <w:footerReference w:type="default" r:id="rId9"/>
          <w:endnotePr>
            <w:numFmt w:val="decimal"/>
          </w:endnotePr>
          <w:pgSz w:w="11907" w:h="16840" w:code="9"/>
          <w:pgMar w:top="1701" w:right="1134" w:bottom="2268" w:left="1134" w:header="1134" w:footer="1701" w:gutter="0"/>
          <w:cols w:space="720"/>
          <w:titlePg/>
          <w:docGrid w:linePitch="272"/>
        </w:sectPr>
      </w:pPr>
    </w:p>
    <w:p w14:paraId="4CC9D58A" w14:textId="0F0E7AA0" w:rsidR="006A1432" w:rsidRDefault="00D778D3" w:rsidP="0051728A">
      <w:pPr>
        <w:pStyle w:val="SingleTxtG"/>
        <w:widowControl w:val="0"/>
        <w:ind w:left="0"/>
        <w:rPr>
          <w:b/>
        </w:rPr>
      </w:pPr>
      <w:r w:rsidRPr="0051728A">
        <w:rPr>
          <w:bCs/>
        </w:rPr>
        <w:lastRenderedPageBreak/>
        <w:t>Table</w:t>
      </w:r>
      <w:r w:rsidR="0051728A" w:rsidRPr="0051728A">
        <w:rPr>
          <w:bCs/>
        </w:rPr>
        <w:t> </w:t>
      </w:r>
      <w:r w:rsidRPr="0051728A">
        <w:rPr>
          <w:bCs/>
        </w:rPr>
        <w:t xml:space="preserve">2. </w:t>
      </w:r>
      <w:r w:rsidR="0051728A" w:rsidRPr="0051728A">
        <w:rPr>
          <w:bCs/>
        </w:rPr>
        <w:br/>
      </w:r>
      <w:r w:rsidR="006A1432">
        <w:rPr>
          <w:b/>
        </w:rPr>
        <w:t>Outline of activities leading up to 2021</w:t>
      </w:r>
    </w:p>
    <w:tbl>
      <w:tblPr>
        <w:tblW w:w="12617"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87"/>
        <w:gridCol w:w="2466"/>
        <w:gridCol w:w="851"/>
        <w:gridCol w:w="2691"/>
        <w:gridCol w:w="1993"/>
        <w:gridCol w:w="2829"/>
      </w:tblGrid>
      <w:tr w:rsidR="00D778D3" w:rsidRPr="00B717D8" w14:paraId="1A45484E" w14:textId="77777777" w:rsidTr="0051728A">
        <w:trPr>
          <w:cantSplit/>
          <w:tblHeader/>
        </w:trPr>
        <w:tc>
          <w:tcPr>
            <w:tcW w:w="1787" w:type="dxa"/>
            <w:tcBorders>
              <w:top w:val="single" w:sz="4" w:space="0" w:color="auto"/>
              <w:bottom w:val="single" w:sz="12" w:space="0" w:color="auto"/>
            </w:tcBorders>
            <w:shd w:val="clear" w:color="auto" w:fill="auto"/>
            <w:vAlign w:val="bottom"/>
          </w:tcPr>
          <w:p w14:paraId="7611EBAB" w14:textId="69CB79FF" w:rsidR="00D778D3" w:rsidRPr="00B717D8" w:rsidRDefault="00D778D3" w:rsidP="00D93D43">
            <w:pPr>
              <w:suppressAutoHyphens w:val="0"/>
              <w:spacing w:before="80" w:after="80" w:line="200" w:lineRule="exact"/>
              <w:ind w:right="113"/>
              <w:rPr>
                <w:i/>
                <w:sz w:val="16"/>
              </w:rPr>
            </w:pPr>
            <w:r w:rsidRPr="00B717D8">
              <w:rPr>
                <w:i/>
                <w:sz w:val="16"/>
              </w:rPr>
              <w:t>Objective</w:t>
            </w:r>
          </w:p>
        </w:tc>
        <w:tc>
          <w:tcPr>
            <w:tcW w:w="2466" w:type="dxa"/>
            <w:tcBorders>
              <w:top w:val="single" w:sz="4" w:space="0" w:color="auto"/>
              <w:bottom w:val="single" w:sz="12" w:space="0" w:color="auto"/>
            </w:tcBorders>
            <w:shd w:val="clear" w:color="auto" w:fill="auto"/>
            <w:vAlign w:val="bottom"/>
          </w:tcPr>
          <w:p w14:paraId="288AE57A" w14:textId="6A0906DF" w:rsidR="00D778D3" w:rsidRPr="00F135C3" w:rsidRDefault="00D778D3" w:rsidP="00D93D43">
            <w:pPr>
              <w:suppressAutoHyphens w:val="0"/>
              <w:spacing w:before="80" w:after="80" w:line="200" w:lineRule="exact"/>
              <w:ind w:right="113"/>
              <w:rPr>
                <w:i/>
                <w:sz w:val="16"/>
              </w:rPr>
            </w:pPr>
            <w:r w:rsidRPr="00F135C3">
              <w:rPr>
                <w:i/>
                <w:sz w:val="16"/>
              </w:rPr>
              <w:t>Activity</w:t>
            </w:r>
          </w:p>
        </w:tc>
        <w:tc>
          <w:tcPr>
            <w:tcW w:w="851" w:type="dxa"/>
            <w:tcBorders>
              <w:top w:val="single" w:sz="4" w:space="0" w:color="auto"/>
              <w:bottom w:val="single" w:sz="12" w:space="0" w:color="auto"/>
            </w:tcBorders>
            <w:vAlign w:val="bottom"/>
          </w:tcPr>
          <w:p w14:paraId="39436BE1" w14:textId="1ED2F23C" w:rsidR="00D778D3" w:rsidRPr="00B717D8" w:rsidRDefault="0051728A" w:rsidP="00D778D3">
            <w:pPr>
              <w:suppressAutoHyphens w:val="0"/>
              <w:spacing w:before="80" w:after="80" w:line="200" w:lineRule="exact"/>
              <w:ind w:right="113"/>
              <w:rPr>
                <w:i/>
                <w:sz w:val="16"/>
              </w:rPr>
            </w:pPr>
            <w:r>
              <w:rPr>
                <w:i/>
                <w:iCs/>
                <w:sz w:val="16"/>
              </w:rPr>
              <w:t>Activity p</w:t>
            </w:r>
            <w:r w:rsidR="00D778D3" w:rsidRPr="00B717D8">
              <w:rPr>
                <w:i/>
                <w:iCs/>
                <w:sz w:val="16"/>
              </w:rPr>
              <w:t>riority</w:t>
            </w:r>
          </w:p>
        </w:tc>
        <w:tc>
          <w:tcPr>
            <w:tcW w:w="2691" w:type="dxa"/>
            <w:tcBorders>
              <w:top w:val="single" w:sz="4" w:space="0" w:color="auto"/>
              <w:bottom w:val="single" w:sz="12" w:space="0" w:color="auto"/>
            </w:tcBorders>
            <w:shd w:val="clear" w:color="auto" w:fill="auto"/>
            <w:vAlign w:val="bottom"/>
          </w:tcPr>
          <w:p w14:paraId="73923197" w14:textId="073938C4" w:rsidR="00D778D3" w:rsidRPr="00B717D8" w:rsidRDefault="00D778D3" w:rsidP="00D93D43">
            <w:pPr>
              <w:suppressAutoHyphens w:val="0"/>
              <w:spacing w:before="80" w:after="80" w:line="200" w:lineRule="exact"/>
              <w:ind w:right="113"/>
              <w:rPr>
                <w:i/>
                <w:sz w:val="16"/>
              </w:rPr>
            </w:pPr>
            <w:r w:rsidRPr="00B717D8">
              <w:rPr>
                <w:i/>
                <w:sz w:val="16"/>
              </w:rPr>
              <w:t>Implementation task or event</w:t>
            </w:r>
            <w:r w:rsidRPr="00B717D8">
              <w:rPr>
                <w:i/>
                <w:sz w:val="16"/>
                <w:vertAlign w:val="superscript"/>
              </w:rPr>
              <w:t>a</w:t>
            </w:r>
          </w:p>
        </w:tc>
        <w:tc>
          <w:tcPr>
            <w:tcW w:w="1993" w:type="dxa"/>
            <w:tcBorders>
              <w:top w:val="single" w:sz="4" w:space="0" w:color="auto"/>
              <w:bottom w:val="single" w:sz="12" w:space="0" w:color="auto"/>
            </w:tcBorders>
            <w:shd w:val="clear" w:color="auto" w:fill="auto"/>
            <w:vAlign w:val="bottom"/>
          </w:tcPr>
          <w:p w14:paraId="4A855781" w14:textId="039E3A35" w:rsidR="00D778D3" w:rsidRPr="00B717D8" w:rsidRDefault="00D778D3" w:rsidP="00543188">
            <w:pPr>
              <w:suppressAutoHyphens w:val="0"/>
              <w:spacing w:before="80" w:after="80" w:line="200" w:lineRule="exact"/>
              <w:ind w:right="113"/>
              <w:rPr>
                <w:i/>
                <w:iCs/>
                <w:sz w:val="16"/>
              </w:rPr>
            </w:pPr>
            <w:r w:rsidRPr="00B717D8">
              <w:rPr>
                <w:i/>
                <w:iCs/>
                <w:sz w:val="16"/>
              </w:rPr>
              <w:t>Available and required financial resources</w:t>
            </w:r>
          </w:p>
        </w:tc>
        <w:tc>
          <w:tcPr>
            <w:tcW w:w="2829" w:type="dxa"/>
            <w:tcBorders>
              <w:top w:val="single" w:sz="4" w:space="0" w:color="auto"/>
              <w:bottom w:val="single" w:sz="12" w:space="0" w:color="auto"/>
            </w:tcBorders>
            <w:shd w:val="clear" w:color="auto" w:fill="auto"/>
            <w:vAlign w:val="bottom"/>
          </w:tcPr>
          <w:p w14:paraId="787ACE32" w14:textId="0819E5C3" w:rsidR="00D778D3" w:rsidRPr="00B717D8" w:rsidRDefault="00D778D3" w:rsidP="00D93D43">
            <w:pPr>
              <w:suppressAutoHyphens w:val="0"/>
              <w:spacing w:before="80" w:after="80" w:line="200" w:lineRule="exact"/>
              <w:ind w:right="113"/>
              <w:rPr>
                <w:i/>
                <w:iCs/>
                <w:sz w:val="16"/>
              </w:rPr>
            </w:pPr>
            <w:r w:rsidRPr="00B717D8">
              <w:rPr>
                <w:i/>
                <w:iCs/>
                <w:sz w:val="16"/>
              </w:rPr>
              <w:t>Measurable outcome or output</w:t>
            </w:r>
          </w:p>
        </w:tc>
      </w:tr>
      <w:tr w:rsidR="00D778D3" w:rsidRPr="00B717D8" w14:paraId="7D52F2C6" w14:textId="77777777" w:rsidTr="0051728A">
        <w:trPr>
          <w:cantSplit/>
          <w:trHeight w:hRule="exact" w:val="91"/>
          <w:tblHeader/>
        </w:trPr>
        <w:tc>
          <w:tcPr>
            <w:tcW w:w="1787" w:type="dxa"/>
            <w:tcBorders>
              <w:top w:val="single" w:sz="12" w:space="0" w:color="auto"/>
              <w:bottom w:val="nil"/>
            </w:tcBorders>
            <w:shd w:val="clear" w:color="auto" w:fill="auto"/>
            <w:textDirection w:val="btLr"/>
          </w:tcPr>
          <w:p w14:paraId="6EF3A0CA" w14:textId="77777777" w:rsidR="00D778D3" w:rsidRPr="00B717D8" w:rsidRDefault="00D778D3" w:rsidP="00D93D43">
            <w:pPr>
              <w:suppressAutoHyphens w:val="0"/>
              <w:spacing w:before="40" w:after="120" w:line="220" w:lineRule="exact"/>
              <w:ind w:right="113"/>
              <w:rPr>
                <w:b/>
              </w:rPr>
            </w:pPr>
          </w:p>
        </w:tc>
        <w:tc>
          <w:tcPr>
            <w:tcW w:w="2466" w:type="dxa"/>
            <w:tcBorders>
              <w:top w:val="single" w:sz="12" w:space="0" w:color="auto"/>
            </w:tcBorders>
            <w:shd w:val="clear" w:color="auto" w:fill="auto"/>
          </w:tcPr>
          <w:p w14:paraId="136C5807" w14:textId="77777777" w:rsidR="00D778D3" w:rsidRPr="00B717D8" w:rsidRDefault="00D778D3" w:rsidP="00D93D43">
            <w:pPr>
              <w:suppressAutoHyphens w:val="0"/>
              <w:spacing w:before="40" w:after="120" w:line="220" w:lineRule="exact"/>
              <w:ind w:right="113"/>
            </w:pPr>
          </w:p>
        </w:tc>
        <w:tc>
          <w:tcPr>
            <w:tcW w:w="851" w:type="dxa"/>
            <w:tcBorders>
              <w:top w:val="single" w:sz="12" w:space="0" w:color="auto"/>
            </w:tcBorders>
          </w:tcPr>
          <w:p w14:paraId="73BE63BD" w14:textId="77777777" w:rsidR="00D778D3" w:rsidRPr="00B717D8" w:rsidRDefault="00D778D3" w:rsidP="00D93D43">
            <w:pPr>
              <w:suppressAutoHyphens w:val="0"/>
              <w:spacing w:before="40" w:after="120" w:line="220" w:lineRule="exact"/>
              <w:ind w:right="113"/>
              <w:rPr>
                <w:b/>
              </w:rPr>
            </w:pPr>
          </w:p>
        </w:tc>
        <w:tc>
          <w:tcPr>
            <w:tcW w:w="2691" w:type="dxa"/>
            <w:tcBorders>
              <w:top w:val="single" w:sz="12" w:space="0" w:color="auto"/>
            </w:tcBorders>
            <w:shd w:val="clear" w:color="auto" w:fill="auto"/>
          </w:tcPr>
          <w:p w14:paraId="3E79B4B9" w14:textId="6A8E64D0" w:rsidR="00D778D3" w:rsidRPr="00B717D8" w:rsidRDefault="00D778D3" w:rsidP="00D93D43">
            <w:pPr>
              <w:suppressAutoHyphens w:val="0"/>
              <w:spacing w:before="40" w:after="120" w:line="220" w:lineRule="exact"/>
              <w:ind w:right="113"/>
              <w:rPr>
                <w:b/>
              </w:rPr>
            </w:pPr>
          </w:p>
        </w:tc>
        <w:tc>
          <w:tcPr>
            <w:tcW w:w="1993" w:type="dxa"/>
            <w:tcBorders>
              <w:top w:val="single" w:sz="12" w:space="0" w:color="auto"/>
            </w:tcBorders>
            <w:shd w:val="clear" w:color="auto" w:fill="auto"/>
          </w:tcPr>
          <w:p w14:paraId="5E16EF2D" w14:textId="6E5BE922" w:rsidR="00D778D3" w:rsidRPr="00B717D8" w:rsidRDefault="00D778D3" w:rsidP="00D93D43">
            <w:pPr>
              <w:suppressAutoHyphens w:val="0"/>
              <w:spacing w:before="40" w:after="120" w:line="220" w:lineRule="exact"/>
              <w:ind w:right="113"/>
            </w:pPr>
          </w:p>
        </w:tc>
        <w:tc>
          <w:tcPr>
            <w:tcW w:w="2829" w:type="dxa"/>
            <w:tcBorders>
              <w:top w:val="single" w:sz="12" w:space="0" w:color="auto"/>
            </w:tcBorders>
            <w:shd w:val="clear" w:color="auto" w:fill="auto"/>
          </w:tcPr>
          <w:p w14:paraId="30E2869D" w14:textId="77777777" w:rsidR="00D778D3" w:rsidRPr="00B717D8" w:rsidRDefault="00D778D3" w:rsidP="00D93D43">
            <w:pPr>
              <w:suppressAutoHyphens w:val="0"/>
              <w:spacing w:before="40" w:after="120" w:line="220" w:lineRule="exact"/>
              <w:ind w:right="113"/>
            </w:pPr>
          </w:p>
        </w:tc>
      </w:tr>
      <w:tr w:rsidR="00D778D3" w:rsidRPr="00B717D8" w14:paraId="72E868A1" w14:textId="77777777" w:rsidTr="0051728A">
        <w:trPr>
          <w:cantSplit/>
          <w:trHeight w:val="367"/>
        </w:trPr>
        <w:tc>
          <w:tcPr>
            <w:tcW w:w="1787" w:type="dxa"/>
            <w:vMerge w:val="restart"/>
            <w:tcBorders>
              <w:top w:val="nil"/>
              <w:bottom w:val="nil"/>
            </w:tcBorders>
            <w:shd w:val="clear" w:color="auto" w:fill="auto"/>
          </w:tcPr>
          <w:p w14:paraId="3F4785E0" w14:textId="25A66D96" w:rsidR="00D778D3" w:rsidRPr="00B717D8" w:rsidRDefault="00D778D3" w:rsidP="000C7FCF">
            <w:pPr>
              <w:suppressAutoHyphens w:val="0"/>
              <w:spacing w:before="40" w:after="120"/>
              <w:ind w:right="113"/>
              <w:rPr>
                <w:b/>
              </w:rPr>
            </w:pPr>
            <w:r w:rsidRPr="00B717D8">
              <w:t>A. Assist in the establishment and operation of national information systems in line with SEIS in Europe and Central Asia</w:t>
            </w:r>
          </w:p>
        </w:tc>
        <w:tc>
          <w:tcPr>
            <w:tcW w:w="2466" w:type="dxa"/>
            <w:vMerge w:val="restart"/>
            <w:tcBorders>
              <w:top w:val="nil"/>
            </w:tcBorders>
            <w:shd w:val="clear" w:color="auto" w:fill="auto"/>
          </w:tcPr>
          <w:p w14:paraId="35E7CA60" w14:textId="0D5889AF" w:rsidR="00D778D3" w:rsidRPr="00B717D8" w:rsidRDefault="00D778D3" w:rsidP="00D00A01">
            <w:pPr>
              <w:suppressAutoHyphens w:val="0"/>
              <w:spacing w:before="40" w:after="120"/>
              <w:ind w:right="113"/>
            </w:pPr>
            <w:r w:rsidRPr="00B717D8">
              <w:t>1. Continue supporting the establishment of SEIS with regard to its specific content and principles in support of regular environmental assessment processes and reporting</w:t>
            </w:r>
          </w:p>
        </w:tc>
        <w:tc>
          <w:tcPr>
            <w:tcW w:w="851" w:type="dxa"/>
            <w:tcBorders>
              <w:top w:val="nil"/>
            </w:tcBorders>
          </w:tcPr>
          <w:p w14:paraId="6717DEA8" w14:textId="31162FA4" w:rsidR="00D778D3" w:rsidRPr="00B717D8" w:rsidRDefault="00D778D3" w:rsidP="000A0325">
            <w:pPr>
              <w:suppressAutoHyphens w:val="0"/>
              <w:spacing w:before="40" w:after="120"/>
              <w:ind w:right="113"/>
            </w:pPr>
            <w:r w:rsidRPr="00B717D8">
              <w:t>High</w:t>
            </w:r>
          </w:p>
        </w:tc>
        <w:tc>
          <w:tcPr>
            <w:tcW w:w="2691" w:type="dxa"/>
            <w:tcBorders>
              <w:top w:val="nil"/>
              <w:bottom w:val="nil"/>
            </w:tcBorders>
            <w:shd w:val="clear" w:color="auto" w:fill="auto"/>
          </w:tcPr>
          <w:p w14:paraId="184BA336" w14:textId="6A05443E" w:rsidR="00D778D3" w:rsidRPr="00B717D8" w:rsidRDefault="00D778D3" w:rsidP="000A0325">
            <w:pPr>
              <w:suppressAutoHyphens w:val="0"/>
              <w:spacing w:before="40" w:after="120"/>
              <w:ind w:right="113"/>
            </w:pPr>
            <w:r w:rsidRPr="00B717D8">
              <w:t>Capacity-building activities at annual sessions of the Working Group and Joint Task Force and during projects (2018–2021)</w:t>
            </w:r>
          </w:p>
        </w:tc>
        <w:tc>
          <w:tcPr>
            <w:tcW w:w="1993" w:type="dxa"/>
            <w:tcBorders>
              <w:top w:val="nil"/>
              <w:bottom w:val="nil"/>
            </w:tcBorders>
            <w:shd w:val="clear" w:color="auto" w:fill="auto"/>
          </w:tcPr>
          <w:p w14:paraId="28C11C65" w14:textId="73E796C8" w:rsidR="00D778D3" w:rsidRPr="00B717D8" w:rsidRDefault="00D778D3" w:rsidP="000A0325">
            <w:pPr>
              <w:suppressAutoHyphens w:val="0"/>
              <w:spacing w:before="40" w:after="120"/>
              <w:ind w:right="113"/>
            </w:pPr>
            <w:r w:rsidRPr="00B717D8">
              <w:t>Largely funded through UNDA</w:t>
            </w:r>
            <w:r w:rsidRPr="00B717D8">
              <w:rPr>
                <w:vertAlign w:val="superscript"/>
              </w:rPr>
              <w:t>b</w:t>
            </w:r>
            <w:r w:rsidRPr="00B717D8">
              <w:t xml:space="preserve"> and EEA</w:t>
            </w:r>
            <w:r w:rsidRPr="00B717D8">
              <w:rPr>
                <w:vertAlign w:val="superscript"/>
              </w:rPr>
              <w:t>c</w:t>
            </w:r>
            <w:r w:rsidRPr="00B717D8">
              <w:t xml:space="preserve"> projects (excluding the travel and subsistence of expert participants)</w:t>
            </w:r>
          </w:p>
        </w:tc>
        <w:tc>
          <w:tcPr>
            <w:tcW w:w="2829" w:type="dxa"/>
            <w:tcBorders>
              <w:top w:val="nil"/>
              <w:bottom w:val="nil"/>
            </w:tcBorders>
            <w:shd w:val="clear" w:color="auto" w:fill="auto"/>
          </w:tcPr>
          <w:p w14:paraId="075257ED" w14:textId="5D760A45" w:rsidR="00D778D3" w:rsidRPr="00B717D8" w:rsidRDefault="00D778D3" w:rsidP="002A6314">
            <w:pPr>
              <w:suppressAutoHyphens w:val="0"/>
              <w:spacing w:before="40" w:after="120"/>
              <w:ind w:right="113"/>
            </w:pPr>
            <w:r w:rsidRPr="00B717D8">
              <w:t>Progress in SEIS establishment in Europe and Central Asia, described in the reports on Working Group and Joint Task Force sessions (2018–2021)</w:t>
            </w:r>
          </w:p>
          <w:p w14:paraId="0FE8D963" w14:textId="2D55DA18" w:rsidR="00D778D3" w:rsidRPr="00B717D8" w:rsidRDefault="00D778D3" w:rsidP="002A6314">
            <w:pPr>
              <w:suppressAutoHyphens w:val="0"/>
              <w:spacing w:before="40" w:after="120"/>
              <w:ind w:right="113"/>
            </w:pPr>
            <w:r w:rsidRPr="00B717D8">
              <w:t>Assistance provided to target countries for SEIS establishment in order to support regular environmental assessments and reporting (2018–2021)</w:t>
            </w:r>
          </w:p>
        </w:tc>
      </w:tr>
      <w:tr w:rsidR="00D778D3" w:rsidRPr="00B717D8" w14:paraId="6AF15DF4" w14:textId="77777777" w:rsidTr="0051728A">
        <w:trPr>
          <w:cantSplit/>
          <w:trHeight w:val="367"/>
        </w:trPr>
        <w:tc>
          <w:tcPr>
            <w:tcW w:w="1787" w:type="dxa"/>
            <w:vMerge/>
            <w:tcBorders>
              <w:top w:val="nil"/>
              <w:bottom w:val="nil"/>
            </w:tcBorders>
            <w:shd w:val="clear" w:color="auto" w:fill="auto"/>
          </w:tcPr>
          <w:p w14:paraId="4340ECEB" w14:textId="77777777" w:rsidR="00D778D3" w:rsidRPr="00B717D8" w:rsidRDefault="00D778D3" w:rsidP="00D00A01">
            <w:pPr>
              <w:suppressAutoHyphens w:val="0"/>
              <w:spacing w:before="40" w:after="120"/>
              <w:ind w:right="113"/>
            </w:pPr>
          </w:p>
        </w:tc>
        <w:tc>
          <w:tcPr>
            <w:tcW w:w="2466" w:type="dxa"/>
            <w:vMerge/>
            <w:tcBorders>
              <w:bottom w:val="nil"/>
            </w:tcBorders>
            <w:shd w:val="clear" w:color="auto" w:fill="auto"/>
          </w:tcPr>
          <w:p w14:paraId="2CCDD90D" w14:textId="77777777" w:rsidR="00D778D3" w:rsidRPr="00B717D8" w:rsidRDefault="00D778D3" w:rsidP="00D00A01">
            <w:pPr>
              <w:suppressAutoHyphens w:val="0"/>
              <w:spacing w:before="40" w:after="120"/>
              <w:ind w:right="113"/>
            </w:pPr>
          </w:p>
        </w:tc>
        <w:tc>
          <w:tcPr>
            <w:tcW w:w="851" w:type="dxa"/>
            <w:tcBorders>
              <w:bottom w:val="nil"/>
            </w:tcBorders>
          </w:tcPr>
          <w:p w14:paraId="4FC7D5B5" w14:textId="77777777" w:rsidR="00D778D3" w:rsidRPr="00B717D8" w:rsidRDefault="00D778D3" w:rsidP="00D00A01">
            <w:pPr>
              <w:suppressAutoHyphens w:val="0"/>
              <w:spacing w:before="40" w:after="120"/>
              <w:ind w:right="113"/>
            </w:pPr>
          </w:p>
        </w:tc>
        <w:tc>
          <w:tcPr>
            <w:tcW w:w="2691" w:type="dxa"/>
            <w:tcBorders>
              <w:top w:val="nil"/>
              <w:bottom w:val="nil"/>
            </w:tcBorders>
            <w:shd w:val="clear" w:color="auto" w:fill="auto"/>
          </w:tcPr>
          <w:p w14:paraId="700C8DDA" w14:textId="19C5AE99" w:rsidR="00D778D3" w:rsidRPr="00B717D8" w:rsidRDefault="00D778D3" w:rsidP="00D00A01">
            <w:pPr>
              <w:suppressAutoHyphens w:val="0"/>
              <w:spacing w:before="40" w:after="120"/>
              <w:ind w:right="113"/>
            </w:pPr>
            <w:r w:rsidRPr="00B717D8">
              <w:t>Development of a SEIS e-learning platform (2019–2021) (ECE with UNEP)</w:t>
            </w:r>
          </w:p>
        </w:tc>
        <w:tc>
          <w:tcPr>
            <w:tcW w:w="1993" w:type="dxa"/>
            <w:tcBorders>
              <w:top w:val="nil"/>
              <w:bottom w:val="nil"/>
            </w:tcBorders>
            <w:shd w:val="clear" w:color="auto" w:fill="auto"/>
          </w:tcPr>
          <w:p w14:paraId="2CAAE500" w14:textId="3E5AD12F" w:rsidR="00D778D3" w:rsidRPr="00B717D8" w:rsidRDefault="00D778D3" w:rsidP="00D00A01">
            <w:pPr>
              <w:suppressAutoHyphens w:val="0"/>
              <w:spacing w:before="40" w:after="120"/>
              <w:ind w:right="113"/>
            </w:pPr>
            <w:r w:rsidRPr="00B717D8">
              <w:t>Largely funded through the UNDA project</w:t>
            </w:r>
          </w:p>
        </w:tc>
        <w:tc>
          <w:tcPr>
            <w:tcW w:w="2829" w:type="dxa"/>
            <w:tcBorders>
              <w:top w:val="nil"/>
              <w:bottom w:val="nil"/>
            </w:tcBorders>
            <w:shd w:val="clear" w:color="auto" w:fill="auto"/>
          </w:tcPr>
          <w:p w14:paraId="331FEDC5" w14:textId="099FD349" w:rsidR="00D778D3" w:rsidRPr="00B717D8" w:rsidRDefault="00D778D3" w:rsidP="00D00A01">
            <w:pPr>
              <w:suppressAutoHyphens w:val="0"/>
              <w:spacing w:before="40" w:after="120"/>
              <w:ind w:right="113"/>
            </w:pPr>
            <w:r w:rsidRPr="00B717D8">
              <w:t>SEIS e-learning platform established (2021)</w:t>
            </w:r>
          </w:p>
        </w:tc>
      </w:tr>
      <w:tr w:rsidR="00D778D3" w:rsidRPr="00B717D8" w14:paraId="3E3CEC1A" w14:textId="77777777" w:rsidTr="0051728A">
        <w:trPr>
          <w:cantSplit/>
          <w:trHeight w:val="367"/>
        </w:trPr>
        <w:tc>
          <w:tcPr>
            <w:tcW w:w="1787" w:type="dxa"/>
            <w:vMerge/>
            <w:tcBorders>
              <w:top w:val="nil"/>
              <w:bottom w:val="nil"/>
            </w:tcBorders>
            <w:shd w:val="clear" w:color="auto" w:fill="auto"/>
          </w:tcPr>
          <w:p w14:paraId="5902D522" w14:textId="77777777" w:rsidR="00D778D3" w:rsidRPr="00B717D8" w:rsidRDefault="00D778D3" w:rsidP="00D00A01">
            <w:pPr>
              <w:suppressAutoHyphens w:val="0"/>
              <w:spacing w:before="40" w:after="120" w:line="220" w:lineRule="exact"/>
              <w:ind w:right="113"/>
              <w:rPr>
                <w:b/>
                <w:strike/>
              </w:rPr>
            </w:pPr>
          </w:p>
        </w:tc>
        <w:tc>
          <w:tcPr>
            <w:tcW w:w="2466" w:type="dxa"/>
            <w:vMerge w:val="restart"/>
            <w:tcBorders>
              <w:top w:val="nil"/>
            </w:tcBorders>
            <w:shd w:val="clear" w:color="auto" w:fill="auto"/>
          </w:tcPr>
          <w:p w14:paraId="5CB761E0" w14:textId="12F965C9" w:rsidR="00D778D3" w:rsidRPr="00B717D8" w:rsidRDefault="00D778D3" w:rsidP="000A0325">
            <w:pPr>
              <w:suppressAutoHyphens w:val="0"/>
              <w:spacing w:before="40" w:after="120"/>
              <w:ind w:right="113"/>
            </w:pPr>
            <w:r w:rsidRPr="00B717D8">
              <w:t>2. Continue cooperating with the Joint Task Force in its work on environmental statistics and indicators, associated data sets and accompanying environmental information and data necessary to establish SEIS</w:t>
            </w:r>
          </w:p>
        </w:tc>
        <w:tc>
          <w:tcPr>
            <w:tcW w:w="851" w:type="dxa"/>
            <w:tcBorders>
              <w:top w:val="nil"/>
            </w:tcBorders>
          </w:tcPr>
          <w:p w14:paraId="01C008A0" w14:textId="3B2E758E" w:rsidR="00D778D3" w:rsidRPr="00B717D8" w:rsidRDefault="00D778D3" w:rsidP="000C7FCF">
            <w:pPr>
              <w:suppressAutoHyphens w:val="0"/>
              <w:spacing w:before="40" w:after="120"/>
              <w:ind w:right="113"/>
              <w:rPr>
                <w:bCs/>
              </w:rPr>
            </w:pPr>
            <w:r w:rsidRPr="00B717D8">
              <w:rPr>
                <w:bCs/>
              </w:rPr>
              <w:t>High</w:t>
            </w:r>
          </w:p>
        </w:tc>
        <w:tc>
          <w:tcPr>
            <w:tcW w:w="2691" w:type="dxa"/>
            <w:tcBorders>
              <w:top w:val="nil"/>
              <w:bottom w:val="nil"/>
            </w:tcBorders>
            <w:shd w:val="clear" w:color="auto" w:fill="auto"/>
          </w:tcPr>
          <w:p w14:paraId="0232B721" w14:textId="405E6E73" w:rsidR="00D778D3" w:rsidRPr="00B717D8" w:rsidRDefault="00D778D3" w:rsidP="000C7FCF">
            <w:pPr>
              <w:suppressAutoHyphens w:val="0"/>
              <w:spacing w:before="40" w:after="120"/>
              <w:ind w:right="113"/>
              <w:rPr>
                <w:bCs/>
              </w:rPr>
            </w:pPr>
            <w:r w:rsidRPr="00B717D8">
              <w:rPr>
                <w:bCs/>
              </w:rPr>
              <w:t xml:space="preserve">Annual sessions of the Working Group and Joint Task Force </w:t>
            </w:r>
            <w:r w:rsidRPr="00B717D8">
              <w:t>(2018–2021)</w:t>
            </w:r>
          </w:p>
        </w:tc>
        <w:tc>
          <w:tcPr>
            <w:tcW w:w="1993" w:type="dxa"/>
            <w:tcBorders>
              <w:top w:val="nil"/>
              <w:bottom w:val="nil"/>
            </w:tcBorders>
            <w:shd w:val="clear" w:color="auto" w:fill="auto"/>
          </w:tcPr>
          <w:p w14:paraId="6EA81DEA" w14:textId="56F962E0" w:rsidR="00D778D3" w:rsidRPr="00B717D8" w:rsidRDefault="00D778D3" w:rsidP="00D00A01">
            <w:pPr>
              <w:suppressAutoHyphens w:val="0"/>
              <w:spacing w:before="40" w:after="120"/>
              <w:ind w:right="113"/>
            </w:pPr>
            <w:r w:rsidRPr="00B717D8">
              <w:t>Approximately $50,000 per annum required to support travel and subsistence of eligible experts</w:t>
            </w:r>
          </w:p>
        </w:tc>
        <w:tc>
          <w:tcPr>
            <w:tcW w:w="2829" w:type="dxa"/>
            <w:tcBorders>
              <w:top w:val="nil"/>
              <w:bottom w:val="nil"/>
            </w:tcBorders>
            <w:shd w:val="clear" w:color="auto" w:fill="auto"/>
          </w:tcPr>
          <w:p w14:paraId="42908B4D" w14:textId="322EE14E" w:rsidR="00D778D3" w:rsidRPr="00B717D8" w:rsidRDefault="00D778D3" w:rsidP="000C7FCF">
            <w:pPr>
              <w:suppressAutoHyphens w:val="0"/>
              <w:spacing w:before="40" w:after="120"/>
              <w:ind w:right="113"/>
            </w:pPr>
            <w:r w:rsidRPr="00B717D8">
              <w:t>Progress on environmental statistics and indicators described in the reports on Working Group and Joint Task Force sessions (2018–2021)</w:t>
            </w:r>
          </w:p>
        </w:tc>
      </w:tr>
      <w:tr w:rsidR="00D778D3" w:rsidRPr="00B717D8" w14:paraId="450DD589" w14:textId="77777777" w:rsidTr="0051728A">
        <w:trPr>
          <w:cantSplit/>
          <w:trHeight w:val="367"/>
        </w:trPr>
        <w:tc>
          <w:tcPr>
            <w:tcW w:w="1787" w:type="dxa"/>
            <w:vMerge/>
            <w:tcBorders>
              <w:top w:val="nil"/>
              <w:bottom w:val="nil"/>
            </w:tcBorders>
            <w:shd w:val="clear" w:color="auto" w:fill="auto"/>
          </w:tcPr>
          <w:p w14:paraId="3B1E8772" w14:textId="77777777" w:rsidR="00D778D3" w:rsidRPr="00B717D8" w:rsidRDefault="00D778D3" w:rsidP="00D00A01">
            <w:pPr>
              <w:suppressAutoHyphens w:val="0"/>
              <w:spacing w:before="40" w:after="120" w:line="220" w:lineRule="exact"/>
              <w:ind w:right="113"/>
              <w:rPr>
                <w:b/>
                <w:strike/>
              </w:rPr>
            </w:pPr>
          </w:p>
        </w:tc>
        <w:tc>
          <w:tcPr>
            <w:tcW w:w="2466" w:type="dxa"/>
            <w:vMerge/>
            <w:tcBorders>
              <w:bottom w:val="nil"/>
            </w:tcBorders>
            <w:shd w:val="clear" w:color="auto" w:fill="auto"/>
          </w:tcPr>
          <w:p w14:paraId="1D3F02B9" w14:textId="77777777" w:rsidR="00D778D3" w:rsidRPr="00B717D8" w:rsidRDefault="00D778D3" w:rsidP="00D00A01">
            <w:pPr>
              <w:suppressAutoHyphens w:val="0"/>
              <w:spacing w:before="40" w:after="120"/>
              <w:ind w:right="113"/>
            </w:pPr>
          </w:p>
        </w:tc>
        <w:tc>
          <w:tcPr>
            <w:tcW w:w="851" w:type="dxa"/>
            <w:tcBorders>
              <w:bottom w:val="nil"/>
            </w:tcBorders>
          </w:tcPr>
          <w:p w14:paraId="0412C64F" w14:textId="77777777" w:rsidR="00D778D3" w:rsidRPr="00B717D8" w:rsidRDefault="00D778D3" w:rsidP="000A5624">
            <w:pPr>
              <w:suppressAutoHyphens w:val="0"/>
              <w:spacing w:before="40" w:after="120"/>
              <w:ind w:right="113"/>
              <w:rPr>
                <w:bCs/>
              </w:rPr>
            </w:pPr>
          </w:p>
        </w:tc>
        <w:tc>
          <w:tcPr>
            <w:tcW w:w="2691" w:type="dxa"/>
            <w:tcBorders>
              <w:top w:val="nil"/>
              <w:bottom w:val="nil"/>
            </w:tcBorders>
            <w:shd w:val="clear" w:color="auto" w:fill="auto"/>
          </w:tcPr>
          <w:p w14:paraId="155832AD" w14:textId="3F17833E" w:rsidR="00D778D3" w:rsidRPr="00B717D8" w:rsidRDefault="00D778D3" w:rsidP="000A5624">
            <w:pPr>
              <w:suppressAutoHyphens w:val="0"/>
              <w:spacing w:before="40" w:after="120"/>
              <w:ind w:right="113"/>
              <w:rPr>
                <w:bCs/>
              </w:rPr>
            </w:pPr>
            <w:r w:rsidRPr="00B717D8">
              <w:rPr>
                <w:bCs/>
              </w:rPr>
              <w:t xml:space="preserve">In support of SEIS, review and amendment of the ECE </w:t>
            </w:r>
            <w:r w:rsidRPr="00B717D8">
              <w:rPr>
                <w:bCs/>
                <w:i/>
                <w:iCs/>
              </w:rPr>
              <w:t>Guidelines for the Application of Environmental Indicators</w:t>
            </w:r>
            <w:r w:rsidRPr="00B717D8">
              <w:rPr>
                <w:bCs/>
              </w:rPr>
              <w:t xml:space="preserve"> (</w:t>
            </w:r>
            <w:r w:rsidRPr="00B717D8">
              <w:t>2018–2019)</w:t>
            </w:r>
          </w:p>
        </w:tc>
        <w:tc>
          <w:tcPr>
            <w:tcW w:w="1993" w:type="dxa"/>
            <w:tcBorders>
              <w:top w:val="nil"/>
              <w:bottom w:val="nil"/>
            </w:tcBorders>
            <w:shd w:val="clear" w:color="auto" w:fill="auto"/>
          </w:tcPr>
          <w:p w14:paraId="739CC48D" w14:textId="6604293E" w:rsidR="00D778D3" w:rsidRPr="00B717D8" w:rsidRDefault="00D778D3" w:rsidP="003F5390">
            <w:pPr>
              <w:suppressAutoHyphens w:val="0"/>
              <w:spacing w:before="40" w:after="120"/>
              <w:ind w:right="113"/>
            </w:pPr>
            <w:r w:rsidRPr="00B717D8">
              <w:t xml:space="preserve">Possible consultancies required in order to support </w:t>
            </w:r>
            <w:r w:rsidRPr="00B717D8">
              <w:rPr>
                <w:iCs/>
              </w:rPr>
              <w:t xml:space="preserve">review and amendment of the </w:t>
            </w:r>
            <w:r w:rsidRPr="00B717D8">
              <w:rPr>
                <w:i/>
                <w:iCs/>
              </w:rPr>
              <w:t>Guidelines</w:t>
            </w:r>
          </w:p>
        </w:tc>
        <w:tc>
          <w:tcPr>
            <w:tcW w:w="2829" w:type="dxa"/>
            <w:tcBorders>
              <w:top w:val="nil"/>
              <w:bottom w:val="nil"/>
            </w:tcBorders>
            <w:shd w:val="clear" w:color="auto" w:fill="auto"/>
          </w:tcPr>
          <w:p w14:paraId="602D4DC8" w14:textId="5E3DB05B" w:rsidR="00D778D3" w:rsidRPr="00B717D8" w:rsidRDefault="00D778D3" w:rsidP="00D109EF">
            <w:pPr>
              <w:suppressAutoHyphens w:val="0"/>
              <w:spacing w:before="40" w:after="120"/>
              <w:ind w:right="113"/>
            </w:pPr>
            <w:r w:rsidRPr="00B717D8">
              <w:t xml:space="preserve">ECE </w:t>
            </w:r>
            <w:r w:rsidRPr="00B717D8">
              <w:rPr>
                <w:i/>
                <w:iCs/>
              </w:rPr>
              <w:t>Guidelines for the Application of Environmental Indicators</w:t>
            </w:r>
            <w:r w:rsidRPr="00B717D8">
              <w:t xml:space="preserve"> reviewed, amended and published as appropriate (2019)</w:t>
            </w:r>
          </w:p>
        </w:tc>
      </w:tr>
      <w:tr w:rsidR="00D778D3" w:rsidRPr="00B717D8" w14:paraId="64388DDA" w14:textId="77777777" w:rsidTr="0051728A">
        <w:trPr>
          <w:cantSplit/>
          <w:trHeight w:val="367"/>
        </w:trPr>
        <w:tc>
          <w:tcPr>
            <w:tcW w:w="1787" w:type="dxa"/>
            <w:vMerge/>
            <w:tcBorders>
              <w:top w:val="nil"/>
              <w:bottom w:val="nil"/>
            </w:tcBorders>
            <w:shd w:val="clear" w:color="auto" w:fill="auto"/>
          </w:tcPr>
          <w:p w14:paraId="5284BAEF" w14:textId="77777777" w:rsidR="00D778D3" w:rsidRPr="00B717D8" w:rsidRDefault="00D778D3" w:rsidP="00D109EF">
            <w:pPr>
              <w:suppressAutoHyphens w:val="0"/>
              <w:spacing w:before="40" w:after="120" w:line="220" w:lineRule="exact"/>
              <w:ind w:right="113"/>
              <w:rPr>
                <w:b/>
                <w:strike/>
              </w:rPr>
            </w:pPr>
          </w:p>
        </w:tc>
        <w:tc>
          <w:tcPr>
            <w:tcW w:w="2466" w:type="dxa"/>
            <w:vMerge w:val="restart"/>
            <w:tcBorders>
              <w:top w:val="nil"/>
              <w:bottom w:val="nil"/>
            </w:tcBorders>
            <w:shd w:val="clear" w:color="auto" w:fill="auto"/>
          </w:tcPr>
          <w:p w14:paraId="4904382B" w14:textId="33841EDF" w:rsidR="00D778D3" w:rsidRPr="00B717D8" w:rsidRDefault="00D778D3" w:rsidP="00D109EF">
            <w:pPr>
              <w:suppressAutoHyphens w:val="0"/>
              <w:spacing w:before="40" w:after="120"/>
              <w:ind w:right="113"/>
            </w:pPr>
            <w:r w:rsidRPr="00B717D8">
              <w:t>3. Regularly evaluate the performance of ECE countries in establishing and implementing SEIS against the SEIS targets and performance indicators adopted by the Committee</w:t>
            </w:r>
          </w:p>
        </w:tc>
        <w:tc>
          <w:tcPr>
            <w:tcW w:w="851" w:type="dxa"/>
            <w:tcBorders>
              <w:top w:val="nil"/>
              <w:bottom w:val="nil"/>
            </w:tcBorders>
          </w:tcPr>
          <w:p w14:paraId="5FDB2E3A" w14:textId="5FF0FFEB" w:rsidR="00D778D3" w:rsidRPr="00B717D8" w:rsidRDefault="001E74A9" w:rsidP="000C7FCF">
            <w:pPr>
              <w:suppressAutoHyphens w:val="0"/>
              <w:spacing w:before="40" w:after="120"/>
              <w:ind w:right="113"/>
            </w:pPr>
            <w:r w:rsidRPr="00B717D8">
              <w:t>High</w:t>
            </w:r>
          </w:p>
        </w:tc>
        <w:tc>
          <w:tcPr>
            <w:tcW w:w="2691" w:type="dxa"/>
            <w:tcBorders>
              <w:top w:val="nil"/>
              <w:bottom w:val="nil"/>
            </w:tcBorders>
            <w:shd w:val="clear" w:color="auto" w:fill="auto"/>
          </w:tcPr>
          <w:p w14:paraId="41EB9F30" w14:textId="5F4E7494" w:rsidR="00D778D3" w:rsidRPr="00B717D8" w:rsidRDefault="00D778D3" w:rsidP="000C7FCF">
            <w:pPr>
              <w:suppressAutoHyphens w:val="0"/>
              <w:spacing w:before="40" w:after="120"/>
              <w:ind w:right="113"/>
              <w:rPr>
                <w:bCs/>
              </w:rPr>
            </w:pPr>
            <w:r w:rsidRPr="00B717D8">
              <w:t>Development of a SEIS assessment framework (2018)</w:t>
            </w:r>
          </w:p>
        </w:tc>
        <w:tc>
          <w:tcPr>
            <w:tcW w:w="1993" w:type="dxa"/>
            <w:tcBorders>
              <w:top w:val="nil"/>
              <w:bottom w:val="nil"/>
            </w:tcBorders>
            <w:shd w:val="clear" w:color="auto" w:fill="auto"/>
          </w:tcPr>
          <w:p w14:paraId="0746DEEA" w14:textId="01290261" w:rsidR="00D778D3" w:rsidRPr="00B717D8" w:rsidRDefault="00D778D3" w:rsidP="00D109EF">
            <w:pPr>
              <w:suppressAutoHyphens w:val="0"/>
              <w:spacing w:before="40" w:after="120"/>
              <w:ind w:right="113"/>
            </w:pPr>
            <w:r w:rsidRPr="00B717D8">
              <w:t>-</w:t>
            </w:r>
          </w:p>
        </w:tc>
        <w:tc>
          <w:tcPr>
            <w:tcW w:w="2829" w:type="dxa"/>
            <w:tcBorders>
              <w:top w:val="nil"/>
              <w:bottom w:val="nil"/>
            </w:tcBorders>
            <w:shd w:val="clear" w:color="auto" w:fill="auto"/>
          </w:tcPr>
          <w:p w14:paraId="494AD0AE" w14:textId="68C15207" w:rsidR="00D778D3" w:rsidRPr="00B717D8" w:rsidRDefault="00D778D3" w:rsidP="00E8543E">
            <w:pPr>
              <w:suppressAutoHyphens w:val="0"/>
              <w:spacing w:before="40" w:after="120"/>
              <w:ind w:right="113"/>
            </w:pPr>
            <w:r w:rsidRPr="00B717D8">
              <w:t>Progress in SEIS establishment in Europe and Central Asia through regular performance evaluations</w:t>
            </w:r>
          </w:p>
          <w:p w14:paraId="1D5515F8" w14:textId="220277A7" w:rsidR="00D778D3" w:rsidRPr="00B717D8" w:rsidRDefault="00D778D3" w:rsidP="000C7FCF">
            <w:pPr>
              <w:suppressAutoHyphens w:val="0"/>
              <w:spacing w:before="40" w:after="120"/>
              <w:ind w:right="113"/>
            </w:pPr>
            <w:r w:rsidRPr="00B717D8">
              <w:t>Issuance of the SEIS assessment framework as an official document (ECE/CEP/AC.10/2018/5) and publication (2019)</w:t>
            </w:r>
          </w:p>
        </w:tc>
      </w:tr>
      <w:tr w:rsidR="00D778D3" w:rsidRPr="00B717D8" w14:paraId="5FEAC580" w14:textId="77777777" w:rsidTr="0051728A">
        <w:trPr>
          <w:cantSplit/>
          <w:trHeight w:val="367"/>
        </w:trPr>
        <w:tc>
          <w:tcPr>
            <w:tcW w:w="1787" w:type="dxa"/>
            <w:vMerge/>
            <w:tcBorders>
              <w:top w:val="nil"/>
              <w:bottom w:val="nil"/>
            </w:tcBorders>
            <w:shd w:val="clear" w:color="auto" w:fill="auto"/>
          </w:tcPr>
          <w:p w14:paraId="7D11F976" w14:textId="77777777" w:rsidR="00D778D3" w:rsidRPr="00B717D8" w:rsidRDefault="00D778D3" w:rsidP="00D109EF">
            <w:pPr>
              <w:suppressAutoHyphens w:val="0"/>
              <w:spacing w:before="40" w:after="120" w:line="220" w:lineRule="exact"/>
              <w:ind w:right="113"/>
              <w:rPr>
                <w:b/>
                <w:strike/>
              </w:rPr>
            </w:pPr>
          </w:p>
        </w:tc>
        <w:tc>
          <w:tcPr>
            <w:tcW w:w="2466" w:type="dxa"/>
            <w:vMerge/>
            <w:tcBorders>
              <w:top w:val="nil"/>
              <w:bottom w:val="nil"/>
            </w:tcBorders>
            <w:shd w:val="clear" w:color="auto" w:fill="auto"/>
          </w:tcPr>
          <w:p w14:paraId="359C2545" w14:textId="77777777" w:rsidR="00D778D3" w:rsidRPr="00B717D8" w:rsidRDefault="00D778D3" w:rsidP="00D109EF">
            <w:pPr>
              <w:suppressAutoHyphens w:val="0"/>
              <w:spacing w:before="40" w:after="120"/>
              <w:ind w:right="113"/>
            </w:pPr>
          </w:p>
        </w:tc>
        <w:tc>
          <w:tcPr>
            <w:tcW w:w="851" w:type="dxa"/>
            <w:tcBorders>
              <w:top w:val="nil"/>
              <w:bottom w:val="nil"/>
            </w:tcBorders>
          </w:tcPr>
          <w:p w14:paraId="0B60B2C0" w14:textId="77777777" w:rsidR="00D778D3" w:rsidRPr="00B717D8" w:rsidRDefault="00D778D3" w:rsidP="00D109EF">
            <w:pPr>
              <w:suppressAutoHyphens w:val="0"/>
              <w:spacing w:before="40" w:after="120"/>
              <w:ind w:right="113"/>
              <w:rPr>
                <w:bCs/>
              </w:rPr>
            </w:pPr>
          </w:p>
        </w:tc>
        <w:tc>
          <w:tcPr>
            <w:tcW w:w="2691" w:type="dxa"/>
            <w:tcBorders>
              <w:top w:val="nil"/>
              <w:bottom w:val="nil"/>
            </w:tcBorders>
            <w:shd w:val="clear" w:color="auto" w:fill="auto"/>
          </w:tcPr>
          <w:p w14:paraId="424E9638" w14:textId="76894673" w:rsidR="00D778D3" w:rsidRPr="00B717D8" w:rsidRDefault="00D778D3" w:rsidP="00D109EF">
            <w:pPr>
              <w:suppressAutoHyphens w:val="0"/>
              <w:spacing w:before="40" w:after="120"/>
              <w:ind w:right="113"/>
            </w:pPr>
            <w:r w:rsidRPr="00B717D8">
              <w:rPr>
                <w:bCs/>
              </w:rPr>
              <w:t>Development of an online SEIS reporting tool (ECE with UNEP) (2018)</w:t>
            </w:r>
          </w:p>
        </w:tc>
        <w:tc>
          <w:tcPr>
            <w:tcW w:w="1993" w:type="dxa"/>
            <w:tcBorders>
              <w:top w:val="nil"/>
              <w:bottom w:val="nil"/>
            </w:tcBorders>
            <w:shd w:val="clear" w:color="auto" w:fill="auto"/>
          </w:tcPr>
          <w:p w14:paraId="5BE5A720" w14:textId="2CBB7AFE" w:rsidR="00D778D3" w:rsidRPr="00B717D8" w:rsidRDefault="00D778D3" w:rsidP="00D109EF">
            <w:pPr>
              <w:suppressAutoHyphens w:val="0"/>
              <w:spacing w:before="40" w:after="120"/>
              <w:ind w:right="113"/>
            </w:pPr>
            <w:r w:rsidRPr="00B717D8">
              <w:t>-</w:t>
            </w:r>
          </w:p>
        </w:tc>
        <w:tc>
          <w:tcPr>
            <w:tcW w:w="2829" w:type="dxa"/>
            <w:tcBorders>
              <w:top w:val="nil"/>
              <w:bottom w:val="nil"/>
            </w:tcBorders>
            <w:shd w:val="clear" w:color="auto" w:fill="auto"/>
          </w:tcPr>
          <w:p w14:paraId="14496D17" w14:textId="3AE758DB" w:rsidR="00D778D3" w:rsidRPr="00B717D8" w:rsidRDefault="00D778D3" w:rsidP="00D109EF">
            <w:pPr>
              <w:suppressAutoHyphens w:val="0"/>
              <w:spacing w:before="40" w:after="120"/>
              <w:ind w:right="113"/>
            </w:pPr>
            <w:r w:rsidRPr="00B717D8">
              <w:t>SEIS online reporting tool available (2018)</w:t>
            </w:r>
          </w:p>
        </w:tc>
      </w:tr>
      <w:tr w:rsidR="00D778D3" w:rsidRPr="00B717D8" w14:paraId="30EDC02C" w14:textId="77777777" w:rsidTr="0051728A">
        <w:trPr>
          <w:cantSplit/>
          <w:trHeight w:val="367"/>
        </w:trPr>
        <w:tc>
          <w:tcPr>
            <w:tcW w:w="1787" w:type="dxa"/>
            <w:vMerge/>
            <w:tcBorders>
              <w:top w:val="nil"/>
              <w:bottom w:val="nil"/>
            </w:tcBorders>
            <w:shd w:val="clear" w:color="auto" w:fill="auto"/>
          </w:tcPr>
          <w:p w14:paraId="6A1605A6" w14:textId="77777777" w:rsidR="00D778D3" w:rsidRPr="00B717D8" w:rsidRDefault="00D778D3" w:rsidP="00D109EF">
            <w:pPr>
              <w:suppressAutoHyphens w:val="0"/>
              <w:spacing w:before="40" w:after="120" w:line="220" w:lineRule="exact"/>
              <w:ind w:right="113"/>
              <w:rPr>
                <w:b/>
                <w:strike/>
              </w:rPr>
            </w:pPr>
          </w:p>
        </w:tc>
        <w:tc>
          <w:tcPr>
            <w:tcW w:w="2466" w:type="dxa"/>
            <w:vMerge/>
            <w:tcBorders>
              <w:top w:val="nil"/>
              <w:bottom w:val="nil"/>
            </w:tcBorders>
            <w:shd w:val="clear" w:color="auto" w:fill="auto"/>
          </w:tcPr>
          <w:p w14:paraId="69E3A704" w14:textId="77777777" w:rsidR="00D778D3" w:rsidRPr="00B717D8" w:rsidRDefault="00D778D3" w:rsidP="00D109EF">
            <w:pPr>
              <w:suppressAutoHyphens w:val="0"/>
              <w:spacing w:before="40" w:after="120"/>
              <w:ind w:right="113"/>
            </w:pPr>
          </w:p>
        </w:tc>
        <w:tc>
          <w:tcPr>
            <w:tcW w:w="851" w:type="dxa"/>
            <w:tcBorders>
              <w:top w:val="nil"/>
            </w:tcBorders>
          </w:tcPr>
          <w:p w14:paraId="41ABB728" w14:textId="77777777" w:rsidR="00D778D3" w:rsidRPr="00B717D8" w:rsidRDefault="00D778D3" w:rsidP="00D109EF">
            <w:pPr>
              <w:suppressAutoHyphens w:val="0"/>
              <w:spacing w:before="40" w:after="120"/>
              <w:ind w:right="113"/>
              <w:rPr>
                <w:bCs/>
              </w:rPr>
            </w:pPr>
          </w:p>
        </w:tc>
        <w:tc>
          <w:tcPr>
            <w:tcW w:w="2691" w:type="dxa"/>
            <w:tcBorders>
              <w:top w:val="nil"/>
            </w:tcBorders>
            <w:shd w:val="clear" w:color="auto" w:fill="auto"/>
          </w:tcPr>
          <w:p w14:paraId="5D8B2C01" w14:textId="17B624BA" w:rsidR="00D778D3" w:rsidRPr="00B717D8" w:rsidRDefault="00D778D3" w:rsidP="00D109EF">
            <w:pPr>
              <w:suppressAutoHyphens w:val="0"/>
              <w:spacing w:before="40" w:after="120"/>
              <w:ind w:right="113"/>
            </w:pPr>
            <w:r w:rsidRPr="00B717D8">
              <w:rPr>
                <w:bCs/>
              </w:rPr>
              <w:t>Regular reporting by countries on progress in the establishment of SEIS (2018–2021)</w:t>
            </w:r>
          </w:p>
        </w:tc>
        <w:tc>
          <w:tcPr>
            <w:tcW w:w="1993" w:type="dxa"/>
            <w:tcBorders>
              <w:top w:val="nil"/>
            </w:tcBorders>
            <w:shd w:val="clear" w:color="auto" w:fill="auto"/>
          </w:tcPr>
          <w:p w14:paraId="3F23FD40" w14:textId="15AA1327" w:rsidR="00D778D3" w:rsidRPr="00B717D8" w:rsidRDefault="00D778D3" w:rsidP="00D109EF">
            <w:pPr>
              <w:suppressAutoHyphens w:val="0"/>
              <w:spacing w:before="40" w:after="120"/>
              <w:ind w:right="113"/>
            </w:pPr>
            <w:r w:rsidRPr="00B717D8">
              <w:t>-</w:t>
            </w:r>
          </w:p>
        </w:tc>
        <w:tc>
          <w:tcPr>
            <w:tcW w:w="2829" w:type="dxa"/>
            <w:tcBorders>
              <w:top w:val="nil"/>
            </w:tcBorders>
            <w:shd w:val="clear" w:color="auto" w:fill="auto"/>
          </w:tcPr>
          <w:p w14:paraId="19935F73" w14:textId="51F16EAC" w:rsidR="00D778D3" w:rsidRPr="00B717D8" w:rsidRDefault="00D778D3" w:rsidP="00D109EF">
            <w:pPr>
              <w:suppressAutoHyphens w:val="0"/>
              <w:spacing w:before="40" w:after="120"/>
              <w:ind w:right="113"/>
            </w:pPr>
            <w:r w:rsidRPr="00B717D8">
              <w:t xml:space="preserve">Compilation of production tables for ECE environmental indicators or links thereto </w:t>
            </w:r>
          </w:p>
          <w:p w14:paraId="62B766C0" w14:textId="7CAA894F" w:rsidR="00D778D3" w:rsidRPr="00B717D8" w:rsidRDefault="00D778D3" w:rsidP="00D109EF">
            <w:pPr>
              <w:suppressAutoHyphens w:val="0"/>
              <w:spacing w:before="40" w:after="120"/>
              <w:ind w:right="113"/>
            </w:pPr>
            <w:r w:rsidRPr="00B717D8">
              <w:t>Compilation of completed questionnaires on the establishment of SEIS</w:t>
            </w:r>
          </w:p>
        </w:tc>
      </w:tr>
      <w:tr w:rsidR="00D778D3" w:rsidRPr="00B717D8" w14:paraId="4F62437D" w14:textId="77777777" w:rsidTr="0051728A">
        <w:trPr>
          <w:cantSplit/>
          <w:trHeight w:val="367"/>
        </w:trPr>
        <w:tc>
          <w:tcPr>
            <w:tcW w:w="1787" w:type="dxa"/>
            <w:vMerge/>
            <w:tcBorders>
              <w:top w:val="nil"/>
              <w:bottom w:val="nil"/>
            </w:tcBorders>
            <w:shd w:val="clear" w:color="auto" w:fill="auto"/>
          </w:tcPr>
          <w:p w14:paraId="2C57221F" w14:textId="77777777" w:rsidR="00D778D3" w:rsidRPr="00B717D8" w:rsidRDefault="00D778D3" w:rsidP="00D109EF">
            <w:pPr>
              <w:suppressAutoHyphens w:val="0"/>
              <w:spacing w:before="40" w:after="120" w:line="220" w:lineRule="exact"/>
              <w:ind w:right="113"/>
              <w:rPr>
                <w:b/>
                <w:strike/>
              </w:rPr>
            </w:pPr>
          </w:p>
        </w:tc>
        <w:tc>
          <w:tcPr>
            <w:tcW w:w="2466" w:type="dxa"/>
            <w:tcBorders>
              <w:top w:val="nil"/>
              <w:bottom w:val="nil"/>
            </w:tcBorders>
            <w:shd w:val="clear" w:color="auto" w:fill="auto"/>
          </w:tcPr>
          <w:p w14:paraId="25C4D07C" w14:textId="7AED3ABE" w:rsidR="00D778D3" w:rsidRPr="00B717D8" w:rsidRDefault="00D778D3" w:rsidP="00D109EF">
            <w:pPr>
              <w:suppressAutoHyphens w:val="0"/>
              <w:spacing w:before="40" w:after="120"/>
              <w:ind w:right="113"/>
            </w:pPr>
            <w:r w:rsidRPr="00B717D8">
              <w:t>4. Contribute to the process of the Environment for Europe mid-term review of the Batumi Conference main outcomes in 2018</w:t>
            </w:r>
          </w:p>
        </w:tc>
        <w:tc>
          <w:tcPr>
            <w:tcW w:w="851" w:type="dxa"/>
            <w:tcBorders>
              <w:top w:val="nil"/>
              <w:bottom w:val="nil"/>
            </w:tcBorders>
          </w:tcPr>
          <w:p w14:paraId="1B057FCA" w14:textId="47E78767" w:rsidR="00D778D3" w:rsidRPr="00B717D8" w:rsidRDefault="001E74A9" w:rsidP="00D109EF">
            <w:pPr>
              <w:suppressAutoHyphens w:val="0"/>
              <w:spacing w:before="40" w:after="120"/>
              <w:ind w:right="113"/>
              <w:rPr>
                <w:bCs/>
              </w:rPr>
            </w:pPr>
            <w:r w:rsidRPr="00B717D8">
              <w:rPr>
                <w:bCs/>
              </w:rPr>
              <w:t>High</w:t>
            </w:r>
          </w:p>
        </w:tc>
        <w:tc>
          <w:tcPr>
            <w:tcW w:w="2691" w:type="dxa"/>
            <w:tcBorders>
              <w:top w:val="nil"/>
              <w:bottom w:val="nil"/>
            </w:tcBorders>
            <w:shd w:val="clear" w:color="auto" w:fill="auto"/>
          </w:tcPr>
          <w:p w14:paraId="0A7EFAFE" w14:textId="739E4D39" w:rsidR="00D778D3" w:rsidRPr="00B717D8" w:rsidRDefault="00D778D3" w:rsidP="00D109EF">
            <w:pPr>
              <w:suppressAutoHyphens w:val="0"/>
              <w:spacing w:before="40" w:after="120"/>
              <w:ind w:right="113"/>
              <w:rPr>
                <w:bCs/>
              </w:rPr>
            </w:pPr>
            <w:r w:rsidRPr="00B717D8">
              <w:rPr>
                <w:bCs/>
              </w:rPr>
              <w:t xml:space="preserve">Prepare a draft mid-term review report </w:t>
            </w:r>
            <w:r w:rsidRPr="00B717D8">
              <w:t xml:space="preserve">on the establishment of SEIS </w:t>
            </w:r>
            <w:r w:rsidRPr="00B717D8">
              <w:rPr>
                <w:bCs/>
              </w:rPr>
              <w:t>(2018)</w:t>
            </w:r>
          </w:p>
        </w:tc>
        <w:tc>
          <w:tcPr>
            <w:tcW w:w="1993" w:type="dxa"/>
            <w:tcBorders>
              <w:top w:val="nil"/>
              <w:bottom w:val="nil"/>
            </w:tcBorders>
            <w:shd w:val="clear" w:color="auto" w:fill="auto"/>
          </w:tcPr>
          <w:p w14:paraId="446FA2DD" w14:textId="700731B4" w:rsidR="00D778D3" w:rsidRPr="00B717D8" w:rsidRDefault="00D778D3" w:rsidP="00D109EF">
            <w:pPr>
              <w:suppressAutoHyphens w:val="0"/>
              <w:spacing w:before="40" w:after="120"/>
              <w:ind w:right="113"/>
            </w:pPr>
            <w:r w:rsidRPr="00B717D8">
              <w:t>-</w:t>
            </w:r>
          </w:p>
        </w:tc>
        <w:tc>
          <w:tcPr>
            <w:tcW w:w="2829" w:type="dxa"/>
            <w:tcBorders>
              <w:top w:val="nil"/>
              <w:bottom w:val="nil"/>
            </w:tcBorders>
            <w:shd w:val="clear" w:color="auto" w:fill="auto"/>
          </w:tcPr>
          <w:p w14:paraId="09C7C1CB" w14:textId="2ABFA408" w:rsidR="00D778D3" w:rsidRPr="00B717D8" w:rsidRDefault="00D778D3" w:rsidP="00D109EF">
            <w:pPr>
              <w:suppressAutoHyphens w:val="0"/>
              <w:spacing w:before="40" w:after="120"/>
              <w:ind w:right="113"/>
            </w:pPr>
            <w:r w:rsidRPr="00B717D8">
              <w:t>Issuance of the draft mid-term review report on the establishment of SEIS (ECE/CEP/AC.10/2018/6)</w:t>
            </w:r>
          </w:p>
        </w:tc>
      </w:tr>
      <w:tr w:rsidR="00D778D3" w:rsidRPr="00B717D8" w14:paraId="5CDB082C" w14:textId="77777777" w:rsidTr="0051728A">
        <w:trPr>
          <w:cantSplit/>
        </w:trPr>
        <w:tc>
          <w:tcPr>
            <w:tcW w:w="1787" w:type="dxa"/>
            <w:vMerge/>
            <w:tcBorders>
              <w:top w:val="nil"/>
              <w:bottom w:val="nil"/>
            </w:tcBorders>
            <w:shd w:val="clear" w:color="auto" w:fill="auto"/>
          </w:tcPr>
          <w:p w14:paraId="68A6DE54" w14:textId="77777777" w:rsidR="00D778D3" w:rsidRPr="00B717D8" w:rsidRDefault="00D778D3" w:rsidP="00D00A01">
            <w:pPr>
              <w:suppressAutoHyphens w:val="0"/>
              <w:spacing w:before="40" w:after="120" w:line="220" w:lineRule="exact"/>
              <w:ind w:right="113"/>
              <w:rPr>
                <w:b/>
                <w:strike/>
              </w:rPr>
            </w:pPr>
          </w:p>
        </w:tc>
        <w:tc>
          <w:tcPr>
            <w:tcW w:w="2466" w:type="dxa"/>
            <w:tcBorders>
              <w:top w:val="nil"/>
              <w:bottom w:val="nil"/>
            </w:tcBorders>
            <w:shd w:val="clear" w:color="auto" w:fill="auto"/>
          </w:tcPr>
          <w:p w14:paraId="64AC1933" w14:textId="557F291E" w:rsidR="00D778D3" w:rsidRPr="00B717D8" w:rsidRDefault="00D778D3" w:rsidP="00D00A01">
            <w:pPr>
              <w:suppressAutoHyphens w:val="0"/>
              <w:spacing w:before="40" w:after="120"/>
              <w:ind w:right="113"/>
            </w:pPr>
            <w:r w:rsidRPr="00B717D8">
              <w:t>5. Prepare a mid-term and a final report for the Committee on the establishment and implementation of SEIS leading up to 2021</w:t>
            </w:r>
          </w:p>
        </w:tc>
        <w:tc>
          <w:tcPr>
            <w:tcW w:w="851" w:type="dxa"/>
            <w:tcBorders>
              <w:top w:val="nil"/>
              <w:bottom w:val="nil"/>
            </w:tcBorders>
          </w:tcPr>
          <w:p w14:paraId="664263D4" w14:textId="5919A8CA" w:rsidR="00D778D3" w:rsidRPr="00B717D8" w:rsidRDefault="001E74A9" w:rsidP="000A5624">
            <w:pPr>
              <w:suppressAutoHyphens w:val="0"/>
              <w:spacing w:before="40" w:after="120"/>
              <w:ind w:right="113"/>
              <w:rPr>
                <w:bCs/>
              </w:rPr>
            </w:pPr>
            <w:r w:rsidRPr="00B717D8">
              <w:rPr>
                <w:bCs/>
              </w:rPr>
              <w:t>High</w:t>
            </w:r>
          </w:p>
        </w:tc>
        <w:tc>
          <w:tcPr>
            <w:tcW w:w="2691" w:type="dxa"/>
            <w:tcBorders>
              <w:top w:val="nil"/>
              <w:bottom w:val="nil"/>
            </w:tcBorders>
            <w:shd w:val="clear" w:color="auto" w:fill="auto"/>
          </w:tcPr>
          <w:p w14:paraId="394FADD1" w14:textId="3D043A6E" w:rsidR="00D778D3" w:rsidRPr="00B717D8" w:rsidRDefault="00D778D3" w:rsidP="000A5624">
            <w:pPr>
              <w:suppressAutoHyphens w:val="0"/>
              <w:spacing w:before="40" w:after="120"/>
              <w:ind w:right="113"/>
              <w:rPr>
                <w:bCs/>
              </w:rPr>
            </w:pPr>
            <w:r w:rsidRPr="00B717D8">
              <w:rPr>
                <w:bCs/>
              </w:rPr>
              <w:t>Annual sessions of the Working Group and Joint Task Force (</w:t>
            </w:r>
            <w:r w:rsidRPr="00B717D8">
              <w:t xml:space="preserve">2018–2021) and </w:t>
            </w:r>
            <w:r w:rsidRPr="00B717D8">
              <w:rPr>
                <w:bCs/>
              </w:rPr>
              <w:t>of the Committee on Environmental Policy (2019 and 2021)</w:t>
            </w:r>
          </w:p>
        </w:tc>
        <w:tc>
          <w:tcPr>
            <w:tcW w:w="1993" w:type="dxa"/>
            <w:tcBorders>
              <w:top w:val="nil"/>
              <w:bottom w:val="nil"/>
            </w:tcBorders>
            <w:shd w:val="clear" w:color="auto" w:fill="auto"/>
          </w:tcPr>
          <w:p w14:paraId="40CC012B" w14:textId="38C285CD" w:rsidR="00D778D3" w:rsidRPr="00B717D8" w:rsidRDefault="00D778D3" w:rsidP="00510975">
            <w:pPr>
              <w:suppressAutoHyphens w:val="0"/>
              <w:spacing w:before="40" w:after="120"/>
              <w:ind w:right="113"/>
            </w:pPr>
            <w:r w:rsidRPr="00B717D8">
              <w:t>See above under activity A.2</w:t>
            </w:r>
          </w:p>
        </w:tc>
        <w:tc>
          <w:tcPr>
            <w:tcW w:w="2829" w:type="dxa"/>
            <w:tcBorders>
              <w:top w:val="nil"/>
              <w:bottom w:val="nil"/>
            </w:tcBorders>
            <w:shd w:val="clear" w:color="auto" w:fill="auto"/>
          </w:tcPr>
          <w:p w14:paraId="2B81EFFA" w14:textId="78E0A8F8" w:rsidR="00D778D3" w:rsidRPr="00B717D8" w:rsidRDefault="00D778D3" w:rsidP="00510975">
            <w:pPr>
              <w:suppressAutoHyphens w:val="0"/>
              <w:spacing w:before="40" w:after="120"/>
              <w:ind w:right="113"/>
            </w:pPr>
            <w:r w:rsidRPr="00B717D8">
              <w:t>Issuance of the mid-term review report on the establishment of SEIS as an official document (draft in 2018)</w:t>
            </w:r>
          </w:p>
          <w:p w14:paraId="0A0E2CD8" w14:textId="008A78C4" w:rsidR="00D778D3" w:rsidRPr="00B717D8" w:rsidRDefault="00D778D3" w:rsidP="00D00A01">
            <w:pPr>
              <w:spacing w:before="40" w:after="120"/>
              <w:ind w:right="113"/>
            </w:pPr>
            <w:r w:rsidRPr="00B717D8">
              <w:t>Issuance of the final review report on the establishment of SEIS (2021)</w:t>
            </w:r>
          </w:p>
        </w:tc>
      </w:tr>
      <w:tr w:rsidR="00D778D3" w:rsidRPr="00B717D8" w14:paraId="5BB429C3" w14:textId="77777777" w:rsidTr="0051728A">
        <w:trPr>
          <w:cantSplit/>
        </w:trPr>
        <w:tc>
          <w:tcPr>
            <w:tcW w:w="1787" w:type="dxa"/>
            <w:vMerge/>
            <w:tcBorders>
              <w:top w:val="nil"/>
              <w:bottom w:val="nil"/>
            </w:tcBorders>
            <w:shd w:val="clear" w:color="auto" w:fill="auto"/>
          </w:tcPr>
          <w:p w14:paraId="3CD97F91" w14:textId="77777777" w:rsidR="00D778D3" w:rsidRPr="00B717D8" w:rsidRDefault="00D778D3" w:rsidP="00D00A01">
            <w:pPr>
              <w:suppressAutoHyphens w:val="0"/>
              <w:spacing w:before="40" w:after="120" w:line="220" w:lineRule="exact"/>
              <w:ind w:right="113"/>
              <w:rPr>
                <w:b/>
                <w:strike/>
              </w:rPr>
            </w:pPr>
          </w:p>
        </w:tc>
        <w:tc>
          <w:tcPr>
            <w:tcW w:w="2466" w:type="dxa"/>
            <w:tcBorders>
              <w:top w:val="nil"/>
              <w:bottom w:val="nil"/>
            </w:tcBorders>
            <w:shd w:val="clear" w:color="auto" w:fill="auto"/>
          </w:tcPr>
          <w:p w14:paraId="7EFFC35A" w14:textId="1538366B" w:rsidR="00D778D3" w:rsidRPr="00B717D8" w:rsidRDefault="00D778D3" w:rsidP="00D00A01">
            <w:pPr>
              <w:suppressAutoHyphens w:val="0"/>
              <w:spacing w:before="40" w:after="120"/>
              <w:ind w:right="113"/>
            </w:pPr>
            <w:r w:rsidRPr="00B717D8">
              <w:t>6. Provide annual recommendations on how SEIS can be further strengthened in European and Central Asian countries</w:t>
            </w:r>
          </w:p>
        </w:tc>
        <w:tc>
          <w:tcPr>
            <w:tcW w:w="851" w:type="dxa"/>
            <w:tcBorders>
              <w:top w:val="nil"/>
              <w:bottom w:val="nil"/>
            </w:tcBorders>
          </w:tcPr>
          <w:p w14:paraId="44F979A0" w14:textId="486D3D67" w:rsidR="00D778D3" w:rsidRPr="00B717D8" w:rsidRDefault="001E74A9" w:rsidP="000C7FCF">
            <w:pPr>
              <w:suppressAutoHyphens w:val="0"/>
              <w:spacing w:before="40" w:after="120"/>
              <w:ind w:right="113"/>
              <w:rPr>
                <w:bCs/>
              </w:rPr>
            </w:pPr>
            <w:r w:rsidRPr="00B717D8">
              <w:rPr>
                <w:bCs/>
              </w:rPr>
              <w:t>Medium</w:t>
            </w:r>
          </w:p>
        </w:tc>
        <w:tc>
          <w:tcPr>
            <w:tcW w:w="2691" w:type="dxa"/>
            <w:tcBorders>
              <w:top w:val="nil"/>
              <w:bottom w:val="nil"/>
            </w:tcBorders>
            <w:shd w:val="clear" w:color="auto" w:fill="auto"/>
          </w:tcPr>
          <w:p w14:paraId="34F64031" w14:textId="1BFC9C00" w:rsidR="00D778D3" w:rsidRPr="00B717D8" w:rsidRDefault="00D778D3" w:rsidP="000C7FCF">
            <w:pPr>
              <w:suppressAutoHyphens w:val="0"/>
              <w:spacing w:before="40" w:after="120"/>
              <w:ind w:right="113"/>
              <w:rPr>
                <w:bCs/>
              </w:rPr>
            </w:pPr>
            <w:r w:rsidRPr="00B717D8">
              <w:rPr>
                <w:bCs/>
              </w:rPr>
              <w:t>Annual sessions of the Working Group and Joint Task Force and reports issued and events conducted within the framework of projects (</w:t>
            </w:r>
            <w:r w:rsidRPr="00B717D8">
              <w:t>2018–2021)</w:t>
            </w:r>
          </w:p>
        </w:tc>
        <w:tc>
          <w:tcPr>
            <w:tcW w:w="1993" w:type="dxa"/>
            <w:tcBorders>
              <w:top w:val="nil"/>
              <w:bottom w:val="nil"/>
            </w:tcBorders>
            <w:shd w:val="clear" w:color="auto" w:fill="auto"/>
          </w:tcPr>
          <w:p w14:paraId="6609723D" w14:textId="5792FC1B" w:rsidR="00D778D3" w:rsidRPr="00B717D8" w:rsidRDefault="00D778D3" w:rsidP="000A5624">
            <w:pPr>
              <w:suppressAutoHyphens w:val="0"/>
              <w:spacing w:before="40" w:after="120"/>
              <w:ind w:right="113"/>
            </w:pPr>
            <w:r w:rsidRPr="00B717D8">
              <w:t>Largely funded through projects (excluding the travel and subsistence of expert participants)</w:t>
            </w:r>
          </w:p>
        </w:tc>
        <w:tc>
          <w:tcPr>
            <w:tcW w:w="2829" w:type="dxa"/>
            <w:tcBorders>
              <w:top w:val="nil"/>
              <w:bottom w:val="nil"/>
            </w:tcBorders>
            <w:shd w:val="clear" w:color="auto" w:fill="auto"/>
          </w:tcPr>
          <w:p w14:paraId="70A81D1B" w14:textId="4FB2AF5E" w:rsidR="00D778D3" w:rsidRPr="00B717D8" w:rsidRDefault="00D778D3" w:rsidP="00510975">
            <w:pPr>
              <w:suppressAutoHyphens w:val="0"/>
              <w:spacing w:before="40" w:after="120"/>
              <w:ind w:right="113"/>
            </w:pPr>
            <w:r w:rsidRPr="00B717D8">
              <w:t xml:space="preserve">Recommendations and advice provided to ECE countries in order to improve their SEIS performance </w:t>
            </w:r>
          </w:p>
          <w:p w14:paraId="13707138" w14:textId="7C719190" w:rsidR="00D778D3" w:rsidRPr="00B717D8" w:rsidRDefault="00D778D3" w:rsidP="00510975">
            <w:pPr>
              <w:suppressAutoHyphens w:val="0"/>
              <w:spacing w:before="40" w:after="120"/>
              <w:ind w:right="113"/>
            </w:pPr>
            <w:r w:rsidRPr="00B717D8">
              <w:t>Recommendations uploaded to SEIS e-learning platform (2021)</w:t>
            </w:r>
          </w:p>
        </w:tc>
      </w:tr>
      <w:tr w:rsidR="00D778D3" w:rsidRPr="00B717D8" w14:paraId="4F3B093D" w14:textId="77777777" w:rsidTr="0051728A">
        <w:trPr>
          <w:cantSplit/>
          <w:trHeight w:val="367"/>
        </w:trPr>
        <w:tc>
          <w:tcPr>
            <w:tcW w:w="1787" w:type="dxa"/>
            <w:vMerge w:val="restart"/>
            <w:tcBorders>
              <w:top w:val="nil"/>
              <w:bottom w:val="nil"/>
            </w:tcBorders>
            <w:shd w:val="clear" w:color="auto" w:fill="auto"/>
          </w:tcPr>
          <w:p w14:paraId="0C24368C" w14:textId="660D6B3B" w:rsidR="00D778D3" w:rsidRPr="00B717D8" w:rsidRDefault="00D778D3" w:rsidP="002868BC">
            <w:pPr>
              <w:suppressAutoHyphens w:val="0"/>
              <w:spacing w:before="40" w:after="120"/>
              <w:ind w:right="113"/>
              <w:rPr>
                <w:bCs/>
              </w:rPr>
            </w:pPr>
            <w:r w:rsidRPr="00B717D8">
              <w:rPr>
                <w:bCs/>
              </w:rPr>
              <w:t>B. Lead a process of consultation on the regular pan-European environmental assessment and the streamlining of regular state-of-the-environment reporting by 2020</w:t>
            </w:r>
          </w:p>
        </w:tc>
        <w:tc>
          <w:tcPr>
            <w:tcW w:w="2466" w:type="dxa"/>
            <w:vMerge w:val="restart"/>
            <w:tcBorders>
              <w:top w:val="nil"/>
              <w:bottom w:val="nil"/>
            </w:tcBorders>
            <w:shd w:val="clear" w:color="auto" w:fill="auto"/>
          </w:tcPr>
          <w:p w14:paraId="644D6283" w14:textId="26029BAF" w:rsidR="00D778D3" w:rsidRPr="00B717D8" w:rsidRDefault="00D778D3" w:rsidP="000A0325">
            <w:pPr>
              <w:suppressAutoHyphens w:val="0"/>
              <w:spacing w:before="40" w:after="120"/>
              <w:ind w:right="113"/>
            </w:pPr>
            <w:r w:rsidRPr="00B717D8">
              <w:t>1. Bring together experts involved in the UNEP Global Environment Outlook process and the EEA European Environment Information and Observation Network (EIONET) to discuss and oversee the regular pan-European environmental assessment</w:t>
            </w:r>
          </w:p>
        </w:tc>
        <w:tc>
          <w:tcPr>
            <w:tcW w:w="851" w:type="dxa"/>
            <w:tcBorders>
              <w:top w:val="nil"/>
              <w:bottom w:val="nil"/>
            </w:tcBorders>
          </w:tcPr>
          <w:p w14:paraId="0D21F182" w14:textId="304A3E7B" w:rsidR="00D778D3" w:rsidRPr="00B717D8" w:rsidRDefault="00F0132D" w:rsidP="001B71ED">
            <w:pPr>
              <w:suppressAutoHyphens w:val="0"/>
              <w:spacing w:before="40" w:after="120"/>
              <w:ind w:right="113"/>
              <w:rPr>
                <w:bCs/>
              </w:rPr>
            </w:pPr>
            <w:r w:rsidRPr="00B717D8">
              <w:rPr>
                <w:bCs/>
              </w:rPr>
              <w:t>Medium</w:t>
            </w:r>
          </w:p>
        </w:tc>
        <w:tc>
          <w:tcPr>
            <w:tcW w:w="2691" w:type="dxa"/>
            <w:tcBorders>
              <w:top w:val="nil"/>
              <w:bottom w:val="nil"/>
            </w:tcBorders>
            <w:shd w:val="clear" w:color="auto" w:fill="auto"/>
          </w:tcPr>
          <w:p w14:paraId="07C92AA3" w14:textId="31BBCFDC" w:rsidR="00D778D3" w:rsidRPr="00B717D8" w:rsidRDefault="00D778D3" w:rsidP="001B71ED">
            <w:pPr>
              <w:suppressAutoHyphens w:val="0"/>
              <w:spacing w:before="40" w:after="120"/>
              <w:ind w:right="113"/>
              <w:rPr>
                <w:bCs/>
              </w:rPr>
            </w:pPr>
            <w:r w:rsidRPr="00B717D8">
              <w:rPr>
                <w:bCs/>
              </w:rPr>
              <w:t>Annual sessions of the Working Group and Joint Task Force</w:t>
            </w:r>
            <w:r w:rsidRPr="00B717D8">
              <w:t xml:space="preserve"> and m</w:t>
            </w:r>
            <w:r w:rsidRPr="00B717D8">
              <w:rPr>
                <w:bCs/>
              </w:rPr>
              <w:t>eetings between ECE, UNEP and EEA, as appropriate (</w:t>
            </w:r>
            <w:r w:rsidRPr="00B717D8">
              <w:t>2018–2021)</w:t>
            </w:r>
          </w:p>
        </w:tc>
        <w:tc>
          <w:tcPr>
            <w:tcW w:w="1993" w:type="dxa"/>
            <w:tcBorders>
              <w:top w:val="nil"/>
              <w:bottom w:val="nil"/>
            </w:tcBorders>
            <w:shd w:val="clear" w:color="auto" w:fill="auto"/>
          </w:tcPr>
          <w:p w14:paraId="4B756A08" w14:textId="4004F916" w:rsidR="00D778D3" w:rsidRPr="00B717D8" w:rsidRDefault="00D778D3" w:rsidP="002868BC">
            <w:pPr>
              <w:suppressAutoHyphens w:val="0"/>
              <w:spacing w:before="40" w:after="120"/>
              <w:ind w:right="113"/>
            </w:pPr>
            <w:r w:rsidRPr="00B717D8">
              <w:t>See above under activity A.2</w:t>
            </w:r>
          </w:p>
        </w:tc>
        <w:tc>
          <w:tcPr>
            <w:tcW w:w="2829" w:type="dxa"/>
            <w:tcBorders>
              <w:top w:val="nil"/>
              <w:bottom w:val="nil"/>
            </w:tcBorders>
            <w:shd w:val="clear" w:color="auto" w:fill="auto"/>
          </w:tcPr>
          <w:p w14:paraId="001F6638" w14:textId="35A5D6D8" w:rsidR="00D778D3" w:rsidRPr="00F135C3" w:rsidRDefault="00D51739" w:rsidP="00BE70B7">
            <w:pPr>
              <w:suppressAutoHyphens w:val="0"/>
              <w:spacing w:before="40" w:after="120"/>
              <w:ind w:right="113"/>
            </w:pPr>
            <w:r>
              <w:t>Proposals on</w:t>
            </w:r>
            <w:r w:rsidR="00F135C3">
              <w:t xml:space="preserve"> the next p</w:t>
            </w:r>
            <w:r w:rsidR="00D778D3" w:rsidRPr="00F135C3">
              <w:t>an-European environmental assessment</w:t>
            </w:r>
            <w:r w:rsidR="00F135C3">
              <w:t xml:space="preserve"> (2019)</w:t>
            </w:r>
          </w:p>
          <w:p w14:paraId="14B3C28B" w14:textId="4E8FE5D0" w:rsidR="00D778D3" w:rsidRPr="00F135C3" w:rsidRDefault="00D778D3" w:rsidP="000A5624">
            <w:pPr>
              <w:suppressAutoHyphens w:val="0"/>
              <w:spacing w:before="40" w:after="120"/>
              <w:ind w:right="113"/>
            </w:pPr>
            <w:r w:rsidRPr="00F135C3">
              <w:t xml:space="preserve">Concept of regular pan-European environmental assessment and oversight thereof, </w:t>
            </w:r>
            <w:r w:rsidR="00D51739">
              <w:t xml:space="preserve">as appropriate, </w:t>
            </w:r>
            <w:r w:rsidRPr="00F135C3">
              <w:t>described in the reports on Working Group and Joint Task Force sessions (2018–2019)</w:t>
            </w:r>
          </w:p>
        </w:tc>
      </w:tr>
      <w:tr w:rsidR="00D778D3" w:rsidRPr="00B717D8" w14:paraId="64975AA5" w14:textId="77777777" w:rsidTr="0051728A">
        <w:trPr>
          <w:cantSplit/>
          <w:trHeight w:val="367"/>
        </w:trPr>
        <w:tc>
          <w:tcPr>
            <w:tcW w:w="1787" w:type="dxa"/>
            <w:vMerge/>
            <w:tcBorders>
              <w:top w:val="nil"/>
              <w:bottom w:val="nil"/>
            </w:tcBorders>
            <w:shd w:val="clear" w:color="auto" w:fill="auto"/>
          </w:tcPr>
          <w:p w14:paraId="6860C820" w14:textId="77777777" w:rsidR="00D778D3" w:rsidRPr="00B717D8" w:rsidRDefault="00D778D3" w:rsidP="002868BC">
            <w:pPr>
              <w:suppressAutoHyphens w:val="0"/>
              <w:spacing w:before="40" w:after="120"/>
              <w:ind w:right="113"/>
              <w:rPr>
                <w:bCs/>
              </w:rPr>
            </w:pPr>
          </w:p>
        </w:tc>
        <w:tc>
          <w:tcPr>
            <w:tcW w:w="2466" w:type="dxa"/>
            <w:vMerge/>
            <w:tcBorders>
              <w:top w:val="nil"/>
              <w:bottom w:val="nil"/>
            </w:tcBorders>
            <w:shd w:val="clear" w:color="auto" w:fill="auto"/>
          </w:tcPr>
          <w:p w14:paraId="63EA62BE" w14:textId="77777777" w:rsidR="00D778D3" w:rsidRPr="00B717D8" w:rsidRDefault="00D778D3" w:rsidP="002868BC">
            <w:pPr>
              <w:suppressAutoHyphens w:val="0"/>
              <w:spacing w:before="40" w:after="120"/>
              <w:ind w:right="113"/>
            </w:pPr>
          </w:p>
        </w:tc>
        <w:tc>
          <w:tcPr>
            <w:tcW w:w="851" w:type="dxa"/>
            <w:tcBorders>
              <w:top w:val="nil"/>
              <w:bottom w:val="nil"/>
            </w:tcBorders>
          </w:tcPr>
          <w:p w14:paraId="6ADAF314" w14:textId="77777777" w:rsidR="00D778D3" w:rsidRPr="00B717D8" w:rsidRDefault="00D778D3" w:rsidP="00C26BFA">
            <w:pPr>
              <w:suppressAutoHyphens w:val="0"/>
              <w:spacing w:before="40" w:after="120"/>
              <w:ind w:right="113"/>
              <w:rPr>
                <w:bCs/>
              </w:rPr>
            </w:pPr>
          </w:p>
        </w:tc>
        <w:tc>
          <w:tcPr>
            <w:tcW w:w="2691" w:type="dxa"/>
            <w:tcBorders>
              <w:top w:val="nil"/>
              <w:bottom w:val="nil"/>
            </w:tcBorders>
            <w:shd w:val="clear" w:color="auto" w:fill="auto"/>
          </w:tcPr>
          <w:p w14:paraId="31DAFB2D" w14:textId="362FF050" w:rsidR="00D778D3" w:rsidRPr="00B717D8" w:rsidRDefault="00B717D8" w:rsidP="00B717D8">
            <w:pPr>
              <w:suppressAutoHyphens w:val="0"/>
              <w:spacing w:before="40" w:after="120"/>
              <w:ind w:right="113"/>
              <w:rPr>
                <w:bCs/>
              </w:rPr>
            </w:pPr>
            <w:bookmarkStart w:id="2" w:name="_Hlk515460838"/>
            <w:r>
              <w:rPr>
                <w:bCs/>
              </w:rPr>
              <w:t>Support the p</w:t>
            </w:r>
            <w:r w:rsidR="00D778D3" w:rsidRPr="00B717D8">
              <w:rPr>
                <w:bCs/>
              </w:rPr>
              <w:t xml:space="preserve">reparation of a pan-European environmental assessment, </w:t>
            </w:r>
            <w:bookmarkEnd w:id="2"/>
            <w:r w:rsidR="00D778D3" w:rsidRPr="00B717D8">
              <w:rPr>
                <w:bCs/>
              </w:rPr>
              <w:t xml:space="preserve">supported by SEIS, with </w:t>
            </w:r>
            <w:r w:rsidR="00D778D3" w:rsidRPr="00F135C3">
              <w:rPr>
                <w:bCs/>
              </w:rPr>
              <w:t>its nature, scope and leadership to be determined by the Committee on Environmental Policy (</w:t>
            </w:r>
            <w:r w:rsidR="00D778D3" w:rsidRPr="00B717D8">
              <w:t>2020–2021)</w:t>
            </w:r>
          </w:p>
        </w:tc>
        <w:tc>
          <w:tcPr>
            <w:tcW w:w="1993" w:type="dxa"/>
            <w:tcBorders>
              <w:top w:val="nil"/>
              <w:bottom w:val="nil"/>
            </w:tcBorders>
            <w:shd w:val="clear" w:color="auto" w:fill="auto"/>
          </w:tcPr>
          <w:p w14:paraId="38E2B342" w14:textId="0978EF42" w:rsidR="00D778D3" w:rsidRPr="00B717D8" w:rsidRDefault="00D778D3" w:rsidP="000A5624">
            <w:pPr>
              <w:suppressAutoHyphens w:val="0"/>
              <w:spacing w:before="40" w:after="120"/>
              <w:ind w:right="113"/>
            </w:pPr>
            <w:r w:rsidRPr="00B717D8">
              <w:t>Resource needs will depend on the nature and scope of the assessment but may be significant</w:t>
            </w:r>
          </w:p>
        </w:tc>
        <w:tc>
          <w:tcPr>
            <w:tcW w:w="2829" w:type="dxa"/>
            <w:tcBorders>
              <w:top w:val="nil"/>
              <w:bottom w:val="nil"/>
            </w:tcBorders>
            <w:shd w:val="clear" w:color="auto" w:fill="auto"/>
          </w:tcPr>
          <w:p w14:paraId="6C03B082" w14:textId="57563BB2" w:rsidR="00D778D3" w:rsidRPr="00B717D8" w:rsidRDefault="00D51739" w:rsidP="00F135C3">
            <w:pPr>
              <w:suppressAutoHyphens w:val="0"/>
              <w:spacing w:before="40" w:after="120"/>
              <w:ind w:right="113"/>
            </w:pPr>
            <w:r>
              <w:t>C</w:t>
            </w:r>
            <w:r w:rsidR="00B717D8">
              <w:t>ontribut</w:t>
            </w:r>
            <w:r>
              <w:t>ions</w:t>
            </w:r>
            <w:r w:rsidR="00B717D8">
              <w:t xml:space="preserve"> towards the </w:t>
            </w:r>
            <w:r w:rsidR="00F135C3">
              <w:t xml:space="preserve">next </w:t>
            </w:r>
            <w:r w:rsidR="00B717D8">
              <w:t>p</w:t>
            </w:r>
            <w:r w:rsidR="00D778D3" w:rsidRPr="00B717D8">
              <w:t>an-European environmental assessment supported by SEIS (2021)</w:t>
            </w:r>
          </w:p>
        </w:tc>
      </w:tr>
      <w:tr w:rsidR="00D778D3" w:rsidRPr="00B717D8" w14:paraId="6F6A588B" w14:textId="77777777" w:rsidTr="0051728A">
        <w:trPr>
          <w:cantSplit/>
          <w:trHeight w:val="367"/>
        </w:trPr>
        <w:tc>
          <w:tcPr>
            <w:tcW w:w="1787" w:type="dxa"/>
            <w:vMerge/>
            <w:tcBorders>
              <w:top w:val="nil"/>
              <w:bottom w:val="nil"/>
            </w:tcBorders>
            <w:shd w:val="clear" w:color="auto" w:fill="auto"/>
          </w:tcPr>
          <w:p w14:paraId="26DE5296" w14:textId="640BDBDD" w:rsidR="00D778D3" w:rsidRPr="00B717D8" w:rsidRDefault="00D778D3" w:rsidP="00527A3F">
            <w:pPr>
              <w:suppressAutoHyphens w:val="0"/>
              <w:spacing w:before="40" w:after="120" w:line="220" w:lineRule="exact"/>
              <w:ind w:right="113"/>
              <w:rPr>
                <w:b/>
              </w:rPr>
            </w:pPr>
          </w:p>
        </w:tc>
        <w:tc>
          <w:tcPr>
            <w:tcW w:w="2466" w:type="dxa"/>
            <w:tcBorders>
              <w:top w:val="nil"/>
              <w:bottom w:val="nil"/>
            </w:tcBorders>
            <w:shd w:val="clear" w:color="auto" w:fill="auto"/>
          </w:tcPr>
          <w:p w14:paraId="3A130DC6" w14:textId="73623859" w:rsidR="00D778D3" w:rsidRPr="00B717D8" w:rsidRDefault="00D778D3" w:rsidP="00527A3F">
            <w:pPr>
              <w:suppressAutoHyphens w:val="0"/>
              <w:spacing w:before="40" w:after="120"/>
              <w:ind w:right="113"/>
            </w:pPr>
            <w:r w:rsidRPr="00B717D8">
              <w:t>2. Discuss and detail regional priorities concerning the streamlining of regular state-of-the-environment reporting</w:t>
            </w:r>
          </w:p>
        </w:tc>
        <w:tc>
          <w:tcPr>
            <w:tcW w:w="851" w:type="dxa"/>
            <w:tcBorders>
              <w:top w:val="nil"/>
              <w:bottom w:val="nil"/>
            </w:tcBorders>
          </w:tcPr>
          <w:p w14:paraId="236C7124" w14:textId="0C0FC638" w:rsidR="00D778D3" w:rsidRPr="00B717D8" w:rsidRDefault="00F0132D" w:rsidP="00527A3F">
            <w:pPr>
              <w:suppressAutoHyphens w:val="0"/>
              <w:spacing w:before="40" w:after="120"/>
              <w:ind w:right="113"/>
            </w:pPr>
            <w:r w:rsidRPr="00B717D8">
              <w:t>High</w:t>
            </w:r>
          </w:p>
        </w:tc>
        <w:tc>
          <w:tcPr>
            <w:tcW w:w="2691" w:type="dxa"/>
            <w:tcBorders>
              <w:top w:val="nil"/>
              <w:bottom w:val="nil"/>
            </w:tcBorders>
            <w:shd w:val="clear" w:color="auto" w:fill="auto"/>
          </w:tcPr>
          <w:p w14:paraId="08043123" w14:textId="6CAC274C" w:rsidR="00D778D3" w:rsidRPr="00B717D8" w:rsidRDefault="00D778D3" w:rsidP="00527A3F">
            <w:pPr>
              <w:suppressAutoHyphens w:val="0"/>
              <w:spacing w:before="40" w:after="120"/>
              <w:ind w:right="113"/>
              <w:rPr>
                <w:bCs/>
              </w:rPr>
            </w:pPr>
            <w:r w:rsidRPr="00B717D8">
              <w:t>Annual sessions of the Working Group</w:t>
            </w:r>
            <w:r w:rsidRPr="00B717D8">
              <w:rPr>
                <w:bCs/>
              </w:rPr>
              <w:t xml:space="preserve"> (</w:t>
            </w:r>
            <w:r w:rsidRPr="00B717D8">
              <w:t>2018–2021)</w:t>
            </w:r>
          </w:p>
        </w:tc>
        <w:tc>
          <w:tcPr>
            <w:tcW w:w="1993" w:type="dxa"/>
            <w:tcBorders>
              <w:top w:val="nil"/>
              <w:bottom w:val="nil"/>
            </w:tcBorders>
            <w:shd w:val="clear" w:color="auto" w:fill="auto"/>
          </w:tcPr>
          <w:p w14:paraId="23DDB4C7" w14:textId="549FA745" w:rsidR="00D778D3" w:rsidRPr="00B717D8" w:rsidRDefault="00D778D3" w:rsidP="00527A3F">
            <w:pPr>
              <w:suppressAutoHyphens w:val="0"/>
              <w:spacing w:before="40" w:after="120"/>
              <w:ind w:right="113"/>
            </w:pPr>
            <w:r w:rsidRPr="00B717D8">
              <w:t>See above under activity A.2</w:t>
            </w:r>
          </w:p>
        </w:tc>
        <w:tc>
          <w:tcPr>
            <w:tcW w:w="2829" w:type="dxa"/>
            <w:tcBorders>
              <w:top w:val="nil"/>
              <w:bottom w:val="nil"/>
            </w:tcBorders>
            <w:shd w:val="clear" w:color="auto" w:fill="auto"/>
          </w:tcPr>
          <w:p w14:paraId="0B6CFE74" w14:textId="26EB8E49" w:rsidR="00D778D3" w:rsidRPr="00B717D8" w:rsidRDefault="00D778D3" w:rsidP="00527A3F">
            <w:pPr>
              <w:suppressAutoHyphens w:val="0"/>
              <w:spacing w:before="40" w:after="120"/>
              <w:ind w:right="113"/>
            </w:pPr>
            <w:r w:rsidRPr="00B717D8">
              <w:t xml:space="preserve">Regional priorities described in the reports on Working Group sessions </w:t>
            </w:r>
            <w:r w:rsidRPr="00B717D8">
              <w:rPr>
                <w:bCs/>
              </w:rPr>
              <w:t>(</w:t>
            </w:r>
            <w:r w:rsidRPr="00B717D8">
              <w:t>2018–2021)</w:t>
            </w:r>
          </w:p>
        </w:tc>
      </w:tr>
      <w:tr w:rsidR="00D778D3" w:rsidRPr="00B717D8" w14:paraId="6DB09AA5" w14:textId="77777777" w:rsidTr="0051728A">
        <w:trPr>
          <w:cantSplit/>
          <w:trHeight w:val="367"/>
        </w:trPr>
        <w:tc>
          <w:tcPr>
            <w:tcW w:w="1787" w:type="dxa"/>
            <w:vMerge/>
            <w:tcBorders>
              <w:top w:val="nil"/>
              <w:bottom w:val="nil"/>
            </w:tcBorders>
            <w:shd w:val="clear" w:color="auto" w:fill="auto"/>
          </w:tcPr>
          <w:p w14:paraId="1E196E78" w14:textId="77777777" w:rsidR="00D778D3" w:rsidRPr="00B717D8" w:rsidRDefault="00D778D3" w:rsidP="00D93D43">
            <w:pPr>
              <w:suppressAutoHyphens w:val="0"/>
              <w:spacing w:before="40" w:after="120" w:line="220" w:lineRule="exact"/>
              <w:ind w:right="113"/>
              <w:rPr>
                <w:b/>
              </w:rPr>
            </w:pPr>
          </w:p>
        </w:tc>
        <w:tc>
          <w:tcPr>
            <w:tcW w:w="2466" w:type="dxa"/>
            <w:vMerge w:val="restart"/>
            <w:tcBorders>
              <w:top w:val="nil"/>
              <w:bottom w:val="nil"/>
            </w:tcBorders>
            <w:shd w:val="clear" w:color="auto" w:fill="auto"/>
          </w:tcPr>
          <w:p w14:paraId="50AFB52E" w14:textId="3CD3B72F" w:rsidR="00D778D3" w:rsidRPr="00B717D8" w:rsidRDefault="00D778D3" w:rsidP="002868BC">
            <w:pPr>
              <w:suppressAutoHyphens w:val="0"/>
              <w:spacing w:before="40" w:after="120"/>
              <w:ind w:right="113"/>
            </w:pPr>
            <w:r w:rsidRPr="00B717D8">
              <w:t>3. Oversee the implementation of proposed recommendations and guidance provided through the consultation process on the regular pan-European environmental assessment and the streamlining of regular state-of-the-environment reporting</w:t>
            </w:r>
          </w:p>
        </w:tc>
        <w:tc>
          <w:tcPr>
            <w:tcW w:w="851" w:type="dxa"/>
            <w:tcBorders>
              <w:top w:val="nil"/>
              <w:bottom w:val="nil"/>
            </w:tcBorders>
          </w:tcPr>
          <w:p w14:paraId="53C7515A" w14:textId="572B43BB" w:rsidR="00D778D3" w:rsidRPr="00B717D8" w:rsidRDefault="001E74A9" w:rsidP="000A5624">
            <w:pPr>
              <w:suppressAutoHyphens w:val="0"/>
              <w:spacing w:before="40" w:after="120"/>
              <w:ind w:right="113"/>
            </w:pPr>
            <w:r w:rsidRPr="00B717D8">
              <w:t>Medium</w:t>
            </w:r>
          </w:p>
        </w:tc>
        <w:tc>
          <w:tcPr>
            <w:tcW w:w="2691" w:type="dxa"/>
            <w:tcBorders>
              <w:top w:val="nil"/>
              <w:bottom w:val="nil"/>
            </w:tcBorders>
            <w:shd w:val="clear" w:color="auto" w:fill="auto"/>
          </w:tcPr>
          <w:p w14:paraId="7FC67967" w14:textId="123D4687" w:rsidR="00D778D3" w:rsidRPr="00B717D8" w:rsidRDefault="00D778D3" w:rsidP="000A5624">
            <w:pPr>
              <w:suppressAutoHyphens w:val="0"/>
              <w:spacing w:before="40" w:after="120"/>
              <w:ind w:right="113"/>
              <w:rPr>
                <w:bCs/>
              </w:rPr>
            </w:pPr>
            <w:r w:rsidRPr="00B717D8">
              <w:t>Annual sessions of the Working Group</w:t>
            </w:r>
            <w:r w:rsidRPr="00B717D8">
              <w:rPr>
                <w:bCs/>
              </w:rPr>
              <w:t xml:space="preserve"> (</w:t>
            </w:r>
            <w:r w:rsidRPr="00B717D8">
              <w:t>2018–2021) and p</w:t>
            </w:r>
            <w:r w:rsidRPr="00B717D8">
              <w:rPr>
                <w:bCs/>
              </w:rPr>
              <w:t>reparation of an overview of recommendations made and how they were addressed</w:t>
            </w:r>
            <w:r w:rsidRPr="00B717D8">
              <w:t xml:space="preserve"> (2019–2021)</w:t>
            </w:r>
          </w:p>
        </w:tc>
        <w:tc>
          <w:tcPr>
            <w:tcW w:w="1993" w:type="dxa"/>
            <w:tcBorders>
              <w:top w:val="nil"/>
              <w:bottom w:val="nil"/>
            </w:tcBorders>
            <w:shd w:val="clear" w:color="auto" w:fill="auto"/>
          </w:tcPr>
          <w:p w14:paraId="7C2C607F" w14:textId="4F35845D" w:rsidR="00D778D3" w:rsidRPr="00B717D8" w:rsidRDefault="00D778D3" w:rsidP="002868BC">
            <w:pPr>
              <w:suppressAutoHyphens w:val="0"/>
              <w:spacing w:before="40" w:after="120"/>
              <w:ind w:right="113"/>
            </w:pPr>
            <w:r w:rsidRPr="00B717D8">
              <w:t>See above under activity A.2</w:t>
            </w:r>
          </w:p>
        </w:tc>
        <w:tc>
          <w:tcPr>
            <w:tcW w:w="2829" w:type="dxa"/>
            <w:tcBorders>
              <w:top w:val="nil"/>
              <w:bottom w:val="nil"/>
            </w:tcBorders>
            <w:shd w:val="clear" w:color="auto" w:fill="auto"/>
          </w:tcPr>
          <w:p w14:paraId="24BFD08E" w14:textId="7570CDE6" w:rsidR="00D778D3" w:rsidRPr="00B717D8" w:rsidRDefault="00D778D3" w:rsidP="002868BC">
            <w:pPr>
              <w:suppressAutoHyphens w:val="0"/>
              <w:spacing w:before="40" w:after="120"/>
              <w:ind w:right="113"/>
            </w:pPr>
            <w:r w:rsidRPr="00B717D8">
              <w:t>Implementation of recommendations supported, including through capacity-development activities and guidance</w:t>
            </w:r>
          </w:p>
        </w:tc>
      </w:tr>
      <w:tr w:rsidR="00D778D3" w:rsidRPr="00B717D8" w14:paraId="3F2CC4B6" w14:textId="77777777" w:rsidTr="0051728A">
        <w:trPr>
          <w:cantSplit/>
          <w:trHeight w:val="367"/>
        </w:trPr>
        <w:tc>
          <w:tcPr>
            <w:tcW w:w="1787" w:type="dxa"/>
            <w:vMerge/>
            <w:tcBorders>
              <w:top w:val="nil"/>
              <w:bottom w:val="nil"/>
            </w:tcBorders>
            <w:shd w:val="clear" w:color="auto" w:fill="auto"/>
          </w:tcPr>
          <w:p w14:paraId="2B299B96" w14:textId="77777777" w:rsidR="00D778D3" w:rsidRPr="00B717D8" w:rsidRDefault="00D778D3" w:rsidP="00D93D43">
            <w:pPr>
              <w:suppressAutoHyphens w:val="0"/>
              <w:spacing w:before="40" w:after="120" w:line="220" w:lineRule="exact"/>
              <w:ind w:right="113"/>
              <w:rPr>
                <w:b/>
              </w:rPr>
            </w:pPr>
          </w:p>
        </w:tc>
        <w:tc>
          <w:tcPr>
            <w:tcW w:w="2466" w:type="dxa"/>
            <w:vMerge/>
            <w:tcBorders>
              <w:top w:val="nil"/>
              <w:bottom w:val="nil"/>
            </w:tcBorders>
            <w:shd w:val="clear" w:color="auto" w:fill="auto"/>
          </w:tcPr>
          <w:p w14:paraId="764295D7" w14:textId="6733144C" w:rsidR="00D778D3" w:rsidRPr="00B717D8" w:rsidRDefault="00D778D3" w:rsidP="002868BC">
            <w:pPr>
              <w:suppressAutoHyphens w:val="0"/>
              <w:spacing w:before="40" w:after="120"/>
              <w:ind w:right="113"/>
            </w:pPr>
          </w:p>
        </w:tc>
        <w:tc>
          <w:tcPr>
            <w:tcW w:w="851" w:type="dxa"/>
            <w:tcBorders>
              <w:top w:val="nil"/>
              <w:bottom w:val="nil"/>
            </w:tcBorders>
          </w:tcPr>
          <w:p w14:paraId="3DE9C097" w14:textId="77777777" w:rsidR="00D778D3" w:rsidRPr="00B717D8" w:rsidRDefault="00D778D3" w:rsidP="000A5624">
            <w:pPr>
              <w:suppressAutoHyphens w:val="0"/>
              <w:spacing w:before="40" w:after="120"/>
              <w:ind w:right="113"/>
              <w:rPr>
                <w:bCs/>
              </w:rPr>
            </w:pPr>
          </w:p>
        </w:tc>
        <w:tc>
          <w:tcPr>
            <w:tcW w:w="2691" w:type="dxa"/>
            <w:tcBorders>
              <w:top w:val="nil"/>
              <w:bottom w:val="nil"/>
            </w:tcBorders>
            <w:shd w:val="clear" w:color="auto" w:fill="auto"/>
          </w:tcPr>
          <w:p w14:paraId="737B5CD4" w14:textId="2088DF43" w:rsidR="00D778D3" w:rsidRPr="00B717D8" w:rsidRDefault="00D778D3" w:rsidP="000A5624">
            <w:pPr>
              <w:suppressAutoHyphens w:val="0"/>
              <w:spacing w:before="40" w:after="120"/>
              <w:ind w:right="113"/>
              <w:rPr>
                <w:bCs/>
              </w:rPr>
            </w:pPr>
            <w:r w:rsidRPr="00B717D8">
              <w:rPr>
                <w:bCs/>
              </w:rPr>
              <w:t>Capacity-building and advisory missions conducted in order to assist in the streamlining of regular state-of-the-environment reports (</w:t>
            </w:r>
            <w:r w:rsidRPr="00B717D8">
              <w:t>2018–2021)</w:t>
            </w:r>
          </w:p>
        </w:tc>
        <w:tc>
          <w:tcPr>
            <w:tcW w:w="1993" w:type="dxa"/>
            <w:tcBorders>
              <w:top w:val="nil"/>
              <w:bottom w:val="nil"/>
            </w:tcBorders>
            <w:shd w:val="clear" w:color="auto" w:fill="auto"/>
          </w:tcPr>
          <w:p w14:paraId="5EA51771" w14:textId="1CB5BA3B" w:rsidR="00D778D3" w:rsidRPr="00B717D8" w:rsidRDefault="00D778D3" w:rsidP="002868BC">
            <w:pPr>
              <w:suppressAutoHyphens w:val="0"/>
              <w:spacing w:before="40" w:after="120"/>
              <w:ind w:right="113"/>
            </w:pPr>
            <w:r w:rsidRPr="00B717D8">
              <w:t>Largely funded through the UNDA project</w:t>
            </w:r>
          </w:p>
        </w:tc>
        <w:tc>
          <w:tcPr>
            <w:tcW w:w="2829" w:type="dxa"/>
            <w:tcBorders>
              <w:top w:val="nil"/>
              <w:bottom w:val="nil"/>
            </w:tcBorders>
            <w:shd w:val="clear" w:color="auto" w:fill="auto"/>
          </w:tcPr>
          <w:p w14:paraId="12436956" w14:textId="54259B82" w:rsidR="00D778D3" w:rsidRPr="00B717D8" w:rsidRDefault="00D778D3" w:rsidP="002868BC">
            <w:pPr>
              <w:suppressAutoHyphens w:val="0"/>
              <w:spacing w:before="40" w:after="120"/>
              <w:ind w:right="113"/>
            </w:pPr>
            <w:r w:rsidRPr="00B717D8">
              <w:t>Capacity-building activities implemented and advisory missions conducted (2018–2021)</w:t>
            </w:r>
          </w:p>
        </w:tc>
      </w:tr>
      <w:tr w:rsidR="00D778D3" w:rsidRPr="00B717D8" w14:paraId="6D9B520B" w14:textId="77777777" w:rsidTr="0051728A">
        <w:trPr>
          <w:cantSplit/>
          <w:trHeight w:val="367"/>
        </w:trPr>
        <w:tc>
          <w:tcPr>
            <w:tcW w:w="1787" w:type="dxa"/>
            <w:vMerge w:val="restart"/>
            <w:tcBorders>
              <w:top w:val="nil"/>
              <w:bottom w:val="nil"/>
            </w:tcBorders>
            <w:shd w:val="clear" w:color="auto" w:fill="auto"/>
          </w:tcPr>
          <w:p w14:paraId="26A18076" w14:textId="2B1F062A" w:rsidR="00D778D3" w:rsidRPr="00B717D8" w:rsidRDefault="00D778D3" w:rsidP="005062B2">
            <w:pPr>
              <w:suppressAutoHyphens w:val="0"/>
              <w:spacing w:before="40" w:after="120"/>
              <w:ind w:right="113"/>
              <w:rPr>
                <w:bCs/>
              </w:rPr>
            </w:pPr>
            <w:r w:rsidRPr="00B717D8">
              <w:rPr>
                <w:bCs/>
              </w:rPr>
              <w:t xml:space="preserve">C. Initiate a process of consultation on the development of a regional environmental information and assessment network of networks and, as part of this process, develop an inclusive platform to discuss the integration of environmental, economic and social considerations regarding the 2030 Agenda, the System </w:t>
            </w:r>
            <w:r w:rsidRPr="00B717D8">
              <w:rPr>
                <w:bCs/>
              </w:rPr>
              <w:lastRenderedPageBreak/>
              <w:t>of Environmental-Economic Accounting, the green economy and other related areas of work</w:t>
            </w:r>
          </w:p>
        </w:tc>
        <w:tc>
          <w:tcPr>
            <w:tcW w:w="2466" w:type="dxa"/>
            <w:tcBorders>
              <w:top w:val="nil"/>
              <w:bottom w:val="nil"/>
            </w:tcBorders>
            <w:shd w:val="clear" w:color="auto" w:fill="auto"/>
          </w:tcPr>
          <w:p w14:paraId="1CC9FA3F" w14:textId="527A76CB" w:rsidR="00D778D3" w:rsidRPr="00B717D8" w:rsidRDefault="00D778D3" w:rsidP="005062B2">
            <w:pPr>
              <w:suppressAutoHyphens w:val="0"/>
              <w:spacing w:before="40" w:after="120"/>
              <w:ind w:right="113"/>
            </w:pPr>
            <w:r w:rsidRPr="00B717D8">
              <w:lastRenderedPageBreak/>
              <w:t>1. Coordinate a consultative process to elaborate the working modalities of a regional network of networks</w:t>
            </w:r>
          </w:p>
        </w:tc>
        <w:tc>
          <w:tcPr>
            <w:tcW w:w="851" w:type="dxa"/>
            <w:tcBorders>
              <w:top w:val="nil"/>
              <w:bottom w:val="nil"/>
            </w:tcBorders>
          </w:tcPr>
          <w:p w14:paraId="2BD3004D" w14:textId="31D24875" w:rsidR="00D778D3" w:rsidRPr="00B717D8" w:rsidRDefault="001E74A9" w:rsidP="005062B2">
            <w:pPr>
              <w:suppressAutoHyphens w:val="0"/>
              <w:spacing w:before="40" w:after="120"/>
              <w:ind w:right="113"/>
            </w:pPr>
            <w:r w:rsidRPr="00B717D8">
              <w:t>Low</w:t>
            </w:r>
          </w:p>
        </w:tc>
        <w:tc>
          <w:tcPr>
            <w:tcW w:w="2691" w:type="dxa"/>
            <w:tcBorders>
              <w:top w:val="nil"/>
              <w:bottom w:val="nil"/>
            </w:tcBorders>
            <w:shd w:val="clear" w:color="auto" w:fill="auto"/>
          </w:tcPr>
          <w:p w14:paraId="0B921264" w14:textId="4B8E43FC" w:rsidR="00D778D3" w:rsidRPr="00B717D8" w:rsidRDefault="00D778D3" w:rsidP="005062B2">
            <w:pPr>
              <w:suppressAutoHyphens w:val="0"/>
              <w:spacing w:before="40" w:after="120"/>
              <w:ind w:right="113"/>
              <w:rPr>
                <w:bCs/>
              </w:rPr>
            </w:pPr>
            <w:r w:rsidRPr="00B717D8">
              <w:t>Done in 2017</w:t>
            </w:r>
          </w:p>
        </w:tc>
        <w:tc>
          <w:tcPr>
            <w:tcW w:w="1993" w:type="dxa"/>
            <w:tcBorders>
              <w:top w:val="nil"/>
              <w:bottom w:val="nil"/>
            </w:tcBorders>
            <w:shd w:val="clear" w:color="auto" w:fill="auto"/>
          </w:tcPr>
          <w:p w14:paraId="7DD82F16" w14:textId="225FC736" w:rsidR="00D778D3" w:rsidRPr="00B717D8" w:rsidRDefault="00D778D3" w:rsidP="005062B2">
            <w:pPr>
              <w:suppressAutoHyphens w:val="0"/>
              <w:spacing w:before="40" w:after="120"/>
              <w:ind w:right="113"/>
            </w:pPr>
            <w:r w:rsidRPr="00B717D8">
              <w:t>-</w:t>
            </w:r>
          </w:p>
        </w:tc>
        <w:tc>
          <w:tcPr>
            <w:tcW w:w="2829" w:type="dxa"/>
            <w:tcBorders>
              <w:top w:val="nil"/>
              <w:bottom w:val="nil"/>
              <w:right w:val="nil"/>
            </w:tcBorders>
            <w:shd w:val="clear" w:color="auto" w:fill="auto"/>
          </w:tcPr>
          <w:p w14:paraId="53354D6E" w14:textId="2162C6B6" w:rsidR="00D778D3" w:rsidRPr="00B717D8" w:rsidRDefault="00D778D3" w:rsidP="005062B2">
            <w:pPr>
              <w:suppressAutoHyphens w:val="0"/>
              <w:spacing w:before="40" w:after="120"/>
              <w:ind w:right="113"/>
            </w:pPr>
            <w:r w:rsidRPr="00B717D8">
              <w:rPr>
                <w:bCs/>
              </w:rPr>
              <w:t xml:space="preserve">Regional environmental information and assessment network of networks progressing </w:t>
            </w:r>
          </w:p>
          <w:p w14:paraId="26282835" w14:textId="3595E9C0" w:rsidR="00D778D3" w:rsidRPr="00B717D8" w:rsidRDefault="00D778D3" w:rsidP="005062B2">
            <w:pPr>
              <w:suppressAutoHyphens w:val="0"/>
              <w:spacing w:before="40" w:after="120"/>
              <w:ind w:right="113"/>
            </w:pPr>
            <w:r w:rsidRPr="00B717D8">
              <w:t>Document on modalities for the regional environmental information and assessment network of networks (ECE/CEP/2017/14) and decisions of the Committee on Environmental Policy (November 2017)</w:t>
            </w:r>
          </w:p>
        </w:tc>
      </w:tr>
      <w:tr w:rsidR="00D778D3" w:rsidRPr="00B717D8" w14:paraId="294B5AE0" w14:textId="77777777" w:rsidTr="0051728A">
        <w:trPr>
          <w:cantSplit/>
          <w:trHeight w:val="367"/>
        </w:trPr>
        <w:tc>
          <w:tcPr>
            <w:tcW w:w="1787" w:type="dxa"/>
            <w:vMerge/>
            <w:tcBorders>
              <w:top w:val="nil"/>
              <w:bottom w:val="nil"/>
            </w:tcBorders>
            <w:shd w:val="clear" w:color="auto" w:fill="auto"/>
          </w:tcPr>
          <w:p w14:paraId="7AA75333" w14:textId="77777777" w:rsidR="00D778D3" w:rsidRPr="00B717D8" w:rsidRDefault="00D778D3" w:rsidP="00253FF6">
            <w:pPr>
              <w:suppressAutoHyphens w:val="0"/>
              <w:spacing w:before="40" w:after="120"/>
              <w:ind w:right="113"/>
              <w:rPr>
                <w:b/>
              </w:rPr>
            </w:pPr>
          </w:p>
        </w:tc>
        <w:tc>
          <w:tcPr>
            <w:tcW w:w="2466" w:type="dxa"/>
            <w:tcBorders>
              <w:top w:val="nil"/>
              <w:bottom w:val="nil"/>
            </w:tcBorders>
            <w:shd w:val="clear" w:color="auto" w:fill="auto"/>
          </w:tcPr>
          <w:p w14:paraId="002FB841" w14:textId="2B072899" w:rsidR="00D778D3" w:rsidRPr="00B717D8" w:rsidRDefault="00D778D3" w:rsidP="00253FF6">
            <w:pPr>
              <w:suppressAutoHyphens w:val="0"/>
              <w:spacing w:before="40" w:after="120"/>
              <w:ind w:right="113"/>
            </w:pPr>
            <w:r w:rsidRPr="00B717D8">
              <w:t>2. Cooperate with the Joint Task Force to ensure that all planned and future activities are synergetic and streamlined</w:t>
            </w:r>
          </w:p>
        </w:tc>
        <w:tc>
          <w:tcPr>
            <w:tcW w:w="851" w:type="dxa"/>
            <w:tcBorders>
              <w:top w:val="nil"/>
              <w:bottom w:val="nil"/>
            </w:tcBorders>
          </w:tcPr>
          <w:p w14:paraId="3F7C4A38" w14:textId="6B327D14" w:rsidR="00D778D3" w:rsidRPr="00B717D8" w:rsidRDefault="001E74A9" w:rsidP="00253FF6">
            <w:pPr>
              <w:suppressAutoHyphens w:val="0"/>
              <w:spacing w:before="40" w:after="120"/>
              <w:ind w:right="113"/>
            </w:pPr>
            <w:r w:rsidRPr="00B717D8">
              <w:t>High</w:t>
            </w:r>
          </w:p>
        </w:tc>
        <w:tc>
          <w:tcPr>
            <w:tcW w:w="2691" w:type="dxa"/>
            <w:tcBorders>
              <w:top w:val="nil"/>
              <w:bottom w:val="nil"/>
            </w:tcBorders>
            <w:shd w:val="clear" w:color="auto" w:fill="auto"/>
          </w:tcPr>
          <w:p w14:paraId="41BC384E" w14:textId="58BF5713" w:rsidR="00D778D3" w:rsidRPr="00B717D8" w:rsidRDefault="00D778D3" w:rsidP="00253FF6">
            <w:pPr>
              <w:suppressAutoHyphens w:val="0"/>
              <w:spacing w:before="40" w:after="120"/>
              <w:ind w:right="113"/>
              <w:rPr>
                <w:b/>
              </w:rPr>
            </w:pPr>
            <w:r w:rsidRPr="00B717D8">
              <w:t>Annual sessions of the Working Group and Joint Task Force</w:t>
            </w:r>
            <w:r w:rsidRPr="00B717D8">
              <w:rPr>
                <w:bCs/>
              </w:rPr>
              <w:t xml:space="preserve"> (</w:t>
            </w:r>
            <w:r w:rsidRPr="00B717D8">
              <w:t>2018–2021)</w:t>
            </w:r>
          </w:p>
        </w:tc>
        <w:tc>
          <w:tcPr>
            <w:tcW w:w="1993" w:type="dxa"/>
            <w:tcBorders>
              <w:top w:val="nil"/>
              <w:bottom w:val="nil"/>
            </w:tcBorders>
            <w:shd w:val="clear" w:color="auto" w:fill="auto"/>
          </w:tcPr>
          <w:p w14:paraId="6CC8E5FF" w14:textId="36AD1F10" w:rsidR="00D778D3" w:rsidRPr="00B717D8" w:rsidRDefault="00D778D3" w:rsidP="00253FF6">
            <w:pPr>
              <w:suppressAutoHyphens w:val="0"/>
              <w:spacing w:before="40" w:after="120"/>
              <w:ind w:right="113"/>
            </w:pPr>
            <w:r w:rsidRPr="00B717D8">
              <w:t>See above under activity A.2</w:t>
            </w:r>
          </w:p>
        </w:tc>
        <w:tc>
          <w:tcPr>
            <w:tcW w:w="2829" w:type="dxa"/>
            <w:tcBorders>
              <w:top w:val="nil"/>
              <w:bottom w:val="nil"/>
            </w:tcBorders>
            <w:shd w:val="clear" w:color="auto" w:fill="auto"/>
          </w:tcPr>
          <w:p w14:paraId="722C51CF" w14:textId="655546A0" w:rsidR="00D778D3" w:rsidRPr="00B717D8" w:rsidRDefault="00D778D3" w:rsidP="00253FF6">
            <w:pPr>
              <w:suppressAutoHyphens w:val="0"/>
              <w:spacing w:before="40" w:after="120"/>
              <w:ind w:right="113"/>
            </w:pPr>
            <w:r w:rsidRPr="00B717D8">
              <w:t xml:space="preserve">Coordination described in the reports on Working Group and Joint Task Force sessions </w:t>
            </w:r>
            <w:r w:rsidRPr="00B717D8">
              <w:rPr>
                <w:bCs/>
              </w:rPr>
              <w:t>(</w:t>
            </w:r>
            <w:r w:rsidRPr="00B717D8">
              <w:t>2018–2021)</w:t>
            </w:r>
          </w:p>
        </w:tc>
      </w:tr>
      <w:tr w:rsidR="00D778D3" w:rsidRPr="00B717D8" w14:paraId="3F997A84" w14:textId="77777777" w:rsidTr="0051728A">
        <w:trPr>
          <w:cantSplit/>
          <w:trHeight w:val="367"/>
        </w:trPr>
        <w:tc>
          <w:tcPr>
            <w:tcW w:w="1787" w:type="dxa"/>
            <w:vMerge/>
            <w:tcBorders>
              <w:top w:val="nil"/>
              <w:bottom w:val="nil"/>
            </w:tcBorders>
            <w:shd w:val="clear" w:color="auto" w:fill="auto"/>
          </w:tcPr>
          <w:p w14:paraId="4A738ECA" w14:textId="77777777" w:rsidR="00D778D3" w:rsidRPr="00B717D8" w:rsidRDefault="00D778D3" w:rsidP="00253FF6">
            <w:pPr>
              <w:suppressAutoHyphens w:val="0"/>
              <w:spacing w:before="40" w:after="120"/>
              <w:ind w:right="113"/>
              <w:rPr>
                <w:b/>
              </w:rPr>
            </w:pPr>
          </w:p>
        </w:tc>
        <w:tc>
          <w:tcPr>
            <w:tcW w:w="2466" w:type="dxa"/>
            <w:tcBorders>
              <w:top w:val="nil"/>
              <w:bottom w:val="nil"/>
            </w:tcBorders>
            <w:shd w:val="clear" w:color="auto" w:fill="auto"/>
          </w:tcPr>
          <w:p w14:paraId="4E39B7EB" w14:textId="767F1737" w:rsidR="00D778D3" w:rsidRPr="00B717D8" w:rsidRDefault="00D778D3" w:rsidP="00253FF6">
            <w:pPr>
              <w:suppressAutoHyphens w:val="0"/>
              <w:spacing w:before="40" w:after="120"/>
              <w:ind w:right="113"/>
            </w:pPr>
            <w:r w:rsidRPr="00B717D8">
              <w:t>3. Develop capacities to engage other communities and networks to discuss how environmental, social and economic information and data can be integrated and utilized in decision-making</w:t>
            </w:r>
          </w:p>
        </w:tc>
        <w:tc>
          <w:tcPr>
            <w:tcW w:w="851" w:type="dxa"/>
            <w:tcBorders>
              <w:top w:val="nil"/>
              <w:bottom w:val="nil"/>
            </w:tcBorders>
          </w:tcPr>
          <w:p w14:paraId="6BA76C31" w14:textId="0AF55A89" w:rsidR="00D778D3" w:rsidRPr="00B717D8" w:rsidRDefault="001E74A9" w:rsidP="00253FF6">
            <w:pPr>
              <w:suppressAutoHyphens w:val="0"/>
              <w:spacing w:before="40" w:after="120"/>
              <w:ind w:right="113"/>
            </w:pPr>
            <w:r w:rsidRPr="00B717D8">
              <w:t>Medium</w:t>
            </w:r>
          </w:p>
        </w:tc>
        <w:tc>
          <w:tcPr>
            <w:tcW w:w="2691" w:type="dxa"/>
            <w:tcBorders>
              <w:top w:val="nil"/>
              <w:bottom w:val="nil"/>
            </w:tcBorders>
            <w:shd w:val="clear" w:color="auto" w:fill="auto"/>
          </w:tcPr>
          <w:p w14:paraId="175198BA" w14:textId="1E3829C7" w:rsidR="00D778D3" w:rsidRPr="00B717D8" w:rsidRDefault="00D778D3" w:rsidP="00253FF6">
            <w:pPr>
              <w:suppressAutoHyphens w:val="0"/>
              <w:spacing w:before="40" w:after="120"/>
              <w:ind w:right="113"/>
            </w:pPr>
            <w:r w:rsidRPr="00B717D8">
              <w:t>Annual sessions of the Working Group</w:t>
            </w:r>
            <w:r w:rsidRPr="00B717D8">
              <w:rPr>
                <w:bCs/>
              </w:rPr>
              <w:t xml:space="preserve"> (</w:t>
            </w:r>
            <w:r w:rsidRPr="00B717D8">
              <w:t>2018–2021)</w:t>
            </w:r>
          </w:p>
        </w:tc>
        <w:tc>
          <w:tcPr>
            <w:tcW w:w="1993" w:type="dxa"/>
            <w:tcBorders>
              <w:top w:val="nil"/>
              <w:bottom w:val="nil"/>
            </w:tcBorders>
            <w:shd w:val="clear" w:color="auto" w:fill="auto"/>
          </w:tcPr>
          <w:p w14:paraId="305CCFB1" w14:textId="1141B932" w:rsidR="00D778D3" w:rsidRPr="00B717D8" w:rsidRDefault="00D778D3" w:rsidP="00253FF6">
            <w:pPr>
              <w:suppressAutoHyphens w:val="0"/>
              <w:spacing w:before="40" w:after="120"/>
              <w:ind w:right="113"/>
            </w:pPr>
            <w:r w:rsidRPr="00B717D8">
              <w:t>See above under activity A.2</w:t>
            </w:r>
          </w:p>
        </w:tc>
        <w:tc>
          <w:tcPr>
            <w:tcW w:w="2829" w:type="dxa"/>
            <w:tcBorders>
              <w:top w:val="nil"/>
              <w:bottom w:val="nil"/>
            </w:tcBorders>
            <w:shd w:val="clear" w:color="auto" w:fill="auto"/>
          </w:tcPr>
          <w:p w14:paraId="73989503" w14:textId="35286910" w:rsidR="00D778D3" w:rsidRPr="00B717D8" w:rsidRDefault="00D778D3" w:rsidP="00253FF6">
            <w:pPr>
              <w:suppressAutoHyphens w:val="0"/>
              <w:spacing w:before="40" w:after="120"/>
              <w:ind w:right="113"/>
            </w:pPr>
            <w:r w:rsidRPr="00B717D8">
              <w:t xml:space="preserve">Participation by other communities and networks described in the reports on Working Group sessions </w:t>
            </w:r>
            <w:r w:rsidRPr="00B717D8">
              <w:rPr>
                <w:bCs/>
              </w:rPr>
              <w:t>(</w:t>
            </w:r>
            <w:r w:rsidRPr="00B717D8">
              <w:t>2018–2021)</w:t>
            </w:r>
          </w:p>
        </w:tc>
      </w:tr>
      <w:tr w:rsidR="00D778D3" w:rsidRPr="00B717D8" w14:paraId="681FDB45" w14:textId="77777777" w:rsidTr="0051728A">
        <w:trPr>
          <w:cantSplit/>
          <w:trHeight w:val="367"/>
        </w:trPr>
        <w:tc>
          <w:tcPr>
            <w:tcW w:w="1787" w:type="dxa"/>
            <w:vMerge/>
            <w:tcBorders>
              <w:top w:val="nil"/>
              <w:bottom w:val="nil"/>
            </w:tcBorders>
            <w:shd w:val="clear" w:color="auto" w:fill="auto"/>
          </w:tcPr>
          <w:p w14:paraId="0875CB1B" w14:textId="77777777" w:rsidR="00D778D3" w:rsidRPr="00B717D8" w:rsidRDefault="00D778D3" w:rsidP="00253FF6">
            <w:pPr>
              <w:suppressAutoHyphens w:val="0"/>
              <w:spacing w:before="40" w:after="120"/>
              <w:ind w:right="113"/>
              <w:rPr>
                <w:b/>
              </w:rPr>
            </w:pPr>
          </w:p>
        </w:tc>
        <w:tc>
          <w:tcPr>
            <w:tcW w:w="2466" w:type="dxa"/>
            <w:tcBorders>
              <w:top w:val="nil"/>
              <w:bottom w:val="nil"/>
            </w:tcBorders>
            <w:shd w:val="clear" w:color="auto" w:fill="auto"/>
          </w:tcPr>
          <w:p w14:paraId="29FD7080" w14:textId="6947B7EB" w:rsidR="00D778D3" w:rsidRPr="00B717D8" w:rsidRDefault="00D778D3" w:rsidP="00253FF6">
            <w:pPr>
              <w:suppressAutoHyphens w:val="0"/>
              <w:spacing w:before="40" w:after="120"/>
              <w:ind w:right="113"/>
            </w:pPr>
            <w:r w:rsidRPr="00B717D8">
              <w:t>4. Operationalize proposed recommendations and guidance provided through the consultative process to ensure the sustainable implementation of a regional network of networks (optional)</w:t>
            </w:r>
          </w:p>
        </w:tc>
        <w:tc>
          <w:tcPr>
            <w:tcW w:w="851" w:type="dxa"/>
            <w:tcBorders>
              <w:top w:val="nil"/>
              <w:bottom w:val="nil"/>
            </w:tcBorders>
          </w:tcPr>
          <w:p w14:paraId="274FAE8D" w14:textId="019EED66" w:rsidR="00D778D3" w:rsidRPr="00B717D8" w:rsidRDefault="001E74A9" w:rsidP="00253FF6">
            <w:pPr>
              <w:suppressAutoHyphens w:val="0"/>
              <w:spacing w:before="40" w:after="120"/>
              <w:ind w:right="113"/>
            </w:pPr>
            <w:r w:rsidRPr="00B717D8">
              <w:t>Low</w:t>
            </w:r>
          </w:p>
        </w:tc>
        <w:tc>
          <w:tcPr>
            <w:tcW w:w="2691" w:type="dxa"/>
            <w:tcBorders>
              <w:top w:val="nil"/>
              <w:bottom w:val="nil"/>
            </w:tcBorders>
            <w:shd w:val="clear" w:color="auto" w:fill="auto"/>
          </w:tcPr>
          <w:p w14:paraId="7AD19FFC" w14:textId="10EE76C9" w:rsidR="00D778D3" w:rsidRPr="00B717D8" w:rsidRDefault="00D778D3" w:rsidP="00253FF6">
            <w:pPr>
              <w:suppressAutoHyphens w:val="0"/>
              <w:spacing w:before="40" w:after="120"/>
              <w:ind w:right="113"/>
            </w:pPr>
            <w:r w:rsidRPr="00B717D8">
              <w:t>Annual sessions of the Working Group</w:t>
            </w:r>
            <w:r w:rsidRPr="00B717D8">
              <w:rPr>
                <w:bCs/>
              </w:rPr>
              <w:t xml:space="preserve"> (</w:t>
            </w:r>
            <w:r w:rsidRPr="00B717D8">
              <w:t>2018–2021)</w:t>
            </w:r>
          </w:p>
        </w:tc>
        <w:tc>
          <w:tcPr>
            <w:tcW w:w="1993" w:type="dxa"/>
            <w:tcBorders>
              <w:top w:val="nil"/>
              <w:bottom w:val="nil"/>
            </w:tcBorders>
            <w:shd w:val="clear" w:color="auto" w:fill="auto"/>
          </w:tcPr>
          <w:p w14:paraId="56F37D4F" w14:textId="0DDBA61E" w:rsidR="00D778D3" w:rsidRPr="00B717D8" w:rsidRDefault="00D778D3" w:rsidP="00253FF6">
            <w:pPr>
              <w:suppressAutoHyphens w:val="0"/>
              <w:spacing w:before="40" w:after="120"/>
              <w:ind w:right="113"/>
            </w:pPr>
            <w:r w:rsidRPr="00B717D8">
              <w:t>See above under activity A.2</w:t>
            </w:r>
          </w:p>
        </w:tc>
        <w:tc>
          <w:tcPr>
            <w:tcW w:w="2829" w:type="dxa"/>
            <w:tcBorders>
              <w:top w:val="nil"/>
              <w:bottom w:val="nil"/>
            </w:tcBorders>
            <w:shd w:val="clear" w:color="auto" w:fill="auto"/>
          </w:tcPr>
          <w:p w14:paraId="561B15CA" w14:textId="7923701D" w:rsidR="00D778D3" w:rsidRPr="00B717D8" w:rsidRDefault="00D778D3" w:rsidP="00253FF6">
            <w:pPr>
              <w:suppressAutoHyphens w:val="0"/>
              <w:spacing w:before="40" w:after="120"/>
              <w:ind w:right="113"/>
            </w:pPr>
            <w:r w:rsidRPr="00B717D8">
              <w:t xml:space="preserve">Participation by other communities and networks described in the reports on Working Group sessions </w:t>
            </w:r>
            <w:r w:rsidRPr="00B717D8">
              <w:rPr>
                <w:bCs/>
              </w:rPr>
              <w:t>(</w:t>
            </w:r>
            <w:r w:rsidRPr="00B717D8">
              <w:t>2018–2021)</w:t>
            </w:r>
          </w:p>
        </w:tc>
      </w:tr>
      <w:tr w:rsidR="00D778D3" w:rsidRPr="00B717D8" w14:paraId="04072C54" w14:textId="77777777" w:rsidTr="0051728A">
        <w:trPr>
          <w:cantSplit/>
          <w:trHeight w:val="367"/>
        </w:trPr>
        <w:tc>
          <w:tcPr>
            <w:tcW w:w="1787" w:type="dxa"/>
            <w:vMerge/>
            <w:tcBorders>
              <w:top w:val="nil"/>
              <w:bottom w:val="nil"/>
            </w:tcBorders>
            <w:shd w:val="clear" w:color="auto" w:fill="auto"/>
          </w:tcPr>
          <w:p w14:paraId="4493C39E" w14:textId="77777777" w:rsidR="00D778D3" w:rsidRPr="00B717D8" w:rsidRDefault="00D778D3" w:rsidP="00253FF6">
            <w:pPr>
              <w:suppressAutoHyphens w:val="0"/>
              <w:spacing w:before="40" w:after="120"/>
              <w:ind w:right="113"/>
              <w:rPr>
                <w:b/>
              </w:rPr>
            </w:pPr>
          </w:p>
        </w:tc>
        <w:tc>
          <w:tcPr>
            <w:tcW w:w="2466" w:type="dxa"/>
            <w:tcBorders>
              <w:top w:val="nil"/>
              <w:bottom w:val="nil"/>
            </w:tcBorders>
            <w:shd w:val="clear" w:color="auto" w:fill="auto"/>
          </w:tcPr>
          <w:p w14:paraId="73C46282" w14:textId="1995097B" w:rsidR="00D778D3" w:rsidRPr="00B717D8" w:rsidRDefault="00D778D3" w:rsidP="00253FF6">
            <w:pPr>
              <w:suppressAutoHyphens w:val="0"/>
              <w:spacing w:before="40" w:after="120"/>
              <w:ind w:right="113"/>
            </w:pPr>
            <w:r w:rsidRPr="00B717D8">
              <w:t>5. Publish outcomes from the Working Group’s collaborative activities</w:t>
            </w:r>
          </w:p>
        </w:tc>
        <w:tc>
          <w:tcPr>
            <w:tcW w:w="851" w:type="dxa"/>
            <w:tcBorders>
              <w:top w:val="nil"/>
              <w:bottom w:val="nil"/>
            </w:tcBorders>
          </w:tcPr>
          <w:p w14:paraId="7F4E226E" w14:textId="49061B4D" w:rsidR="00D778D3" w:rsidRPr="00B717D8" w:rsidRDefault="001E74A9" w:rsidP="003F5390">
            <w:pPr>
              <w:suppressAutoHyphens w:val="0"/>
              <w:spacing w:before="40" w:after="120"/>
              <w:ind w:right="113"/>
            </w:pPr>
            <w:r w:rsidRPr="00B717D8">
              <w:t>Medium</w:t>
            </w:r>
          </w:p>
        </w:tc>
        <w:tc>
          <w:tcPr>
            <w:tcW w:w="2691" w:type="dxa"/>
            <w:tcBorders>
              <w:top w:val="nil"/>
              <w:bottom w:val="nil"/>
            </w:tcBorders>
            <w:shd w:val="clear" w:color="auto" w:fill="auto"/>
          </w:tcPr>
          <w:p w14:paraId="50040219" w14:textId="36E80D2C" w:rsidR="00D778D3" w:rsidRPr="00B717D8" w:rsidRDefault="00D778D3" w:rsidP="003F5390">
            <w:pPr>
              <w:suppressAutoHyphens w:val="0"/>
              <w:spacing w:before="40" w:after="120"/>
              <w:ind w:right="113"/>
            </w:pPr>
            <w:r w:rsidRPr="00B717D8">
              <w:t>Publication of guidelines, etc. (2019–2021)</w:t>
            </w:r>
          </w:p>
        </w:tc>
        <w:tc>
          <w:tcPr>
            <w:tcW w:w="1993" w:type="dxa"/>
            <w:tcBorders>
              <w:top w:val="nil"/>
              <w:bottom w:val="nil"/>
            </w:tcBorders>
            <w:shd w:val="clear" w:color="auto" w:fill="auto"/>
          </w:tcPr>
          <w:p w14:paraId="44D15013" w14:textId="65A6B391" w:rsidR="00D778D3" w:rsidRPr="00B717D8" w:rsidRDefault="00D778D3" w:rsidP="00253FF6">
            <w:pPr>
              <w:suppressAutoHyphens w:val="0"/>
              <w:spacing w:before="40" w:after="120"/>
              <w:ind w:right="113"/>
            </w:pPr>
            <w:r w:rsidRPr="00B717D8">
              <w:t>Possible consultancies required in order to support drafting</w:t>
            </w:r>
          </w:p>
        </w:tc>
        <w:tc>
          <w:tcPr>
            <w:tcW w:w="2829" w:type="dxa"/>
            <w:tcBorders>
              <w:top w:val="nil"/>
              <w:bottom w:val="nil"/>
            </w:tcBorders>
            <w:shd w:val="clear" w:color="auto" w:fill="auto"/>
          </w:tcPr>
          <w:p w14:paraId="2CF9BE52" w14:textId="223D0C6F" w:rsidR="00D778D3" w:rsidRPr="00F135C3" w:rsidRDefault="00D778D3" w:rsidP="00F135C3">
            <w:pPr>
              <w:suppressAutoHyphens w:val="0"/>
              <w:spacing w:before="40" w:after="120"/>
              <w:ind w:right="113"/>
            </w:pPr>
            <w:r w:rsidRPr="00B717D8">
              <w:t xml:space="preserve">Publications, guidelines, lessons learned, </w:t>
            </w:r>
            <w:r w:rsidR="00F135C3">
              <w:t>as appropriate</w:t>
            </w:r>
            <w:r w:rsidRPr="00F135C3">
              <w:t xml:space="preserve"> (2019–2021)</w:t>
            </w:r>
          </w:p>
        </w:tc>
      </w:tr>
      <w:tr w:rsidR="00D778D3" w:rsidRPr="00B717D8" w14:paraId="60716EFA" w14:textId="77777777" w:rsidTr="0051728A">
        <w:trPr>
          <w:cantSplit/>
          <w:trHeight w:val="367"/>
        </w:trPr>
        <w:tc>
          <w:tcPr>
            <w:tcW w:w="1787" w:type="dxa"/>
            <w:vMerge w:val="restart"/>
            <w:tcBorders>
              <w:top w:val="nil"/>
              <w:bottom w:val="nil"/>
            </w:tcBorders>
            <w:shd w:val="clear" w:color="auto" w:fill="auto"/>
          </w:tcPr>
          <w:p w14:paraId="233FFE1A" w14:textId="0DDC2869" w:rsidR="00D778D3" w:rsidRPr="00B717D8" w:rsidRDefault="00D778D3" w:rsidP="00253FF6">
            <w:pPr>
              <w:suppressAutoHyphens w:val="0"/>
              <w:spacing w:before="40" w:after="120"/>
              <w:ind w:right="113"/>
              <w:rPr>
                <w:bCs/>
              </w:rPr>
            </w:pPr>
            <w:r w:rsidRPr="00B717D8">
              <w:rPr>
                <w:bCs/>
              </w:rPr>
              <w:t xml:space="preserve">D. Engage in capacity-building assistance addressing specific challenges related to environmental monitoring and assessment and environmental knowledge maintained through national monitoring systems in the European and </w:t>
            </w:r>
            <w:r w:rsidRPr="00B717D8">
              <w:rPr>
                <w:bCs/>
              </w:rPr>
              <w:lastRenderedPageBreak/>
              <w:t>Central Asian countries</w:t>
            </w:r>
          </w:p>
        </w:tc>
        <w:tc>
          <w:tcPr>
            <w:tcW w:w="2466" w:type="dxa"/>
            <w:vMerge w:val="restart"/>
            <w:tcBorders>
              <w:top w:val="nil"/>
            </w:tcBorders>
            <w:shd w:val="clear" w:color="auto" w:fill="auto"/>
          </w:tcPr>
          <w:p w14:paraId="6903F04D" w14:textId="5F1C509B" w:rsidR="00D778D3" w:rsidRPr="00B717D8" w:rsidRDefault="00D778D3" w:rsidP="00253FF6">
            <w:pPr>
              <w:suppressAutoHyphens w:val="0"/>
              <w:spacing w:before="40" w:after="120"/>
              <w:ind w:right="113"/>
              <w:rPr>
                <w:bCs/>
              </w:rPr>
            </w:pPr>
            <w:r w:rsidRPr="00B717D8">
              <w:rPr>
                <w:bCs/>
              </w:rPr>
              <w:lastRenderedPageBreak/>
              <w:t>1. Detail regional and national capacity gaps in information and data needed for producing the ECE set of environmental indicators, the EEA core set of indicators, OECD green growth indicators and Sustainable Development Goal indicators</w:t>
            </w:r>
          </w:p>
        </w:tc>
        <w:tc>
          <w:tcPr>
            <w:tcW w:w="851" w:type="dxa"/>
            <w:tcBorders>
              <w:top w:val="nil"/>
            </w:tcBorders>
          </w:tcPr>
          <w:p w14:paraId="53709FF0" w14:textId="71495428" w:rsidR="00D778D3" w:rsidRPr="00B717D8" w:rsidRDefault="001E74A9" w:rsidP="00BE70B7">
            <w:pPr>
              <w:suppressAutoHyphens w:val="0"/>
              <w:spacing w:before="40" w:after="120"/>
              <w:ind w:right="113"/>
            </w:pPr>
            <w:r w:rsidRPr="00B717D8">
              <w:t>Medium</w:t>
            </w:r>
          </w:p>
        </w:tc>
        <w:tc>
          <w:tcPr>
            <w:tcW w:w="2691" w:type="dxa"/>
            <w:tcBorders>
              <w:top w:val="nil"/>
            </w:tcBorders>
            <w:shd w:val="clear" w:color="auto" w:fill="auto"/>
          </w:tcPr>
          <w:p w14:paraId="5726B767" w14:textId="738BC0CE" w:rsidR="00D778D3" w:rsidRPr="00B717D8" w:rsidRDefault="00D778D3" w:rsidP="00BE70B7">
            <w:pPr>
              <w:suppressAutoHyphens w:val="0"/>
              <w:spacing w:before="40" w:after="120"/>
              <w:ind w:right="113"/>
            </w:pPr>
            <w:r w:rsidRPr="00B717D8">
              <w:t>Drafting of national gap analyses on environmental data and information needs and SEIS establishment (2018–2019)</w:t>
            </w:r>
          </w:p>
        </w:tc>
        <w:tc>
          <w:tcPr>
            <w:tcW w:w="1993" w:type="dxa"/>
            <w:tcBorders>
              <w:top w:val="nil"/>
            </w:tcBorders>
            <w:shd w:val="clear" w:color="auto" w:fill="auto"/>
          </w:tcPr>
          <w:p w14:paraId="0356C6CF" w14:textId="0B1EA12F" w:rsidR="00D778D3" w:rsidRPr="00B717D8" w:rsidRDefault="00D778D3" w:rsidP="00253FF6">
            <w:pPr>
              <w:suppressAutoHyphens w:val="0"/>
              <w:spacing w:before="40" w:after="120"/>
              <w:ind w:right="113"/>
            </w:pPr>
            <w:r w:rsidRPr="00B717D8">
              <w:t>Largely funded through EEA and UNDA projects</w:t>
            </w:r>
          </w:p>
        </w:tc>
        <w:tc>
          <w:tcPr>
            <w:tcW w:w="2829" w:type="dxa"/>
            <w:tcBorders>
              <w:top w:val="nil"/>
            </w:tcBorders>
            <w:shd w:val="clear" w:color="auto" w:fill="auto"/>
          </w:tcPr>
          <w:p w14:paraId="194C3365" w14:textId="79EFFBC0" w:rsidR="00D778D3" w:rsidRPr="00B717D8" w:rsidRDefault="00D778D3" w:rsidP="00253FF6">
            <w:pPr>
              <w:suppressAutoHyphens w:val="0"/>
              <w:spacing w:before="40" w:after="120"/>
              <w:ind w:right="113"/>
            </w:pPr>
            <w:r w:rsidRPr="00B717D8">
              <w:t>Capacities further developed in selected countries</w:t>
            </w:r>
          </w:p>
          <w:p w14:paraId="3315A541" w14:textId="36453D44" w:rsidR="00D778D3" w:rsidRPr="00B717D8" w:rsidRDefault="00D778D3" w:rsidP="00253FF6">
            <w:pPr>
              <w:suppressAutoHyphens w:val="0"/>
              <w:spacing w:before="40" w:after="120"/>
              <w:ind w:right="113"/>
            </w:pPr>
            <w:r w:rsidRPr="00B717D8">
              <w:t>National gap analyses on data production (2018–2019)</w:t>
            </w:r>
          </w:p>
        </w:tc>
      </w:tr>
      <w:tr w:rsidR="00D778D3" w:rsidRPr="00B717D8" w14:paraId="6F282346" w14:textId="77777777" w:rsidTr="0051728A">
        <w:trPr>
          <w:cantSplit/>
          <w:trHeight w:val="367"/>
        </w:trPr>
        <w:tc>
          <w:tcPr>
            <w:tcW w:w="1787" w:type="dxa"/>
            <w:vMerge/>
            <w:tcBorders>
              <w:top w:val="nil"/>
              <w:bottom w:val="nil"/>
            </w:tcBorders>
            <w:shd w:val="clear" w:color="auto" w:fill="auto"/>
          </w:tcPr>
          <w:p w14:paraId="4B29A5ED" w14:textId="77777777" w:rsidR="00D778D3" w:rsidRPr="00B717D8" w:rsidRDefault="00D778D3" w:rsidP="00253FF6">
            <w:pPr>
              <w:suppressAutoHyphens w:val="0"/>
              <w:spacing w:before="40" w:after="120"/>
              <w:ind w:right="113"/>
              <w:rPr>
                <w:b/>
              </w:rPr>
            </w:pPr>
          </w:p>
        </w:tc>
        <w:tc>
          <w:tcPr>
            <w:tcW w:w="2466" w:type="dxa"/>
            <w:vMerge/>
            <w:tcBorders>
              <w:bottom w:val="nil"/>
            </w:tcBorders>
            <w:shd w:val="clear" w:color="auto" w:fill="auto"/>
          </w:tcPr>
          <w:p w14:paraId="17CF4247" w14:textId="77777777" w:rsidR="00D778D3" w:rsidRPr="00B717D8" w:rsidRDefault="00D778D3" w:rsidP="00253FF6">
            <w:pPr>
              <w:suppressAutoHyphens w:val="0"/>
              <w:spacing w:before="40" w:after="120"/>
              <w:ind w:right="113"/>
            </w:pPr>
          </w:p>
        </w:tc>
        <w:tc>
          <w:tcPr>
            <w:tcW w:w="851" w:type="dxa"/>
            <w:tcBorders>
              <w:bottom w:val="nil"/>
            </w:tcBorders>
          </w:tcPr>
          <w:p w14:paraId="0471A44A" w14:textId="77777777" w:rsidR="00D778D3" w:rsidRPr="00B717D8" w:rsidRDefault="00D778D3" w:rsidP="00253FF6">
            <w:pPr>
              <w:suppressAutoHyphens w:val="0"/>
              <w:spacing w:before="40" w:after="120"/>
              <w:ind w:right="113"/>
            </w:pPr>
          </w:p>
        </w:tc>
        <w:tc>
          <w:tcPr>
            <w:tcW w:w="2691" w:type="dxa"/>
            <w:tcBorders>
              <w:bottom w:val="nil"/>
            </w:tcBorders>
            <w:shd w:val="clear" w:color="auto" w:fill="auto"/>
          </w:tcPr>
          <w:p w14:paraId="052E54B8" w14:textId="22B492D4" w:rsidR="00D778D3" w:rsidRPr="00B717D8" w:rsidRDefault="00D778D3" w:rsidP="00253FF6">
            <w:pPr>
              <w:suppressAutoHyphens w:val="0"/>
              <w:spacing w:before="40" w:after="120"/>
              <w:ind w:right="113"/>
            </w:pPr>
            <w:r w:rsidRPr="00B717D8">
              <w:t>Annual sessions of the Working Group and Joint Task Force (2018–2021)</w:t>
            </w:r>
          </w:p>
        </w:tc>
        <w:tc>
          <w:tcPr>
            <w:tcW w:w="1993" w:type="dxa"/>
            <w:tcBorders>
              <w:bottom w:val="nil"/>
            </w:tcBorders>
            <w:shd w:val="clear" w:color="auto" w:fill="auto"/>
          </w:tcPr>
          <w:p w14:paraId="5D74CFCA" w14:textId="57B5F305" w:rsidR="00D778D3" w:rsidRPr="00B717D8" w:rsidRDefault="00D778D3" w:rsidP="00253FF6">
            <w:pPr>
              <w:suppressAutoHyphens w:val="0"/>
              <w:spacing w:before="40" w:after="120"/>
              <w:ind w:right="113"/>
            </w:pPr>
            <w:r w:rsidRPr="00B717D8">
              <w:t>See above under activity A.2</w:t>
            </w:r>
          </w:p>
        </w:tc>
        <w:tc>
          <w:tcPr>
            <w:tcW w:w="2829" w:type="dxa"/>
            <w:tcBorders>
              <w:bottom w:val="nil"/>
            </w:tcBorders>
            <w:shd w:val="clear" w:color="auto" w:fill="auto"/>
          </w:tcPr>
          <w:p w14:paraId="65545405" w14:textId="77777777" w:rsidR="00D778D3" w:rsidRPr="00B717D8" w:rsidRDefault="00D778D3" w:rsidP="00253FF6">
            <w:pPr>
              <w:suppressAutoHyphens w:val="0"/>
              <w:spacing w:before="40" w:after="120"/>
              <w:ind w:right="113"/>
            </w:pPr>
          </w:p>
        </w:tc>
      </w:tr>
      <w:tr w:rsidR="00D778D3" w:rsidRPr="00B717D8" w14:paraId="1F8F036D" w14:textId="77777777" w:rsidTr="0051728A">
        <w:trPr>
          <w:cantSplit/>
          <w:trHeight w:val="367"/>
        </w:trPr>
        <w:tc>
          <w:tcPr>
            <w:tcW w:w="1787" w:type="dxa"/>
            <w:vMerge/>
            <w:tcBorders>
              <w:top w:val="nil"/>
              <w:bottom w:val="nil"/>
            </w:tcBorders>
            <w:shd w:val="clear" w:color="auto" w:fill="auto"/>
          </w:tcPr>
          <w:p w14:paraId="24D9B644" w14:textId="77777777" w:rsidR="00D778D3" w:rsidRPr="00B717D8" w:rsidRDefault="00D778D3" w:rsidP="00CC3006">
            <w:pPr>
              <w:suppressAutoHyphens w:val="0"/>
              <w:spacing w:before="40" w:after="120"/>
              <w:ind w:right="113"/>
              <w:rPr>
                <w:b/>
              </w:rPr>
            </w:pPr>
          </w:p>
        </w:tc>
        <w:tc>
          <w:tcPr>
            <w:tcW w:w="2466" w:type="dxa"/>
            <w:vMerge w:val="restart"/>
            <w:tcBorders>
              <w:top w:val="nil"/>
              <w:bottom w:val="nil"/>
            </w:tcBorders>
            <w:shd w:val="clear" w:color="auto" w:fill="auto"/>
          </w:tcPr>
          <w:p w14:paraId="4F321F40" w14:textId="7664D5BF" w:rsidR="00D778D3" w:rsidRPr="00B717D8" w:rsidRDefault="00D778D3" w:rsidP="000A0325">
            <w:pPr>
              <w:suppressAutoHyphens w:val="0"/>
              <w:spacing w:before="40" w:after="120"/>
              <w:ind w:right="113"/>
            </w:pPr>
            <w:r w:rsidRPr="00B717D8">
              <w:t xml:space="preserve">2. Support countries in the development of regional and national indicator </w:t>
            </w:r>
            <w:r w:rsidRPr="00B717D8">
              <w:lastRenderedPageBreak/>
              <w:t>frameworks to monitor the Goals and targets of the 2030 Agenda, and activities to support their implementation</w:t>
            </w:r>
          </w:p>
        </w:tc>
        <w:tc>
          <w:tcPr>
            <w:tcW w:w="851" w:type="dxa"/>
            <w:tcBorders>
              <w:top w:val="nil"/>
              <w:bottom w:val="nil"/>
            </w:tcBorders>
          </w:tcPr>
          <w:p w14:paraId="3859947E" w14:textId="252E7240" w:rsidR="00D778D3" w:rsidRPr="00B717D8" w:rsidRDefault="001E74A9" w:rsidP="00CC3006">
            <w:pPr>
              <w:suppressAutoHyphens w:val="0"/>
              <w:spacing w:before="40" w:after="120"/>
              <w:ind w:right="113"/>
            </w:pPr>
            <w:r w:rsidRPr="00B717D8">
              <w:lastRenderedPageBreak/>
              <w:t>Medium</w:t>
            </w:r>
          </w:p>
        </w:tc>
        <w:tc>
          <w:tcPr>
            <w:tcW w:w="2691" w:type="dxa"/>
            <w:tcBorders>
              <w:top w:val="nil"/>
              <w:bottom w:val="nil"/>
            </w:tcBorders>
            <w:shd w:val="clear" w:color="auto" w:fill="auto"/>
          </w:tcPr>
          <w:p w14:paraId="50E5BE34" w14:textId="16B8531F" w:rsidR="00D778D3" w:rsidRPr="00B717D8" w:rsidRDefault="00D778D3" w:rsidP="00CC3006">
            <w:pPr>
              <w:suppressAutoHyphens w:val="0"/>
              <w:spacing w:before="40" w:after="120"/>
              <w:ind w:right="113"/>
            </w:pPr>
            <w:r w:rsidRPr="00B717D8">
              <w:t>Annual sessions of the Working Group and Joint Task Force (2018–2021)</w:t>
            </w:r>
          </w:p>
        </w:tc>
        <w:tc>
          <w:tcPr>
            <w:tcW w:w="1993" w:type="dxa"/>
            <w:tcBorders>
              <w:top w:val="nil"/>
              <w:bottom w:val="nil"/>
            </w:tcBorders>
            <w:shd w:val="clear" w:color="auto" w:fill="auto"/>
          </w:tcPr>
          <w:p w14:paraId="18BEB692" w14:textId="76B594AB" w:rsidR="00D778D3" w:rsidRPr="00B717D8" w:rsidRDefault="00D778D3" w:rsidP="00CC3006">
            <w:pPr>
              <w:suppressAutoHyphens w:val="0"/>
              <w:spacing w:before="40" w:after="120"/>
              <w:ind w:right="113"/>
            </w:pPr>
            <w:r w:rsidRPr="00B717D8">
              <w:t>See above under activity A.2</w:t>
            </w:r>
          </w:p>
        </w:tc>
        <w:tc>
          <w:tcPr>
            <w:tcW w:w="2829" w:type="dxa"/>
            <w:tcBorders>
              <w:top w:val="nil"/>
              <w:bottom w:val="nil"/>
            </w:tcBorders>
            <w:shd w:val="clear" w:color="auto" w:fill="auto"/>
          </w:tcPr>
          <w:p w14:paraId="676EC52B" w14:textId="4BBB5D1E" w:rsidR="00D778D3" w:rsidRPr="00B717D8" w:rsidRDefault="00D778D3" w:rsidP="00CC3006">
            <w:pPr>
              <w:suppressAutoHyphens w:val="0"/>
              <w:spacing w:before="40" w:after="120"/>
              <w:ind w:right="113"/>
            </w:pPr>
            <w:r w:rsidRPr="00B717D8">
              <w:t>Progress described in the reports on Working Group sessions (2018–2021)</w:t>
            </w:r>
          </w:p>
        </w:tc>
      </w:tr>
      <w:tr w:rsidR="00D778D3" w:rsidRPr="00B717D8" w14:paraId="16D92B54" w14:textId="77777777" w:rsidTr="0051728A">
        <w:trPr>
          <w:cantSplit/>
          <w:trHeight w:val="367"/>
        </w:trPr>
        <w:tc>
          <w:tcPr>
            <w:tcW w:w="1787" w:type="dxa"/>
            <w:vMerge/>
            <w:tcBorders>
              <w:top w:val="nil"/>
              <w:bottom w:val="nil"/>
            </w:tcBorders>
            <w:shd w:val="clear" w:color="auto" w:fill="auto"/>
          </w:tcPr>
          <w:p w14:paraId="21C8FF28" w14:textId="77777777" w:rsidR="00D778D3" w:rsidRPr="00B717D8" w:rsidRDefault="00D778D3" w:rsidP="00253FF6">
            <w:pPr>
              <w:suppressAutoHyphens w:val="0"/>
              <w:spacing w:before="40" w:after="120"/>
              <w:ind w:right="113"/>
              <w:rPr>
                <w:b/>
              </w:rPr>
            </w:pPr>
          </w:p>
        </w:tc>
        <w:tc>
          <w:tcPr>
            <w:tcW w:w="2466" w:type="dxa"/>
            <w:vMerge/>
            <w:tcBorders>
              <w:top w:val="nil"/>
              <w:bottom w:val="nil"/>
            </w:tcBorders>
            <w:shd w:val="clear" w:color="auto" w:fill="auto"/>
          </w:tcPr>
          <w:p w14:paraId="36F16F9B" w14:textId="3FC5F392" w:rsidR="00D778D3" w:rsidRPr="00B717D8" w:rsidRDefault="00D778D3" w:rsidP="00253FF6">
            <w:pPr>
              <w:suppressAutoHyphens w:val="0"/>
              <w:spacing w:before="40" w:after="120"/>
              <w:ind w:right="113"/>
            </w:pPr>
          </w:p>
        </w:tc>
        <w:tc>
          <w:tcPr>
            <w:tcW w:w="851" w:type="dxa"/>
            <w:tcBorders>
              <w:top w:val="nil"/>
              <w:bottom w:val="nil"/>
            </w:tcBorders>
          </w:tcPr>
          <w:p w14:paraId="789BF4FB" w14:textId="77777777" w:rsidR="00D778D3" w:rsidRPr="00B717D8" w:rsidRDefault="00D778D3" w:rsidP="003F5390">
            <w:pPr>
              <w:suppressAutoHyphens w:val="0"/>
              <w:spacing w:before="40" w:after="120"/>
              <w:ind w:right="113"/>
            </w:pPr>
          </w:p>
        </w:tc>
        <w:tc>
          <w:tcPr>
            <w:tcW w:w="2691" w:type="dxa"/>
            <w:tcBorders>
              <w:top w:val="nil"/>
              <w:bottom w:val="nil"/>
            </w:tcBorders>
            <w:shd w:val="clear" w:color="auto" w:fill="auto"/>
          </w:tcPr>
          <w:p w14:paraId="6753717C" w14:textId="5FA28382" w:rsidR="00D778D3" w:rsidRPr="00B717D8" w:rsidRDefault="00D778D3" w:rsidP="003F5390">
            <w:pPr>
              <w:suppressAutoHyphens w:val="0"/>
              <w:spacing w:before="40" w:after="120"/>
              <w:ind w:right="113"/>
              <w:rPr>
                <w:b/>
              </w:rPr>
            </w:pPr>
            <w:r w:rsidRPr="00B717D8">
              <w:t>Capacity-building and advisory missions (2019–2021)</w:t>
            </w:r>
          </w:p>
        </w:tc>
        <w:tc>
          <w:tcPr>
            <w:tcW w:w="1993" w:type="dxa"/>
            <w:tcBorders>
              <w:top w:val="nil"/>
              <w:bottom w:val="nil"/>
            </w:tcBorders>
            <w:shd w:val="clear" w:color="auto" w:fill="auto"/>
          </w:tcPr>
          <w:p w14:paraId="07359CA2" w14:textId="632990B9" w:rsidR="00D778D3" w:rsidRPr="00B717D8" w:rsidRDefault="00D778D3" w:rsidP="00253FF6">
            <w:pPr>
              <w:suppressAutoHyphens w:val="0"/>
              <w:spacing w:before="40" w:after="120"/>
              <w:ind w:right="113"/>
            </w:pPr>
            <w:r w:rsidRPr="00B717D8">
              <w:t>Largely funded through the UNDA project</w:t>
            </w:r>
          </w:p>
        </w:tc>
        <w:tc>
          <w:tcPr>
            <w:tcW w:w="2829" w:type="dxa"/>
            <w:tcBorders>
              <w:top w:val="nil"/>
              <w:bottom w:val="nil"/>
            </w:tcBorders>
            <w:shd w:val="clear" w:color="auto" w:fill="auto"/>
          </w:tcPr>
          <w:p w14:paraId="7CD26818" w14:textId="7848B2DF" w:rsidR="00D778D3" w:rsidRPr="00B717D8" w:rsidRDefault="00D778D3" w:rsidP="00CC3006">
            <w:pPr>
              <w:suppressAutoHyphens w:val="0"/>
              <w:spacing w:before="40" w:after="120"/>
              <w:ind w:right="113"/>
            </w:pPr>
            <w:r w:rsidRPr="00B717D8">
              <w:t>Capacity-building events held (2019–2021)</w:t>
            </w:r>
          </w:p>
          <w:p w14:paraId="2EC6AC9F" w14:textId="7878722A" w:rsidR="00D778D3" w:rsidRPr="00B717D8" w:rsidRDefault="00D778D3" w:rsidP="003F5390">
            <w:pPr>
              <w:suppressAutoHyphens w:val="0"/>
              <w:spacing w:before="40" w:after="120"/>
              <w:ind w:right="113"/>
            </w:pPr>
            <w:r w:rsidRPr="00B717D8">
              <w:t>Training materials (2019)</w:t>
            </w:r>
          </w:p>
        </w:tc>
      </w:tr>
      <w:tr w:rsidR="00D778D3" w:rsidRPr="00B717D8" w14:paraId="7A24B9FB" w14:textId="77777777" w:rsidTr="0051728A">
        <w:trPr>
          <w:cantSplit/>
          <w:trHeight w:val="367"/>
        </w:trPr>
        <w:tc>
          <w:tcPr>
            <w:tcW w:w="1787" w:type="dxa"/>
            <w:vMerge w:val="restart"/>
            <w:tcBorders>
              <w:top w:val="nil"/>
              <w:bottom w:val="nil"/>
            </w:tcBorders>
            <w:shd w:val="clear" w:color="auto" w:fill="auto"/>
          </w:tcPr>
          <w:p w14:paraId="191C4C2D" w14:textId="77777777" w:rsidR="00D778D3" w:rsidRPr="00B717D8" w:rsidRDefault="00D778D3" w:rsidP="00253FF6">
            <w:pPr>
              <w:suppressAutoHyphens w:val="0"/>
              <w:spacing w:before="40" w:after="120"/>
              <w:ind w:right="113"/>
              <w:rPr>
                <w:b/>
              </w:rPr>
            </w:pPr>
          </w:p>
        </w:tc>
        <w:tc>
          <w:tcPr>
            <w:tcW w:w="2466" w:type="dxa"/>
            <w:tcBorders>
              <w:top w:val="nil"/>
              <w:bottom w:val="nil"/>
            </w:tcBorders>
            <w:shd w:val="clear" w:color="auto" w:fill="auto"/>
          </w:tcPr>
          <w:p w14:paraId="6DA30A99" w14:textId="2E238847" w:rsidR="00D778D3" w:rsidRPr="00B717D8" w:rsidRDefault="00D778D3" w:rsidP="00253FF6">
            <w:pPr>
              <w:suppressAutoHyphens w:val="0"/>
              <w:spacing w:before="40" w:after="120"/>
              <w:ind w:right="113"/>
            </w:pPr>
            <w:r w:rsidRPr="00B717D8">
              <w:t>3. Engage and liaise directly with other relevant actors working on capacity-building in related areas of work</w:t>
            </w:r>
          </w:p>
        </w:tc>
        <w:tc>
          <w:tcPr>
            <w:tcW w:w="851" w:type="dxa"/>
            <w:tcBorders>
              <w:top w:val="nil"/>
              <w:bottom w:val="nil"/>
            </w:tcBorders>
          </w:tcPr>
          <w:p w14:paraId="5DF3AC49" w14:textId="01E1D480" w:rsidR="00D778D3" w:rsidRPr="00B717D8" w:rsidRDefault="001E74A9" w:rsidP="00A46BE0">
            <w:pPr>
              <w:suppressAutoHyphens w:val="0"/>
              <w:spacing w:before="40" w:after="120"/>
              <w:ind w:right="113"/>
            </w:pPr>
            <w:r w:rsidRPr="00B717D8">
              <w:t>Medium</w:t>
            </w:r>
          </w:p>
        </w:tc>
        <w:tc>
          <w:tcPr>
            <w:tcW w:w="2691" w:type="dxa"/>
            <w:tcBorders>
              <w:top w:val="nil"/>
              <w:bottom w:val="nil"/>
            </w:tcBorders>
            <w:shd w:val="clear" w:color="auto" w:fill="auto"/>
          </w:tcPr>
          <w:p w14:paraId="22DA8EE3" w14:textId="12122A76" w:rsidR="00D778D3" w:rsidRPr="00B717D8" w:rsidRDefault="00D778D3" w:rsidP="00A46BE0">
            <w:pPr>
              <w:suppressAutoHyphens w:val="0"/>
              <w:spacing w:before="40" w:after="120"/>
              <w:ind w:right="113"/>
            </w:pPr>
            <w:r w:rsidRPr="00B717D8">
              <w:t>Annual sessions of the Working Group and Joint Task Force (2018–2021)</w:t>
            </w:r>
          </w:p>
        </w:tc>
        <w:tc>
          <w:tcPr>
            <w:tcW w:w="1993" w:type="dxa"/>
            <w:tcBorders>
              <w:top w:val="nil"/>
              <w:bottom w:val="nil"/>
            </w:tcBorders>
            <w:shd w:val="clear" w:color="auto" w:fill="auto"/>
          </w:tcPr>
          <w:p w14:paraId="35A86552" w14:textId="7E94FB38" w:rsidR="00D778D3" w:rsidRPr="00B717D8" w:rsidRDefault="00D778D3" w:rsidP="00253FF6">
            <w:pPr>
              <w:suppressAutoHyphens w:val="0"/>
              <w:spacing w:before="40" w:after="120"/>
              <w:ind w:right="113"/>
            </w:pPr>
            <w:r w:rsidRPr="00B717D8">
              <w:t>See above under activity A.2</w:t>
            </w:r>
          </w:p>
        </w:tc>
        <w:tc>
          <w:tcPr>
            <w:tcW w:w="2829" w:type="dxa"/>
            <w:tcBorders>
              <w:top w:val="nil"/>
              <w:bottom w:val="nil"/>
            </w:tcBorders>
            <w:shd w:val="clear" w:color="auto" w:fill="auto"/>
          </w:tcPr>
          <w:p w14:paraId="1843BFE0" w14:textId="77777777" w:rsidR="00D778D3" w:rsidRPr="00B717D8" w:rsidRDefault="00D778D3" w:rsidP="00CC3006">
            <w:pPr>
              <w:suppressAutoHyphens w:val="0"/>
              <w:spacing w:before="40" w:after="120"/>
              <w:ind w:right="113"/>
            </w:pPr>
          </w:p>
        </w:tc>
      </w:tr>
      <w:tr w:rsidR="00D778D3" w:rsidRPr="00B717D8" w14:paraId="4AC0EC4A" w14:textId="77777777" w:rsidTr="0051728A">
        <w:trPr>
          <w:cantSplit/>
          <w:trHeight w:val="367"/>
        </w:trPr>
        <w:tc>
          <w:tcPr>
            <w:tcW w:w="1787" w:type="dxa"/>
            <w:vMerge/>
            <w:tcBorders>
              <w:top w:val="nil"/>
              <w:bottom w:val="nil"/>
            </w:tcBorders>
            <w:shd w:val="clear" w:color="auto" w:fill="auto"/>
          </w:tcPr>
          <w:p w14:paraId="62BD58E9" w14:textId="77777777" w:rsidR="00D778D3" w:rsidRPr="00B717D8" w:rsidRDefault="00D778D3" w:rsidP="00253FF6">
            <w:pPr>
              <w:suppressAutoHyphens w:val="0"/>
              <w:spacing w:before="40" w:after="120"/>
              <w:ind w:right="113"/>
              <w:rPr>
                <w:bCs/>
              </w:rPr>
            </w:pPr>
          </w:p>
        </w:tc>
        <w:tc>
          <w:tcPr>
            <w:tcW w:w="2466" w:type="dxa"/>
            <w:tcBorders>
              <w:top w:val="nil"/>
              <w:bottom w:val="nil"/>
            </w:tcBorders>
            <w:shd w:val="clear" w:color="auto" w:fill="auto"/>
          </w:tcPr>
          <w:p w14:paraId="1508CF71" w14:textId="77777777" w:rsidR="00D778D3" w:rsidRPr="00B717D8" w:rsidRDefault="00D778D3" w:rsidP="00253FF6">
            <w:pPr>
              <w:suppressAutoHyphens w:val="0"/>
              <w:spacing w:before="40" w:after="120"/>
              <w:ind w:right="113"/>
            </w:pPr>
          </w:p>
        </w:tc>
        <w:tc>
          <w:tcPr>
            <w:tcW w:w="851" w:type="dxa"/>
            <w:tcBorders>
              <w:top w:val="nil"/>
              <w:bottom w:val="nil"/>
            </w:tcBorders>
          </w:tcPr>
          <w:p w14:paraId="79456660" w14:textId="77777777" w:rsidR="00D778D3" w:rsidRPr="00B717D8" w:rsidRDefault="00D778D3" w:rsidP="00253FF6">
            <w:pPr>
              <w:suppressAutoHyphens w:val="0"/>
              <w:spacing w:before="40" w:after="120"/>
              <w:ind w:right="113"/>
            </w:pPr>
          </w:p>
        </w:tc>
        <w:tc>
          <w:tcPr>
            <w:tcW w:w="2691" w:type="dxa"/>
            <w:tcBorders>
              <w:top w:val="nil"/>
              <w:bottom w:val="nil"/>
            </w:tcBorders>
            <w:shd w:val="clear" w:color="auto" w:fill="auto"/>
          </w:tcPr>
          <w:p w14:paraId="0E0AF201" w14:textId="682547EE" w:rsidR="00D778D3" w:rsidRPr="00B717D8" w:rsidRDefault="00D778D3" w:rsidP="00253FF6">
            <w:pPr>
              <w:suppressAutoHyphens w:val="0"/>
              <w:spacing w:before="40" w:after="120"/>
              <w:ind w:right="113"/>
            </w:pPr>
            <w:r w:rsidRPr="00B717D8">
              <w:t>ECE secretariat engagement with other actors, e.g., UNEP, EEA and OECD (2019–2021)</w:t>
            </w:r>
          </w:p>
        </w:tc>
        <w:tc>
          <w:tcPr>
            <w:tcW w:w="1993" w:type="dxa"/>
            <w:tcBorders>
              <w:top w:val="nil"/>
              <w:bottom w:val="nil"/>
            </w:tcBorders>
            <w:shd w:val="clear" w:color="auto" w:fill="auto"/>
          </w:tcPr>
          <w:p w14:paraId="54F2BC92" w14:textId="43DC1579" w:rsidR="00D778D3" w:rsidRPr="00B717D8" w:rsidRDefault="00D778D3" w:rsidP="006726FC">
            <w:pPr>
              <w:suppressAutoHyphens w:val="0"/>
              <w:spacing w:before="40" w:after="120"/>
              <w:ind w:right="113"/>
            </w:pPr>
            <w:r w:rsidRPr="00B717D8">
              <w:t>Approximately $5,000 per annum required to support the travel and subsistence of members of the ECE secretariat, with further costs dependent on the activities organized</w:t>
            </w:r>
          </w:p>
        </w:tc>
        <w:tc>
          <w:tcPr>
            <w:tcW w:w="2829" w:type="dxa"/>
            <w:tcBorders>
              <w:top w:val="nil"/>
              <w:bottom w:val="nil"/>
            </w:tcBorders>
            <w:shd w:val="clear" w:color="auto" w:fill="auto"/>
          </w:tcPr>
          <w:p w14:paraId="61AB067B" w14:textId="245530D1" w:rsidR="00D778D3" w:rsidRPr="00B717D8" w:rsidRDefault="00D778D3" w:rsidP="004748C2">
            <w:pPr>
              <w:suppressAutoHyphens w:val="0"/>
              <w:spacing w:before="40" w:after="120"/>
              <w:ind w:right="113"/>
            </w:pPr>
            <w:r w:rsidRPr="00B717D8">
              <w:t>Participation of the ECE secretariat in meetings of other actors and vice versa</w:t>
            </w:r>
          </w:p>
          <w:p w14:paraId="7F390D52" w14:textId="0A07DC4D" w:rsidR="00D778D3" w:rsidRPr="00B717D8" w:rsidRDefault="00D778D3" w:rsidP="000A0325">
            <w:pPr>
              <w:suppressAutoHyphens w:val="0"/>
              <w:spacing w:before="40" w:after="120"/>
              <w:ind w:right="113"/>
            </w:pPr>
            <w:r w:rsidRPr="00B717D8">
              <w:t>Reports on joint activities, e.g., capacity-building workshops</w:t>
            </w:r>
          </w:p>
        </w:tc>
      </w:tr>
      <w:tr w:rsidR="00D778D3" w:rsidRPr="00B717D8" w14:paraId="62FBD02D" w14:textId="77777777" w:rsidTr="0051728A">
        <w:trPr>
          <w:cantSplit/>
          <w:trHeight w:val="3050"/>
        </w:trPr>
        <w:tc>
          <w:tcPr>
            <w:tcW w:w="1787" w:type="dxa"/>
            <w:vMerge/>
            <w:tcBorders>
              <w:top w:val="nil"/>
              <w:bottom w:val="nil"/>
            </w:tcBorders>
            <w:shd w:val="clear" w:color="auto" w:fill="auto"/>
          </w:tcPr>
          <w:p w14:paraId="46B873F5" w14:textId="6C872470" w:rsidR="00D778D3" w:rsidRPr="00B717D8" w:rsidRDefault="00D778D3" w:rsidP="00253FF6">
            <w:pPr>
              <w:suppressAutoHyphens w:val="0"/>
              <w:spacing w:before="40" w:after="120"/>
              <w:ind w:right="113"/>
              <w:rPr>
                <w:bCs/>
              </w:rPr>
            </w:pPr>
          </w:p>
        </w:tc>
        <w:tc>
          <w:tcPr>
            <w:tcW w:w="2466" w:type="dxa"/>
            <w:vMerge w:val="restart"/>
            <w:tcBorders>
              <w:top w:val="nil"/>
              <w:bottom w:val="nil"/>
            </w:tcBorders>
            <w:shd w:val="clear" w:color="auto" w:fill="auto"/>
          </w:tcPr>
          <w:p w14:paraId="2D4547E2" w14:textId="1711378E" w:rsidR="00D778D3" w:rsidRPr="00B717D8" w:rsidRDefault="00D778D3" w:rsidP="00253FF6">
            <w:pPr>
              <w:suppressAutoHyphens w:val="0"/>
              <w:spacing w:before="40" w:after="120"/>
              <w:ind w:right="113"/>
            </w:pPr>
            <w:r w:rsidRPr="00B717D8">
              <w:t>4. Implement capacity-building activities to provide assistance in accordance with priority areas of action</w:t>
            </w:r>
          </w:p>
        </w:tc>
        <w:tc>
          <w:tcPr>
            <w:tcW w:w="851" w:type="dxa"/>
            <w:tcBorders>
              <w:top w:val="nil"/>
              <w:bottom w:val="nil"/>
            </w:tcBorders>
          </w:tcPr>
          <w:p w14:paraId="10F60FCF" w14:textId="4FA1DE68" w:rsidR="00D778D3" w:rsidRPr="00B717D8" w:rsidRDefault="001E74A9" w:rsidP="001353AF">
            <w:pPr>
              <w:suppressAutoHyphens w:val="0"/>
              <w:spacing w:before="40" w:after="120"/>
              <w:ind w:right="113"/>
              <w:rPr>
                <w:bCs/>
              </w:rPr>
            </w:pPr>
            <w:r w:rsidRPr="00B717D8">
              <w:rPr>
                <w:bCs/>
              </w:rPr>
              <w:t>High</w:t>
            </w:r>
          </w:p>
        </w:tc>
        <w:tc>
          <w:tcPr>
            <w:tcW w:w="2691" w:type="dxa"/>
            <w:tcBorders>
              <w:top w:val="nil"/>
              <w:bottom w:val="nil"/>
            </w:tcBorders>
            <w:shd w:val="clear" w:color="auto" w:fill="auto"/>
          </w:tcPr>
          <w:p w14:paraId="404C143F" w14:textId="767566CF" w:rsidR="00D778D3" w:rsidRPr="00B717D8" w:rsidRDefault="00D778D3" w:rsidP="001353AF">
            <w:pPr>
              <w:suppressAutoHyphens w:val="0"/>
              <w:spacing w:before="40" w:after="120"/>
              <w:ind w:right="113"/>
              <w:rPr>
                <w:bCs/>
              </w:rPr>
            </w:pPr>
            <w:r w:rsidRPr="00B717D8">
              <w:rPr>
                <w:bCs/>
              </w:rPr>
              <w:t>Capacity-building and development of training materials</w:t>
            </w:r>
            <w:r w:rsidRPr="00B717D8">
              <w:t xml:space="preserve"> (2019–2021)</w:t>
            </w:r>
          </w:p>
          <w:p w14:paraId="41B185E2" w14:textId="77777777" w:rsidR="00D778D3" w:rsidRPr="00B717D8" w:rsidRDefault="00D778D3" w:rsidP="00F512E5">
            <w:pPr>
              <w:suppressAutoHyphens w:val="0"/>
              <w:spacing w:before="40" w:after="120"/>
              <w:ind w:right="113"/>
              <w:rPr>
                <w:bCs/>
              </w:rPr>
            </w:pPr>
            <w:r w:rsidRPr="00B717D8">
              <w:rPr>
                <w:bCs/>
              </w:rPr>
              <w:t>Several national training sessions on data production (2019) and capacity-building workshops on data collection (2019)</w:t>
            </w:r>
          </w:p>
          <w:p w14:paraId="55E386B0" w14:textId="6D6E5E55" w:rsidR="00D778D3" w:rsidRPr="00B717D8" w:rsidRDefault="00D778D3" w:rsidP="00FB4598">
            <w:pPr>
              <w:suppressAutoHyphens w:val="0"/>
              <w:spacing w:before="40" w:after="120"/>
              <w:ind w:right="113"/>
              <w:rPr>
                <w:bCs/>
              </w:rPr>
            </w:pPr>
            <w:r w:rsidRPr="00B717D8">
              <w:rPr>
                <w:bCs/>
              </w:rPr>
              <w:t>Regional capacity-development workshops and advisory missions (2019–2021)</w:t>
            </w:r>
          </w:p>
        </w:tc>
        <w:tc>
          <w:tcPr>
            <w:tcW w:w="1993" w:type="dxa"/>
            <w:tcBorders>
              <w:top w:val="nil"/>
              <w:bottom w:val="nil"/>
            </w:tcBorders>
            <w:shd w:val="clear" w:color="auto" w:fill="auto"/>
          </w:tcPr>
          <w:p w14:paraId="14B2E2C2" w14:textId="7AAECA4A" w:rsidR="00D778D3" w:rsidRPr="00B717D8" w:rsidRDefault="00D778D3" w:rsidP="003319A4">
            <w:pPr>
              <w:suppressAutoHyphens w:val="0"/>
              <w:spacing w:before="40" w:after="120"/>
              <w:ind w:right="113"/>
              <w:rPr>
                <w:bCs/>
              </w:rPr>
            </w:pPr>
            <w:r w:rsidRPr="00B717D8">
              <w:t xml:space="preserve">Largely funded through EEA and </w:t>
            </w:r>
            <w:r w:rsidRPr="00B717D8">
              <w:rPr>
                <w:bCs/>
              </w:rPr>
              <w:t>UNDA projects</w:t>
            </w:r>
          </w:p>
        </w:tc>
        <w:tc>
          <w:tcPr>
            <w:tcW w:w="2829" w:type="dxa"/>
            <w:tcBorders>
              <w:top w:val="nil"/>
              <w:bottom w:val="nil"/>
            </w:tcBorders>
            <w:shd w:val="clear" w:color="auto" w:fill="auto"/>
          </w:tcPr>
          <w:p w14:paraId="07A59895" w14:textId="687E37BC" w:rsidR="00D778D3" w:rsidRPr="00B717D8" w:rsidRDefault="00D778D3" w:rsidP="001353AF">
            <w:pPr>
              <w:suppressAutoHyphens w:val="0"/>
              <w:spacing w:before="40" w:after="120"/>
              <w:ind w:right="113"/>
            </w:pPr>
            <w:r w:rsidRPr="00B717D8">
              <w:t>Capacity-building events held (2019–2021)</w:t>
            </w:r>
          </w:p>
          <w:p w14:paraId="71157E93" w14:textId="1CD7588D" w:rsidR="00D778D3" w:rsidRPr="00B717D8" w:rsidRDefault="00D778D3" w:rsidP="00BE70B7">
            <w:pPr>
              <w:suppressAutoHyphens w:val="0"/>
              <w:spacing w:before="40" w:after="120"/>
              <w:ind w:right="113"/>
            </w:pPr>
            <w:r w:rsidRPr="00B717D8">
              <w:t>Training materials (2019)</w:t>
            </w:r>
          </w:p>
          <w:p w14:paraId="60A5CF40" w14:textId="6579A23D" w:rsidR="00D778D3" w:rsidRPr="00B717D8" w:rsidRDefault="00D778D3" w:rsidP="00BE70B7">
            <w:pPr>
              <w:suppressAutoHyphens w:val="0"/>
              <w:spacing w:before="40" w:after="120"/>
              <w:ind w:right="113"/>
            </w:pPr>
            <w:r w:rsidRPr="00B717D8">
              <w:t>Training materials on the production of regional or international environmental indicators (2018)</w:t>
            </w:r>
          </w:p>
          <w:p w14:paraId="55922755" w14:textId="540CC236" w:rsidR="00D778D3" w:rsidRPr="00B717D8" w:rsidRDefault="00D778D3" w:rsidP="003319A4">
            <w:pPr>
              <w:suppressAutoHyphens w:val="0"/>
              <w:spacing w:before="40" w:after="120"/>
              <w:ind w:right="113"/>
            </w:pPr>
            <w:r w:rsidRPr="00B717D8">
              <w:t>Monitoring guidelines (2020)</w:t>
            </w:r>
          </w:p>
        </w:tc>
      </w:tr>
      <w:tr w:rsidR="00D778D3" w:rsidRPr="00D93D43" w14:paraId="0E4175CD" w14:textId="77777777" w:rsidTr="0051728A">
        <w:trPr>
          <w:cantSplit/>
        </w:trPr>
        <w:tc>
          <w:tcPr>
            <w:tcW w:w="1787" w:type="dxa"/>
            <w:tcBorders>
              <w:top w:val="nil"/>
              <w:bottom w:val="single" w:sz="12" w:space="0" w:color="auto"/>
            </w:tcBorders>
            <w:shd w:val="clear" w:color="auto" w:fill="auto"/>
          </w:tcPr>
          <w:p w14:paraId="33FDA786" w14:textId="77777777" w:rsidR="00D778D3" w:rsidRPr="00B717D8" w:rsidRDefault="00D778D3" w:rsidP="00BE70B7">
            <w:pPr>
              <w:suppressAutoHyphens w:val="0"/>
              <w:spacing w:before="40" w:after="120"/>
              <w:ind w:right="113"/>
              <w:rPr>
                <w:b/>
              </w:rPr>
            </w:pPr>
          </w:p>
        </w:tc>
        <w:tc>
          <w:tcPr>
            <w:tcW w:w="2466" w:type="dxa"/>
            <w:vMerge/>
            <w:shd w:val="clear" w:color="auto" w:fill="auto"/>
          </w:tcPr>
          <w:p w14:paraId="251089C9" w14:textId="268392EB" w:rsidR="00D778D3" w:rsidRPr="00B717D8" w:rsidRDefault="00D778D3" w:rsidP="00BE70B7">
            <w:pPr>
              <w:suppressAutoHyphens w:val="0"/>
              <w:spacing w:before="40" w:after="120"/>
              <w:ind w:right="113"/>
            </w:pPr>
          </w:p>
        </w:tc>
        <w:tc>
          <w:tcPr>
            <w:tcW w:w="851" w:type="dxa"/>
          </w:tcPr>
          <w:p w14:paraId="2304D8DE" w14:textId="77777777" w:rsidR="00D778D3" w:rsidRPr="00B717D8" w:rsidRDefault="00D778D3" w:rsidP="006726FC">
            <w:pPr>
              <w:suppressAutoHyphens w:val="0"/>
              <w:spacing w:before="40" w:after="120"/>
              <w:ind w:right="113"/>
            </w:pPr>
          </w:p>
        </w:tc>
        <w:tc>
          <w:tcPr>
            <w:tcW w:w="2691" w:type="dxa"/>
            <w:shd w:val="clear" w:color="auto" w:fill="auto"/>
          </w:tcPr>
          <w:p w14:paraId="0682B027" w14:textId="4AC92E5F" w:rsidR="00D778D3" w:rsidRPr="00B717D8" w:rsidRDefault="00D778D3" w:rsidP="006726FC">
            <w:pPr>
              <w:suppressAutoHyphens w:val="0"/>
              <w:spacing w:before="40" w:after="120"/>
              <w:ind w:right="113"/>
            </w:pPr>
            <w:r w:rsidRPr="00B717D8">
              <w:t>Thematic conferences, meetings and workshops in order to prepare publications that address the integration of environmental, social and economic data, subject to the availability of funding (optional)</w:t>
            </w:r>
          </w:p>
        </w:tc>
        <w:tc>
          <w:tcPr>
            <w:tcW w:w="1993" w:type="dxa"/>
            <w:shd w:val="clear" w:color="auto" w:fill="auto"/>
          </w:tcPr>
          <w:p w14:paraId="5EAC6A42" w14:textId="1AAA51F7" w:rsidR="00D778D3" w:rsidRPr="00B717D8" w:rsidRDefault="00D778D3" w:rsidP="006726FC">
            <w:pPr>
              <w:suppressAutoHyphens w:val="0"/>
              <w:spacing w:before="40" w:after="120"/>
              <w:ind w:right="113"/>
            </w:pPr>
            <w:r w:rsidRPr="00B717D8">
              <w:t>Resource needs will depend on the nature and scope of the events and publications but will have to cover travel and subsistence costs and consultancies</w:t>
            </w:r>
          </w:p>
        </w:tc>
        <w:tc>
          <w:tcPr>
            <w:tcW w:w="2829" w:type="dxa"/>
            <w:tcBorders>
              <w:top w:val="nil"/>
            </w:tcBorders>
            <w:shd w:val="clear" w:color="auto" w:fill="auto"/>
          </w:tcPr>
          <w:p w14:paraId="17FADEC9" w14:textId="5FCC1489" w:rsidR="00D778D3" w:rsidRPr="001353AF" w:rsidRDefault="00D778D3" w:rsidP="00BE70B7">
            <w:pPr>
              <w:suppressAutoHyphens w:val="0"/>
              <w:spacing w:before="40" w:after="120"/>
              <w:ind w:right="113"/>
            </w:pPr>
            <w:r w:rsidRPr="00B717D8">
              <w:t>Publications on the integration of environmental, social and economic data, subject to the availability of funding</w:t>
            </w:r>
          </w:p>
        </w:tc>
      </w:tr>
    </w:tbl>
    <w:p w14:paraId="333025F1" w14:textId="7A85DBE3" w:rsidR="00670918" w:rsidRPr="00E67802" w:rsidRDefault="00670918" w:rsidP="00670918">
      <w:pPr>
        <w:widowControl w:val="0"/>
        <w:spacing w:before="120" w:line="220" w:lineRule="exact"/>
        <w:ind w:left="284" w:right="680" w:firstLine="170"/>
        <w:rPr>
          <w:iCs/>
          <w:sz w:val="18"/>
          <w:szCs w:val="18"/>
        </w:rPr>
      </w:pPr>
      <w:r>
        <w:rPr>
          <w:i/>
          <w:sz w:val="18"/>
          <w:szCs w:val="18"/>
        </w:rPr>
        <w:t xml:space="preserve">Abbreviations: </w:t>
      </w:r>
      <w:r w:rsidRPr="00E67802">
        <w:rPr>
          <w:iCs/>
          <w:sz w:val="18"/>
          <w:szCs w:val="18"/>
        </w:rPr>
        <w:t xml:space="preserve">EEA = European Environment Agency; OECD = </w:t>
      </w:r>
      <w:r w:rsidR="007B0B44" w:rsidRPr="00E67802">
        <w:rPr>
          <w:iCs/>
          <w:sz w:val="18"/>
          <w:szCs w:val="18"/>
        </w:rPr>
        <w:t>Organi</w:t>
      </w:r>
      <w:r w:rsidR="007B0B44">
        <w:rPr>
          <w:iCs/>
          <w:sz w:val="18"/>
          <w:szCs w:val="18"/>
        </w:rPr>
        <w:t>s</w:t>
      </w:r>
      <w:r w:rsidR="007B0B44" w:rsidRPr="00E67802">
        <w:rPr>
          <w:iCs/>
          <w:sz w:val="18"/>
          <w:szCs w:val="18"/>
        </w:rPr>
        <w:t xml:space="preserve">ation </w:t>
      </w:r>
      <w:r w:rsidRPr="00E67802">
        <w:rPr>
          <w:iCs/>
          <w:sz w:val="18"/>
          <w:szCs w:val="18"/>
        </w:rPr>
        <w:t>for Economic Co</w:t>
      </w:r>
      <w:r w:rsidR="007B0B44">
        <w:rPr>
          <w:iCs/>
          <w:sz w:val="18"/>
          <w:szCs w:val="18"/>
        </w:rPr>
        <w:t>-</w:t>
      </w:r>
      <w:r w:rsidRPr="00E67802">
        <w:rPr>
          <w:iCs/>
          <w:sz w:val="18"/>
          <w:szCs w:val="18"/>
        </w:rPr>
        <w:t>operation and Development; SEIS = Shared Environmental Information System; UNDA = United Nations Development Account</w:t>
      </w:r>
      <w:r>
        <w:rPr>
          <w:iCs/>
          <w:sz w:val="18"/>
          <w:szCs w:val="18"/>
        </w:rPr>
        <w:t>; UNEP = United Nations Environment Programme</w:t>
      </w:r>
      <w:r w:rsidRPr="00E67802">
        <w:rPr>
          <w:iCs/>
          <w:sz w:val="18"/>
          <w:szCs w:val="18"/>
        </w:rPr>
        <w:t>.</w:t>
      </w:r>
    </w:p>
    <w:p w14:paraId="34B448C1" w14:textId="6406D0BE" w:rsidR="003E52EA" w:rsidRDefault="00866719" w:rsidP="00670918">
      <w:pPr>
        <w:widowControl w:val="0"/>
        <w:spacing w:line="220" w:lineRule="exact"/>
        <w:ind w:left="288" w:right="677" w:firstLine="173"/>
        <w:rPr>
          <w:sz w:val="18"/>
          <w:szCs w:val="18"/>
        </w:rPr>
      </w:pPr>
      <w:r w:rsidRPr="00881614">
        <w:rPr>
          <w:i/>
          <w:sz w:val="18"/>
          <w:szCs w:val="18"/>
          <w:vertAlign w:val="superscript"/>
        </w:rPr>
        <w:t>a</w:t>
      </w:r>
      <w:r w:rsidR="00683013" w:rsidRPr="00366E0A">
        <w:rPr>
          <w:i/>
          <w:sz w:val="18"/>
          <w:szCs w:val="18"/>
        </w:rPr>
        <w:t xml:space="preserve"> </w:t>
      </w:r>
      <w:r w:rsidR="00CE1528">
        <w:rPr>
          <w:sz w:val="18"/>
          <w:szCs w:val="18"/>
        </w:rPr>
        <w:t xml:space="preserve"> </w:t>
      </w:r>
      <w:r>
        <w:rPr>
          <w:sz w:val="18"/>
          <w:szCs w:val="18"/>
        </w:rPr>
        <w:t>Common tasks for all meetings</w:t>
      </w:r>
      <w:r w:rsidR="00965F0C">
        <w:rPr>
          <w:sz w:val="18"/>
          <w:szCs w:val="18"/>
        </w:rPr>
        <w:t xml:space="preserve"> </w:t>
      </w:r>
      <w:r>
        <w:rPr>
          <w:sz w:val="18"/>
          <w:szCs w:val="18"/>
        </w:rPr>
        <w:t xml:space="preserve">include </w:t>
      </w:r>
      <w:r w:rsidR="007B0B44">
        <w:rPr>
          <w:sz w:val="18"/>
          <w:szCs w:val="18"/>
        </w:rPr>
        <w:t>organizing</w:t>
      </w:r>
      <w:r w:rsidR="009922AF">
        <w:rPr>
          <w:sz w:val="18"/>
          <w:szCs w:val="18"/>
        </w:rPr>
        <w:t xml:space="preserve"> logistics (venue, interpretation, </w:t>
      </w:r>
      <w:r w:rsidR="00B55959">
        <w:rPr>
          <w:sz w:val="18"/>
          <w:szCs w:val="18"/>
        </w:rPr>
        <w:t xml:space="preserve">programme of work, </w:t>
      </w:r>
      <w:r w:rsidR="00F56FF2">
        <w:rPr>
          <w:sz w:val="18"/>
          <w:szCs w:val="18"/>
        </w:rPr>
        <w:t>etc.)</w:t>
      </w:r>
      <w:r w:rsidR="002079EE">
        <w:rPr>
          <w:sz w:val="18"/>
          <w:szCs w:val="18"/>
        </w:rPr>
        <w:t>,</w:t>
      </w:r>
      <w:r w:rsidR="00F56FF2">
        <w:rPr>
          <w:sz w:val="18"/>
          <w:szCs w:val="18"/>
        </w:rPr>
        <w:t xml:space="preserve"> </w:t>
      </w:r>
      <w:r w:rsidR="007B0B44">
        <w:rPr>
          <w:sz w:val="18"/>
          <w:szCs w:val="18"/>
        </w:rPr>
        <w:t>overseeing</w:t>
      </w:r>
      <w:r w:rsidR="002433EB">
        <w:rPr>
          <w:sz w:val="18"/>
          <w:szCs w:val="18"/>
        </w:rPr>
        <w:t xml:space="preserve"> the conduct of the meetings</w:t>
      </w:r>
      <w:r w:rsidR="007B0B44">
        <w:rPr>
          <w:sz w:val="18"/>
          <w:szCs w:val="18"/>
        </w:rPr>
        <w:t xml:space="preserve"> and preparing</w:t>
      </w:r>
      <w:r w:rsidR="00F56FF2">
        <w:rPr>
          <w:sz w:val="18"/>
          <w:szCs w:val="18"/>
        </w:rPr>
        <w:t xml:space="preserve"> </w:t>
      </w:r>
      <w:r w:rsidR="002079EE">
        <w:rPr>
          <w:sz w:val="18"/>
          <w:szCs w:val="18"/>
        </w:rPr>
        <w:t>related documentation and promotional activities.</w:t>
      </w:r>
      <w:r w:rsidR="00F56FF2">
        <w:rPr>
          <w:sz w:val="18"/>
          <w:szCs w:val="18"/>
        </w:rPr>
        <w:t xml:space="preserve"> For </w:t>
      </w:r>
      <w:r w:rsidR="007B0B44">
        <w:rPr>
          <w:sz w:val="18"/>
          <w:szCs w:val="18"/>
        </w:rPr>
        <w:t xml:space="preserve">all </w:t>
      </w:r>
      <w:r w:rsidR="00F56FF2">
        <w:rPr>
          <w:sz w:val="18"/>
          <w:szCs w:val="18"/>
        </w:rPr>
        <w:t xml:space="preserve">meetings of the Working Group and the </w:t>
      </w:r>
      <w:r w:rsidR="00670918">
        <w:rPr>
          <w:sz w:val="18"/>
          <w:szCs w:val="18"/>
        </w:rPr>
        <w:t xml:space="preserve">Joint </w:t>
      </w:r>
      <w:r w:rsidR="00F56FF2">
        <w:rPr>
          <w:sz w:val="18"/>
          <w:szCs w:val="18"/>
        </w:rPr>
        <w:t xml:space="preserve">Task Force, common tasks will include </w:t>
      </w:r>
      <w:r w:rsidR="007B0B44">
        <w:rPr>
          <w:sz w:val="18"/>
          <w:szCs w:val="18"/>
        </w:rPr>
        <w:t>preparing</w:t>
      </w:r>
      <w:r>
        <w:rPr>
          <w:sz w:val="18"/>
          <w:szCs w:val="18"/>
        </w:rPr>
        <w:t xml:space="preserve"> an </w:t>
      </w:r>
      <w:r w:rsidRPr="00866719">
        <w:rPr>
          <w:sz w:val="18"/>
          <w:szCs w:val="18"/>
        </w:rPr>
        <w:t>agenda</w:t>
      </w:r>
      <w:r>
        <w:rPr>
          <w:sz w:val="18"/>
          <w:szCs w:val="18"/>
        </w:rPr>
        <w:t xml:space="preserve"> </w:t>
      </w:r>
      <w:r w:rsidR="002079EE">
        <w:rPr>
          <w:sz w:val="18"/>
          <w:szCs w:val="18"/>
        </w:rPr>
        <w:t xml:space="preserve">and </w:t>
      </w:r>
      <w:r>
        <w:rPr>
          <w:sz w:val="18"/>
          <w:szCs w:val="18"/>
        </w:rPr>
        <w:t>a meeting</w:t>
      </w:r>
      <w:r w:rsidRPr="00866719">
        <w:rPr>
          <w:sz w:val="18"/>
          <w:szCs w:val="18"/>
        </w:rPr>
        <w:t xml:space="preserve"> report</w:t>
      </w:r>
      <w:r w:rsidR="009922AF">
        <w:rPr>
          <w:sz w:val="18"/>
          <w:szCs w:val="18"/>
        </w:rPr>
        <w:t xml:space="preserve"> </w:t>
      </w:r>
      <w:r w:rsidR="002079EE">
        <w:rPr>
          <w:sz w:val="18"/>
          <w:szCs w:val="18"/>
        </w:rPr>
        <w:t>as official United Nations documents</w:t>
      </w:r>
      <w:r w:rsidR="00965F0C">
        <w:rPr>
          <w:sz w:val="18"/>
          <w:szCs w:val="18"/>
        </w:rPr>
        <w:t>.</w:t>
      </w:r>
      <w:r w:rsidR="00AB5A1C">
        <w:rPr>
          <w:sz w:val="18"/>
          <w:szCs w:val="18"/>
        </w:rPr>
        <w:t xml:space="preserve"> </w:t>
      </w:r>
      <w:r w:rsidR="00F56FF2">
        <w:rPr>
          <w:sz w:val="18"/>
          <w:szCs w:val="18"/>
        </w:rPr>
        <w:t>O</w:t>
      </w:r>
      <w:r w:rsidR="002079EE">
        <w:rPr>
          <w:sz w:val="18"/>
          <w:szCs w:val="18"/>
        </w:rPr>
        <w:t xml:space="preserve">ther </w:t>
      </w:r>
      <w:r w:rsidR="00F56FF2">
        <w:rPr>
          <w:sz w:val="18"/>
          <w:szCs w:val="18"/>
        </w:rPr>
        <w:t xml:space="preserve">targeted tasks </w:t>
      </w:r>
      <w:r w:rsidR="00AB5A1C">
        <w:rPr>
          <w:sz w:val="18"/>
          <w:szCs w:val="18"/>
        </w:rPr>
        <w:t>(such as the preparation of report</w:t>
      </w:r>
      <w:r w:rsidR="002433EB">
        <w:rPr>
          <w:sz w:val="18"/>
          <w:szCs w:val="18"/>
        </w:rPr>
        <w:t>s</w:t>
      </w:r>
      <w:r w:rsidR="00AB5A1C">
        <w:rPr>
          <w:sz w:val="18"/>
          <w:szCs w:val="18"/>
        </w:rPr>
        <w:t xml:space="preserve"> on specific theme</w:t>
      </w:r>
      <w:r w:rsidR="002433EB">
        <w:rPr>
          <w:sz w:val="18"/>
          <w:szCs w:val="18"/>
        </w:rPr>
        <w:t>s or training materials</w:t>
      </w:r>
      <w:r w:rsidR="00AB5A1C">
        <w:rPr>
          <w:sz w:val="18"/>
          <w:szCs w:val="18"/>
        </w:rPr>
        <w:t xml:space="preserve">) are </w:t>
      </w:r>
      <w:r w:rsidR="00F56FF2">
        <w:rPr>
          <w:sz w:val="18"/>
          <w:szCs w:val="18"/>
        </w:rPr>
        <w:t>detailed in this table</w:t>
      </w:r>
      <w:r w:rsidR="00AB5A1C">
        <w:rPr>
          <w:sz w:val="18"/>
          <w:szCs w:val="18"/>
        </w:rPr>
        <w:t>.</w:t>
      </w:r>
    </w:p>
    <w:p w14:paraId="7FB91430" w14:textId="7971C6C4" w:rsidR="00670918" w:rsidRDefault="00670918" w:rsidP="00670918">
      <w:pPr>
        <w:widowControl w:val="0"/>
        <w:spacing w:line="220" w:lineRule="exact"/>
        <w:ind w:left="288" w:right="677" w:firstLine="173"/>
        <w:rPr>
          <w:sz w:val="18"/>
          <w:szCs w:val="18"/>
        </w:rPr>
      </w:pPr>
      <w:r>
        <w:rPr>
          <w:i/>
          <w:sz w:val="18"/>
          <w:szCs w:val="18"/>
          <w:vertAlign w:val="superscript"/>
        </w:rPr>
        <w:t>b</w:t>
      </w:r>
      <w:r w:rsidR="00206DFC">
        <w:rPr>
          <w:i/>
          <w:sz w:val="18"/>
          <w:szCs w:val="18"/>
          <w:vertAlign w:val="superscript"/>
        </w:rPr>
        <w:t xml:space="preserve"> </w:t>
      </w:r>
      <w:r w:rsidR="00206DFC">
        <w:rPr>
          <w:sz w:val="18"/>
          <w:szCs w:val="18"/>
        </w:rPr>
        <w:t xml:space="preserve"> </w:t>
      </w:r>
      <w:r>
        <w:rPr>
          <w:sz w:val="18"/>
          <w:szCs w:val="18"/>
        </w:rPr>
        <w:t>“</w:t>
      </w:r>
      <w:bookmarkStart w:id="3" w:name="_Hlk515960283"/>
      <w:r w:rsidRPr="00670918">
        <w:rPr>
          <w:sz w:val="18"/>
          <w:szCs w:val="18"/>
        </w:rPr>
        <w:t>Improved environmental monitoring and assessment in support of the 2030 Sustainable Development Agenda in South-Eastern Europe, Central Asia and the Caucasus</w:t>
      </w:r>
      <w:bookmarkEnd w:id="3"/>
      <w:r w:rsidR="00206DFC">
        <w:rPr>
          <w:sz w:val="18"/>
          <w:szCs w:val="18"/>
        </w:rPr>
        <w:t>”.</w:t>
      </w:r>
    </w:p>
    <w:p w14:paraId="427912FF" w14:textId="1268D2AC" w:rsidR="00206DFC" w:rsidRPr="00206DFC" w:rsidRDefault="00206DFC" w:rsidP="00206DFC">
      <w:pPr>
        <w:widowControl w:val="0"/>
        <w:spacing w:line="220" w:lineRule="exact"/>
        <w:ind w:left="288" w:right="677" w:firstLine="173"/>
        <w:rPr>
          <w:iCs/>
          <w:sz w:val="18"/>
          <w:szCs w:val="18"/>
        </w:rPr>
      </w:pPr>
      <w:r>
        <w:rPr>
          <w:i/>
          <w:sz w:val="18"/>
          <w:szCs w:val="18"/>
          <w:vertAlign w:val="superscript"/>
        </w:rPr>
        <w:t xml:space="preserve">c </w:t>
      </w:r>
      <w:r>
        <w:rPr>
          <w:iCs/>
          <w:sz w:val="18"/>
          <w:szCs w:val="18"/>
        </w:rPr>
        <w:t xml:space="preserve"> “</w:t>
      </w:r>
      <w:r w:rsidRPr="00206DFC">
        <w:rPr>
          <w:iCs/>
          <w:sz w:val="18"/>
          <w:szCs w:val="18"/>
        </w:rPr>
        <w:t>Support production and regular update of the regional set of indicators and</w:t>
      </w:r>
      <w:r>
        <w:rPr>
          <w:iCs/>
          <w:sz w:val="18"/>
          <w:szCs w:val="18"/>
        </w:rPr>
        <w:t xml:space="preserve"> s</w:t>
      </w:r>
      <w:r w:rsidRPr="00206DFC">
        <w:rPr>
          <w:iCs/>
          <w:sz w:val="18"/>
          <w:szCs w:val="18"/>
        </w:rPr>
        <w:t>trengthening environmental statistics and accounting in the six Eastern Partnership</w:t>
      </w:r>
      <w:r>
        <w:rPr>
          <w:iCs/>
          <w:sz w:val="18"/>
          <w:szCs w:val="18"/>
        </w:rPr>
        <w:t xml:space="preserve"> </w:t>
      </w:r>
      <w:r w:rsidRPr="00206DFC">
        <w:rPr>
          <w:iCs/>
          <w:sz w:val="18"/>
          <w:szCs w:val="18"/>
        </w:rPr>
        <w:t>countries under ENI SEIS II East project</w:t>
      </w:r>
      <w:r>
        <w:rPr>
          <w:iCs/>
          <w:sz w:val="18"/>
          <w:szCs w:val="18"/>
        </w:rPr>
        <w:t>”.</w:t>
      </w:r>
    </w:p>
    <w:p w14:paraId="3D0C0786" w14:textId="6A9736A3" w:rsidR="00905400" w:rsidRPr="00B77678" w:rsidRDefault="003E52EA" w:rsidP="00066583">
      <w:pPr>
        <w:widowControl w:val="0"/>
        <w:rPr>
          <w:u w:val="single"/>
        </w:rPr>
      </w:pPr>
      <w:r>
        <w:rPr>
          <w:noProof/>
          <w:lang w:eastAsia="en-GB"/>
        </w:rPr>
        <mc:AlternateContent>
          <mc:Choice Requires="wps">
            <w:drawing>
              <wp:anchor distT="0" distB="0" distL="114300" distR="114300" simplePos="0" relativeHeight="251661312" behindDoc="0" locked="1" layoutInCell="1" allowOverlap="1" wp14:anchorId="0C9DD8C0" wp14:editId="461BB26A">
                <wp:simplePos x="0" y="0"/>
                <wp:positionH relativeFrom="column">
                  <wp:posOffset>-347980</wp:posOffset>
                </wp:positionH>
                <wp:positionV relativeFrom="paragraph">
                  <wp:posOffset>-716915</wp:posOffset>
                </wp:positionV>
                <wp:extent cx="3429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0E564" w14:textId="77777777" w:rsidR="008841EE" w:rsidRDefault="008841EE" w:rsidP="003E52EA">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DD8C0" id="_x0000_t202" coordsize="21600,21600" o:spt="202" path="m,l,21600r21600,l21600,xe">
                <v:stroke joinstyle="miter"/>
                <v:path gradientshapeok="t" o:connecttype="rect"/>
              </v:shapetype>
              <v:shape id="Text Box 8" o:spid="_x0000_s1026" type="#_x0000_t202" style="position:absolute;margin-left:-27.4pt;margin-top:-56.45pt;width:2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" filled="f" stroked="f">
                <v:textbox style="layout-flow:vertical">
                  <w:txbxContent>
                    <w:p w14:paraId="1E90E564" w14:textId="77777777" w:rsidR="008841EE" w:rsidRDefault="008841EE" w:rsidP="003E52EA">
                      <w:pPr>
                        <w:rPr>
                          <w:lang w:val="en-US"/>
                        </w:rPr>
                      </w:pPr>
                      <w:r>
                        <w:rPr>
                          <w:lang w:val="en-US"/>
                        </w:rPr>
                        <w:t>__________</w:t>
                      </w:r>
                    </w:p>
                  </w:txbxContent>
                </v:textbox>
                <w10:anchorlock/>
              </v:shape>
            </w:pict>
          </mc:Fallback>
        </mc:AlternateContent>
      </w:r>
    </w:p>
    <w:sectPr w:rsidR="00905400" w:rsidRPr="00B77678" w:rsidSect="006A1432">
      <w:headerReference w:type="even" r:id="rId10"/>
      <w:headerReference w:type="default" r:id="rId11"/>
      <w:footerReference w:type="even" r:id="rId12"/>
      <w:footerReference w:type="default" r:id="rId13"/>
      <w:headerReference w:type="first" r:id="rId14"/>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C680D" w14:textId="77777777" w:rsidR="00D26A63" w:rsidRDefault="00D26A63"/>
  </w:endnote>
  <w:endnote w:type="continuationSeparator" w:id="0">
    <w:p w14:paraId="77D86E52" w14:textId="77777777" w:rsidR="00D26A63" w:rsidRDefault="00D26A63"/>
  </w:endnote>
  <w:endnote w:type="continuationNotice" w:id="1">
    <w:p w14:paraId="295F7962" w14:textId="77777777" w:rsidR="00D26A63" w:rsidRDefault="00D26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979C" w14:textId="3093C8C1" w:rsidR="008841EE" w:rsidRPr="00905400" w:rsidRDefault="008841EE" w:rsidP="00905400">
    <w:pPr>
      <w:pStyle w:val="Footer"/>
      <w:tabs>
        <w:tab w:val="right" w:pos="9638"/>
      </w:tabs>
      <w:rPr>
        <w:sz w:val="18"/>
      </w:rPr>
    </w:pPr>
    <w:r w:rsidRPr="00905400">
      <w:rPr>
        <w:b/>
        <w:sz w:val="18"/>
      </w:rPr>
      <w:fldChar w:fldCharType="begin"/>
    </w:r>
    <w:r w:rsidRPr="00905400">
      <w:rPr>
        <w:b/>
        <w:sz w:val="18"/>
      </w:rPr>
      <w:instrText xml:space="preserve"> PAGE  \* MERGEFORMAT </w:instrText>
    </w:r>
    <w:r w:rsidRPr="00905400">
      <w:rPr>
        <w:b/>
        <w:sz w:val="18"/>
      </w:rPr>
      <w:fldChar w:fldCharType="separate"/>
    </w:r>
    <w:r w:rsidR="00F135C3">
      <w:rPr>
        <w:b/>
        <w:noProof/>
        <w:sz w:val="18"/>
      </w:rPr>
      <w:t>2</w:t>
    </w:r>
    <w:r w:rsidRPr="0090540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4C13" w14:textId="215AB1B0" w:rsidR="008841EE" w:rsidRPr="00905400" w:rsidRDefault="008841EE" w:rsidP="00905400">
    <w:pPr>
      <w:pStyle w:val="Footer"/>
      <w:tabs>
        <w:tab w:val="right" w:pos="9638"/>
      </w:tabs>
      <w:rPr>
        <w:b/>
        <w:sz w:val="18"/>
      </w:rPr>
    </w:pPr>
    <w:r>
      <w:tab/>
    </w:r>
    <w:r w:rsidRPr="00905400">
      <w:rPr>
        <w:b/>
        <w:sz w:val="18"/>
      </w:rPr>
      <w:fldChar w:fldCharType="begin"/>
    </w:r>
    <w:r w:rsidRPr="00905400">
      <w:rPr>
        <w:b/>
        <w:sz w:val="18"/>
      </w:rPr>
      <w:instrText xml:space="preserve"> PAGE  \* MERGEFORMAT </w:instrText>
    </w:r>
    <w:r w:rsidRPr="00905400">
      <w:rPr>
        <w:b/>
        <w:sz w:val="18"/>
      </w:rPr>
      <w:fldChar w:fldCharType="separate"/>
    </w:r>
    <w:r w:rsidR="00F135C3">
      <w:rPr>
        <w:b/>
        <w:noProof/>
        <w:sz w:val="18"/>
      </w:rPr>
      <w:t>3</w:t>
    </w:r>
    <w:r w:rsidRPr="009054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9A66" w14:textId="77777777" w:rsidR="008841EE" w:rsidRPr="00905400" w:rsidRDefault="008841EE" w:rsidP="00905400">
    <w:pPr>
      <w:pStyle w:val="Footer"/>
      <w:tabs>
        <w:tab w:val="right" w:pos="9638"/>
      </w:tabs>
      <w:rPr>
        <w:sz w:val="18"/>
      </w:rPr>
    </w:pPr>
    <w:r>
      <w:rPr>
        <w:b/>
        <w:noProof/>
        <w:sz w:val="18"/>
        <w:lang w:eastAsia="en-GB"/>
      </w:rPr>
      <mc:AlternateContent>
        <mc:Choice Requires="wps">
          <w:drawing>
            <wp:anchor distT="0" distB="0" distL="114300" distR="114300" simplePos="0" relativeHeight="251662848" behindDoc="0" locked="0" layoutInCell="1" allowOverlap="1" wp14:anchorId="2CD7BE74" wp14:editId="6BB22B80">
              <wp:simplePos x="0" y="0"/>
              <wp:positionH relativeFrom="margin">
                <wp:posOffset>-431800</wp:posOffset>
              </wp:positionH>
              <wp:positionV relativeFrom="margin">
                <wp:posOffset>0</wp:posOffset>
              </wp:positionV>
              <wp:extent cx="219456" cy="6122822"/>
              <wp:effectExtent l="0" t="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53D2F55" w14:textId="7E8C48DE" w:rsidR="008841EE" w:rsidRPr="00905400" w:rsidRDefault="008841EE" w:rsidP="00C77B27">
                          <w:pPr>
                            <w:pStyle w:val="Footer"/>
                            <w:tabs>
                              <w:tab w:val="right" w:pos="9638"/>
                            </w:tabs>
                            <w:rPr>
                              <w:sz w:val="18"/>
                            </w:rPr>
                          </w:pPr>
                          <w:r w:rsidRPr="00905400">
                            <w:rPr>
                              <w:b/>
                              <w:sz w:val="18"/>
                            </w:rPr>
                            <w:fldChar w:fldCharType="begin"/>
                          </w:r>
                          <w:r w:rsidRPr="00905400">
                            <w:rPr>
                              <w:b/>
                              <w:sz w:val="18"/>
                            </w:rPr>
                            <w:instrText xml:space="preserve"> PAGE  \* MERGEFORMAT </w:instrText>
                          </w:r>
                          <w:r w:rsidRPr="00905400">
                            <w:rPr>
                              <w:b/>
                              <w:sz w:val="18"/>
                            </w:rPr>
                            <w:fldChar w:fldCharType="separate"/>
                          </w:r>
                          <w:r w:rsidR="00F135C3">
                            <w:rPr>
                              <w:b/>
                              <w:noProof/>
                              <w:sz w:val="18"/>
                            </w:rPr>
                            <w:t>6</w:t>
                          </w:r>
                          <w:r w:rsidRPr="00905400">
                            <w:rPr>
                              <w:b/>
                              <w:sz w:val="18"/>
                            </w:rPr>
                            <w:fldChar w:fldCharType="end"/>
                          </w:r>
                          <w:r>
                            <w:rPr>
                              <w:sz w:val="18"/>
                            </w:rPr>
                            <w:tab/>
                          </w:r>
                        </w:p>
                        <w:p w14:paraId="274DBE2D" w14:textId="77777777" w:rsidR="008841EE" w:rsidRDefault="008841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D7BE74" id="_x0000_t202" coordsize="21600,21600" o:spt="202" path="m,l,21600r21600,l21600,xe">
              <v:stroke joinstyle="miter"/>
              <v:path gradientshapeok="t" o:connecttype="rect"/>
            </v:shapetype>
            <v:shape id="Text Box 4" o:spid="_x0000_s1029" type="#_x0000_t202" style="position:absolute;margin-left:-34pt;margin-top:0;width:17.3pt;height:482.1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" filled="f" stroked="f">
              <v:stroke joinstyle="round"/>
              <v:textbox style="layout-flow:vertical" inset="0,0,0,0">
                <w:txbxContent>
                  <w:p w14:paraId="553D2F55" w14:textId="7E8C48DE" w:rsidR="008841EE" w:rsidRPr="00905400" w:rsidRDefault="008841EE" w:rsidP="00C77B27">
                    <w:pPr>
                      <w:pStyle w:val="Footer"/>
                      <w:tabs>
                        <w:tab w:val="right" w:pos="9638"/>
                      </w:tabs>
                      <w:rPr>
                        <w:sz w:val="18"/>
                      </w:rPr>
                    </w:pPr>
                    <w:r w:rsidRPr="00905400">
                      <w:rPr>
                        <w:b/>
                        <w:sz w:val="18"/>
                      </w:rPr>
                      <w:fldChar w:fldCharType="begin"/>
                    </w:r>
                    <w:r w:rsidRPr="00905400">
                      <w:rPr>
                        <w:b/>
                        <w:sz w:val="18"/>
                      </w:rPr>
                      <w:instrText xml:space="preserve"> PAGE  \* MERGEFORMAT </w:instrText>
                    </w:r>
                    <w:r w:rsidRPr="00905400">
                      <w:rPr>
                        <w:b/>
                        <w:sz w:val="18"/>
                      </w:rPr>
                      <w:fldChar w:fldCharType="separate"/>
                    </w:r>
                    <w:r w:rsidR="00F135C3">
                      <w:rPr>
                        <w:b/>
                        <w:noProof/>
                        <w:sz w:val="18"/>
                      </w:rPr>
                      <w:t>6</w:t>
                    </w:r>
                    <w:r w:rsidRPr="00905400">
                      <w:rPr>
                        <w:b/>
                        <w:sz w:val="18"/>
                      </w:rPr>
                      <w:fldChar w:fldCharType="end"/>
                    </w:r>
                    <w:r>
                      <w:rPr>
                        <w:sz w:val="18"/>
                      </w:rPr>
                      <w:tab/>
                    </w:r>
                  </w:p>
                  <w:p w14:paraId="274DBE2D" w14:textId="77777777" w:rsidR="008841EE" w:rsidRDefault="008841EE"/>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C740" w14:textId="77777777" w:rsidR="008841EE" w:rsidRPr="00905400" w:rsidRDefault="008841EE" w:rsidP="00905400">
    <w:pPr>
      <w:pStyle w:val="Footer"/>
      <w:tabs>
        <w:tab w:val="right" w:pos="9638"/>
      </w:tabs>
      <w:rPr>
        <w:b/>
        <w:sz w:val="18"/>
      </w:rPr>
    </w:pPr>
    <w:r>
      <w:rPr>
        <w:noProof/>
        <w:lang w:eastAsia="en-GB"/>
      </w:rPr>
      <mc:AlternateContent>
        <mc:Choice Requires="wps">
          <w:drawing>
            <wp:anchor distT="0" distB="0" distL="114300" distR="114300" simplePos="0" relativeHeight="251664896" behindDoc="0" locked="0" layoutInCell="1" allowOverlap="1" wp14:anchorId="2D3BB2A8" wp14:editId="664192E6">
              <wp:simplePos x="0" y="0"/>
              <wp:positionH relativeFrom="margin">
                <wp:posOffset>-431800</wp:posOffset>
              </wp:positionH>
              <wp:positionV relativeFrom="margin">
                <wp:posOffset>0</wp:posOffset>
              </wp:positionV>
              <wp:extent cx="219456" cy="6122822"/>
              <wp:effectExtent l="0" t="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97A927E" w14:textId="7B9D98C1" w:rsidR="008841EE" w:rsidRPr="00905400" w:rsidRDefault="008841EE" w:rsidP="006A1432">
                          <w:pPr>
                            <w:pStyle w:val="Footer"/>
                            <w:tabs>
                              <w:tab w:val="right" w:pos="9638"/>
                            </w:tabs>
                            <w:rPr>
                              <w:b/>
                              <w:sz w:val="18"/>
                            </w:rPr>
                          </w:pPr>
                          <w:r>
                            <w:tab/>
                          </w:r>
                          <w:r w:rsidRPr="00905400">
                            <w:rPr>
                              <w:b/>
                              <w:sz w:val="18"/>
                            </w:rPr>
                            <w:fldChar w:fldCharType="begin"/>
                          </w:r>
                          <w:r w:rsidRPr="00905400">
                            <w:rPr>
                              <w:b/>
                              <w:sz w:val="18"/>
                            </w:rPr>
                            <w:instrText xml:space="preserve"> PAGE  \* MERGEFORMAT </w:instrText>
                          </w:r>
                          <w:r w:rsidRPr="00905400">
                            <w:rPr>
                              <w:b/>
                              <w:sz w:val="18"/>
                            </w:rPr>
                            <w:fldChar w:fldCharType="separate"/>
                          </w:r>
                          <w:r w:rsidR="00F135C3">
                            <w:rPr>
                              <w:b/>
                              <w:noProof/>
                              <w:sz w:val="18"/>
                            </w:rPr>
                            <w:t>5</w:t>
                          </w:r>
                          <w:r w:rsidRPr="00905400">
                            <w:rPr>
                              <w:b/>
                              <w:sz w:val="18"/>
                            </w:rPr>
                            <w:fldChar w:fldCharType="end"/>
                          </w:r>
                        </w:p>
                        <w:p w14:paraId="4E52D3B3" w14:textId="77777777" w:rsidR="008841EE" w:rsidRDefault="008841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3BB2A8" id="_x0000_t202" coordsize="21600,21600" o:spt="202" path="m,l,21600r21600,l21600,xe">
              <v:stroke joinstyle="miter"/>
              <v:path gradientshapeok="t" o:connecttype="rect"/>
            </v:shapetype>
            <v:shape id="Text Box 6" o:spid="_x0000_s1030" type="#_x0000_t202" style="position:absolute;margin-left:-34pt;margin-top:0;width:17.3pt;height:482.1pt;z-index:2516648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" filled="f" stroked="f">
              <v:stroke joinstyle="round"/>
              <v:textbox style="layout-flow:vertical" inset="0,0,0,0">
                <w:txbxContent>
                  <w:p w14:paraId="597A927E" w14:textId="7B9D98C1" w:rsidR="008841EE" w:rsidRPr="00905400" w:rsidRDefault="008841EE" w:rsidP="006A1432">
                    <w:pPr>
                      <w:pStyle w:val="Footer"/>
                      <w:tabs>
                        <w:tab w:val="right" w:pos="9638"/>
                      </w:tabs>
                      <w:rPr>
                        <w:b/>
                        <w:sz w:val="18"/>
                      </w:rPr>
                    </w:pPr>
                    <w:r>
                      <w:tab/>
                    </w:r>
                    <w:r w:rsidRPr="00905400">
                      <w:rPr>
                        <w:b/>
                        <w:sz w:val="18"/>
                      </w:rPr>
                      <w:fldChar w:fldCharType="begin"/>
                    </w:r>
                    <w:r w:rsidRPr="00905400">
                      <w:rPr>
                        <w:b/>
                        <w:sz w:val="18"/>
                      </w:rPr>
                      <w:instrText xml:space="preserve"> PAGE  \* MERGEFORMAT </w:instrText>
                    </w:r>
                    <w:r w:rsidRPr="00905400">
                      <w:rPr>
                        <w:b/>
                        <w:sz w:val="18"/>
                      </w:rPr>
                      <w:fldChar w:fldCharType="separate"/>
                    </w:r>
                    <w:r w:rsidR="00F135C3">
                      <w:rPr>
                        <w:b/>
                        <w:noProof/>
                        <w:sz w:val="18"/>
                      </w:rPr>
                      <w:t>5</w:t>
                    </w:r>
                    <w:r w:rsidRPr="00905400">
                      <w:rPr>
                        <w:b/>
                        <w:sz w:val="18"/>
                      </w:rPr>
                      <w:fldChar w:fldCharType="end"/>
                    </w:r>
                  </w:p>
                  <w:p w14:paraId="4E52D3B3" w14:textId="77777777" w:rsidR="008841EE" w:rsidRDefault="008841E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A19F" w14:textId="77777777" w:rsidR="00D26A63" w:rsidRPr="000B175B" w:rsidRDefault="00D26A63" w:rsidP="000B175B">
      <w:pPr>
        <w:tabs>
          <w:tab w:val="right" w:pos="2155"/>
        </w:tabs>
        <w:spacing w:after="80"/>
        <w:ind w:left="680"/>
        <w:rPr>
          <w:u w:val="single"/>
        </w:rPr>
      </w:pPr>
      <w:r>
        <w:rPr>
          <w:u w:val="single"/>
        </w:rPr>
        <w:tab/>
      </w:r>
    </w:p>
  </w:footnote>
  <w:footnote w:type="continuationSeparator" w:id="0">
    <w:p w14:paraId="7F25C411" w14:textId="77777777" w:rsidR="00D26A63" w:rsidRPr="00FC68B7" w:rsidRDefault="00D26A63" w:rsidP="00FC68B7">
      <w:pPr>
        <w:tabs>
          <w:tab w:val="left" w:pos="2155"/>
        </w:tabs>
        <w:spacing w:after="80"/>
        <w:ind w:left="680"/>
        <w:rPr>
          <w:u w:val="single"/>
        </w:rPr>
      </w:pPr>
      <w:r>
        <w:rPr>
          <w:u w:val="single"/>
        </w:rPr>
        <w:tab/>
      </w:r>
    </w:p>
  </w:footnote>
  <w:footnote w:type="continuationNotice" w:id="1">
    <w:p w14:paraId="2EB67413" w14:textId="77777777" w:rsidR="00D26A63" w:rsidRDefault="00D26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2D3C" w14:textId="77777777" w:rsidR="008841EE" w:rsidRPr="006A1432" w:rsidRDefault="008841EE" w:rsidP="006A1432">
    <w:r>
      <w:rPr>
        <w:noProof/>
        <w:lang w:eastAsia="en-GB"/>
      </w:rPr>
      <mc:AlternateContent>
        <mc:Choice Requires="wps">
          <w:drawing>
            <wp:anchor distT="0" distB="0" distL="114300" distR="114300" simplePos="0" relativeHeight="251661824" behindDoc="0" locked="0" layoutInCell="1" allowOverlap="1" wp14:anchorId="2AB10858" wp14:editId="0A6D9139">
              <wp:simplePos x="0" y="0"/>
              <wp:positionH relativeFrom="page">
                <wp:posOffset>9791700</wp:posOffset>
              </wp:positionH>
              <wp:positionV relativeFrom="margin">
                <wp:posOffset>0</wp:posOffset>
              </wp:positionV>
              <wp:extent cx="219456" cy="6122822"/>
              <wp:effectExtent l="0" t="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C3396ED" w14:textId="6A086466" w:rsidR="008841EE" w:rsidRPr="00905400" w:rsidRDefault="008841EE" w:rsidP="00C77B27">
                          <w:pPr>
                            <w:pStyle w:val="Header"/>
                          </w:pPr>
                        </w:p>
                        <w:p w14:paraId="2231CA08" w14:textId="77777777" w:rsidR="008841EE" w:rsidRDefault="008841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B10858" id="_x0000_t202" coordsize="21600,21600" o:spt="202" path="m,l,21600r21600,l21600,xe">
              <v:stroke joinstyle="miter"/>
              <v:path gradientshapeok="t" o:connecttype="rect"/>
            </v:shapetype>
            <v:shape id="Text Box 3" o:spid="_x0000_s1027" type="#_x0000_t202" style="position:absolute;margin-left:771pt;margin-top:0;width:17.3pt;height:482.1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" filled="f" stroked="f">
              <v:stroke joinstyle="round"/>
              <v:textbox style="layout-flow:vertical" inset="0,0,0,0">
                <w:txbxContent>
                  <w:p w14:paraId="3C3396ED" w14:textId="6A086466" w:rsidR="008841EE" w:rsidRPr="00905400" w:rsidRDefault="008841EE" w:rsidP="00C77B27">
                    <w:pPr>
                      <w:pStyle w:val="Header"/>
                    </w:pPr>
                  </w:p>
                  <w:p w14:paraId="2231CA08" w14:textId="77777777" w:rsidR="008841EE" w:rsidRDefault="008841EE"/>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F99A" w14:textId="77777777" w:rsidR="008841EE" w:rsidRPr="006A1432" w:rsidRDefault="008841EE" w:rsidP="006A1432">
    <w:r>
      <w:rPr>
        <w:noProof/>
        <w:lang w:eastAsia="en-GB"/>
      </w:rPr>
      <mc:AlternateContent>
        <mc:Choice Requires="wps">
          <w:drawing>
            <wp:anchor distT="0" distB="0" distL="114300" distR="114300" simplePos="0" relativeHeight="251663872" behindDoc="0" locked="0" layoutInCell="1" allowOverlap="1" wp14:anchorId="00152CEE" wp14:editId="4769470E">
              <wp:simplePos x="0" y="0"/>
              <wp:positionH relativeFrom="page">
                <wp:posOffset>9791700</wp:posOffset>
              </wp:positionH>
              <wp:positionV relativeFrom="margin">
                <wp:posOffset>0</wp:posOffset>
              </wp:positionV>
              <wp:extent cx="219456" cy="6122822"/>
              <wp:effectExtent l="0" t="0"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2AD9071" w14:textId="2FF11E70" w:rsidR="008841EE" w:rsidRPr="00905400" w:rsidRDefault="008841EE" w:rsidP="00C77B27">
                          <w:pPr>
                            <w:pStyle w:val="Header"/>
                            <w:jc w:val="right"/>
                          </w:pPr>
                        </w:p>
                        <w:p w14:paraId="678B26F9" w14:textId="77777777" w:rsidR="008841EE" w:rsidRDefault="008841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152CEE" id="_x0000_t202" coordsize="21600,21600" o:spt="202" path="m,l,21600r21600,l21600,xe">
              <v:stroke joinstyle="miter"/>
              <v:path gradientshapeok="t" o:connecttype="rect"/>
            </v:shapetype>
            <v:shape id="Text Box 5" o:spid="_x0000_s1028" type="#_x0000_t202" style="position:absolute;margin-left:771pt;margin-top:0;width:17.3pt;height:482.1pt;z-index:251663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" filled="f" stroked="f">
              <v:stroke joinstyle="round"/>
              <v:textbox style="layout-flow:vertical" inset="0,0,0,0">
                <w:txbxContent>
                  <w:p w14:paraId="52AD9071" w14:textId="2FF11E70" w:rsidR="008841EE" w:rsidRPr="00905400" w:rsidRDefault="008841EE" w:rsidP="00C77B27">
                    <w:pPr>
                      <w:pStyle w:val="Header"/>
                      <w:jc w:val="right"/>
                    </w:pPr>
                  </w:p>
                  <w:p w14:paraId="678B26F9" w14:textId="77777777" w:rsidR="008841EE" w:rsidRDefault="008841EE"/>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9B9D" w14:textId="77777777" w:rsidR="008841EE" w:rsidRDefault="0088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71517"/>
    <w:multiLevelType w:val="hybridMultilevel"/>
    <w:tmpl w:val="838064F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5" w15:restartNumberingAfterBreak="0">
    <w:nsid w:val="2FF45966"/>
    <w:multiLevelType w:val="hybridMultilevel"/>
    <w:tmpl w:val="DAE4D786"/>
    <w:lvl w:ilvl="0" w:tplc="83A4985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D39E9"/>
    <w:multiLevelType w:val="hybridMultilevel"/>
    <w:tmpl w:val="BAE8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1"/>
  </w:num>
  <w:num w:numId="15">
    <w:abstractNumId w:val="17"/>
  </w:num>
  <w:num w:numId="16">
    <w:abstractNumId w:val="12"/>
  </w:num>
  <w:num w:numId="17">
    <w:abstractNumId w:val="18"/>
  </w:num>
  <w:num w:numId="18">
    <w:abstractNumId w:val="20"/>
  </w:num>
  <w:num w:numId="19">
    <w:abstractNumId w:val="15"/>
  </w:num>
  <w:num w:numId="20">
    <w:abstractNumId w:val="19"/>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00"/>
    <w:rsid w:val="00001236"/>
    <w:rsid w:val="00002A7D"/>
    <w:rsid w:val="00003834"/>
    <w:rsid w:val="000038A8"/>
    <w:rsid w:val="000065CE"/>
    <w:rsid w:val="00006790"/>
    <w:rsid w:val="00012CC0"/>
    <w:rsid w:val="00017A8D"/>
    <w:rsid w:val="00020240"/>
    <w:rsid w:val="000233F9"/>
    <w:rsid w:val="00024B89"/>
    <w:rsid w:val="00027624"/>
    <w:rsid w:val="00030290"/>
    <w:rsid w:val="00032DB9"/>
    <w:rsid w:val="0003552D"/>
    <w:rsid w:val="0003759D"/>
    <w:rsid w:val="00050F6B"/>
    <w:rsid w:val="000520F8"/>
    <w:rsid w:val="0006001E"/>
    <w:rsid w:val="00061EFC"/>
    <w:rsid w:val="00066583"/>
    <w:rsid w:val="000678CD"/>
    <w:rsid w:val="000724B5"/>
    <w:rsid w:val="00072C8C"/>
    <w:rsid w:val="00074695"/>
    <w:rsid w:val="000768D1"/>
    <w:rsid w:val="00080690"/>
    <w:rsid w:val="00081CE0"/>
    <w:rsid w:val="00084D30"/>
    <w:rsid w:val="00087D1A"/>
    <w:rsid w:val="00090320"/>
    <w:rsid w:val="0009039C"/>
    <w:rsid w:val="000931C0"/>
    <w:rsid w:val="0009397F"/>
    <w:rsid w:val="000974A3"/>
    <w:rsid w:val="000A01E0"/>
    <w:rsid w:val="000A0325"/>
    <w:rsid w:val="000A1C13"/>
    <w:rsid w:val="000A2E09"/>
    <w:rsid w:val="000A36F7"/>
    <w:rsid w:val="000A5624"/>
    <w:rsid w:val="000B16E3"/>
    <w:rsid w:val="000B175B"/>
    <w:rsid w:val="000B3A0F"/>
    <w:rsid w:val="000C0AB1"/>
    <w:rsid w:val="000C0E64"/>
    <w:rsid w:val="000C3261"/>
    <w:rsid w:val="000C4D76"/>
    <w:rsid w:val="000C7FCF"/>
    <w:rsid w:val="000D74E2"/>
    <w:rsid w:val="000D7A63"/>
    <w:rsid w:val="000E0415"/>
    <w:rsid w:val="000E4619"/>
    <w:rsid w:val="000F0080"/>
    <w:rsid w:val="000F5A3C"/>
    <w:rsid w:val="000F7715"/>
    <w:rsid w:val="001065AA"/>
    <w:rsid w:val="00120D1D"/>
    <w:rsid w:val="00120EFA"/>
    <w:rsid w:val="00122FAB"/>
    <w:rsid w:val="0012312C"/>
    <w:rsid w:val="00125D4E"/>
    <w:rsid w:val="00127C6E"/>
    <w:rsid w:val="001353AF"/>
    <w:rsid w:val="00145218"/>
    <w:rsid w:val="0015165E"/>
    <w:rsid w:val="001560FF"/>
    <w:rsid w:val="00156B99"/>
    <w:rsid w:val="0016503C"/>
    <w:rsid w:val="00166124"/>
    <w:rsid w:val="001730A6"/>
    <w:rsid w:val="00173E18"/>
    <w:rsid w:val="00177B1A"/>
    <w:rsid w:val="00182516"/>
    <w:rsid w:val="00184DDA"/>
    <w:rsid w:val="001865B3"/>
    <w:rsid w:val="00186B06"/>
    <w:rsid w:val="00186BC6"/>
    <w:rsid w:val="00187B3D"/>
    <w:rsid w:val="001900CD"/>
    <w:rsid w:val="0019234A"/>
    <w:rsid w:val="00197513"/>
    <w:rsid w:val="001A0452"/>
    <w:rsid w:val="001A426A"/>
    <w:rsid w:val="001A75C8"/>
    <w:rsid w:val="001B4B04"/>
    <w:rsid w:val="001B5875"/>
    <w:rsid w:val="001B71ED"/>
    <w:rsid w:val="001C2BF9"/>
    <w:rsid w:val="001C4B9C"/>
    <w:rsid w:val="001C6663"/>
    <w:rsid w:val="001C7895"/>
    <w:rsid w:val="001D26DF"/>
    <w:rsid w:val="001E74A9"/>
    <w:rsid w:val="001F1460"/>
    <w:rsid w:val="001F1599"/>
    <w:rsid w:val="001F19C4"/>
    <w:rsid w:val="0020423E"/>
    <w:rsid w:val="002043F0"/>
    <w:rsid w:val="00205599"/>
    <w:rsid w:val="00206DFC"/>
    <w:rsid w:val="002076D7"/>
    <w:rsid w:val="002079EE"/>
    <w:rsid w:val="00211E0B"/>
    <w:rsid w:val="0021775A"/>
    <w:rsid w:val="00232575"/>
    <w:rsid w:val="00240D4E"/>
    <w:rsid w:val="002433EB"/>
    <w:rsid w:val="00243876"/>
    <w:rsid w:val="00244B17"/>
    <w:rsid w:val="00244CEE"/>
    <w:rsid w:val="00247258"/>
    <w:rsid w:val="002503DE"/>
    <w:rsid w:val="002507E7"/>
    <w:rsid w:val="00250AF5"/>
    <w:rsid w:val="00250DF9"/>
    <w:rsid w:val="00253FF6"/>
    <w:rsid w:val="00254BBF"/>
    <w:rsid w:val="00257CAC"/>
    <w:rsid w:val="0026059A"/>
    <w:rsid w:val="00270C98"/>
    <w:rsid w:val="0027237A"/>
    <w:rsid w:val="00275786"/>
    <w:rsid w:val="00280FDF"/>
    <w:rsid w:val="00282E94"/>
    <w:rsid w:val="002868BC"/>
    <w:rsid w:val="0028730A"/>
    <w:rsid w:val="002974E9"/>
    <w:rsid w:val="002A6314"/>
    <w:rsid w:val="002A7503"/>
    <w:rsid w:val="002A7F94"/>
    <w:rsid w:val="002B109A"/>
    <w:rsid w:val="002B4FF0"/>
    <w:rsid w:val="002C02F7"/>
    <w:rsid w:val="002C0786"/>
    <w:rsid w:val="002C493A"/>
    <w:rsid w:val="002C6D45"/>
    <w:rsid w:val="002C7CDC"/>
    <w:rsid w:val="002C7D49"/>
    <w:rsid w:val="002D6E53"/>
    <w:rsid w:val="002E0510"/>
    <w:rsid w:val="002E1836"/>
    <w:rsid w:val="002E684D"/>
    <w:rsid w:val="002F046D"/>
    <w:rsid w:val="00301764"/>
    <w:rsid w:val="003074EE"/>
    <w:rsid w:val="00316B91"/>
    <w:rsid w:val="003205CF"/>
    <w:rsid w:val="003229D8"/>
    <w:rsid w:val="003238D9"/>
    <w:rsid w:val="003319A4"/>
    <w:rsid w:val="00335A85"/>
    <w:rsid w:val="00336C97"/>
    <w:rsid w:val="00337F88"/>
    <w:rsid w:val="00340BBE"/>
    <w:rsid w:val="00342432"/>
    <w:rsid w:val="00344809"/>
    <w:rsid w:val="0035223F"/>
    <w:rsid w:val="00352D4B"/>
    <w:rsid w:val="0035638C"/>
    <w:rsid w:val="00356C42"/>
    <w:rsid w:val="0035748A"/>
    <w:rsid w:val="003605D0"/>
    <w:rsid w:val="003649DD"/>
    <w:rsid w:val="00366E0A"/>
    <w:rsid w:val="003672C4"/>
    <w:rsid w:val="00381922"/>
    <w:rsid w:val="003A46BB"/>
    <w:rsid w:val="003A4EC7"/>
    <w:rsid w:val="003A7295"/>
    <w:rsid w:val="003B0EB3"/>
    <w:rsid w:val="003B1F60"/>
    <w:rsid w:val="003C2419"/>
    <w:rsid w:val="003C2CC4"/>
    <w:rsid w:val="003C2DC1"/>
    <w:rsid w:val="003C4006"/>
    <w:rsid w:val="003C5881"/>
    <w:rsid w:val="003C6986"/>
    <w:rsid w:val="003D09E9"/>
    <w:rsid w:val="003D3B5A"/>
    <w:rsid w:val="003D4B23"/>
    <w:rsid w:val="003D7989"/>
    <w:rsid w:val="003E13D8"/>
    <w:rsid w:val="003E278A"/>
    <w:rsid w:val="003E52EA"/>
    <w:rsid w:val="003E7E65"/>
    <w:rsid w:val="003F06C8"/>
    <w:rsid w:val="003F5390"/>
    <w:rsid w:val="003F7376"/>
    <w:rsid w:val="003F764D"/>
    <w:rsid w:val="00404A07"/>
    <w:rsid w:val="00413520"/>
    <w:rsid w:val="00415817"/>
    <w:rsid w:val="00415D5D"/>
    <w:rsid w:val="00426BF0"/>
    <w:rsid w:val="00431A86"/>
    <w:rsid w:val="004325CB"/>
    <w:rsid w:val="00432BB2"/>
    <w:rsid w:val="0043426B"/>
    <w:rsid w:val="00437E29"/>
    <w:rsid w:val="00440A07"/>
    <w:rsid w:val="00440B2F"/>
    <w:rsid w:val="00450793"/>
    <w:rsid w:val="004512E0"/>
    <w:rsid w:val="00452B8B"/>
    <w:rsid w:val="004570EC"/>
    <w:rsid w:val="00460FA9"/>
    <w:rsid w:val="0046169E"/>
    <w:rsid w:val="00462880"/>
    <w:rsid w:val="00463EC2"/>
    <w:rsid w:val="00464B01"/>
    <w:rsid w:val="004748C2"/>
    <w:rsid w:val="00476F24"/>
    <w:rsid w:val="00481501"/>
    <w:rsid w:val="00482E3A"/>
    <w:rsid w:val="00490ACC"/>
    <w:rsid w:val="00492700"/>
    <w:rsid w:val="00492E93"/>
    <w:rsid w:val="00495928"/>
    <w:rsid w:val="004A210E"/>
    <w:rsid w:val="004A4B94"/>
    <w:rsid w:val="004A787F"/>
    <w:rsid w:val="004B392E"/>
    <w:rsid w:val="004C0C13"/>
    <w:rsid w:val="004C55B0"/>
    <w:rsid w:val="004D12EA"/>
    <w:rsid w:val="004D1378"/>
    <w:rsid w:val="004D1FEF"/>
    <w:rsid w:val="004F396D"/>
    <w:rsid w:val="004F5A3B"/>
    <w:rsid w:val="004F6BA0"/>
    <w:rsid w:val="00503BEA"/>
    <w:rsid w:val="005062B2"/>
    <w:rsid w:val="00510975"/>
    <w:rsid w:val="00511975"/>
    <w:rsid w:val="00511CB5"/>
    <w:rsid w:val="0051728A"/>
    <w:rsid w:val="005237A9"/>
    <w:rsid w:val="00527A3F"/>
    <w:rsid w:val="0053084C"/>
    <w:rsid w:val="00533616"/>
    <w:rsid w:val="00535ABA"/>
    <w:rsid w:val="0053768B"/>
    <w:rsid w:val="005420F2"/>
    <w:rsid w:val="0054285C"/>
    <w:rsid w:val="00543188"/>
    <w:rsid w:val="00546CFB"/>
    <w:rsid w:val="00547B99"/>
    <w:rsid w:val="00552D3F"/>
    <w:rsid w:val="00555F27"/>
    <w:rsid w:val="00556883"/>
    <w:rsid w:val="00556DD7"/>
    <w:rsid w:val="00567536"/>
    <w:rsid w:val="00571B2B"/>
    <w:rsid w:val="00571F46"/>
    <w:rsid w:val="00582C66"/>
    <w:rsid w:val="00584173"/>
    <w:rsid w:val="0059389D"/>
    <w:rsid w:val="00595520"/>
    <w:rsid w:val="005976E7"/>
    <w:rsid w:val="005A131C"/>
    <w:rsid w:val="005A14B2"/>
    <w:rsid w:val="005A3A1D"/>
    <w:rsid w:val="005A44B9"/>
    <w:rsid w:val="005B1BA0"/>
    <w:rsid w:val="005B3DB3"/>
    <w:rsid w:val="005C18C8"/>
    <w:rsid w:val="005C5878"/>
    <w:rsid w:val="005C7265"/>
    <w:rsid w:val="005C736F"/>
    <w:rsid w:val="005D15CA"/>
    <w:rsid w:val="005E5C0D"/>
    <w:rsid w:val="005E6719"/>
    <w:rsid w:val="005F2837"/>
    <w:rsid w:val="005F3066"/>
    <w:rsid w:val="005F3E61"/>
    <w:rsid w:val="005F57EE"/>
    <w:rsid w:val="005F639D"/>
    <w:rsid w:val="005F7A06"/>
    <w:rsid w:val="00604DDD"/>
    <w:rsid w:val="0060651A"/>
    <w:rsid w:val="0060771C"/>
    <w:rsid w:val="006115CC"/>
    <w:rsid w:val="00611FC4"/>
    <w:rsid w:val="00616884"/>
    <w:rsid w:val="006176FB"/>
    <w:rsid w:val="0062036A"/>
    <w:rsid w:val="00623016"/>
    <w:rsid w:val="00623593"/>
    <w:rsid w:val="00630FCB"/>
    <w:rsid w:val="00632509"/>
    <w:rsid w:val="00640B26"/>
    <w:rsid w:val="00642662"/>
    <w:rsid w:val="00646E7E"/>
    <w:rsid w:val="00652FA1"/>
    <w:rsid w:val="00664F14"/>
    <w:rsid w:val="00667425"/>
    <w:rsid w:val="00670918"/>
    <w:rsid w:val="006726FC"/>
    <w:rsid w:val="00675E7B"/>
    <w:rsid w:val="006770B2"/>
    <w:rsid w:val="00683013"/>
    <w:rsid w:val="00686842"/>
    <w:rsid w:val="00691664"/>
    <w:rsid w:val="00693DE6"/>
    <w:rsid w:val="006940E1"/>
    <w:rsid w:val="006A0893"/>
    <w:rsid w:val="006A1432"/>
    <w:rsid w:val="006A1CF0"/>
    <w:rsid w:val="006A3C72"/>
    <w:rsid w:val="006A7043"/>
    <w:rsid w:val="006A7392"/>
    <w:rsid w:val="006B03A1"/>
    <w:rsid w:val="006B0FEF"/>
    <w:rsid w:val="006B67D9"/>
    <w:rsid w:val="006C5535"/>
    <w:rsid w:val="006C7EEA"/>
    <w:rsid w:val="006D0589"/>
    <w:rsid w:val="006D1EAE"/>
    <w:rsid w:val="006E24FE"/>
    <w:rsid w:val="006E32D9"/>
    <w:rsid w:val="006E4E0B"/>
    <w:rsid w:val="006E564B"/>
    <w:rsid w:val="006E7154"/>
    <w:rsid w:val="006E7981"/>
    <w:rsid w:val="006F092E"/>
    <w:rsid w:val="006F20B3"/>
    <w:rsid w:val="006F3A5A"/>
    <w:rsid w:val="006F5C52"/>
    <w:rsid w:val="006F6CE7"/>
    <w:rsid w:val="006F753F"/>
    <w:rsid w:val="007003CD"/>
    <w:rsid w:val="007008BD"/>
    <w:rsid w:val="007024D2"/>
    <w:rsid w:val="00704BD8"/>
    <w:rsid w:val="0070701E"/>
    <w:rsid w:val="00713AB2"/>
    <w:rsid w:val="00715C64"/>
    <w:rsid w:val="007173FA"/>
    <w:rsid w:val="00723B34"/>
    <w:rsid w:val="0072632A"/>
    <w:rsid w:val="00726D0C"/>
    <w:rsid w:val="00727B25"/>
    <w:rsid w:val="007352FE"/>
    <w:rsid w:val="007358E8"/>
    <w:rsid w:val="00736ECE"/>
    <w:rsid w:val="0073709D"/>
    <w:rsid w:val="00740735"/>
    <w:rsid w:val="0074533B"/>
    <w:rsid w:val="007501B3"/>
    <w:rsid w:val="0076020D"/>
    <w:rsid w:val="007610FC"/>
    <w:rsid w:val="007643BC"/>
    <w:rsid w:val="007702EB"/>
    <w:rsid w:val="00772F5B"/>
    <w:rsid w:val="00780652"/>
    <w:rsid w:val="00781A4B"/>
    <w:rsid w:val="007835FB"/>
    <w:rsid w:val="0079034C"/>
    <w:rsid w:val="007928FF"/>
    <w:rsid w:val="00794B81"/>
    <w:rsid w:val="007951F5"/>
    <w:rsid w:val="007959FE"/>
    <w:rsid w:val="007A073D"/>
    <w:rsid w:val="007A0CF1"/>
    <w:rsid w:val="007A546C"/>
    <w:rsid w:val="007B0B44"/>
    <w:rsid w:val="007B285A"/>
    <w:rsid w:val="007B6BA5"/>
    <w:rsid w:val="007C3390"/>
    <w:rsid w:val="007C42D8"/>
    <w:rsid w:val="007C4F4B"/>
    <w:rsid w:val="007D338B"/>
    <w:rsid w:val="007D49E9"/>
    <w:rsid w:val="007D7362"/>
    <w:rsid w:val="007E3090"/>
    <w:rsid w:val="007E6129"/>
    <w:rsid w:val="007F0A88"/>
    <w:rsid w:val="007F5CE2"/>
    <w:rsid w:val="007F6611"/>
    <w:rsid w:val="00810BAC"/>
    <w:rsid w:val="00813B74"/>
    <w:rsid w:val="008175E9"/>
    <w:rsid w:val="00817DB9"/>
    <w:rsid w:val="008242D7"/>
    <w:rsid w:val="0082577B"/>
    <w:rsid w:val="008260DF"/>
    <w:rsid w:val="008372D4"/>
    <w:rsid w:val="008409C5"/>
    <w:rsid w:val="008425C2"/>
    <w:rsid w:val="00850AFE"/>
    <w:rsid w:val="00856270"/>
    <w:rsid w:val="008571CA"/>
    <w:rsid w:val="00863441"/>
    <w:rsid w:val="0086368D"/>
    <w:rsid w:val="00866719"/>
    <w:rsid w:val="00866893"/>
    <w:rsid w:val="00866F02"/>
    <w:rsid w:val="00867D18"/>
    <w:rsid w:val="00871516"/>
    <w:rsid w:val="00871F9A"/>
    <w:rsid w:val="00871FD5"/>
    <w:rsid w:val="00881614"/>
    <w:rsid w:val="0088172E"/>
    <w:rsid w:val="00881EFA"/>
    <w:rsid w:val="008841EE"/>
    <w:rsid w:val="008862EE"/>
    <w:rsid w:val="008879CB"/>
    <w:rsid w:val="00890B4B"/>
    <w:rsid w:val="008979B1"/>
    <w:rsid w:val="008A3FCA"/>
    <w:rsid w:val="008A6B25"/>
    <w:rsid w:val="008A6C4F"/>
    <w:rsid w:val="008A76CE"/>
    <w:rsid w:val="008B389E"/>
    <w:rsid w:val="008B753F"/>
    <w:rsid w:val="008D045E"/>
    <w:rsid w:val="008D3F25"/>
    <w:rsid w:val="008D4D82"/>
    <w:rsid w:val="008D7870"/>
    <w:rsid w:val="008E0E46"/>
    <w:rsid w:val="008E5A51"/>
    <w:rsid w:val="008E7116"/>
    <w:rsid w:val="008F0EB1"/>
    <w:rsid w:val="008F143B"/>
    <w:rsid w:val="008F3882"/>
    <w:rsid w:val="008F401A"/>
    <w:rsid w:val="008F4B7C"/>
    <w:rsid w:val="009028E5"/>
    <w:rsid w:val="00905400"/>
    <w:rsid w:val="009114A2"/>
    <w:rsid w:val="00912603"/>
    <w:rsid w:val="00921471"/>
    <w:rsid w:val="00926E47"/>
    <w:rsid w:val="00931AD4"/>
    <w:rsid w:val="0093267B"/>
    <w:rsid w:val="009347DB"/>
    <w:rsid w:val="009350D4"/>
    <w:rsid w:val="00935D8D"/>
    <w:rsid w:val="00942809"/>
    <w:rsid w:val="00947162"/>
    <w:rsid w:val="00951A47"/>
    <w:rsid w:val="009610D0"/>
    <w:rsid w:val="00961172"/>
    <w:rsid w:val="0096375C"/>
    <w:rsid w:val="00965009"/>
    <w:rsid w:val="00965F0C"/>
    <w:rsid w:val="0096615A"/>
    <w:rsid w:val="009662E6"/>
    <w:rsid w:val="00966B60"/>
    <w:rsid w:val="00970322"/>
    <w:rsid w:val="0097095E"/>
    <w:rsid w:val="00982172"/>
    <w:rsid w:val="0098592B"/>
    <w:rsid w:val="00985BE3"/>
    <w:rsid w:val="00985FC4"/>
    <w:rsid w:val="00990766"/>
    <w:rsid w:val="00991261"/>
    <w:rsid w:val="009922AF"/>
    <w:rsid w:val="009956E4"/>
    <w:rsid w:val="009964C4"/>
    <w:rsid w:val="009A1503"/>
    <w:rsid w:val="009A50CC"/>
    <w:rsid w:val="009A51A1"/>
    <w:rsid w:val="009A722A"/>
    <w:rsid w:val="009A7B81"/>
    <w:rsid w:val="009B0D2E"/>
    <w:rsid w:val="009C05D4"/>
    <w:rsid w:val="009C5F93"/>
    <w:rsid w:val="009D01C0"/>
    <w:rsid w:val="009D4A11"/>
    <w:rsid w:val="009D6A08"/>
    <w:rsid w:val="009E0A16"/>
    <w:rsid w:val="009E1F67"/>
    <w:rsid w:val="009E1FA1"/>
    <w:rsid w:val="009E6CB7"/>
    <w:rsid w:val="009E7970"/>
    <w:rsid w:val="009F2EAC"/>
    <w:rsid w:val="009F57E3"/>
    <w:rsid w:val="00A10F4F"/>
    <w:rsid w:val="00A11067"/>
    <w:rsid w:val="00A15781"/>
    <w:rsid w:val="00A1704A"/>
    <w:rsid w:val="00A26DE8"/>
    <w:rsid w:val="00A30ED8"/>
    <w:rsid w:val="00A425EB"/>
    <w:rsid w:val="00A42F03"/>
    <w:rsid w:val="00A46BE0"/>
    <w:rsid w:val="00A47BAC"/>
    <w:rsid w:val="00A50A7D"/>
    <w:rsid w:val="00A6100A"/>
    <w:rsid w:val="00A646F2"/>
    <w:rsid w:val="00A72F22"/>
    <w:rsid w:val="00A733BC"/>
    <w:rsid w:val="00A73781"/>
    <w:rsid w:val="00A748A6"/>
    <w:rsid w:val="00A76A69"/>
    <w:rsid w:val="00A87712"/>
    <w:rsid w:val="00A879A4"/>
    <w:rsid w:val="00AA0C53"/>
    <w:rsid w:val="00AA0FF8"/>
    <w:rsid w:val="00AA284D"/>
    <w:rsid w:val="00AB2A2F"/>
    <w:rsid w:val="00AB5A1C"/>
    <w:rsid w:val="00AB73DD"/>
    <w:rsid w:val="00AB7E84"/>
    <w:rsid w:val="00AC0F2C"/>
    <w:rsid w:val="00AC502A"/>
    <w:rsid w:val="00AC5BC4"/>
    <w:rsid w:val="00AD1403"/>
    <w:rsid w:val="00AD7E50"/>
    <w:rsid w:val="00AE1379"/>
    <w:rsid w:val="00AE13A3"/>
    <w:rsid w:val="00AE2428"/>
    <w:rsid w:val="00AE6B92"/>
    <w:rsid w:val="00AF0C55"/>
    <w:rsid w:val="00AF2C49"/>
    <w:rsid w:val="00AF58C1"/>
    <w:rsid w:val="00AF7A13"/>
    <w:rsid w:val="00B008A5"/>
    <w:rsid w:val="00B01B99"/>
    <w:rsid w:val="00B0318E"/>
    <w:rsid w:val="00B04A3F"/>
    <w:rsid w:val="00B06643"/>
    <w:rsid w:val="00B07180"/>
    <w:rsid w:val="00B11381"/>
    <w:rsid w:val="00B132FD"/>
    <w:rsid w:val="00B15055"/>
    <w:rsid w:val="00B16E98"/>
    <w:rsid w:val="00B276F8"/>
    <w:rsid w:val="00B30179"/>
    <w:rsid w:val="00B37B15"/>
    <w:rsid w:val="00B4159C"/>
    <w:rsid w:val="00B45C02"/>
    <w:rsid w:val="00B55959"/>
    <w:rsid w:val="00B570F0"/>
    <w:rsid w:val="00B603C4"/>
    <w:rsid w:val="00B6527A"/>
    <w:rsid w:val="00B65ED7"/>
    <w:rsid w:val="00B66779"/>
    <w:rsid w:val="00B717D8"/>
    <w:rsid w:val="00B720DB"/>
    <w:rsid w:val="00B72A1E"/>
    <w:rsid w:val="00B755F7"/>
    <w:rsid w:val="00B75B64"/>
    <w:rsid w:val="00B75F5A"/>
    <w:rsid w:val="00B8036C"/>
    <w:rsid w:val="00B81E12"/>
    <w:rsid w:val="00B86707"/>
    <w:rsid w:val="00B874B6"/>
    <w:rsid w:val="00B8783F"/>
    <w:rsid w:val="00BA037F"/>
    <w:rsid w:val="00BA339B"/>
    <w:rsid w:val="00BA6407"/>
    <w:rsid w:val="00BB5003"/>
    <w:rsid w:val="00BB6449"/>
    <w:rsid w:val="00BC0FAC"/>
    <w:rsid w:val="00BC1E7E"/>
    <w:rsid w:val="00BC74E9"/>
    <w:rsid w:val="00BC7F91"/>
    <w:rsid w:val="00BD3BAB"/>
    <w:rsid w:val="00BE36A9"/>
    <w:rsid w:val="00BE512B"/>
    <w:rsid w:val="00BE618E"/>
    <w:rsid w:val="00BE61A3"/>
    <w:rsid w:val="00BE70B7"/>
    <w:rsid w:val="00BE7BEC"/>
    <w:rsid w:val="00BF0A5A"/>
    <w:rsid w:val="00BF0E63"/>
    <w:rsid w:val="00BF12A3"/>
    <w:rsid w:val="00BF16D7"/>
    <w:rsid w:val="00BF1C46"/>
    <w:rsid w:val="00BF2373"/>
    <w:rsid w:val="00C001CB"/>
    <w:rsid w:val="00C01510"/>
    <w:rsid w:val="00C044E2"/>
    <w:rsid w:val="00C048CB"/>
    <w:rsid w:val="00C066F3"/>
    <w:rsid w:val="00C11359"/>
    <w:rsid w:val="00C24F2E"/>
    <w:rsid w:val="00C26BFA"/>
    <w:rsid w:val="00C342C0"/>
    <w:rsid w:val="00C430FD"/>
    <w:rsid w:val="00C463DD"/>
    <w:rsid w:val="00C54743"/>
    <w:rsid w:val="00C65C7C"/>
    <w:rsid w:val="00C70F22"/>
    <w:rsid w:val="00C745C3"/>
    <w:rsid w:val="00C77B27"/>
    <w:rsid w:val="00C77C77"/>
    <w:rsid w:val="00C82840"/>
    <w:rsid w:val="00C85046"/>
    <w:rsid w:val="00C853AE"/>
    <w:rsid w:val="00C87075"/>
    <w:rsid w:val="00CA100F"/>
    <w:rsid w:val="00CA1AE2"/>
    <w:rsid w:val="00CA24A4"/>
    <w:rsid w:val="00CA6473"/>
    <w:rsid w:val="00CA7019"/>
    <w:rsid w:val="00CB32FE"/>
    <w:rsid w:val="00CB348D"/>
    <w:rsid w:val="00CC153E"/>
    <w:rsid w:val="00CC2F7F"/>
    <w:rsid w:val="00CC3006"/>
    <w:rsid w:val="00CC537D"/>
    <w:rsid w:val="00CD15EE"/>
    <w:rsid w:val="00CD39F3"/>
    <w:rsid w:val="00CD46F5"/>
    <w:rsid w:val="00CD6155"/>
    <w:rsid w:val="00CE1528"/>
    <w:rsid w:val="00CE28CF"/>
    <w:rsid w:val="00CE4A8F"/>
    <w:rsid w:val="00CE76F2"/>
    <w:rsid w:val="00CF071D"/>
    <w:rsid w:val="00CF3A06"/>
    <w:rsid w:val="00D00A01"/>
    <w:rsid w:val="00D04655"/>
    <w:rsid w:val="00D04845"/>
    <w:rsid w:val="00D0526A"/>
    <w:rsid w:val="00D05762"/>
    <w:rsid w:val="00D07B62"/>
    <w:rsid w:val="00D109EF"/>
    <w:rsid w:val="00D14C48"/>
    <w:rsid w:val="00D15B04"/>
    <w:rsid w:val="00D2031B"/>
    <w:rsid w:val="00D25FE2"/>
    <w:rsid w:val="00D26A63"/>
    <w:rsid w:val="00D31F52"/>
    <w:rsid w:val="00D32FBE"/>
    <w:rsid w:val="00D34D7C"/>
    <w:rsid w:val="00D376F5"/>
    <w:rsid w:val="00D37DA9"/>
    <w:rsid w:val="00D406A7"/>
    <w:rsid w:val="00D43252"/>
    <w:rsid w:val="00D44D86"/>
    <w:rsid w:val="00D45AE4"/>
    <w:rsid w:val="00D500BB"/>
    <w:rsid w:val="00D5083E"/>
    <w:rsid w:val="00D50B7D"/>
    <w:rsid w:val="00D50EFD"/>
    <w:rsid w:val="00D51739"/>
    <w:rsid w:val="00D52012"/>
    <w:rsid w:val="00D52CF0"/>
    <w:rsid w:val="00D53628"/>
    <w:rsid w:val="00D65122"/>
    <w:rsid w:val="00D65C16"/>
    <w:rsid w:val="00D704E5"/>
    <w:rsid w:val="00D72727"/>
    <w:rsid w:val="00D72B99"/>
    <w:rsid w:val="00D778D3"/>
    <w:rsid w:val="00D8695E"/>
    <w:rsid w:val="00D87AB7"/>
    <w:rsid w:val="00D92589"/>
    <w:rsid w:val="00D93D43"/>
    <w:rsid w:val="00D94E66"/>
    <w:rsid w:val="00D978C6"/>
    <w:rsid w:val="00DA0956"/>
    <w:rsid w:val="00DA357F"/>
    <w:rsid w:val="00DA3E12"/>
    <w:rsid w:val="00DA55B2"/>
    <w:rsid w:val="00DA7C46"/>
    <w:rsid w:val="00DB1D7C"/>
    <w:rsid w:val="00DB4784"/>
    <w:rsid w:val="00DB598C"/>
    <w:rsid w:val="00DC18AD"/>
    <w:rsid w:val="00DC2D47"/>
    <w:rsid w:val="00DD38E1"/>
    <w:rsid w:val="00DD7019"/>
    <w:rsid w:val="00DD725E"/>
    <w:rsid w:val="00DF28C7"/>
    <w:rsid w:val="00DF6204"/>
    <w:rsid w:val="00DF7CAE"/>
    <w:rsid w:val="00E140B6"/>
    <w:rsid w:val="00E16502"/>
    <w:rsid w:val="00E20ABA"/>
    <w:rsid w:val="00E20CD5"/>
    <w:rsid w:val="00E23DDC"/>
    <w:rsid w:val="00E2517D"/>
    <w:rsid w:val="00E332CE"/>
    <w:rsid w:val="00E423C0"/>
    <w:rsid w:val="00E440F0"/>
    <w:rsid w:val="00E4752E"/>
    <w:rsid w:val="00E5093B"/>
    <w:rsid w:val="00E51364"/>
    <w:rsid w:val="00E60983"/>
    <w:rsid w:val="00E6202E"/>
    <w:rsid w:val="00E62A85"/>
    <w:rsid w:val="00E63B3A"/>
    <w:rsid w:val="00E6414C"/>
    <w:rsid w:val="00E66D51"/>
    <w:rsid w:val="00E67802"/>
    <w:rsid w:val="00E70750"/>
    <w:rsid w:val="00E71A66"/>
    <w:rsid w:val="00E7260F"/>
    <w:rsid w:val="00E76724"/>
    <w:rsid w:val="00E775C7"/>
    <w:rsid w:val="00E8086C"/>
    <w:rsid w:val="00E8402C"/>
    <w:rsid w:val="00E8543E"/>
    <w:rsid w:val="00E8702D"/>
    <w:rsid w:val="00E916A9"/>
    <w:rsid w:val="00E916DE"/>
    <w:rsid w:val="00E917C1"/>
    <w:rsid w:val="00E925AD"/>
    <w:rsid w:val="00E92A12"/>
    <w:rsid w:val="00E96630"/>
    <w:rsid w:val="00E97ED8"/>
    <w:rsid w:val="00EA62A3"/>
    <w:rsid w:val="00EA65CA"/>
    <w:rsid w:val="00EB18E7"/>
    <w:rsid w:val="00EB2C3F"/>
    <w:rsid w:val="00EB3016"/>
    <w:rsid w:val="00EB4328"/>
    <w:rsid w:val="00EC0FB0"/>
    <w:rsid w:val="00EC1ABD"/>
    <w:rsid w:val="00EC6398"/>
    <w:rsid w:val="00ED18DC"/>
    <w:rsid w:val="00ED5196"/>
    <w:rsid w:val="00ED6201"/>
    <w:rsid w:val="00ED7A2A"/>
    <w:rsid w:val="00EE515E"/>
    <w:rsid w:val="00EE5973"/>
    <w:rsid w:val="00EF1D7F"/>
    <w:rsid w:val="00EF442B"/>
    <w:rsid w:val="00F0132D"/>
    <w:rsid w:val="00F0137E"/>
    <w:rsid w:val="00F0177D"/>
    <w:rsid w:val="00F02B21"/>
    <w:rsid w:val="00F044B4"/>
    <w:rsid w:val="00F05518"/>
    <w:rsid w:val="00F06A82"/>
    <w:rsid w:val="00F06F4C"/>
    <w:rsid w:val="00F135C3"/>
    <w:rsid w:val="00F21786"/>
    <w:rsid w:val="00F218E8"/>
    <w:rsid w:val="00F25250"/>
    <w:rsid w:val="00F3742B"/>
    <w:rsid w:val="00F40C61"/>
    <w:rsid w:val="00F41FDB"/>
    <w:rsid w:val="00F426F0"/>
    <w:rsid w:val="00F507EC"/>
    <w:rsid w:val="00F512E5"/>
    <w:rsid w:val="00F53B8F"/>
    <w:rsid w:val="00F56D63"/>
    <w:rsid w:val="00F56FF2"/>
    <w:rsid w:val="00F609A9"/>
    <w:rsid w:val="00F64445"/>
    <w:rsid w:val="00F66741"/>
    <w:rsid w:val="00F74EC6"/>
    <w:rsid w:val="00F76997"/>
    <w:rsid w:val="00F76AB5"/>
    <w:rsid w:val="00F80C99"/>
    <w:rsid w:val="00F811C4"/>
    <w:rsid w:val="00F84126"/>
    <w:rsid w:val="00F867EC"/>
    <w:rsid w:val="00F86BDC"/>
    <w:rsid w:val="00F873CC"/>
    <w:rsid w:val="00F91B2B"/>
    <w:rsid w:val="00F94903"/>
    <w:rsid w:val="00F95723"/>
    <w:rsid w:val="00FB2642"/>
    <w:rsid w:val="00FB4598"/>
    <w:rsid w:val="00FC03CD"/>
    <w:rsid w:val="00FC0646"/>
    <w:rsid w:val="00FC0D13"/>
    <w:rsid w:val="00FC1780"/>
    <w:rsid w:val="00FC2F85"/>
    <w:rsid w:val="00FC32A4"/>
    <w:rsid w:val="00FC68B7"/>
    <w:rsid w:val="00FD1761"/>
    <w:rsid w:val="00FD5F57"/>
    <w:rsid w:val="00FE3A0C"/>
    <w:rsid w:val="00FE6985"/>
    <w:rsid w:val="00FF5A07"/>
    <w:rsid w:val="00FF5DEC"/>
    <w:rsid w:val="00FF6C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A7F83E"/>
  <w15:docId w15:val="{3AAB9018-0D63-410D-BBDB-19C720CA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unhideWhenUsed/>
    <w:rsid w:val="00335A8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35A85"/>
    <w:rPr>
      <w:rFonts w:ascii="Tahoma" w:hAnsi="Tahoma" w:cs="Tahoma"/>
      <w:sz w:val="16"/>
      <w:szCs w:val="16"/>
      <w:lang w:eastAsia="en-US"/>
    </w:rPr>
  </w:style>
  <w:style w:type="character" w:styleId="CommentReference">
    <w:name w:val="annotation reference"/>
    <w:basedOn w:val="DefaultParagraphFont"/>
    <w:semiHidden/>
    <w:unhideWhenUsed/>
    <w:rsid w:val="00691664"/>
    <w:rPr>
      <w:sz w:val="16"/>
      <w:szCs w:val="16"/>
    </w:rPr>
  </w:style>
  <w:style w:type="paragraph" w:styleId="CommentText">
    <w:name w:val="annotation text"/>
    <w:basedOn w:val="Normal"/>
    <w:link w:val="CommentTextChar"/>
    <w:semiHidden/>
    <w:unhideWhenUsed/>
    <w:rsid w:val="00691664"/>
    <w:pPr>
      <w:spacing w:line="240" w:lineRule="auto"/>
    </w:pPr>
  </w:style>
  <w:style w:type="character" w:customStyle="1" w:styleId="CommentTextChar">
    <w:name w:val="Comment Text Char"/>
    <w:basedOn w:val="DefaultParagraphFont"/>
    <w:link w:val="CommentText"/>
    <w:semiHidden/>
    <w:rsid w:val="00691664"/>
    <w:rPr>
      <w:lang w:eastAsia="en-US"/>
    </w:rPr>
  </w:style>
  <w:style w:type="paragraph" w:styleId="CommentSubject">
    <w:name w:val="annotation subject"/>
    <w:basedOn w:val="CommentText"/>
    <w:next w:val="CommentText"/>
    <w:link w:val="CommentSubjectChar"/>
    <w:semiHidden/>
    <w:unhideWhenUsed/>
    <w:rsid w:val="00691664"/>
    <w:rPr>
      <w:b/>
      <w:bCs/>
    </w:rPr>
  </w:style>
  <w:style w:type="character" w:customStyle="1" w:styleId="CommentSubjectChar">
    <w:name w:val="Comment Subject Char"/>
    <w:basedOn w:val="CommentTextChar"/>
    <w:link w:val="CommentSubject"/>
    <w:semiHidden/>
    <w:rsid w:val="00691664"/>
    <w:rPr>
      <w:b/>
      <w:bCs/>
      <w:lang w:eastAsia="en-US"/>
    </w:rPr>
  </w:style>
  <w:style w:type="character" w:customStyle="1" w:styleId="FootnoteTextChar">
    <w:name w:val="Footnote Text Char"/>
    <w:aliases w:val="5_G Char,Fußnote Char,Footnote Text Char Char Char,single space Char,footnote text Char"/>
    <w:link w:val="FootnoteText"/>
    <w:rsid w:val="000C0AB1"/>
    <w:rPr>
      <w:sz w:val="18"/>
      <w:lang w:eastAsia="en-US"/>
    </w:rPr>
  </w:style>
  <w:style w:type="character" w:customStyle="1" w:styleId="H1GChar">
    <w:name w:val="_ H_1_G Char"/>
    <w:link w:val="H1G"/>
    <w:rsid w:val="000C0AB1"/>
    <w:rPr>
      <w:b/>
      <w:sz w:val="24"/>
      <w:lang w:eastAsia="en-US"/>
    </w:rPr>
  </w:style>
  <w:style w:type="character" w:customStyle="1" w:styleId="SingleTxtGChar">
    <w:name w:val="_ Single Txt_G Char"/>
    <w:link w:val="SingleTxtG"/>
    <w:rsid w:val="000C0AB1"/>
    <w:rPr>
      <w:lang w:eastAsia="en-US"/>
    </w:rPr>
  </w:style>
  <w:style w:type="paragraph" w:styleId="ListParagraph">
    <w:name w:val="List Paragraph"/>
    <w:basedOn w:val="Normal"/>
    <w:uiPriority w:val="34"/>
    <w:qFormat/>
    <w:rsid w:val="00D45AE4"/>
    <w:pPr>
      <w:ind w:left="720"/>
      <w:contextualSpacing/>
    </w:pPr>
  </w:style>
  <w:style w:type="paragraph" w:styleId="Revision">
    <w:name w:val="Revision"/>
    <w:hidden/>
    <w:uiPriority w:val="99"/>
    <w:semiHidden/>
    <w:rsid w:val="00511CB5"/>
    <w:rPr>
      <w:lang w:eastAsia="en-US"/>
    </w:rPr>
  </w:style>
  <w:style w:type="character" w:customStyle="1" w:styleId="style2">
    <w:name w:val="style2"/>
    <w:basedOn w:val="DefaultParagraphFont"/>
    <w:rsid w:val="00BB5003"/>
  </w:style>
  <w:style w:type="paragraph" w:styleId="BodyText2">
    <w:name w:val="Body Text 2"/>
    <w:basedOn w:val="Normal"/>
    <w:link w:val="BodyText2Char"/>
    <w:uiPriority w:val="99"/>
    <w:semiHidden/>
    <w:unhideWhenUsed/>
    <w:rsid w:val="00EB18E7"/>
    <w:pPr>
      <w:suppressAutoHyphens w:val="0"/>
      <w:spacing w:after="120" w:line="480" w:lineRule="auto"/>
    </w:pPr>
    <w:rPr>
      <w:rFonts w:eastAsiaTheme="minorEastAsia"/>
      <w:sz w:val="24"/>
      <w:szCs w:val="24"/>
    </w:rPr>
  </w:style>
  <w:style w:type="character" w:customStyle="1" w:styleId="BodyText2Char">
    <w:name w:val="Body Text 2 Char"/>
    <w:basedOn w:val="DefaultParagraphFont"/>
    <w:link w:val="BodyText2"/>
    <w:uiPriority w:val="99"/>
    <w:semiHidden/>
    <w:rsid w:val="00EB18E7"/>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D5A6-615B-4952-8554-CE6CED77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30</TotalTime>
  <Pages>10</Pages>
  <Words>3152</Words>
  <Characters>17972</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Filip Aggestam</cp:lastModifiedBy>
  <cp:revision>5</cp:revision>
  <cp:lastPrinted>2018-09-27T12:14:00Z</cp:lastPrinted>
  <dcterms:created xsi:type="dcterms:W3CDTF">2018-12-18T16:06:00Z</dcterms:created>
  <dcterms:modified xsi:type="dcterms:W3CDTF">2018-12-19T09:03:00Z</dcterms:modified>
</cp:coreProperties>
</file>