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71078" w14:textId="77777777" w:rsidR="00BF337E" w:rsidRDefault="00BF337E" w:rsidP="00BF337E">
      <w:pPr>
        <w:spacing w:before="120"/>
        <w:rPr>
          <w:b/>
          <w:bCs/>
          <w:sz w:val="28"/>
          <w:szCs w:val="28"/>
          <w:lang w:val="en-US" w:eastAsia="zh-CN"/>
        </w:rPr>
      </w:pPr>
      <w:r>
        <w:rPr>
          <w:b/>
          <w:bCs/>
          <w:sz w:val="28"/>
          <w:szCs w:val="28"/>
          <w:lang w:val="en-US"/>
        </w:rPr>
        <w:t>Economic Commission for Europe</w:t>
      </w:r>
    </w:p>
    <w:p w14:paraId="15DFA091" w14:textId="77777777" w:rsidR="00BF337E" w:rsidRDefault="00BF337E" w:rsidP="00BF337E">
      <w:pPr>
        <w:spacing w:before="1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Committee on Environmental Policy</w:t>
      </w:r>
    </w:p>
    <w:p w14:paraId="3F1F8D67" w14:textId="77777777" w:rsidR="00BF337E" w:rsidRDefault="00BF337E" w:rsidP="00BF337E">
      <w:pPr>
        <w:keepNext/>
        <w:spacing w:before="120"/>
        <w:rPr>
          <w:b/>
          <w:bCs/>
          <w:lang w:val="en-US"/>
        </w:rPr>
      </w:pPr>
      <w:r>
        <w:rPr>
          <w:b/>
          <w:bCs/>
          <w:lang w:val="en-US"/>
        </w:rPr>
        <w:t>Twenty-fourth session</w:t>
      </w:r>
    </w:p>
    <w:p w14:paraId="38808122" w14:textId="77777777" w:rsidR="00BF337E" w:rsidRDefault="00BF337E" w:rsidP="00BF337E">
      <w:pPr>
        <w:keepNext/>
        <w:rPr>
          <w:sz w:val="22"/>
          <w:szCs w:val="22"/>
          <w:lang w:val="en-US"/>
        </w:rPr>
      </w:pPr>
      <w:r>
        <w:rPr>
          <w:lang w:val="en-US"/>
        </w:rPr>
        <w:t>Geneva, 29-31 January 2019</w:t>
      </w:r>
    </w:p>
    <w:p w14:paraId="34E6D197" w14:textId="77777777" w:rsidR="00BF337E" w:rsidRDefault="00BF337E" w:rsidP="00BF337E">
      <w:pPr>
        <w:keepNext/>
        <w:rPr>
          <w:lang w:val="en-US"/>
        </w:rPr>
      </w:pPr>
      <w:r>
        <w:rPr>
          <w:lang w:val="en-US"/>
        </w:rPr>
        <w:t>Item 5 of the provisional agenda</w:t>
      </w:r>
    </w:p>
    <w:p w14:paraId="16035856" w14:textId="77777777" w:rsidR="00BF337E" w:rsidRDefault="00BF337E" w:rsidP="00BF337E">
      <w:pPr>
        <w:pStyle w:val="Heading2"/>
        <w:keepNext/>
        <w:spacing w:after="240"/>
        <w:ind w:right="3600"/>
        <w:rPr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 xml:space="preserve">Environmental monitoring, assessment and reporting </w:t>
      </w:r>
    </w:p>
    <w:p w14:paraId="1960A3DA" w14:textId="71C218F8" w:rsidR="00BF337E" w:rsidRDefault="00BF337E" w:rsidP="00BF337E">
      <w:pPr>
        <w:pStyle w:val="BodyText2"/>
        <w:keepNext/>
        <w:spacing w:after="0" w:line="240" w:lineRule="auto"/>
        <w:rPr>
          <w:sz w:val="22"/>
          <w:szCs w:val="22"/>
          <w:lang w:eastAsia="fr-FR"/>
        </w:rPr>
      </w:pPr>
      <w:r>
        <w:rPr>
          <w:sz w:val="22"/>
          <w:szCs w:val="22"/>
          <w:lang w:eastAsia="fr-FR"/>
        </w:rPr>
        <w:t>Information paper No. 13</w:t>
      </w:r>
    </w:p>
    <w:p w14:paraId="2B7A960C" w14:textId="3E2B26D1" w:rsidR="00BF337E" w:rsidRDefault="00BF337E" w:rsidP="00BF337E">
      <w:pPr>
        <w:rPr>
          <w:sz w:val="22"/>
          <w:szCs w:val="22"/>
          <w:lang w:eastAsia="fr-FR"/>
        </w:rPr>
      </w:pPr>
      <w:r>
        <w:rPr>
          <w:lang w:val="en-US" w:eastAsia="fr-FR"/>
        </w:rPr>
        <w:t>18 December 2018</w:t>
      </w:r>
    </w:p>
    <w:p w14:paraId="03245613" w14:textId="752F32A7" w:rsidR="00E16713" w:rsidRPr="00F064A4" w:rsidRDefault="00E16713" w:rsidP="00E16713">
      <w:pPr>
        <w:pStyle w:val="HChG"/>
      </w:pPr>
      <w:r w:rsidRPr="00F064A4">
        <w:tab/>
      </w:r>
      <w:r w:rsidRPr="00F064A4">
        <w:tab/>
        <w:t xml:space="preserve">Annual </w:t>
      </w:r>
      <w:r w:rsidR="006616FB">
        <w:t>timetable of activities for 2019</w:t>
      </w:r>
    </w:p>
    <w:p w14:paraId="2406D1CC" w14:textId="18E62247" w:rsidR="00E16713" w:rsidRPr="00F064A4" w:rsidRDefault="00E16713" w:rsidP="00E16713">
      <w:pPr>
        <w:pStyle w:val="H1G"/>
      </w:pPr>
      <w:r w:rsidRPr="00F064A4">
        <w:tab/>
      </w:r>
      <w:r w:rsidRPr="00F064A4">
        <w:tab/>
      </w:r>
      <w:bookmarkStart w:id="0" w:name="_GoBack"/>
      <w:r w:rsidRPr="00F064A4">
        <w:t xml:space="preserve">Note by the </w:t>
      </w:r>
      <w:r w:rsidR="00026898" w:rsidRPr="00026898">
        <w:t xml:space="preserve">Working Group on Environmental Monitoring </w:t>
      </w:r>
      <w:r w:rsidR="00026898">
        <w:br/>
      </w:r>
      <w:r w:rsidR="00026898" w:rsidRPr="00026898">
        <w:t>and Assessment</w:t>
      </w:r>
      <w:r w:rsidR="00026898">
        <w:rPr>
          <w:sz w:val="20"/>
          <w:vertAlign w:val="superscript"/>
        </w:rPr>
        <w:t xml:space="preserve"> </w:t>
      </w:r>
      <w:bookmarkEnd w:id="0"/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29"/>
      </w:tblGrid>
      <w:tr w:rsidR="00E16713" w:rsidRPr="00F064A4" w14:paraId="2B2D1A37" w14:textId="77777777" w:rsidTr="005F2F47">
        <w:trPr>
          <w:jc w:val="center"/>
        </w:trPr>
        <w:tc>
          <w:tcPr>
            <w:tcW w:w="9637" w:type="dxa"/>
            <w:shd w:val="clear" w:color="auto" w:fill="auto"/>
          </w:tcPr>
          <w:p w14:paraId="34AB501C" w14:textId="77777777" w:rsidR="00E16713" w:rsidRPr="00F064A4" w:rsidRDefault="00E16713" w:rsidP="005F2F47">
            <w:pPr>
              <w:spacing w:before="240" w:after="120"/>
              <w:ind w:left="255"/>
              <w:rPr>
                <w:i/>
                <w:sz w:val="24"/>
              </w:rPr>
            </w:pPr>
            <w:r w:rsidRPr="00F064A4">
              <w:rPr>
                <w:i/>
                <w:sz w:val="24"/>
              </w:rPr>
              <w:t>Summary</w:t>
            </w:r>
          </w:p>
        </w:tc>
      </w:tr>
      <w:tr w:rsidR="00E16713" w:rsidRPr="00F064A4" w14:paraId="57429ADE" w14:textId="77777777" w:rsidTr="005F2F47">
        <w:trPr>
          <w:jc w:val="center"/>
        </w:trPr>
        <w:tc>
          <w:tcPr>
            <w:tcW w:w="9637" w:type="dxa"/>
            <w:shd w:val="clear" w:color="auto" w:fill="auto"/>
          </w:tcPr>
          <w:p w14:paraId="0ACBD283" w14:textId="5DD65B88" w:rsidR="008649B4" w:rsidRDefault="00E16713" w:rsidP="008649B4">
            <w:pPr>
              <w:pStyle w:val="SingleTxtG"/>
            </w:pPr>
            <w:r w:rsidRPr="00F064A4">
              <w:tab/>
            </w:r>
            <w:r w:rsidR="006616FB">
              <w:tab/>
            </w:r>
            <w:r w:rsidRPr="00F064A4">
              <w:t>At its tw</w:t>
            </w:r>
            <w:r w:rsidR="006616FB">
              <w:t>enty-second session (Geneva, 25–</w:t>
            </w:r>
            <w:r w:rsidRPr="00F064A4">
              <w:t xml:space="preserve">27 January 2017), the United Nations Economic Commission for Europe </w:t>
            </w:r>
            <w:r w:rsidR="006616FB">
              <w:t xml:space="preserve">(ECE) </w:t>
            </w:r>
            <w:r w:rsidRPr="00F064A4">
              <w:t xml:space="preserve">Committee on Environmental Policy renewed the mandate and terms of reference of the Working Group on Environmental Monitoring and Assessment for </w:t>
            </w:r>
            <w:r w:rsidR="00C4198B" w:rsidRPr="00C4198B">
              <w:t xml:space="preserve">a five-year period </w:t>
            </w:r>
            <w:r w:rsidR="00D35AA9">
              <w:t>(</w:t>
            </w:r>
            <w:r w:rsidRPr="00F064A4">
              <w:t>2017</w:t>
            </w:r>
            <w:r w:rsidR="003536AB">
              <w:t>–</w:t>
            </w:r>
            <w:r w:rsidRPr="00F064A4">
              <w:t>2021</w:t>
            </w:r>
            <w:r w:rsidR="00D35AA9">
              <w:t>)</w:t>
            </w:r>
            <w:r w:rsidRPr="00F064A4">
              <w:t>. The terms of reference require the preparation of annual timetable</w:t>
            </w:r>
            <w:r w:rsidR="00134823" w:rsidRPr="00F064A4">
              <w:t>s</w:t>
            </w:r>
            <w:r w:rsidRPr="00F064A4">
              <w:t xml:space="preserve"> of activities</w:t>
            </w:r>
            <w:r w:rsidR="000D4312">
              <w:t>,</w:t>
            </w:r>
            <w:r w:rsidRPr="00F064A4">
              <w:t xml:space="preserve"> tak</w:t>
            </w:r>
            <w:r w:rsidR="000D4312">
              <w:t>ing</w:t>
            </w:r>
            <w:r w:rsidRPr="00F064A4">
              <w:t xml:space="preserve"> into account the financial and human resources available. </w:t>
            </w:r>
            <w:r w:rsidR="0017738E">
              <w:t xml:space="preserve">At its nineteenth session, while considering the approval of the annual timetable of activities for 2018 (ECE/CEP/AC.10/2017/3), the Working Group </w:t>
            </w:r>
            <w:r w:rsidR="00A50BD4">
              <w:t xml:space="preserve">agreed </w:t>
            </w:r>
            <w:r w:rsidR="0017738E">
              <w:t xml:space="preserve">that </w:t>
            </w:r>
            <w:r w:rsidR="00A50BD4">
              <w:t xml:space="preserve">the secretariat would </w:t>
            </w:r>
            <w:r w:rsidR="00A50BD4" w:rsidRPr="00A50BD4">
              <w:t>develop indicators of achievement to be included in the next annual timetable of activities</w:t>
            </w:r>
            <w:r w:rsidR="00A50BD4">
              <w:t xml:space="preserve">. </w:t>
            </w:r>
          </w:p>
          <w:p w14:paraId="2890D4DB" w14:textId="27CA6771" w:rsidR="00BF337E" w:rsidRPr="00F064A4" w:rsidRDefault="008649B4" w:rsidP="00BF337E">
            <w:pPr>
              <w:pStyle w:val="SingleTxtG"/>
            </w:pPr>
            <w:r>
              <w:tab/>
            </w:r>
            <w:r>
              <w:tab/>
            </w:r>
            <w:r w:rsidR="00BF337E">
              <w:t xml:space="preserve">At its twentieth session (3–4 September 2018), the Working Group considered a draft annual timetable of activities for 2019 and </w:t>
            </w:r>
            <w:r w:rsidR="00BF337E" w:rsidRPr="006E24FE">
              <w:t>asked the secretariat to add a column to the main table</w:t>
            </w:r>
            <w:r w:rsidR="00BF337E">
              <w:t xml:space="preserve"> </w:t>
            </w:r>
            <w:r w:rsidR="00BF337E" w:rsidRPr="006E24FE">
              <w:t xml:space="preserve">to indicate priorities. In addition, the expected achievements should be toned down. </w:t>
            </w:r>
            <w:r w:rsidR="00BF337E">
              <w:t>As requested by t</w:t>
            </w:r>
            <w:r w:rsidR="00BF337E" w:rsidRPr="006E24FE">
              <w:t>he Working Group</w:t>
            </w:r>
            <w:r w:rsidR="00BF337E">
              <w:t xml:space="preserve">, </w:t>
            </w:r>
            <w:r w:rsidR="00BF337E" w:rsidRPr="006E24FE">
              <w:t xml:space="preserve">the secretariat </w:t>
            </w:r>
            <w:r w:rsidR="00BF337E">
              <w:t>circulated the revised timetable and ga</w:t>
            </w:r>
            <w:r w:rsidR="00BF337E" w:rsidRPr="006E24FE">
              <w:t xml:space="preserve">ve two weeks for </w:t>
            </w:r>
            <w:r w:rsidR="00BF337E">
              <w:t>concrete changes to be suggested. O</w:t>
            </w:r>
            <w:r w:rsidR="00BF337E" w:rsidRPr="006E24FE">
              <w:t xml:space="preserve">nce further revised, </w:t>
            </w:r>
            <w:r w:rsidR="00BF337E">
              <w:t>the secretariat sent</w:t>
            </w:r>
            <w:r w:rsidR="00BF337E" w:rsidRPr="006E24FE">
              <w:t xml:space="preserve"> it again to participants for approval by a written silence procedure.</w:t>
            </w:r>
            <w:r w:rsidR="00BF337E">
              <w:t xml:space="preserve"> The written silence procedure was completed on 26 October 2018</w:t>
            </w:r>
          </w:p>
        </w:tc>
      </w:tr>
      <w:tr w:rsidR="00E16713" w:rsidRPr="00F064A4" w14:paraId="686B3BEA" w14:textId="77777777" w:rsidTr="005F2F47">
        <w:trPr>
          <w:jc w:val="center"/>
        </w:trPr>
        <w:tc>
          <w:tcPr>
            <w:tcW w:w="9637" w:type="dxa"/>
            <w:shd w:val="clear" w:color="auto" w:fill="auto"/>
          </w:tcPr>
          <w:p w14:paraId="313C112A" w14:textId="77777777" w:rsidR="00E16713" w:rsidRPr="00F064A4" w:rsidRDefault="00E16713" w:rsidP="005F2F47"/>
        </w:tc>
      </w:tr>
    </w:tbl>
    <w:p w14:paraId="49F107DE" w14:textId="77777777" w:rsidR="00E16713" w:rsidRPr="00F064A4" w:rsidRDefault="00E16713" w:rsidP="00E16713"/>
    <w:p w14:paraId="3EC7A225" w14:textId="77777777" w:rsidR="00E16713" w:rsidRPr="00F064A4" w:rsidRDefault="00E16713" w:rsidP="00E16713">
      <w:pPr>
        <w:suppressAutoHyphens w:val="0"/>
        <w:spacing w:line="240" w:lineRule="auto"/>
        <w:rPr>
          <w:b/>
          <w:sz w:val="28"/>
        </w:rPr>
      </w:pPr>
      <w:r w:rsidRPr="00F064A4">
        <w:br w:type="page"/>
      </w:r>
    </w:p>
    <w:p w14:paraId="0BA43EC2" w14:textId="77777777" w:rsidR="00E16713" w:rsidRPr="00F064A4" w:rsidRDefault="00E16713" w:rsidP="00E16713">
      <w:pPr>
        <w:pStyle w:val="HChG"/>
      </w:pPr>
      <w:r w:rsidRPr="00F064A4">
        <w:lastRenderedPageBreak/>
        <w:tab/>
      </w:r>
      <w:r w:rsidRPr="00F064A4">
        <w:tab/>
        <w:t>Introduction</w:t>
      </w:r>
    </w:p>
    <w:p w14:paraId="37085FBC" w14:textId="2F0D3E9C" w:rsidR="00E16713" w:rsidRPr="00F064A4" w:rsidRDefault="00E16713" w:rsidP="00E16713">
      <w:pPr>
        <w:pStyle w:val="SingleTxtG"/>
      </w:pPr>
      <w:r w:rsidRPr="00F064A4">
        <w:t>1.</w:t>
      </w:r>
      <w:r w:rsidRPr="00F064A4">
        <w:tab/>
        <w:t>Th</w:t>
      </w:r>
      <w:r w:rsidR="009B5890">
        <w:t xml:space="preserve">e </w:t>
      </w:r>
      <w:r w:rsidR="009D2BDF">
        <w:t>present</w:t>
      </w:r>
      <w:r w:rsidRPr="00F064A4">
        <w:t xml:space="preserve"> document </w:t>
      </w:r>
      <w:r w:rsidR="009D2BDF">
        <w:t xml:space="preserve">sets out a </w:t>
      </w:r>
      <w:r w:rsidR="00AE3880" w:rsidRPr="00F064A4">
        <w:t xml:space="preserve">timetable of activities </w:t>
      </w:r>
      <w:r w:rsidRPr="00F064A4">
        <w:t>to be carried out by the Working Group on Environmental M</w:t>
      </w:r>
      <w:r w:rsidR="006616FB">
        <w:t>onitoring and Assessment in 2019</w:t>
      </w:r>
      <w:r w:rsidRPr="00F064A4">
        <w:t>.</w:t>
      </w:r>
    </w:p>
    <w:p w14:paraId="574D7F2B" w14:textId="7BEB0B31" w:rsidR="00E16713" w:rsidRPr="00F064A4" w:rsidRDefault="00E16713" w:rsidP="00E16713">
      <w:pPr>
        <w:pStyle w:val="SingleTxtG"/>
      </w:pPr>
      <w:r w:rsidRPr="00F064A4">
        <w:t>2.</w:t>
      </w:r>
      <w:r w:rsidRPr="00F064A4">
        <w:tab/>
        <w:t>The timetable</w:t>
      </w:r>
      <w:r w:rsidR="00683207">
        <w:t xml:space="preserve"> set out below</w:t>
      </w:r>
      <w:r w:rsidRPr="00F064A4">
        <w:t xml:space="preserve"> </w:t>
      </w:r>
      <w:r w:rsidR="009B5890">
        <w:t xml:space="preserve">is </w:t>
      </w:r>
      <w:r w:rsidR="009D2BDF">
        <w:t xml:space="preserve">based on </w:t>
      </w:r>
      <w:r w:rsidR="003E653D" w:rsidRPr="00F064A4">
        <w:t xml:space="preserve">the </w:t>
      </w:r>
      <w:r w:rsidR="009D2BDF">
        <w:t xml:space="preserve">renewed </w:t>
      </w:r>
      <w:r w:rsidR="003E653D" w:rsidRPr="00F064A4">
        <w:t>mandate and terms of reference of the Working Group</w:t>
      </w:r>
      <w:r w:rsidR="009B5890">
        <w:t xml:space="preserve"> </w:t>
      </w:r>
      <w:r w:rsidR="003E653D" w:rsidRPr="00F064A4">
        <w:t>(ECE/CEP/2017/2, annex II)</w:t>
      </w:r>
      <w:r w:rsidR="006616FB">
        <w:t xml:space="preserve"> and</w:t>
      </w:r>
      <w:r w:rsidR="009B5890">
        <w:t xml:space="preserve"> </w:t>
      </w:r>
      <w:r w:rsidR="009B5890" w:rsidRPr="00F064A4">
        <w:t xml:space="preserve">the </w:t>
      </w:r>
      <w:r w:rsidR="00681AAA">
        <w:t xml:space="preserve">draft </w:t>
      </w:r>
      <w:r w:rsidR="008147EA">
        <w:t xml:space="preserve">revised </w:t>
      </w:r>
      <w:r w:rsidR="009B5890" w:rsidRPr="00F064A4">
        <w:t xml:space="preserve">outline of </w:t>
      </w:r>
      <w:r w:rsidR="009B5890">
        <w:t xml:space="preserve">the Working Group’s </w:t>
      </w:r>
      <w:r w:rsidR="009B5890" w:rsidRPr="00F064A4">
        <w:t>activities leadin</w:t>
      </w:r>
      <w:r w:rsidR="006616FB">
        <w:t>g up to 2021 (ECE/CEP/AC.10/2018</w:t>
      </w:r>
      <w:r w:rsidR="009B5890" w:rsidRPr="00F064A4">
        <w:t>/</w:t>
      </w:r>
      <w:r w:rsidR="006616FB">
        <w:t>3</w:t>
      </w:r>
      <w:r w:rsidR="009B5890" w:rsidRPr="00F064A4">
        <w:t>)</w:t>
      </w:r>
      <w:r w:rsidR="00301405" w:rsidRPr="00F064A4">
        <w:t>.</w:t>
      </w:r>
    </w:p>
    <w:p w14:paraId="359A2970" w14:textId="69F0C921" w:rsidR="0023518A" w:rsidRPr="00F064A4" w:rsidRDefault="0023518A" w:rsidP="0023518A">
      <w:pPr>
        <w:pStyle w:val="SingleTxtG"/>
      </w:pPr>
      <w:r w:rsidRPr="00F064A4">
        <w:t>3.</w:t>
      </w:r>
      <w:r w:rsidRPr="00F064A4">
        <w:tab/>
        <w:t xml:space="preserve">The Working Group will implement the activities in close collaboration with national and international governmental and non-governmental stakeholders, including youth organizations, research institutes and academia, </w:t>
      </w:r>
      <w:r w:rsidR="00DC7A82">
        <w:t xml:space="preserve">and </w:t>
      </w:r>
      <w:r w:rsidR="00C4198B">
        <w:t xml:space="preserve">with </w:t>
      </w:r>
      <w:r w:rsidRPr="00F064A4">
        <w:t xml:space="preserve">other relevant </w:t>
      </w:r>
      <w:r w:rsidR="009B5890">
        <w:t>United Nations Economic Commission for Europe (</w:t>
      </w:r>
      <w:r w:rsidRPr="00F064A4">
        <w:t>ECE</w:t>
      </w:r>
      <w:r w:rsidR="009B5890">
        <w:t>)</w:t>
      </w:r>
      <w:r w:rsidRPr="00F064A4">
        <w:t xml:space="preserve"> bodies such as the Joint Task Force on Environme</w:t>
      </w:r>
      <w:r w:rsidR="00301405" w:rsidRPr="00F064A4">
        <w:t>ntal Statistics and Indicators.</w:t>
      </w:r>
    </w:p>
    <w:p w14:paraId="53148696" w14:textId="5494E0DE" w:rsidR="00E16713" w:rsidRDefault="0023518A" w:rsidP="00E16713">
      <w:pPr>
        <w:pStyle w:val="SingleTxtG"/>
      </w:pPr>
      <w:r w:rsidRPr="00F064A4">
        <w:t>4</w:t>
      </w:r>
      <w:r w:rsidR="00E16713" w:rsidRPr="00F064A4">
        <w:t>.</w:t>
      </w:r>
      <w:r w:rsidR="00E16713" w:rsidRPr="00F064A4">
        <w:tab/>
      </w:r>
      <w:r w:rsidR="00C4198B">
        <w:t>W</w:t>
      </w:r>
      <w:r w:rsidR="00C4198B" w:rsidRPr="00F064A4">
        <w:t xml:space="preserve">ith the assistance of the ECE secretariat, </w:t>
      </w:r>
      <w:r w:rsidR="00C4198B">
        <w:t>m</w:t>
      </w:r>
      <w:r w:rsidR="00E16713" w:rsidRPr="00F064A4">
        <w:t xml:space="preserve">ember States and organizations </w:t>
      </w:r>
      <w:r w:rsidRPr="00F064A4">
        <w:t xml:space="preserve">that agree to lead </w:t>
      </w:r>
      <w:r w:rsidR="00C4198B">
        <w:t xml:space="preserve">any of the </w:t>
      </w:r>
      <w:r w:rsidRPr="00F064A4">
        <w:t xml:space="preserve">activities outlined below </w:t>
      </w:r>
      <w:r w:rsidR="00E16713" w:rsidRPr="00F064A4">
        <w:t xml:space="preserve">will </w:t>
      </w:r>
      <w:r w:rsidRPr="00F064A4">
        <w:t xml:space="preserve">need </w:t>
      </w:r>
      <w:r w:rsidR="00E16713" w:rsidRPr="00F064A4">
        <w:t>to facilitate the</w:t>
      </w:r>
      <w:r w:rsidR="00C4198B">
        <w:t>ir</w:t>
      </w:r>
      <w:r w:rsidR="00E16713" w:rsidRPr="00F064A4">
        <w:t xml:space="preserve"> implementation </w:t>
      </w:r>
      <w:r w:rsidRPr="00F064A4">
        <w:t xml:space="preserve">and </w:t>
      </w:r>
      <w:r w:rsidR="00E16713" w:rsidRPr="00F064A4">
        <w:t>report to the Working Group on the progress made and challenges faced</w:t>
      </w:r>
      <w:r w:rsidR="00C4198B">
        <w:t>.</w:t>
      </w:r>
    </w:p>
    <w:p w14:paraId="0FBF3B55" w14:textId="7E4B738B" w:rsidR="00BE6206" w:rsidRDefault="00BE6206" w:rsidP="00E16713">
      <w:pPr>
        <w:pStyle w:val="SingleTxtG"/>
      </w:pPr>
      <w:r>
        <w:t>5.</w:t>
      </w:r>
      <w:r>
        <w:tab/>
        <w:t xml:space="preserve">The Working Group will support the secretariat in its continuing efforts to mobilize resources and assistance from regional and international organizations and member States </w:t>
      </w:r>
      <w:r w:rsidR="00C4198B">
        <w:t xml:space="preserve">in order </w:t>
      </w:r>
      <w:r>
        <w:t>to enable the Working Group to operate fully.</w:t>
      </w:r>
    </w:p>
    <w:p w14:paraId="3B22F569" w14:textId="5208E5BF" w:rsidR="00A9793F" w:rsidRPr="00A9793F" w:rsidRDefault="00A9793F" w:rsidP="00A9793F">
      <w:pPr>
        <w:pStyle w:val="SingleTxtG"/>
        <w:widowControl w:val="0"/>
        <w:ind w:left="567" w:firstLine="567"/>
        <w:rPr>
          <w:b/>
        </w:rPr>
      </w:pPr>
      <w:r>
        <w:rPr>
          <w:b/>
        </w:rPr>
        <w:t>Timetable of activities in 2019</w:t>
      </w:r>
    </w:p>
    <w:tbl>
      <w:tblPr>
        <w:tblStyle w:val="TableGrid"/>
        <w:tblW w:w="97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51"/>
        <w:gridCol w:w="2738"/>
        <w:gridCol w:w="1080"/>
        <w:gridCol w:w="1440"/>
        <w:gridCol w:w="900"/>
      </w:tblGrid>
      <w:tr w:rsidR="00FF5E71" w:rsidRPr="00683207" w14:paraId="158F8FEC" w14:textId="08F2ED85" w:rsidTr="005A76FD">
        <w:trPr>
          <w:tblHeader/>
        </w:trPr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5A203FFE" w14:textId="32518F8E" w:rsidR="00FF5E71" w:rsidRDefault="00FF5E71" w:rsidP="00857104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Main overall objective and </w:t>
            </w:r>
            <w:proofErr w:type="spellStart"/>
            <w:r>
              <w:rPr>
                <w:i/>
                <w:sz w:val="16"/>
              </w:rPr>
              <w:t>activity</w:t>
            </w:r>
            <w:r w:rsidRPr="00B143E4">
              <w:rPr>
                <w:i/>
                <w:sz w:val="16"/>
                <w:vertAlign w:val="superscript"/>
              </w:rPr>
              <w:t>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C5EE5BF" w14:textId="4C1AC9DE" w:rsidR="00FF5E71" w:rsidRDefault="00FF5E71" w:rsidP="00FF5E71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>
              <w:rPr>
                <w:i/>
                <w:sz w:val="16"/>
              </w:rPr>
              <w:t>Priority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8EA9834" w14:textId="3002F432" w:rsidR="00FF5E71" w:rsidRPr="00683207" w:rsidRDefault="00FF5E71" w:rsidP="003C294B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>
              <w:rPr>
                <w:i/>
                <w:sz w:val="16"/>
              </w:rPr>
              <w:t>Task or event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ADDE15F" w14:textId="7C0BB47A" w:rsidR="00FF5E71" w:rsidRPr="00683207" w:rsidRDefault="00FF5E71" w:rsidP="003C294B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>
              <w:rPr>
                <w:i/>
                <w:sz w:val="16"/>
              </w:rPr>
              <w:t>Timing (to be confirmed)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D1BFB96" w14:textId="297FD8DB" w:rsidR="00FF5E71" w:rsidRPr="00683207" w:rsidRDefault="00FF5E71" w:rsidP="003C294B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>
              <w:rPr>
                <w:i/>
                <w:sz w:val="16"/>
              </w:rPr>
              <w:t>Indicator of achievement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</w:tcBorders>
          </w:tcPr>
          <w:p w14:paraId="6A8EA9DB" w14:textId="6D0820A3" w:rsidR="00FF5E71" w:rsidRDefault="00FF5E71" w:rsidP="00BB659E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Other </w:t>
            </w:r>
            <w:proofErr w:type="spellStart"/>
            <w:r>
              <w:rPr>
                <w:i/>
                <w:sz w:val="16"/>
              </w:rPr>
              <w:t>activities</w:t>
            </w:r>
            <w:r w:rsidRPr="00B143E4">
              <w:rPr>
                <w:i/>
                <w:sz w:val="16"/>
                <w:vertAlign w:val="superscript"/>
              </w:rPr>
              <w:t>a</w:t>
            </w:r>
            <w:proofErr w:type="spellEnd"/>
          </w:p>
        </w:tc>
      </w:tr>
      <w:tr w:rsidR="00FF5E71" w:rsidRPr="00683207" w14:paraId="516C6103" w14:textId="77777777" w:rsidTr="005A76FD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14:paraId="1D79EAB6" w14:textId="2A1335A7" w:rsidR="00FF5E71" w:rsidRDefault="00FF5E71" w:rsidP="00614B3C">
            <w:pPr>
              <w:spacing w:before="40" w:after="120"/>
              <w:ind w:right="113"/>
            </w:pPr>
            <w:r>
              <w:t>A.</w:t>
            </w:r>
            <w:r w:rsidRPr="00995B3E">
              <w:t>1. Continue supporting the establishment of SEIS with regard to its specific content and principles in support of regular environmental ass</w:t>
            </w:r>
            <w:r>
              <w:t>essment processes and reporting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36834D35" w14:textId="75EEE828" w:rsidR="00FF5E71" w:rsidRDefault="005F12F5" w:rsidP="00E24C14">
            <w:pPr>
              <w:spacing w:before="40" w:after="120"/>
              <w:ind w:right="113"/>
            </w:pPr>
            <w:r>
              <w:t>High</w:t>
            </w:r>
          </w:p>
        </w:tc>
        <w:tc>
          <w:tcPr>
            <w:tcW w:w="2738" w:type="dxa"/>
            <w:tcBorders>
              <w:top w:val="single" w:sz="12" w:space="0" w:color="auto"/>
            </w:tcBorders>
            <w:shd w:val="clear" w:color="auto" w:fill="auto"/>
          </w:tcPr>
          <w:p w14:paraId="363C65B7" w14:textId="5FA0CA71" w:rsidR="00FF5E71" w:rsidRDefault="00FF5E71" w:rsidP="00E24C14">
            <w:pPr>
              <w:spacing w:before="40" w:after="120"/>
              <w:ind w:right="113"/>
            </w:pPr>
            <w:r>
              <w:t xml:space="preserve">Capacity-building activities at annual sessions of the Working Group and Joint Task Force in support of SEIS establishment and regular monitoring and assessment, including on environment-related SDGs 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</w:tcPr>
          <w:p w14:paraId="4616DFF1" w14:textId="47A86A6A" w:rsidR="00FF5E71" w:rsidRDefault="00FF5E71" w:rsidP="00614B3C">
            <w:pPr>
              <w:spacing w:before="40" w:after="120"/>
              <w:ind w:right="113"/>
            </w:pPr>
            <w:r w:rsidRPr="00BE6206">
              <w:t>7-8 May and</w:t>
            </w:r>
            <w:r>
              <w:t xml:space="preserve"> </w:t>
            </w:r>
            <w:r w:rsidRPr="00BE6206">
              <w:t>28–29 October</w:t>
            </w:r>
            <w:r>
              <w:t xml:space="preserve"> 2019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shd w:val="clear" w:color="auto" w:fill="auto"/>
          </w:tcPr>
          <w:p w14:paraId="7699FECF" w14:textId="3EE3C4C6" w:rsidR="00FF5E71" w:rsidRDefault="00FF5E71" w:rsidP="00C4198B">
            <w:pPr>
              <w:spacing w:before="40" w:after="120"/>
              <w:ind w:right="113"/>
            </w:pPr>
            <w:r>
              <w:t>Holding of the capacity-building activities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0CD13860" w14:textId="1A36504D" w:rsidR="00FF5E71" w:rsidRDefault="00FF5E71" w:rsidP="00D428CC">
            <w:pPr>
              <w:spacing w:before="40" w:after="120"/>
              <w:ind w:right="113"/>
            </w:pPr>
            <w:r>
              <w:t>B.3</w:t>
            </w:r>
          </w:p>
        </w:tc>
      </w:tr>
      <w:tr w:rsidR="00FF5E71" w:rsidRPr="00683207" w14:paraId="5EC630DD" w14:textId="77777777" w:rsidTr="005A76FD">
        <w:tc>
          <w:tcPr>
            <w:tcW w:w="2694" w:type="dxa"/>
            <w:vMerge/>
          </w:tcPr>
          <w:p w14:paraId="255BB968" w14:textId="0E167EC1" w:rsidR="00FF5E71" w:rsidRDefault="00FF5E71" w:rsidP="007B580A">
            <w:pPr>
              <w:spacing w:before="40" w:after="120"/>
              <w:ind w:right="113"/>
            </w:pPr>
          </w:p>
        </w:tc>
        <w:tc>
          <w:tcPr>
            <w:tcW w:w="851" w:type="dxa"/>
          </w:tcPr>
          <w:p w14:paraId="3790FFD0" w14:textId="77777777" w:rsidR="00FF5E71" w:rsidRDefault="00FF5E71" w:rsidP="007B580A">
            <w:pPr>
              <w:spacing w:before="40" w:after="120"/>
              <w:ind w:right="113"/>
            </w:pPr>
          </w:p>
        </w:tc>
        <w:tc>
          <w:tcPr>
            <w:tcW w:w="2738" w:type="dxa"/>
            <w:shd w:val="clear" w:color="auto" w:fill="auto"/>
          </w:tcPr>
          <w:p w14:paraId="351CB636" w14:textId="6635C344" w:rsidR="00FF5E71" w:rsidRDefault="00FF5E71" w:rsidP="007B580A">
            <w:pPr>
              <w:spacing w:before="40" w:after="120"/>
              <w:ind w:right="113"/>
            </w:pPr>
            <w:r>
              <w:t>Initiation of the development of a SEIS e-learning platform (ECE with UNEP)</w:t>
            </w:r>
          </w:p>
        </w:tc>
        <w:tc>
          <w:tcPr>
            <w:tcW w:w="1080" w:type="dxa"/>
            <w:shd w:val="clear" w:color="auto" w:fill="auto"/>
          </w:tcPr>
          <w:p w14:paraId="2987098A" w14:textId="6241332D" w:rsidR="00FF5E71" w:rsidRDefault="00FF5E71" w:rsidP="007B580A">
            <w:pPr>
              <w:spacing w:before="40" w:after="120"/>
              <w:ind w:right="113"/>
            </w:pPr>
            <w:r>
              <w:t>Second half of 2019</w:t>
            </w:r>
          </w:p>
        </w:tc>
        <w:tc>
          <w:tcPr>
            <w:tcW w:w="1440" w:type="dxa"/>
            <w:shd w:val="clear" w:color="auto" w:fill="auto"/>
          </w:tcPr>
          <w:p w14:paraId="3C85B765" w14:textId="2D1C9DB4" w:rsidR="00FF5E71" w:rsidRDefault="00FF5E71" w:rsidP="007B580A">
            <w:pPr>
              <w:spacing w:before="40" w:after="120"/>
              <w:ind w:right="113"/>
            </w:pPr>
            <w:r>
              <w:t>Concept for the e-learning platform</w:t>
            </w:r>
          </w:p>
        </w:tc>
        <w:tc>
          <w:tcPr>
            <w:tcW w:w="900" w:type="dxa"/>
          </w:tcPr>
          <w:p w14:paraId="70D9635F" w14:textId="03839061" w:rsidR="00FF5E71" w:rsidRDefault="00FF5E71" w:rsidP="007B580A">
            <w:pPr>
              <w:spacing w:before="40" w:after="120"/>
              <w:ind w:right="113"/>
            </w:pPr>
            <w:r>
              <w:t>–</w:t>
            </w:r>
          </w:p>
        </w:tc>
      </w:tr>
      <w:tr w:rsidR="00FF5E71" w:rsidRPr="00683207" w14:paraId="78492DB9" w14:textId="77777777" w:rsidTr="005A76FD">
        <w:trPr>
          <w:trHeight w:val="756"/>
        </w:trPr>
        <w:tc>
          <w:tcPr>
            <w:tcW w:w="2694" w:type="dxa"/>
            <w:vMerge w:val="restart"/>
          </w:tcPr>
          <w:p w14:paraId="7EE8E61B" w14:textId="765D6324" w:rsidR="00FF5E71" w:rsidRPr="00714147" w:rsidRDefault="00FF5E71" w:rsidP="00C4198B">
            <w:pPr>
              <w:spacing w:before="40" w:after="120"/>
              <w:ind w:right="113"/>
            </w:pPr>
            <w:r>
              <w:t>A.</w:t>
            </w:r>
            <w:r w:rsidRPr="00D109EF">
              <w:t>2. Continue cooperating with the Joint Task Force in its work on environmental statistics and indicators, associated data sets and accompanying environmental information and data necessary to establish SEIS</w:t>
            </w:r>
          </w:p>
        </w:tc>
        <w:tc>
          <w:tcPr>
            <w:tcW w:w="851" w:type="dxa"/>
          </w:tcPr>
          <w:p w14:paraId="71ED5DD6" w14:textId="694D478E" w:rsidR="00FF5E71" w:rsidRDefault="005F12F5" w:rsidP="007B580A">
            <w:pPr>
              <w:spacing w:before="40" w:after="120"/>
              <w:ind w:right="113"/>
            </w:pPr>
            <w:r>
              <w:t>High</w:t>
            </w:r>
          </w:p>
        </w:tc>
        <w:tc>
          <w:tcPr>
            <w:tcW w:w="2738" w:type="dxa"/>
            <w:shd w:val="clear" w:color="auto" w:fill="auto"/>
          </w:tcPr>
          <w:p w14:paraId="47D08388" w14:textId="50B2AEEB" w:rsidR="00FF5E71" w:rsidRDefault="00FF5E71" w:rsidP="007B580A">
            <w:pPr>
              <w:spacing w:before="40" w:after="120"/>
              <w:ind w:right="113"/>
            </w:pPr>
            <w:r>
              <w:t xml:space="preserve">Review and amendment of </w:t>
            </w:r>
            <w:r w:rsidRPr="00020505">
              <w:t xml:space="preserve">the ECE </w:t>
            </w:r>
            <w:r w:rsidRPr="00DC6D96">
              <w:rPr>
                <w:i/>
              </w:rPr>
              <w:t>Guidelines for the Application of Environmental Indicators</w:t>
            </w:r>
          </w:p>
        </w:tc>
        <w:tc>
          <w:tcPr>
            <w:tcW w:w="1080" w:type="dxa"/>
            <w:shd w:val="clear" w:color="auto" w:fill="auto"/>
          </w:tcPr>
          <w:p w14:paraId="2552DDA3" w14:textId="63475206" w:rsidR="00FF5E71" w:rsidRDefault="00FF5E71" w:rsidP="007B580A">
            <w:pPr>
              <w:spacing w:before="40" w:after="120"/>
              <w:ind w:right="113"/>
            </w:pPr>
            <w:r>
              <w:t>Throughout 2019</w:t>
            </w:r>
          </w:p>
        </w:tc>
        <w:tc>
          <w:tcPr>
            <w:tcW w:w="1440" w:type="dxa"/>
            <w:shd w:val="clear" w:color="auto" w:fill="auto"/>
          </w:tcPr>
          <w:p w14:paraId="770D78E6" w14:textId="7E56DEBD" w:rsidR="00FF5E71" w:rsidRDefault="00FF5E71" w:rsidP="00C4198B">
            <w:pPr>
              <w:spacing w:before="40" w:after="120"/>
              <w:ind w:right="113"/>
            </w:pPr>
            <w:r>
              <w:t>Publication of revised guidelines in print or online</w:t>
            </w:r>
          </w:p>
        </w:tc>
        <w:tc>
          <w:tcPr>
            <w:tcW w:w="900" w:type="dxa"/>
          </w:tcPr>
          <w:p w14:paraId="5AE402B8" w14:textId="0EB0CC0B" w:rsidR="00FF5E71" w:rsidRDefault="00FF5E71" w:rsidP="007B580A">
            <w:pPr>
              <w:spacing w:before="40" w:after="120"/>
              <w:ind w:right="113"/>
            </w:pPr>
            <w:r>
              <w:t>–</w:t>
            </w:r>
          </w:p>
        </w:tc>
      </w:tr>
      <w:tr w:rsidR="00FF5E71" w:rsidRPr="00683207" w14:paraId="2784218A" w14:textId="77777777" w:rsidTr="005A76FD">
        <w:trPr>
          <w:trHeight w:val="756"/>
        </w:trPr>
        <w:tc>
          <w:tcPr>
            <w:tcW w:w="2694" w:type="dxa"/>
            <w:vMerge/>
          </w:tcPr>
          <w:p w14:paraId="6D00B8F5" w14:textId="571166E2" w:rsidR="00FF5E71" w:rsidRDefault="00FF5E71" w:rsidP="00857104">
            <w:pPr>
              <w:spacing w:before="40" w:after="120"/>
              <w:ind w:right="113"/>
            </w:pPr>
          </w:p>
        </w:tc>
        <w:tc>
          <w:tcPr>
            <w:tcW w:w="851" w:type="dxa"/>
          </w:tcPr>
          <w:p w14:paraId="3D0F3F41" w14:textId="77777777" w:rsidR="00FF5E71" w:rsidRDefault="00FF5E71" w:rsidP="00857104">
            <w:pPr>
              <w:spacing w:before="40" w:after="120"/>
              <w:ind w:right="113"/>
            </w:pPr>
          </w:p>
        </w:tc>
        <w:tc>
          <w:tcPr>
            <w:tcW w:w="2738" w:type="dxa"/>
            <w:shd w:val="clear" w:color="auto" w:fill="auto"/>
          </w:tcPr>
          <w:p w14:paraId="4FC4804B" w14:textId="3A35CD3C" w:rsidR="00FF5E71" w:rsidRDefault="00FF5E71" w:rsidP="00857104">
            <w:pPr>
              <w:spacing w:before="40" w:after="120"/>
              <w:ind w:right="113"/>
            </w:pPr>
            <w:r>
              <w:t>Annual session of the Joint Task Force</w:t>
            </w:r>
          </w:p>
        </w:tc>
        <w:tc>
          <w:tcPr>
            <w:tcW w:w="1080" w:type="dxa"/>
            <w:shd w:val="clear" w:color="auto" w:fill="auto"/>
          </w:tcPr>
          <w:p w14:paraId="407AAFA9" w14:textId="5B57F4B1" w:rsidR="00FF5E71" w:rsidRDefault="00FF5E71" w:rsidP="00857104">
            <w:pPr>
              <w:spacing w:before="40" w:after="120"/>
              <w:ind w:right="113"/>
            </w:pPr>
            <w:r>
              <w:t>28–29 October 2019</w:t>
            </w:r>
          </w:p>
        </w:tc>
        <w:tc>
          <w:tcPr>
            <w:tcW w:w="1440" w:type="dxa"/>
            <w:shd w:val="clear" w:color="auto" w:fill="auto"/>
          </w:tcPr>
          <w:p w14:paraId="3DB1CE3F" w14:textId="03AD22A9" w:rsidR="00FF5E71" w:rsidRDefault="00FF5E71" w:rsidP="00C4198B">
            <w:pPr>
              <w:spacing w:before="40" w:after="120"/>
              <w:ind w:right="113"/>
            </w:pPr>
            <w:r>
              <w:t>Report on the session</w:t>
            </w:r>
          </w:p>
        </w:tc>
        <w:tc>
          <w:tcPr>
            <w:tcW w:w="900" w:type="dxa"/>
          </w:tcPr>
          <w:p w14:paraId="69421748" w14:textId="0722A49A" w:rsidR="00FF5E71" w:rsidRDefault="00FF5E71" w:rsidP="00857104">
            <w:pPr>
              <w:spacing w:before="40" w:after="120"/>
              <w:ind w:right="113"/>
            </w:pPr>
            <w:r>
              <w:t>A.1, A.5, C.2, D.1, D.2, D.3</w:t>
            </w:r>
          </w:p>
        </w:tc>
      </w:tr>
      <w:tr w:rsidR="00FF5E71" w:rsidRPr="00683207" w14:paraId="30FD05FC" w14:textId="77777777" w:rsidTr="005A76FD">
        <w:tc>
          <w:tcPr>
            <w:tcW w:w="2694" w:type="dxa"/>
            <w:vMerge w:val="restart"/>
          </w:tcPr>
          <w:p w14:paraId="5EF2D069" w14:textId="1D166ECE" w:rsidR="00FF5E71" w:rsidRPr="00714147" w:rsidRDefault="00FF5E71" w:rsidP="007B580A">
            <w:pPr>
              <w:spacing w:before="40" w:after="120"/>
              <w:ind w:right="113"/>
            </w:pPr>
            <w:r>
              <w:t>A.</w:t>
            </w:r>
            <w:r w:rsidRPr="00714147">
              <w:t>3. Regularly evaluate the performance of ECE countries in establishing and implementing SEIS against the SEIS targets and performance indicators adopted by the Committee</w:t>
            </w:r>
          </w:p>
        </w:tc>
        <w:tc>
          <w:tcPr>
            <w:tcW w:w="851" w:type="dxa"/>
          </w:tcPr>
          <w:p w14:paraId="7E303D38" w14:textId="54BF0AB2" w:rsidR="00FF5E71" w:rsidRDefault="005F12F5" w:rsidP="00C4198B">
            <w:pPr>
              <w:spacing w:before="40" w:after="120"/>
              <w:ind w:right="113"/>
            </w:pPr>
            <w:r>
              <w:t>High</w:t>
            </w:r>
          </w:p>
        </w:tc>
        <w:tc>
          <w:tcPr>
            <w:tcW w:w="2738" w:type="dxa"/>
            <w:shd w:val="clear" w:color="auto" w:fill="auto"/>
          </w:tcPr>
          <w:p w14:paraId="243238CB" w14:textId="0CFA6CE5" w:rsidR="00FF5E71" w:rsidRDefault="00FF5E71" w:rsidP="00C4198B">
            <w:pPr>
              <w:spacing w:before="40" w:after="120"/>
              <w:ind w:right="113"/>
            </w:pPr>
            <w:r>
              <w:t>Initiation of the next round of reporting on the establishment of SEIS</w:t>
            </w:r>
          </w:p>
        </w:tc>
        <w:tc>
          <w:tcPr>
            <w:tcW w:w="1080" w:type="dxa"/>
            <w:shd w:val="clear" w:color="auto" w:fill="auto"/>
          </w:tcPr>
          <w:p w14:paraId="35B99425" w14:textId="6CCC6FCE" w:rsidR="00FF5E71" w:rsidRDefault="00FF5E71" w:rsidP="007B580A">
            <w:pPr>
              <w:spacing w:before="40" w:after="120"/>
              <w:ind w:right="113"/>
            </w:pPr>
            <w:r>
              <w:t>First half of 2019</w:t>
            </w:r>
          </w:p>
        </w:tc>
        <w:tc>
          <w:tcPr>
            <w:tcW w:w="1440" w:type="dxa"/>
            <w:shd w:val="clear" w:color="auto" w:fill="auto"/>
          </w:tcPr>
          <w:p w14:paraId="2B752576" w14:textId="67A7A6AA" w:rsidR="00FF5E71" w:rsidRDefault="00FF5E71" w:rsidP="007B580A">
            <w:pPr>
              <w:spacing w:before="40" w:after="120"/>
              <w:ind w:right="113"/>
            </w:pPr>
            <w:r>
              <w:t>Compilation of completed questionnaires on the establish</w:t>
            </w:r>
            <w:r>
              <w:softHyphen/>
              <w:t>ment of SEIS</w:t>
            </w:r>
          </w:p>
        </w:tc>
        <w:tc>
          <w:tcPr>
            <w:tcW w:w="900" w:type="dxa"/>
          </w:tcPr>
          <w:p w14:paraId="482AE76C" w14:textId="3D159A32" w:rsidR="00FF5E71" w:rsidRDefault="00FF5E71" w:rsidP="007B580A">
            <w:pPr>
              <w:spacing w:before="40" w:after="120"/>
              <w:ind w:right="113"/>
            </w:pPr>
            <w:r>
              <w:t>–</w:t>
            </w:r>
          </w:p>
        </w:tc>
      </w:tr>
      <w:tr w:rsidR="00FF5E71" w:rsidRPr="00683207" w14:paraId="3D1D7E54" w14:textId="77777777" w:rsidTr="005A76FD">
        <w:trPr>
          <w:trHeight w:val="66"/>
        </w:trPr>
        <w:tc>
          <w:tcPr>
            <w:tcW w:w="2694" w:type="dxa"/>
            <w:vMerge/>
          </w:tcPr>
          <w:p w14:paraId="7D8589EB" w14:textId="78D2A266" w:rsidR="00FF5E71" w:rsidRDefault="00FF5E71" w:rsidP="007B580A">
            <w:pPr>
              <w:spacing w:before="40" w:after="120"/>
              <w:ind w:right="113"/>
            </w:pPr>
          </w:p>
        </w:tc>
        <w:tc>
          <w:tcPr>
            <w:tcW w:w="851" w:type="dxa"/>
          </w:tcPr>
          <w:p w14:paraId="4F638B2A" w14:textId="77777777" w:rsidR="00FF5E71" w:rsidRDefault="00FF5E71" w:rsidP="007B580A">
            <w:pPr>
              <w:spacing w:before="40" w:after="120"/>
              <w:ind w:right="113"/>
            </w:pPr>
          </w:p>
        </w:tc>
        <w:tc>
          <w:tcPr>
            <w:tcW w:w="2738" w:type="dxa"/>
            <w:shd w:val="clear" w:color="auto" w:fill="auto"/>
          </w:tcPr>
          <w:p w14:paraId="0708F42F" w14:textId="1BA977BF" w:rsidR="00FF5E71" w:rsidRDefault="00FF5E71" w:rsidP="007B580A">
            <w:pPr>
              <w:spacing w:before="40" w:after="120"/>
              <w:ind w:right="113"/>
            </w:pPr>
            <w:r>
              <w:t>Publication of the SEIS assessment framework</w:t>
            </w:r>
          </w:p>
        </w:tc>
        <w:tc>
          <w:tcPr>
            <w:tcW w:w="1080" w:type="dxa"/>
            <w:shd w:val="clear" w:color="auto" w:fill="auto"/>
          </w:tcPr>
          <w:p w14:paraId="7D8C73A1" w14:textId="73B124F0" w:rsidR="00FF5E71" w:rsidRDefault="00FF5E71" w:rsidP="007B580A">
            <w:pPr>
              <w:spacing w:before="40" w:after="120"/>
              <w:ind w:right="113"/>
            </w:pPr>
            <w:r>
              <w:t>Second half of 2019</w:t>
            </w:r>
          </w:p>
        </w:tc>
        <w:tc>
          <w:tcPr>
            <w:tcW w:w="1440" w:type="dxa"/>
            <w:shd w:val="clear" w:color="auto" w:fill="auto"/>
          </w:tcPr>
          <w:p w14:paraId="103CEF69" w14:textId="6DE2EFAA" w:rsidR="00FF5E71" w:rsidRDefault="00FF5E71" w:rsidP="007B580A">
            <w:pPr>
              <w:spacing w:before="40" w:after="120"/>
              <w:ind w:right="113"/>
            </w:pPr>
            <w:r>
              <w:t>Publication</w:t>
            </w:r>
          </w:p>
        </w:tc>
        <w:tc>
          <w:tcPr>
            <w:tcW w:w="900" w:type="dxa"/>
          </w:tcPr>
          <w:p w14:paraId="0CB955CE" w14:textId="20930C91" w:rsidR="00FF5E71" w:rsidRDefault="00FF5E71" w:rsidP="007B580A">
            <w:pPr>
              <w:spacing w:before="40" w:after="120"/>
              <w:ind w:right="113"/>
            </w:pPr>
            <w:r>
              <w:t>–</w:t>
            </w:r>
          </w:p>
        </w:tc>
      </w:tr>
      <w:tr w:rsidR="00FF5E71" w:rsidRPr="00683207" w14:paraId="1B028E1A" w14:textId="77777777" w:rsidTr="005A76FD">
        <w:tc>
          <w:tcPr>
            <w:tcW w:w="2694" w:type="dxa"/>
          </w:tcPr>
          <w:p w14:paraId="4E96F75E" w14:textId="1A02DCCF" w:rsidR="00FF5E71" w:rsidRDefault="00FF5E71" w:rsidP="007B580A">
            <w:pPr>
              <w:spacing w:before="40" w:after="120"/>
              <w:ind w:right="113"/>
            </w:pPr>
            <w:r>
              <w:lastRenderedPageBreak/>
              <w:t>A.</w:t>
            </w:r>
            <w:r w:rsidRPr="000C7FCF">
              <w:t xml:space="preserve">4. Prepare a mid-term and </w:t>
            </w:r>
            <w:r>
              <w:t xml:space="preserve">a </w:t>
            </w:r>
            <w:r w:rsidRPr="000C7FCF">
              <w:t>final report for the Committee on the establishment and implementation of SEIS leading up to 2021</w:t>
            </w:r>
          </w:p>
        </w:tc>
        <w:tc>
          <w:tcPr>
            <w:tcW w:w="851" w:type="dxa"/>
          </w:tcPr>
          <w:p w14:paraId="51B73454" w14:textId="77777777" w:rsidR="00FF5E71" w:rsidRDefault="00FF5E71" w:rsidP="00C4198B">
            <w:pPr>
              <w:spacing w:before="40" w:after="120"/>
              <w:ind w:right="113"/>
            </w:pPr>
          </w:p>
        </w:tc>
        <w:tc>
          <w:tcPr>
            <w:tcW w:w="2738" w:type="dxa"/>
            <w:shd w:val="clear" w:color="auto" w:fill="auto"/>
          </w:tcPr>
          <w:p w14:paraId="109CB315" w14:textId="38DEAD9D" w:rsidR="00FF5E71" w:rsidRDefault="00FF5E71" w:rsidP="00C4198B">
            <w:pPr>
              <w:spacing w:before="40" w:after="120"/>
              <w:ind w:right="113"/>
            </w:pPr>
            <w:r>
              <w:t>Presentation of the report on the mid-term review of the establishment of SEIS at the twenty-fourth session of the Committee on Environmental Policy</w:t>
            </w:r>
          </w:p>
        </w:tc>
        <w:tc>
          <w:tcPr>
            <w:tcW w:w="1080" w:type="dxa"/>
            <w:shd w:val="clear" w:color="auto" w:fill="auto"/>
          </w:tcPr>
          <w:p w14:paraId="668EEF9D" w14:textId="0C9A2F59" w:rsidR="00FF5E71" w:rsidRDefault="00FF5E71" w:rsidP="007B580A">
            <w:pPr>
              <w:spacing w:before="40" w:after="120"/>
              <w:ind w:right="113"/>
            </w:pPr>
            <w:r>
              <w:t>29–31 January 2019</w:t>
            </w:r>
          </w:p>
        </w:tc>
        <w:tc>
          <w:tcPr>
            <w:tcW w:w="1440" w:type="dxa"/>
            <w:shd w:val="clear" w:color="auto" w:fill="auto"/>
          </w:tcPr>
          <w:p w14:paraId="121724FA" w14:textId="77777777" w:rsidR="00FF5E71" w:rsidRDefault="00FF5E71" w:rsidP="007B580A">
            <w:pPr>
              <w:spacing w:before="40" w:after="120"/>
              <w:ind w:right="113"/>
            </w:pPr>
            <w:r>
              <w:t>Approval of the report by the Committee</w:t>
            </w:r>
          </w:p>
          <w:p w14:paraId="148B42B7" w14:textId="24B4AC9C" w:rsidR="00FF5E71" w:rsidRDefault="00FF5E71" w:rsidP="007B580A">
            <w:pPr>
              <w:spacing w:before="40" w:after="120"/>
              <w:ind w:right="113"/>
            </w:pPr>
          </w:p>
        </w:tc>
        <w:tc>
          <w:tcPr>
            <w:tcW w:w="900" w:type="dxa"/>
          </w:tcPr>
          <w:p w14:paraId="3D8B1071" w14:textId="51803F3B" w:rsidR="00FF5E71" w:rsidRDefault="00FF5E71" w:rsidP="007B580A">
            <w:pPr>
              <w:spacing w:before="40" w:after="120"/>
              <w:ind w:right="113"/>
            </w:pPr>
            <w:r>
              <w:t>–</w:t>
            </w:r>
          </w:p>
        </w:tc>
      </w:tr>
      <w:tr w:rsidR="00FF5E71" w:rsidRPr="00683207" w14:paraId="0E0F621F" w14:textId="77777777" w:rsidTr="005A76FD">
        <w:tc>
          <w:tcPr>
            <w:tcW w:w="2694" w:type="dxa"/>
          </w:tcPr>
          <w:p w14:paraId="7FA47F8D" w14:textId="67986CD5" w:rsidR="00FF5E71" w:rsidRDefault="00FF5E71" w:rsidP="007B580A">
            <w:pPr>
              <w:spacing w:before="40" w:after="120"/>
              <w:ind w:right="113"/>
            </w:pPr>
            <w:r>
              <w:t>B.</w:t>
            </w:r>
            <w:r w:rsidRPr="00FD5F57">
              <w:t xml:space="preserve">1. Bring together experts involved in </w:t>
            </w:r>
            <w:r>
              <w:t xml:space="preserve">the </w:t>
            </w:r>
            <w:r w:rsidRPr="00FD5F57">
              <w:t xml:space="preserve">UNEP Global Environment Outlook process and the EEA </w:t>
            </w:r>
            <w:r w:rsidRPr="00FB4598">
              <w:t xml:space="preserve">European Environment Information and Observation Network </w:t>
            </w:r>
            <w:r w:rsidRPr="00FD5F57">
              <w:t>to discuss and oversee the regular pan-European environmental assessment</w:t>
            </w:r>
          </w:p>
        </w:tc>
        <w:tc>
          <w:tcPr>
            <w:tcW w:w="851" w:type="dxa"/>
          </w:tcPr>
          <w:p w14:paraId="7230C1D6" w14:textId="51DD59D6" w:rsidR="00FF5E71" w:rsidRDefault="00347FEF" w:rsidP="007B580A">
            <w:pPr>
              <w:spacing w:before="40" w:after="120"/>
              <w:ind w:right="113"/>
            </w:pPr>
            <w:r>
              <w:t>Medium</w:t>
            </w:r>
          </w:p>
        </w:tc>
        <w:tc>
          <w:tcPr>
            <w:tcW w:w="2738" w:type="dxa"/>
            <w:shd w:val="clear" w:color="auto" w:fill="auto"/>
          </w:tcPr>
          <w:p w14:paraId="64BE31FE" w14:textId="7C5F619D" w:rsidR="00FF5E71" w:rsidRDefault="00FF5E71" w:rsidP="007B580A">
            <w:pPr>
              <w:spacing w:before="40" w:after="120"/>
              <w:ind w:right="113"/>
            </w:pPr>
            <w:r>
              <w:t>Drafting of a concept for the next regular pan-European environmental assessment</w:t>
            </w:r>
          </w:p>
        </w:tc>
        <w:tc>
          <w:tcPr>
            <w:tcW w:w="1080" w:type="dxa"/>
            <w:shd w:val="clear" w:color="auto" w:fill="auto"/>
          </w:tcPr>
          <w:p w14:paraId="6F90BB28" w14:textId="1421BA72" w:rsidR="00FF5E71" w:rsidRDefault="00FF5E71" w:rsidP="007B580A">
            <w:pPr>
              <w:spacing w:before="40" w:after="120"/>
              <w:ind w:right="113"/>
            </w:pPr>
            <w:r>
              <w:t>First half of 2019</w:t>
            </w:r>
          </w:p>
        </w:tc>
        <w:tc>
          <w:tcPr>
            <w:tcW w:w="1440" w:type="dxa"/>
            <w:shd w:val="clear" w:color="auto" w:fill="auto"/>
          </w:tcPr>
          <w:p w14:paraId="1E68DE3A" w14:textId="6CFA7111" w:rsidR="00FF5E71" w:rsidRDefault="00FF5E71" w:rsidP="007B580A">
            <w:pPr>
              <w:spacing w:before="40" w:after="120"/>
              <w:ind w:right="113"/>
            </w:pPr>
            <w:r>
              <w:t>Approval of the draft concept by the Working Group</w:t>
            </w:r>
          </w:p>
        </w:tc>
        <w:tc>
          <w:tcPr>
            <w:tcW w:w="900" w:type="dxa"/>
          </w:tcPr>
          <w:p w14:paraId="382211BD" w14:textId="0A3A11B7" w:rsidR="00FF5E71" w:rsidRDefault="00FF5E71" w:rsidP="007B580A">
            <w:pPr>
              <w:spacing w:before="40" w:after="120"/>
              <w:ind w:right="113"/>
            </w:pPr>
            <w:r>
              <w:t>–</w:t>
            </w:r>
          </w:p>
        </w:tc>
      </w:tr>
      <w:tr w:rsidR="00FF5E71" w:rsidRPr="00683207" w14:paraId="6D9CD686" w14:textId="77777777" w:rsidTr="005A76FD">
        <w:tc>
          <w:tcPr>
            <w:tcW w:w="2694" w:type="dxa"/>
          </w:tcPr>
          <w:p w14:paraId="404CFC47" w14:textId="20EB3E04" w:rsidR="00FF5E71" w:rsidRDefault="00FF5E71" w:rsidP="00857104">
            <w:pPr>
              <w:spacing w:before="40" w:after="120"/>
              <w:ind w:right="113"/>
            </w:pPr>
            <w:r>
              <w:t>C.</w:t>
            </w:r>
            <w:r w:rsidRPr="002F11CD">
              <w:t>5. Publish outcomes from the Working Group’s collaborative activities</w:t>
            </w:r>
          </w:p>
        </w:tc>
        <w:tc>
          <w:tcPr>
            <w:tcW w:w="851" w:type="dxa"/>
          </w:tcPr>
          <w:p w14:paraId="50B84D36" w14:textId="2C11B868" w:rsidR="00FF5E71" w:rsidRDefault="00347FEF" w:rsidP="00C4198B">
            <w:pPr>
              <w:spacing w:before="40" w:after="120"/>
              <w:ind w:right="113"/>
            </w:pPr>
            <w:r>
              <w:t>Low</w:t>
            </w:r>
          </w:p>
        </w:tc>
        <w:tc>
          <w:tcPr>
            <w:tcW w:w="2738" w:type="dxa"/>
            <w:shd w:val="clear" w:color="auto" w:fill="auto"/>
          </w:tcPr>
          <w:p w14:paraId="56CE97AF" w14:textId="53892E0B" w:rsidR="00FF5E71" w:rsidRPr="00683207" w:rsidRDefault="00FF5E71" w:rsidP="00C4198B">
            <w:pPr>
              <w:spacing w:before="40" w:after="120"/>
              <w:ind w:right="113"/>
            </w:pPr>
            <w:r>
              <w:t>Publication of other guidelines as appropriate</w:t>
            </w:r>
          </w:p>
        </w:tc>
        <w:tc>
          <w:tcPr>
            <w:tcW w:w="1080" w:type="dxa"/>
            <w:shd w:val="clear" w:color="auto" w:fill="auto"/>
          </w:tcPr>
          <w:p w14:paraId="4E9DF562" w14:textId="2C535A03" w:rsidR="00FF5E71" w:rsidRPr="00683207" w:rsidRDefault="00FF5E71" w:rsidP="00857104">
            <w:pPr>
              <w:spacing w:before="40" w:after="120"/>
              <w:ind w:right="113"/>
            </w:pPr>
            <w:r>
              <w:t>Second half of 2019</w:t>
            </w:r>
          </w:p>
        </w:tc>
        <w:tc>
          <w:tcPr>
            <w:tcW w:w="1440" w:type="dxa"/>
            <w:shd w:val="clear" w:color="auto" w:fill="auto"/>
          </w:tcPr>
          <w:p w14:paraId="1CDB7E28" w14:textId="14B0ECA6" w:rsidR="00FF5E71" w:rsidRPr="00683207" w:rsidRDefault="00FF5E71" w:rsidP="00857104">
            <w:pPr>
              <w:spacing w:before="40" w:after="120"/>
              <w:ind w:right="113"/>
            </w:pPr>
            <w:r>
              <w:t>Publication</w:t>
            </w:r>
          </w:p>
        </w:tc>
        <w:tc>
          <w:tcPr>
            <w:tcW w:w="900" w:type="dxa"/>
          </w:tcPr>
          <w:p w14:paraId="2B8377EF" w14:textId="627361B0" w:rsidR="00FF5E71" w:rsidRDefault="00FF5E71" w:rsidP="00857104">
            <w:pPr>
              <w:spacing w:before="40" w:after="120"/>
              <w:ind w:right="113"/>
            </w:pPr>
            <w:r>
              <w:t>–</w:t>
            </w:r>
          </w:p>
        </w:tc>
      </w:tr>
      <w:tr w:rsidR="00FF5E71" w:rsidRPr="00683207" w14:paraId="3320A04A" w14:textId="77777777" w:rsidTr="005A76FD">
        <w:tc>
          <w:tcPr>
            <w:tcW w:w="2694" w:type="dxa"/>
          </w:tcPr>
          <w:p w14:paraId="47BEC63F" w14:textId="54417018" w:rsidR="00FF5E71" w:rsidRDefault="00FF5E71" w:rsidP="007B580A">
            <w:pPr>
              <w:spacing w:before="40" w:after="120"/>
              <w:ind w:right="113"/>
            </w:pPr>
            <w:r>
              <w:rPr>
                <w:bCs/>
              </w:rPr>
              <w:t>D.</w:t>
            </w:r>
            <w:r w:rsidRPr="00253FF6">
              <w:rPr>
                <w:bCs/>
              </w:rPr>
              <w:t xml:space="preserve">1. Detail regional and national capacity gaps in information and data needed for producing the ECE set of environmental indicators, the EEA core set of indicators, OECD green growth indicators and </w:t>
            </w:r>
            <w:r>
              <w:rPr>
                <w:bCs/>
              </w:rPr>
              <w:t>SDG</w:t>
            </w:r>
            <w:r w:rsidRPr="00253FF6">
              <w:rPr>
                <w:bCs/>
              </w:rPr>
              <w:t xml:space="preserve"> indicators</w:t>
            </w:r>
          </w:p>
        </w:tc>
        <w:tc>
          <w:tcPr>
            <w:tcW w:w="851" w:type="dxa"/>
          </w:tcPr>
          <w:p w14:paraId="74B0DDC8" w14:textId="4A8C2DAC" w:rsidR="00FF5E71" w:rsidRDefault="005F12F5" w:rsidP="00E24C14">
            <w:pPr>
              <w:spacing w:before="40" w:after="120"/>
              <w:ind w:right="113"/>
            </w:pPr>
            <w:r>
              <w:t>Medium</w:t>
            </w:r>
          </w:p>
        </w:tc>
        <w:tc>
          <w:tcPr>
            <w:tcW w:w="2738" w:type="dxa"/>
            <w:shd w:val="clear" w:color="auto" w:fill="auto"/>
          </w:tcPr>
          <w:p w14:paraId="34DED68E" w14:textId="4976FC10" w:rsidR="00FF5E71" w:rsidRDefault="00FF5E71" w:rsidP="00E24C14">
            <w:pPr>
              <w:spacing w:before="40" w:after="120"/>
              <w:ind w:right="113"/>
            </w:pPr>
            <w:r>
              <w:t xml:space="preserve">Completion of national gap analyses on </w:t>
            </w:r>
            <w:r w:rsidRPr="00474A6F">
              <w:t>environmental data and information needs and SEIS establishment</w:t>
            </w:r>
            <w:r w:rsidRPr="00474A6F" w:rsidDel="005925B5">
              <w:t xml:space="preserve"> </w:t>
            </w:r>
            <w:r>
              <w:t>in selected countries under the UNDA project</w:t>
            </w:r>
          </w:p>
        </w:tc>
        <w:tc>
          <w:tcPr>
            <w:tcW w:w="1080" w:type="dxa"/>
            <w:shd w:val="clear" w:color="auto" w:fill="auto"/>
          </w:tcPr>
          <w:p w14:paraId="63D9D36F" w14:textId="032D0D5C" w:rsidR="00FF5E71" w:rsidRDefault="00FF5E71" w:rsidP="007B580A">
            <w:pPr>
              <w:spacing w:before="40" w:after="120"/>
              <w:ind w:right="113"/>
            </w:pPr>
            <w:r>
              <w:t>First half of 2019</w:t>
            </w:r>
          </w:p>
        </w:tc>
        <w:tc>
          <w:tcPr>
            <w:tcW w:w="1440" w:type="dxa"/>
            <w:shd w:val="clear" w:color="auto" w:fill="auto"/>
          </w:tcPr>
          <w:p w14:paraId="36913EF6" w14:textId="46C6EF5B" w:rsidR="00FF5E71" w:rsidRDefault="00FF5E71" w:rsidP="007B580A">
            <w:pPr>
              <w:spacing w:before="40" w:after="120"/>
              <w:ind w:right="113"/>
            </w:pPr>
            <w:r>
              <w:t>National gap analyses</w:t>
            </w:r>
          </w:p>
        </w:tc>
        <w:tc>
          <w:tcPr>
            <w:tcW w:w="900" w:type="dxa"/>
          </w:tcPr>
          <w:p w14:paraId="7D2943F2" w14:textId="06CF9BCA" w:rsidR="00FF5E71" w:rsidRDefault="00FF5E71" w:rsidP="007B580A">
            <w:pPr>
              <w:spacing w:before="40" w:after="120"/>
              <w:ind w:right="113"/>
            </w:pPr>
            <w:r>
              <w:t>–</w:t>
            </w:r>
          </w:p>
        </w:tc>
      </w:tr>
      <w:tr w:rsidR="00FF5E71" w:rsidRPr="00683207" w14:paraId="07041C3A" w14:textId="77777777" w:rsidTr="005A76FD">
        <w:tc>
          <w:tcPr>
            <w:tcW w:w="2694" w:type="dxa"/>
          </w:tcPr>
          <w:p w14:paraId="26356044" w14:textId="58627D4F" w:rsidR="00FF5E71" w:rsidRDefault="00FF5E71" w:rsidP="007B580A">
            <w:pPr>
              <w:spacing w:before="40" w:after="120"/>
              <w:ind w:right="113"/>
            </w:pPr>
            <w:r>
              <w:t>D.2. Support</w:t>
            </w:r>
            <w:r w:rsidRPr="00CC3006">
              <w:t xml:space="preserve"> countries in the development of regional and national indicator frameworks to monitor the Goals and targets of the 2030 Agenda, and activities to support its implementation</w:t>
            </w:r>
          </w:p>
        </w:tc>
        <w:tc>
          <w:tcPr>
            <w:tcW w:w="851" w:type="dxa"/>
          </w:tcPr>
          <w:p w14:paraId="6E27D788" w14:textId="4D942C2C" w:rsidR="00FF5E71" w:rsidRDefault="005F12F5" w:rsidP="00C4198B">
            <w:pPr>
              <w:spacing w:before="40" w:after="120"/>
              <w:ind w:right="113"/>
            </w:pPr>
            <w:r>
              <w:t>Medium</w:t>
            </w:r>
          </w:p>
        </w:tc>
        <w:tc>
          <w:tcPr>
            <w:tcW w:w="2738" w:type="dxa"/>
            <w:shd w:val="clear" w:color="auto" w:fill="auto"/>
          </w:tcPr>
          <w:p w14:paraId="1AF8F812" w14:textId="4039380B" w:rsidR="00FF5E71" w:rsidRDefault="00FF5E71" w:rsidP="00C4198B">
            <w:pPr>
              <w:spacing w:before="40" w:after="120"/>
              <w:ind w:right="113"/>
            </w:pPr>
            <w:r>
              <w:t xml:space="preserve">Capacity-building and training sessions in support of SEIS establishment and regular monitoring and assessment, including on environment-related SDGs: seven national training workshops under the UNDA </w:t>
            </w:r>
            <w:proofErr w:type="spellStart"/>
            <w:r>
              <w:t>project</w:t>
            </w:r>
            <w:r w:rsidRPr="000648F2">
              <w:rPr>
                <w:vertAlign w:val="superscript"/>
              </w:rPr>
              <w:t>b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5C5181E9" w14:textId="448EC771" w:rsidR="00FF5E71" w:rsidRDefault="00FF5E71" w:rsidP="007B580A">
            <w:pPr>
              <w:spacing w:before="40" w:after="120"/>
              <w:ind w:right="113"/>
            </w:pPr>
            <w:r>
              <w:t>Throughout 2019</w:t>
            </w:r>
          </w:p>
        </w:tc>
        <w:tc>
          <w:tcPr>
            <w:tcW w:w="1440" w:type="dxa"/>
            <w:shd w:val="clear" w:color="auto" w:fill="auto"/>
          </w:tcPr>
          <w:p w14:paraId="3DF1AA67" w14:textId="34861AB6" w:rsidR="00FF5E71" w:rsidRDefault="00FF5E71" w:rsidP="007B580A">
            <w:pPr>
              <w:spacing w:before="40" w:after="120"/>
              <w:ind w:right="113"/>
            </w:pPr>
            <w:r>
              <w:t>Holding of the workshops</w:t>
            </w:r>
          </w:p>
        </w:tc>
        <w:tc>
          <w:tcPr>
            <w:tcW w:w="900" w:type="dxa"/>
          </w:tcPr>
          <w:p w14:paraId="7B22F453" w14:textId="7BBD13FD" w:rsidR="00FF5E71" w:rsidRDefault="00FF5E71" w:rsidP="007B580A">
            <w:pPr>
              <w:spacing w:before="40" w:after="120"/>
              <w:ind w:right="113"/>
            </w:pPr>
            <w:r>
              <w:softHyphen/>
              <w:t>B.3</w:t>
            </w:r>
          </w:p>
        </w:tc>
      </w:tr>
      <w:tr w:rsidR="00FF5E71" w:rsidRPr="00683207" w14:paraId="0EF63ACE" w14:textId="77777777" w:rsidTr="005A76FD">
        <w:tc>
          <w:tcPr>
            <w:tcW w:w="2694" w:type="dxa"/>
          </w:tcPr>
          <w:p w14:paraId="60A5E324" w14:textId="2B78858E" w:rsidR="00FF5E71" w:rsidRDefault="00FF5E71" w:rsidP="007B580A">
            <w:pPr>
              <w:spacing w:before="40" w:after="120"/>
              <w:ind w:right="113"/>
            </w:pPr>
            <w:r>
              <w:t>D.4. Implement</w:t>
            </w:r>
            <w:r w:rsidRPr="004748C2">
              <w:t xml:space="preserve"> capacity-building activities to provide assistance in accordance with priority areas of action</w:t>
            </w:r>
          </w:p>
        </w:tc>
        <w:tc>
          <w:tcPr>
            <w:tcW w:w="851" w:type="dxa"/>
          </w:tcPr>
          <w:p w14:paraId="3B065A7C" w14:textId="07972268" w:rsidR="00FF5E71" w:rsidRDefault="00347FEF" w:rsidP="007B580A">
            <w:pPr>
              <w:spacing w:before="40" w:after="120"/>
              <w:ind w:right="113"/>
            </w:pPr>
            <w:r>
              <w:t>High</w:t>
            </w:r>
          </w:p>
        </w:tc>
        <w:tc>
          <w:tcPr>
            <w:tcW w:w="2738" w:type="dxa"/>
            <w:shd w:val="clear" w:color="auto" w:fill="auto"/>
          </w:tcPr>
          <w:p w14:paraId="38F2F3E4" w14:textId="09847EEF" w:rsidR="00FF5E71" w:rsidRPr="00683207" w:rsidRDefault="00FF5E71" w:rsidP="007B580A">
            <w:pPr>
              <w:spacing w:before="40" w:after="120"/>
              <w:ind w:right="113"/>
            </w:pPr>
            <w:r>
              <w:t>Regional capacity-building workshop or conference on environmental data</w:t>
            </w:r>
          </w:p>
        </w:tc>
        <w:tc>
          <w:tcPr>
            <w:tcW w:w="1080" w:type="dxa"/>
            <w:shd w:val="clear" w:color="auto" w:fill="auto"/>
          </w:tcPr>
          <w:p w14:paraId="5B833A82" w14:textId="5B8027B3" w:rsidR="00FF5E71" w:rsidRPr="00683207" w:rsidRDefault="00FF5E71" w:rsidP="007B580A">
            <w:pPr>
              <w:spacing w:before="40" w:after="120"/>
              <w:ind w:right="113"/>
            </w:pPr>
            <w:r>
              <w:t>6 May 2019</w:t>
            </w:r>
          </w:p>
        </w:tc>
        <w:tc>
          <w:tcPr>
            <w:tcW w:w="1440" w:type="dxa"/>
            <w:shd w:val="clear" w:color="auto" w:fill="auto"/>
          </w:tcPr>
          <w:p w14:paraId="45607C2C" w14:textId="5E7FD252" w:rsidR="00FF5E71" w:rsidRPr="00683207" w:rsidRDefault="00FF5E71" w:rsidP="007B580A">
            <w:pPr>
              <w:spacing w:before="40" w:after="120"/>
              <w:ind w:right="113"/>
            </w:pPr>
            <w:r>
              <w:t>Holding of the conference</w:t>
            </w:r>
          </w:p>
        </w:tc>
        <w:tc>
          <w:tcPr>
            <w:tcW w:w="900" w:type="dxa"/>
          </w:tcPr>
          <w:p w14:paraId="21888F82" w14:textId="68B47AE3" w:rsidR="00FF5E71" w:rsidRDefault="00FF5E71" w:rsidP="007B580A">
            <w:pPr>
              <w:spacing w:before="40" w:after="120"/>
              <w:ind w:right="113"/>
            </w:pPr>
            <w:r>
              <w:t>–</w:t>
            </w:r>
          </w:p>
        </w:tc>
      </w:tr>
      <w:tr w:rsidR="00FF5E71" w:rsidRPr="00683207" w14:paraId="6F1630E0" w14:textId="77777777" w:rsidTr="005A76FD">
        <w:tc>
          <w:tcPr>
            <w:tcW w:w="2694" w:type="dxa"/>
            <w:vMerge w:val="restart"/>
          </w:tcPr>
          <w:p w14:paraId="1397EB5B" w14:textId="60E4BE32" w:rsidR="00FF5E71" w:rsidRDefault="00FF5E71" w:rsidP="007B580A">
            <w:pPr>
              <w:spacing w:before="40" w:after="120"/>
              <w:ind w:right="113"/>
            </w:pPr>
            <w:r>
              <w:t>Cross-cutting</w:t>
            </w:r>
          </w:p>
        </w:tc>
        <w:tc>
          <w:tcPr>
            <w:tcW w:w="851" w:type="dxa"/>
          </w:tcPr>
          <w:p w14:paraId="4E7C14B7" w14:textId="77777777" w:rsidR="00FF5E71" w:rsidRDefault="00FF5E71" w:rsidP="00C4198B">
            <w:pPr>
              <w:spacing w:before="40" w:after="120"/>
              <w:ind w:right="113"/>
            </w:pPr>
          </w:p>
        </w:tc>
        <w:tc>
          <w:tcPr>
            <w:tcW w:w="2738" w:type="dxa"/>
            <w:shd w:val="clear" w:color="auto" w:fill="auto"/>
          </w:tcPr>
          <w:p w14:paraId="462CB7A2" w14:textId="7DCA21B5" w:rsidR="00FF5E71" w:rsidRDefault="00FF5E71" w:rsidP="00C4198B">
            <w:pPr>
              <w:spacing w:before="40" w:after="120"/>
              <w:ind w:right="113"/>
            </w:pPr>
            <w:r>
              <w:t>Presentation of the Environmental Monitoring and Assessment Programme in general at the twenty-fourth session of the Committee on Environmental Policy</w:t>
            </w:r>
          </w:p>
        </w:tc>
        <w:tc>
          <w:tcPr>
            <w:tcW w:w="1080" w:type="dxa"/>
            <w:shd w:val="clear" w:color="auto" w:fill="auto"/>
          </w:tcPr>
          <w:p w14:paraId="3C8D96D2" w14:textId="1334A47F" w:rsidR="00FF5E71" w:rsidRDefault="00FF5E71" w:rsidP="007B580A">
            <w:pPr>
              <w:spacing w:before="40" w:after="120"/>
              <w:ind w:right="113"/>
            </w:pPr>
            <w:r>
              <w:t>29–31 January 2019</w:t>
            </w:r>
          </w:p>
        </w:tc>
        <w:tc>
          <w:tcPr>
            <w:tcW w:w="1440" w:type="dxa"/>
            <w:shd w:val="clear" w:color="auto" w:fill="auto"/>
          </w:tcPr>
          <w:p w14:paraId="1EDFCF62" w14:textId="2AE2DA51" w:rsidR="00FF5E71" w:rsidRDefault="00FF5E71" w:rsidP="00C4198B">
            <w:pPr>
              <w:spacing w:before="40" w:after="120"/>
              <w:ind w:right="113"/>
            </w:pPr>
            <w:r>
              <w:t>Expressions of support for the Programme by the Committee</w:t>
            </w:r>
          </w:p>
        </w:tc>
        <w:tc>
          <w:tcPr>
            <w:tcW w:w="900" w:type="dxa"/>
          </w:tcPr>
          <w:p w14:paraId="0B2394F5" w14:textId="0F3B0E50" w:rsidR="00FF5E71" w:rsidRDefault="00FF5E71" w:rsidP="007B580A">
            <w:pPr>
              <w:spacing w:before="40" w:after="120"/>
              <w:ind w:right="113"/>
            </w:pPr>
            <w:r>
              <w:t>–</w:t>
            </w:r>
          </w:p>
        </w:tc>
      </w:tr>
      <w:tr w:rsidR="00FF5E71" w:rsidRPr="00683207" w14:paraId="353EF54B" w14:textId="77777777" w:rsidTr="005A76FD">
        <w:tc>
          <w:tcPr>
            <w:tcW w:w="2694" w:type="dxa"/>
            <w:vMerge/>
          </w:tcPr>
          <w:p w14:paraId="55F7FE5A" w14:textId="2814714F" w:rsidR="00FF5E71" w:rsidRDefault="00FF5E71" w:rsidP="00857104">
            <w:pPr>
              <w:spacing w:before="40" w:after="120"/>
              <w:ind w:right="113"/>
            </w:pPr>
          </w:p>
        </w:tc>
        <w:tc>
          <w:tcPr>
            <w:tcW w:w="851" w:type="dxa"/>
          </w:tcPr>
          <w:p w14:paraId="18348A23" w14:textId="77777777" w:rsidR="00FF5E71" w:rsidRDefault="00FF5E71" w:rsidP="00C4198B">
            <w:pPr>
              <w:spacing w:before="40" w:after="120"/>
              <w:ind w:right="113"/>
            </w:pPr>
          </w:p>
        </w:tc>
        <w:tc>
          <w:tcPr>
            <w:tcW w:w="2738" w:type="dxa"/>
            <w:shd w:val="clear" w:color="auto" w:fill="auto"/>
          </w:tcPr>
          <w:p w14:paraId="0FF662D0" w14:textId="093382FB" w:rsidR="00FF5E71" w:rsidRDefault="00FF5E71" w:rsidP="00C4198B">
            <w:pPr>
              <w:spacing w:before="40" w:after="120"/>
              <w:ind w:right="113"/>
            </w:pPr>
            <w:r>
              <w:t>Presentation of the Environmental Monitoring and Assessment Programme in general at the twenty-fifth session of the Committee on Environmental Policy</w:t>
            </w:r>
          </w:p>
        </w:tc>
        <w:tc>
          <w:tcPr>
            <w:tcW w:w="1080" w:type="dxa"/>
            <w:shd w:val="clear" w:color="auto" w:fill="auto"/>
          </w:tcPr>
          <w:p w14:paraId="7A398F70" w14:textId="70951837" w:rsidR="00FF5E71" w:rsidRDefault="00FF5E71" w:rsidP="00857104">
            <w:pPr>
              <w:spacing w:before="40" w:after="120"/>
              <w:ind w:right="113"/>
            </w:pPr>
            <w:r>
              <w:t>12–14 November 2019</w:t>
            </w:r>
          </w:p>
        </w:tc>
        <w:tc>
          <w:tcPr>
            <w:tcW w:w="1440" w:type="dxa"/>
            <w:shd w:val="clear" w:color="auto" w:fill="auto"/>
          </w:tcPr>
          <w:p w14:paraId="0D40BFA4" w14:textId="087982A1" w:rsidR="00FF5E71" w:rsidRDefault="00FF5E71" w:rsidP="00C4198B">
            <w:pPr>
              <w:spacing w:before="40" w:after="120"/>
              <w:ind w:right="113"/>
            </w:pPr>
            <w:r>
              <w:t>Expressions of support for the Programme by the Committee</w:t>
            </w:r>
          </w:p>
        </w:tc>
        <w:tc>
          <w:tcPr>
            <w:tcW w:w="900" w:type="dxa"/>
          </w:tcPr>
          <w:p w14:paraId="0804A51D" w14:textId="1C218280" w:rsidR="00FF5E71" w:rsidRDefault="00FF5E71" w:rsidP="00857104">
            <w:pPr>
              <w:spacing w:before="40" w:after="120"/>
              <w:ind w:right="113"/>
            </w:pPr>
            <w:r>
              <w:softHyphen/>
              <w:t>–</w:t>
            </w:r>
          </w:p>
        </w:tc>
      </w:tr>
      <w:tr w:rsidR="00FF5E71" w:rsidRPr="00683207" w14:paraId="045F796C" w14:textId="77777777" w:rsidTr="005A76FD">
        <w:tc>
          <w:tcPr>
            <w:tcW w:w="2694" w:type="dxa"/>
            <w:vMerge/>
          </w:tcPr>
          <w:p w14:paraId="743A4ADF" w14:textId="334BACC1" w:rsidR="00FF5E71" w:rsidRDefault="00FF5E71" w:rsidP="00857104">
            <w:pPr>
              <w:spacing w:before="40" w:after="120"/>
              <w:ind w:right="113"/>
            </w:pPr>
          </w:p>
        </w:tc>
        <w:tc>
          <w:tcPr>
            <w:tcW w:w="851" w:type="dxa"/>
          </w:tcPr>
          <w:p w14:paraId="5E9E4B54" w14:textId="77777777" w:rsidR="00FF5E71" w:rsidRDefault="00FF5E71" w:rsidP="00C4198B">
            <w:pPr>
              <w:spacing w:before="40" w:after="120"/>
              <w:ind w:right="113"/>
            </w:pPr>
          </w:p>
        </w:tc>
        <w:tc>
          <w:tcPr>
            <w:tcW w:w="2738" w:type="dxa"/>
            <w:shd w:val="clear" w:color="auto" w:fill="auto"/>
          </w:tcPr>
          <w:p w14:paraId="4B551B15" w14:textId="32A427F9" w:rsidR="00FF5E71" w:rsidRDefault="00FF5E71" w:rsidP="00C4198B">
            <w:pPr>
              <w:spacing w:before="40" w:after="120"/>
              <w:ind w:right="113"/>
            </w:pPr>
            <w:r>
              <w:t xml:space="preserve">Annual session of the Working Group, including capacity-building and support for the development of regional and national indicator frameworks </w:t>
            </w:r>
          </w:p>
        </w:tc>
        <w:tc>
          <w:tcPr>
            <w:tcW w:w="1080" w:type="dxa"/>
            <w:shd w:val="clear" w:color="auto" w:fill="auto"/>
          </w:tcPr>
          <w:p w14:paraId="1AFCD07E" w14:textId="77777777" w:rsidR="00FF5E71" w:rsidRDefault="00FF5E71" w:rsidP="00857104">
            <w:pPr>
              <w:spacing w:before="40" w:after="120"/>
              <w:ind w:right="113"/>
            </w:pPr>
            <w:r>
              <w:t>7–8 May 2019</w:t>
            </w:r>
          </w:p>
        </w:tc>
        <w:tc>
          <w:tcPr>
            <w:tcW w:w="1440" w:type="dxa"/>
            <w:shd w:val="clear" w:color="auto" w:fill="auto"/>
          </w:tcPr>
          <w:p w14:paraId="6FD73FC5" w14:textId="0DBD4E16" w:rsidR="00FF5E71" w:rsidRDefault="00FF5E71" w:rsidP="00C4198B">
            <w:pPr>
              <w:spacing w:before="40" w:after="120"/>
              <w:ind w:right="113"/>
            </w:pPr>
            <w:r>
              <w:t>Report on the session</w:t>
            </w:r>
          </w:p>
        </w:tc>
        <w:tc>
          <w:tcPr>
            <w:tcW w:w="900" w:type="dxa"/>
            <w:shd w:val="clear" w:color="auto" w:fill="auto"/>
          </w:tcPr>
          <w:p w14:paraId="2FB66C24" w14:textId="77777777" w:rsidR="00FF5E71" w:rsidRDefault="00FF5E71" w:rsidP="00857104">
            <w:pPr>
              <w:spacing w:before="40" w:after="120"/>
              <w:ind w:right="113"/>
            </w:pPr>
            <w:r>
              <w:t>A.1, A.2, A.5, B.2, C.2, C.3, C.4, D.1, D.2</w:t>
            </w:r>
          </w:p>
        </w:tc>
      </w:tr>
      <w:tr w:rsidR="00FF5E71" w:rsidRPr="00683207" w14:paraId="049FE2EC" w14:textId="6C5C786D" w:rsidTr="005A76FD">
        <w:tc>
          <w:tcPr>
            <w:tcW w:w="2694" w:type="dxa"/>
            <w:vMerge/>
            <w:tcBorders>
              <w:bottom w:val="single" w:sz="12" w:space="0" w:color="auto"/>
            </w:tcBorders>
          </w:tcPr>
          <w:p w14:paraId="3ED4C98C" w14:textId="792F45C5" w:rsidR="00FF5E71" w:rsidRDefault="00FF5E71" w:rsidP="00857104">
            <w:pPr>
              <w:spacing w:before="40" w:after="120"/>
              <w:ind w:right="113"/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5A3D9E16" w14:textId="77777777" w:rsidR="00FF5E71" w:rsidRDefault="00FF5E71" w:rsidP="00857104">
            <w:pPr>
              <w:spacing w:before="40" w:after="120"/>
              <w:ind w:right="113"/>
            </w:pPr>
          </w:p>
        </w:tc>
        <w:tc>
          <w:tcPr>
            <w:tcW w:w="2738" w:type="dxa"/>
            <w:tcBorders>
              <w:bottom w:val="single" w:sz="12" w:space="0" w:color="auto"/>
            </w:tcBorders>
            <w:shd w:val="clear" w:color="auto" w:fill="auto"/>
          </w:tcPr>
          <w:p w14:paraId="138CDEFB" w14:textId="79BCC77A" w:rsidR="00FF5E71" w:rsidRPr="00683207" w:rsidRDefault="00FF5E71" w:rsidP="00857104">
            <w:pPr>
              <w:spacing w:before="40" w:after="120"/>
              <w:ind w:right="113"/>
            </w:pPr>
            <w:r>
              <w:t>Drafting of an annual timetable of activities for 2020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</w:tcPr>
          <w:p w14:paraId="1E53057F" w14:textId="517363C5" w:rsidR="00FF5E71" w:rsidRPr="00683207" w:rsidRDefault="00FF5E71" w:rsidP="00857104">
            <w:pPr>
              <w:spacing w:before="40" w:after="120"/>
              <w:ind w:right="113"/>
            </w:pPr>
            <w:r>
              <w:t>Second quarter of 2019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auto"/>
          </w:tcPr>
          <w:p w14:paraId="7206A975" w14:textId="14BCF61B" w:rsidR="00FF5E71" w:rsidRPr="00683207" w:rsidRDefault="00FF5E71" w:rsidP="00857104">
            <w:pPr>
              <w:spacing w:before="40" w:after="120"/>
              <w:ind w:right="113"/>
            </w:pPr>
            <w:r>
              <w:t>Approval of the timetable by the Working Group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3284CD5B" w14:textId="303A2B99" w:rsidR="00FF5E71" w:rsidRDefault="00FF5E71" w:rsidP="00857104">
            <w:pPr>
              <w:spacing w:before="40" w:after="120"/>
              <w:ind w:right="113"/>
            </w:pPr>
            <w:r>
              <w:t>C.2</w:t>
            </w:r>
          </w:p>
        </w:tc>
      </w:tr>
    </w:tbl>
    <w:p w14:paraId="4A5553A2" w14:textId="1EF7C8CE" w:rsidR="00683207" w:rsidRPr="00A9793F" w:rsidRDefault="00245E0E" w:rsidP="00A9793F">
      <w:pPr>
        <w:widowControl w:val="0"/>
        <w:spacing w:before="120" w:line="220" w:lineRule="exact"/>
        <w:ind w:left="1133" w:right="680" w:firstLine="283"/>
        <w:rPr>
          <w:sz w:val="18"/>
          <w:szCs w:val="18"/>
        </w:rPr>
      </w:pPr>
      <w:r w:rsidRPr="00A9793F">
        <w:rPr>
          <w:i/>
          <w:sz w:val="18"/>
          <w:szCs w:val="18"/>
        </w:rPr>
        <w:t>Abbreviations</w:t>
      </w:r>
      <w:r w:rsidR="00435DB7" w:rsidRPr="00A9793F">
        <w:rPr>
          <w:sz w:val="18"/>
          <w:szCs w:val="18"/>
        </w:rPr>
        <w:t xml:space="preserve">: </w:t>
      </w:r>
      <w:r w:rsidR="009F0309">
        <w:rPr>
          <w:sz w:val="18"/>
          <w:szCs w:val="18"/>
        </w:rPr>
        <w:t xml:space="preserve">EEA = European Environment Agency; OECD = </w:t>
      </w:r>
      <w:r w:rsidR="00C4198B">
        <w:rPr>
          <w:sz w:val="18"/>
          <w:szCs w:val="18"/>
        </w:rPr>
        <w:t xml:space="preserve">Organisation </w:t>
      </w:r>
      <w:r w:rsidR="009F0309">
        <w:rPr>
          <w:sz w:val="18"/>
          <w:szCs w:val="18"/>
        </w:rPr>
        <w:t>for Economic Co</w:t>
      </w:r>
      <w:r w:rsidR="00C4198B">
        <w:rPr>
          <w:sz w:val="18"/>
          <w:szCs w:val="18"/>
        </w:rPr>
        <w:t>-</w:t>
      </w:r>
      <w:r w:rsidR="009F0309">
        <w:rPr>
          <w:sz w:val="18"/>
          <w:szCs w:val="18"/>
        </w:rPr>
        <w:t xml:space="preserve">operation and Development; SDG = Sustainable Development Goal; </w:t>
      </w:r>
      <w:r w:rsidR="00435DB7" w:rsidRPr="00A9793F">
        <w:rPr>
          <w:sz w:val="18"/>
          <w:szCs w:val="18"/>
        </w:rPr>
        <w:t xml:space="preserve">SEIS = </w:t>
      </w:r>
      <w:r w:rsidR="00435DB7" w:rsidRPr="00A9793F">
        <w:rPr>
          <w:iCs/>
          <w:sz w:val="18"/>
          <w:szCs w:val="18"/>
        </w:rPr>
        <w:t>Shared</w:t>
      </w:r>
      <w:r w:rsidR="00435DB7" w:rsidRPr="00A9793F">
        <w:rPr>
          <w:sz w:val="18"/>
          <w:szCs w:val="18"/>
        </w:rPr>
        <w:t xml:space="preserve"> Environmental Information System</w:t>
      </w:r>
      <w:r w:rsidR="00622E25" w:rsidRPr="00A9793F">
        <w:rPr>
          <w:sz w:val="18"/>
          <w:szCs w:val="18"/>
        </w:rPr>
        <w:t>; UNDA = United Nations Development Account</w:t>
      </w:r>
      <w:r w:rsidR="003C294B" w:rsidRPr="00A9793F">
        <w:rPr>
          <w:sz w:val="18"/>
          <w:szCs w:val="18"/>
        </w:rPr>
        <w:t>; UNEP = United Nations Environment Programme</w:t>
      </w:r>
      <w:r w:rsidR="00622E25" w:rsidRPr="00A9793F">
        <w:rPr>
          <w:sz w:val="18"/>
          <w:szCs w:val="18"/>
        </w:rPr>
        <w:t>.</w:t>
      </w:r>
    </w:p>
    <w:p w14:paraId="3815CC21" w14:textId="14806FDF" w:rsidR="000648F2" w:rsidRPr="00A9793F" w:rsidRDefault="00B143E4" w:rsidP="00A9793F">
      <w:pPr>
        <w:widowControl w:val="0"/>
        <w:spacing w:line="220" w:lineRule="exact"/>
        <w:ind w:left="1138" w:right="677" w:firstLine="288"/>
        <w:rPr>
          <w:iCs/>
          <w:sz w:val="18"/>
          <w:szCs w:val="18"/>
        </w:rPr>
      </w:pPr>
      <w:proofErr w:type="spellStart"/>
      <w:r w:rsidRPr="00A9793F">
        <w:rPr>
          <w:i/>
          <w:sz w:val="18"/>
          <w:szCs w:val="18"/>
          <w:vertAlign w:val="superscript"/>
        </w:rPr>
        <w:t>a</w:t>
      </w:r>
      <w:proofErr w:type="spellEnd"/>
      <w:r w:rsidRPr="00A9793F">
        <w:rPr>
          <w:i/>
          <w:sz w:val="18"/>
          <w:szCs w:val="18"/>
        </w:rPr>
        <w:t xml:space="preserve">  </w:t>
      </w:r>
      <w:r w:rsidR="00C4198B">
        <w:rPr>
          <w:iCs/>
          <w:sz w:val="18"/>
          <w:szCs w:val="18"/>
        </w:rPr>
        <w:t>These are listed</w:t>
      </w:r>
      <w:r w:rsidRPr="00A9793F">
        <w:rPr>
          <w:iCs/>
          <w:sz w:val="18"/>
          <w:szCs w:val="18"/>
        </w:rPr>
        <w:t xml:space="preserve"> in the outline of activities </w:t>
      </w:r>
      <w:r w:rsidR="00BD0F6E">
        <w:rPr>
          <w:iCs/>
          <w:sz w:val="18"/>
          <w:szCs w:val="18"/>
        </w:rPr>
        <w:t xml:space="preserve">of the Working Group </w:t>
      </w:r>
      <w:r w:rsidR="009348BB">
        <w:rPr>
          <w:iCs/>
          <w:sz w:val="18"/>
          <w:szCs w:val="18"/>
        </w:rPr>
        <w:t xml:space="preserve">leading up </w:t>
      </w:r>
      <w:r w:rsidRPr="00A9793F">
        <w:rPr>
          <w:iCs/>
          <w:sz w:val="18"/>
          <w:szCs w:val="18"/>
        </w:rPr>
        <w:t>to 2021 (ECE/CEP/AC.10/2018/3)</w:t>
      </w:r>
      <w:r w:rsidR="00C30426">
        <w:rPr>
          <w:iCs/>
          <w:sz w:val="18"/>
          <w:szCs w:val="18"/>
        </w:rPr>
        <w:t>, which</w:t>
      </w:r>
      <w:r w:rsidR="00C4198B">
        <w:rPr>
          <w:iCs/>
          <w:sz w:val="18"/>
          <w:szCs w:val="18"/>
        </w:rPr>
        <w:t xml:space="preserve"> is</w:t>
      </w:r>
      <w:r w:rsidR="00C30426">
        <w:rPr>
          <w:iCs/>
          <w:sz w:val="18"/>
          <w:szCs w:val="18"/>
        </w:rPr>
        <w:t xml:space="preserve"> based on the objectives and activities set out in the </w:t>
      </w:r>
      <w:r w:rsidR="00C30426" w:rsidRPr="00C30426">
        <w:rPr>
          <w:iCs/>
          <w:sz w:val="18"/>
          <w:szCs w:val="18"/>
        </w:rPr>
        <w:t xml:space="preserve">terms of reference of the Working Group on Environmental Monitoring and Assessment for </w:t>
      </w:r>
      <w:r w:rsidR="00C4198B">
        <w:rPr>
          <w:iCs/>
          <w:sz w:val="18"/>
          <w:szCs w:val="18"/>
        </w:rPr>
        <w:t>a five-</w:t>
      </w:r>
      <w:r w:rsidR="00C4198B" w:rsidRPr="00C30426">
        <w:rPr>
          <w:iCs/>
          <w:sz w:val="18"/>
          <w:szCs w:val="18"/>
        </w:rPr>
        <w:t>year</w:t>
      </w:r>
      <w:r w:rsidR="00C4198B">
        <w:rPr>
          <w:iCs/>
          <w:sz w:val="18"/>
          <w:szCs w:val="18"/>
        </w:rPr>
        <w:t xml:space="preserve"> period</w:t>
      </w:r>
      <w:r w:rsidR="00C4198B" w:rsidRPr="00C30426">
        <w:rPr>
          <w:iCs/>
          <w:sz w:val="18"/>
          <w:szCs w:val="18"/>
        </w:rPr>
        <w:t xml:space="preserve"> </w:t>
      </w:r>
      <w:r w:rsidR="00C30426" w:rsidRPr="00C30426">
        <w:rPr>
          <w:iCs/>
          <w:sz w:val="18"/>
          <w:szCs w:val="18"/>
        </w:rPr>
        <w:t>(2017–2021) (ECE/CEP/2017/2, annex II).</w:t>
      </w:r>
    </w:p>
    <w:p w14:paraId="01E32185" w14:textId="42C97793" w:rsidR="0023518A" w:rsidRPr="00BD0F6E" w:rsidRDefault="000648F2" w:rsidP="00A9793F">
      <w:pPr>
        <w:widowControl w:val="0"/>
        <w:spacing w:line="220" w:lineRule="exact"/>
        <w:ind w:left="1138" w:right="677" w:firstLine="288"/>
        <w:rPr>
          <w:iCs/>
          <w:sz w:val="18"/>
          <w:szCs w:val="18"/>
        </w:rPr>
      </w:pPr>
      <w:proofErr w:type="gramStart"/>
      <w:r w:rsidRPr="00A9793F">
        <w:rPr>
          <w:i/>
          <w:sz w:val="18"/>
          <w:szCs w:val="18"/>
          <w:vertAlign w:val="superscript"/>
        </w:rPr>
        <w:t>b</w:t>
      </w:r>
      <w:r w:rsidRPr="00A9793F">
        <w:rPr>
          <w:iCs/>
          <w:sz w:val="18"/>
          <w:szCs w:val="18"/>
        </w:rPr>
        <w:t xml:space="preserve">  “</w:t>
      </w:r>
      <w:proofErr w:type="gramEnd"/>
      <w:r w:rsidRPr="00A9793F">
        <w:rPr>
          <w:sz w:val="18"/>
          <w:szCs w:val="18"/>
        </w:rPr>
        <w:t xml:space="preserve">Improved </w:t>
      </w:r>
      <w:r w:rsidRPr="00A9793F">
        <w:rPr>
          <w:iCs/>
          <w:sz w:val="18"/>
          <w:szCs w:val="18"/>
        </w:rPr>
        <w:t>environmental</w:t>
      </w:r>
      <w:r w:rsidRPr="00A9793F">
        <w:rPr>
          <w:sz w:val="18"/>
          <w:szCs w:val="18"/>
        </w:rPr>
        <w:t xml:space="preserve"> monitoring and assessment in support of the 2030 Sustainable Development Agenda in South-Eastern Europe, Central Asia and the Caucasus</w:t>
      </w:r>
      <w:r w:rsidRPr="00A9793F">
        <w:rPr>
          <w:iCs/>
          <w:sz w:val="18"/>
          <w:szCs w:val="18"/>
        </w:rPr>
        <w:t>”</w:t>
      </w:r>
      <w:r w:rsidR="00A9793F">
        <w:rPr>
          <w:i/>
          <w:sz w:val="18"/>
          <w:szCs w:val="18"/>
        </w:rPr>
        <w:t>.</w:t>
      </w:r>
    </w:p>
    <w:p w14:paraId="1EBBEB00" w14:textId="77777777" w:rsidR="00C54438" w:rsidRPr="00F064A4" w:rsidRDefault="00C54438" w:rsidP="00C54438">
      <w:pPr>
        <w:pStyle w:val="SingleTxtG"/>
        <w:spacing w:before="240" w:after="0"/>
        <w:jc w:val="center"/>
        <w:rPr>
          <w:u w:val="single"/>
        </w:rPr>
      </w:pPr>
      <w:r w:rsidRPr="00F064A4">
        <w:rPr>
          <w:u w:val="single"/>
        </w:rPr>
        <w:tab/>
      </w:r>
      <w:r w:rsidRPr="00F064A4">
        <w:rPr>
          <w:u w:val="single"/>
        </w:rPr>
        <w:tab/>
      </w:r>
      <w:r w:rsidRPr="00F064A4">
        <w:rPr>
          <w:u w:val="single"/>
        </w:rPr>
        <w:tab/>
      </w:r>
    </w:p>
    <w:p w14:paraId="0746E23E" w14:textId="77777777" w:rsidR="00F507EC" w:rsidRPr="00F064A4" w:rsidRDefault="00F507EC" w:rsidP="00C24C2F">
      <w:pPr>
        <w:suppressAutoHyphens w:val="0"/>
        <w:spacing w:line="240" w:lineRule="auto"/>
      </w:pPr>
    </w:p>
    <w:sectPr w:rsidR="00F507EC" w:rsidRPr="00F064A4" w:rsidSect="00C24C2F">
      <w:headerReference w:type="default" r:id="rId8"/>
      <w:footerReference w:type="even" r:id="rId9"/>
      <w:footerReference w:type="default" r:id="rId10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83BAD" w14:textId="77777777" w:rsidR="001D01A1" w:rsidRDefault="001D01A1"/>
  </w:endnote>
  <w:endnote w:type="continuationSeparator" w:id="0">
    <w:p w14:paraId="0B383A85" w14:textId="77777777" w:rsidR="001D01A1" w:rsidRDefault="001D01A1"/>
  </w:endnote>
  <w:endnote w:type="continuationNotice" w:id="1">
    <w:p w14:paraId="643F974C" w14:textId="77777777" w:rsidR="001D01A1" w:rsidRDefault="001D01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6F292" w14:textId="66CD1721" w:rsidR="008072D9" w:rsidRPr="00C24C2F" w:rsidRDefault="008072D9" w:rsidP="00C24C2F">
    <w:pPr>
      <w:pStyle w:val="Footer"/>
      <w:tabs>
        <w:tab w:val="right" w:pos="9638"/>
      </w:tabs>
      <w:rPr>
        <w:sz w:val="18"/>
      </w:rPr>
    </w:pPr>
    <w:r w:rsidRPr="00C24C2F">
      <w:rPr>
        <w:b/>
        <w:sz w:val="18"/>
      </w:rPr>
      <w:fldChar w:fldCharType="begin"/>
    </w:r>
    <w:r w:rsidRPr="00C24C2F">
      <w:rPr>
        <w:b/>
        <w:sz w:val="18"/>
      </w:rPr>
      <w:instrText xml:space="preserve"> PAGE  \* MERGEFORMAT </w:instrText>
    </w:r>
    <w:r w:rsidRPr="00C24C2F">
      <w:rPr>
        <w:b/>
        <w:sz w:val="18"/>
      </w:rPr>
      <w:fldChar w:fldCharType="separate"/>
    </w:r>
    <w:r w:rsidR="00347FEF">
      <w:rPr>
        <w:b/>
        <w:noProof/>
        <w:sz w:val="18"/>
      </w:rPr>
      <w:t>4</w:t>
    </w:r>
    <w:r w:rsidRPr="00C24C2F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41531" w14:textId="7E1CDCB6" w:rsidR="008072D9" w:rsidRPr="00C24C2F" w:rsidRDefault="008072D9" w:rsidP="00C24C2F">
    <w:pPr>
      <w:pStyle w:val="Footer"/>
      <w:tabs>
        <w:tab w:val="right" w:pos="9638"/>
      </w:tabs>
      <w:rPr>
        <w:b/>
        <w:sz w:val="18"/>
      </w:rPr>
    </w:pPr>
    <w:r>
      <w:tab/>
    </w:r>
    <w:r w:rsidRPr="00C24C2F">
      <w:rPr>
        <w:b/>
        <w:sz w:val="18"/>
      </w:rPr>
      <w:fldChar w:fldCharType="begin"/>
    </w:r>
    <w:r w:rsidRPr="00C24C2F">
      <w:rPr>
        <w:b/>
        <w:sz w:val="18"/>
      </w:rPr>
      <w:instrText xml:space="preserve"> PAGE  \* MERGEFORMAT </w:instrText>
    </w:r>
    <w:r w:rsidRPr="00C24C2F">
      <w:rPr>
        <w:b/>
        <w:sz w:val="18"/>
      </w:rPr>
      <w:fldChar w:fldCharType="separate"/>
    </w:r>
    <w:r w:rsidR="00347FEF">
      <w:rPr>
        <w:b/>
        <w:noProof/>
        <w:sz w:val="18"/>
      </w:rPr>
      <w:t>3</w:t>
    </w:r>
    <w:r w:rsidRPr="00C24C2F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FC3CE" w14:textId="77777777" w:rsidR="001D01A1" w:rsidRPr="000B175B" w:rsidRDefault="001D01A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A649EF7" w14:textId="77777777" w:rsidR="001D01A1" w:rsidRPr="00FC68B7" w:rsidRDefault="001D01A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0D8FD28" w14:textId="77777777" w:rsidR="001D01A1" w:rsidRDefault="001D01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DAA5D" w14:textId="1D27FA78" w:rsidR="008072D9" w:rsidRPr="00C24C2F" w:rsidRDefault="008072D9" w:rsidP="00C24C2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0"/>
  </w:num>
  <w:num w:numId="14">
    <w:abstractNumId w:val="11"/>
  </w:num>
  <w:num w:numId="15">
    <w:abstractNumId w:val="15"/>
  </w:num>
  <w:num w:numId="16">
    <w:abstractNumId w:val="12"/>
  </w:num>
  <w:num w:numId="17">
    <w:abstractNumId w:val="16"/>
  </w:num>
  <w:num w:numId="18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0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C2F"/>
    <w:rsid w:val="00002A7D"/>
    <w:rsid w:val="000038A8"/>
    <w:rsid w:val="00006790"/>
    <w:rsid w:val="00006C45"/>
    <w:rsid w:val="00011EB7"/>
    <w:rsid w:val="00020505"/>
    <w:rsid w:val="000219C4"/>
    <w:rsid w:val="000226D4"/>
    <w:rsid w:val="00026898"/>
    <w:rsid w:val="00027624"/>
    <w:rsid w:val="000363D8"/>
    <w:rsid w:val="00044F5F"/>
    <w:rsid w:val="000464AA"/>
    <w:rsid w:val="00050F6B"/>
    <w:rsid w:val="00052251"/>
    <w:rsid w:val="00055527"/>
    <w:rsid w:val="000556F9"/>
    <w:rsid w:val="00061480"/>
    <w:rsid w:val="00063F96"/>
    <w:rsid w:val="000644E0"/>
    <w:rsid w:val="000648F2"/>
    <w:rsid w:val="000678CD"/>
    <w:rsid w:val="00072C8C"/>
    <w:rsid w:val="00081CE0"/>
    <w:rsid w:val="00084D30"/>
    <w:rsid w:val="0008536C"/>
    <w:rsid w:val="00090320"/>
    <w:rsid w:val="000931C0"/>
    <w:rsid w:val="00093F58"/>
    <w:rsid w:val="00095E89"/>
    <w:rsid w:val="000A2E09"/>
    <w:rsid w:val="000A3288"/>
    <w:rsid w:val="000A5E23"/>
    <w:rsid w:val="000A7EA5"/>
    <w:rsid w:val="000B175B"/>
    <w:rsid w:val="000B3A0F"/>
    <w:rsid w:val="000D343D"/>
    <w:rsid w:val="000D4312"/>
    <w:rsid w:val="000D4F3D"/>
    <w:rsid w:val="000E0415"/>
    <w:rsid w:val="000E6C3B"/>
    <w:rsid w:val="000F2396"/>
    <w:rsid w:val="000F7715"/>
    <w:rsid w:val="001032A5"/>
    <w:rsid w:val="001157C1"/>
    <w:rsid w:val="00120009"/>
    <w:rsid w:val="00127D19"/>
    <w:rsid w:val="00130502"/>
    <w:rsid w:val="00131E47"/>
    <w:rsid w:val="001329C8"/>
    <w:rsid w:val="00134823"/>
    <w:rsid w:val="00156B99"/>
    <w:rsid w:val="0016485A"/>
    <w:rsid w:val="00166124"/>
    <w:rsid w:val="001673A2"/>
    <w:rsid w:val="00170DBE"/>
    <w:rsid w:val="0017738E"/>
    <w:rsid w:val="00184DDA"/>
    <w:rsid w:val="001900CD"/>
    <w:rsid w:val="001966F0"/>
    <w:rsid w:val="001A032D"/>
    <w:rsid w:val="001A0452"/>
    <w:rsid w:val="001A2F40"/>
    <w:rsid w:val="001B0C3C"/>
    <w:rsid w:val="001B3D65"/>
    <w:rsid w:val="001B4B04"/>
    <w:rsid w:val="001B55A4"/>
    <w:rsid w:val="001B5875"/>
    <w:rsid w:val="001B7501"/>
    <w:rsid w:val="001B7EF3"/>
    <w:rsid w:val="001C1DDF"/>
    <w:rsid w:val="001C4B9C"/>
    <w:rsid w:val="001C6663"/>
    <w:rsid w:val="001C7895"/>
    <w:rsid w:val="001D01A1"/>
    <w:rsid w:val="001D26DF"/>
    <w:rsid w:val="001D287B"/>
    <w:rsid w:val="001D31DB"/>
    <w:rsid w:val="001E0BA6"/>
    <w:rsid w:val="001E5084"/>
    <w:rsid w:val="001F1599"/>
    <w:rsid w:val="001F19C4"/>
    <w:rsid w:val="001F2424"/>
    <w:rsid w:val="001F385E"/>
    <w:rsid w:val="001F6D6D"/>
    <w:rsid w:val="002043F0"/>
    <w:rsid w:val="00207FC3"/>
    <w:rsid w:val="00211E0B"/>
    <w:rsid w:val="002126EE"/>
    <w:rsid w:val="002201B5"/>
    <w:rsid w:val="00221535"/>
    <w:rsid w:val="002221EB"/>
    <w:rsid w:val="00222F05"/>
    <w:rsid w:val="002253B6"/>
    <w:rsid w:val="00232575"/>
    <w:rsid w:val="00232BB5"/>
    <w:rsid w:val="00233F67"/>
    <w:rsid w:val="0023518A"/>
    <w:rsid w:val="00245E0E"/>
    <w:rsid w:val="00247258"/>
    <w:rsid w:val="002510F4"/>
    <w:rsid w:val="00253B3E"/>
    <w:rsid w:val="00255C5B"/>
    <w:rsid w:val="00257CAC"/>
    <w:rsid w:val="00262265"/>
    <w:rsid w:val="002634A3"/>
    <w:rsid w:val="00267F8B"/>
    <w:rsid w:val="00270465"/>
    <w:rsid w:val="00271AD0"/>
    <w:rsid w:val="0027237A"/>
    <w:rsid w:val="002727D6"/>
    <w:rsid w:val="00274E70"/>
    <w:rsid w:val="0027500A"/>
    <w:rsid w:val="0027723F"/>
    <w:rsid w:val="002823A8"/>
    <w:rsid w:val="00290A57"/>
    <w:rsid w:val="0029704E"/>
    <w:rsid w:val="002974E9"/>
    <w:rsid w:val="002A45DA"/>
    <w:rsid w:val="002A7F94"/>
    <w:rsid w:val="002B109A"/>
    <w:rsid w:val="002B5529"/>
    <w:rsid w:val="002C1799"/>
    <w:rsid w:val="002C306D"/>
    <w:rsid w:val="002C34EA"/>
    <w:rsid w:val="002C6D45"/>
    <w:rsid w:val="002D1186"/>
    <w:rsid w:val="002D6E53"/>
    <w:rsid w:val="002F036C"/>
    <w:rsid w:val="002F046D"/>
    <w:rsid w:val="00301405"/>
    <w:rsid w:val="00301764"/>
    <w:rsid w:val="00305662"/>
    <w:rsid w:val="0031542B"/>
    <w:rsid w:val="003229D8"/>
    <w:rsid w:val="00331840"/>
    <w:rsid w:val="00331ED0"/>
    <w:rsid w:val="00332A85"/>
    <w:rsid w:val="00336292"/>
    <w:rsid w:val="00336C97"/>
    <w:rsid w:val="00337F88"/>
    <w:rsid w:val="00340487"/>
    <w:rsid w:val="00342432"/>
    <w:rsid w:val="00346344"/>
    <w:rsid w:val="00347FEF"/>
    <w:rsid w:val="00350CE2"/>
    <w:rsid w:val="00351C84"/>
    <w:rsid w:val="0035223F"/>
    <w:rsid w:val="00352D4B"/>
    <w:rsid w:val="003536AB"/>
    <w:rsid w:val="003552EE"/>
    <w:rsid w:val="0035638C"/>
    <w:rsid w:val="003672C4"/>
    <w:rsid w:val="003736E8"/>
    <w:rsid w:val="003772CB"/>
    <w:rsid w:val="00380BE5"/>
    <w:rsid w:val="00382318"/>
    <w:rsid w:val="00385104"/>
    <w:rsid w:val="00395A13"/>
    <w:rsid w:val="00397461"/>
    <w:rsid w:val="003A0D7F"/>
    <w:rsid w:val="003A46BB"/>
    <w:rsid w:val="003A4EC7"/>
    <w:rsid w:val="003A7295"/>
    <w:rsid w:val="003B1F60"/>
    <w:rsid w:val="003B42A7"/>
    <w:rsid w:val="003B5011"/>
    <w:rsid w:val="003C2927"/>
    <w:rsid w:val="003C294B"/>
    <w:rsid w:val="003C2CC4"/>
    <w:rsid w:val="003D1CF2"/>
    <w:rsid w:val="003D1F62"/>
    <w:rsid w:val="003D4B23"/>
    <w:rsid w:val="003D5629"/>
    <w:rsid w:val="003D6E94"/>
    <w:rsid w:val="003E278A"/>
    <w:rsid w:val="003E2C76"/>
    <w:rsid w:val="003E2EB8"/>
    <w:rsid w:val="003E653D"/>
    <w:rsid w:val="003F42CE"/>
    <w:rsid w:val="003F5255"/>
    <w:rsid w:val="004031D9"/>
    <w:rsid w:val="00413520"/>
    <w:rsid w:val="00413B31"/>
    <w:rsid w:val="00416F09"/>
    <w:rsid w:val="00417C0A"/>
    <w:rsid w:val="004207A5"/>
    <w:rsid w:val="00421C94"/>
    <w:rsid w:val="004228AE"/>
    <w:rsid w:val="004237EA"/>
    <w:rsid w:val="004249C7"/>
    <w:rsid w:val="004325CB"/>
    <w:rsid w:val="0043304F"/>
    <w:rsid w:val="0043514A"/>
    <w:rsid w:val="00435DB7"/>
    <w:rsid w:val="00440A07"/>
    <w:rsid w:val="00443D0C"/>
    <w:rsid w:val="00450812"/>
    <w:rsid w:val="004544D2"/>
    <w:rsid w:val="00457A04"/>
    <w:rsid w:val="00460D48"/>
    <w:rsid w:val="00462880"/>
    <w:rsid w:val="00464009"/>
    <w:rsid w:val="00464911"/>
    <w:rsid w:val="00467F92"/>
    <w:rsid w:val="0047095D"/>
    <w:rsid w:val="00471328"/>
    <w:rsid w:val="004720EE"/>
    <w:rsid w:val="004734FF"/>
    <w:rsid w:val="00474A6F"/>
    <w:rsid w:val="00476F24"/>
    <w:rsid w:val="00480D53"/>
    <w:rsid w:val="004818D9"/>
    <w:rsid w:val="004853D2"/>
    <w:rsid w:val="00491F34"/>
    <w:rsid w:val="004A063A"/>
    <w:rsid w:val="004B01E5"/>
    <w:rsid w:val="004C498E"/>
    <w:rsid w:val="004C55B0"/>
    <w:rsid w:val="004C7A1A"/>
    <w:rsid w:val="004D26C1"/>
    <w:rsid w:val="004D5769"/>
    <w:rsid w:val="004E2517"/>
    <w:rsid w:val="004F1D95"/>
    <w:rsid w:val="004F671C"/>
    <w:rsid w:val="004F6BA0"/>
    <w:rsid w:val="004F6D0E"/>
    <w:rsid w:val="004F70FD"/>
    <w:rsid w:val="00503BEA"/>
    <w:rsid w:val="00504113"/>
    <w:rsid w:val="00511975"/>
    <w:rsid w:val="0051222B"/>
    <w:rsid w:val="00513196"/>
    <w:rsid w:val="00514814"/>
    <w:rsid w:val="00517A5F"/>
    <w:rsid w:val="00530D03"/>
    <w:rsid w:val="0053173A"/>
    <w:rsid w:val="00533616"/>
    <w:rsid w:val="00535ABA"/>
    <w:rsid w:val="0053768B"/>
    <w:rsid w:val="005420B7"/>
    <w:rsid w:val="005420F2"/>
    <w:rsid w:val="0054285C"/>
    <w:rsid w:val="00550A3E"/>
    <w:rsid w:val="00552B53"/>
    <w:rsid w:val="005571CD"/>
    <w:rsid w:val="00557CB7"/>
    <w:rsid w:val="005610E3"/>
    <w:rsid w:val="00572289"/>
    <w:rsid w:val="005834E6"/>
    <w:rsid w:val="00584173"/>
    <w:rsid w:val="005925B5"/>
    <w:rsid w:val="0059544F"/>
    <w:rsid w:val="00595520"/>
    <w:rsid w:val="005A0213"/>
    <w:rsid w:val="005A44B9"/>
    <w:rsid w:val="005A68E7"/>
    <w:rsid w:val="005A76FD"/>
    <w:rsid w:val="005B1BA0"/>
    <w:rsid w:val="005B3DB3"/>
    <w:rsid w:val="005B72BB"/>
    <w:rsid w:val="005C020F"/>
    <w:rsid w:val="005C1168"/>
    <w:rsid w:val="005D15CA"/>
    <w:rsid w:val="005D4582"/>
    <w:rsid w:val="005E0735"/>
    <w:rsid w:val="005F12F5"/>
    <w:rsid w:val="005F3066"/>
    <w:rsid w:val="005F3325"/>
    <w:rsid w:val="005F3E61"/>
    <w:rsid w:val="00602672"/>
    <w:rsid w:val="00604DDD"/>
    <w:rsid w:val="006115CC"/>
    <w:rsid w:val="00611FC4"/>
    <w:rsid w:val="00614B3C"/>
    <w:rsid w:val="006176FB"/>
    <w:rsid w:val="006227E3"/>
    <w:rsid w:val="00622E25"/>
    <w:rsid w:val="00630FCB"/>
    <w:rsid w:val="00640B26"/>
    <w:rsid w:val="006428BD"/>
    <w:rsid w:val="00654E31"/>
    <w:rsid w:val="006568C0"/>
    <w:rsid w:val="006573D6"/>
    <w:rsid w:val="00660228"/>
    <w:rsid w:val="006616FB"/>
    <w:rsid w:val="006704DB"/>
    <w:rsid w:val="006731C2"/>
    <w:rsid w:val="006770B2"/>
    <w:rsid w:val="00681AAA"/>
    <w:rsid w:val="00683207"/>
    <w:rsid w:val="006940E1"/>
    <w:rsid w:val="00695B4E"/>
    <w:rsid w:val="0069651F"/>
    <w:rsid w:val="006A01CC"/>
    <w:rsid w:val="006A3C72"/>
    <w:rsid w:val="006A4A03"/>
    <w:rsid w:val="006A7392"/>
    <w:rsid w:val="006B03A1"/>
    <w:rsid w:val="006B07BD"/>
    <w:rsid w:val="006B1F6D"/>
    <w:rsid w:val="006B67D9"/>
    <w:rsid w:val="006B756D"/>
    <w:rsid w:val="006B7ED3"/>
    <w:rsid w:val="006C050F"/>
    <w:rsid w:val="006C052C"/>
    <w:rsid w:val="006C5535"/>
    <w:rsid w:val="006C65DC"/>
    <w:rsid w:val="006D0589"/>
    <w:rsid w:val="006D4DB2"/>
    <w:rsid w:val="006E178B"/>
    <w:rsid w:val="006E3AE7"/>
    <w:rsid w:val="006E564B"/>
    <w:rsid w:val="006E7154"/>
    <w:rsid w:val="006F0517"/>
    <w:rsid w:val="007003CD"/>
    <w:rsid w:val="0070701E"/>
    <w:rsid w:val="00711CD9"/>
    <w:rsid w:val="00717069"/>
    <w:rsid w:val="00721195"/>
    <w:rsid w:val="00722FBD"/>
    <w:rsid w:val="00723601"/>
    <w:rsid w:val="0072632A"/>
    <w:rsid w:val="007306B0"/>
    <w:rsid w:val="007328BF"/>
    <w:rsid w:val="00732FC9"/>
    <w:rsid w:val="007358E8"/>
    <w:rsid w:val="00735E62"/>
    <w:rsid w:val="00736ECE"/>
    <w:rsid w:val="00737DAF"/>
    <w:rsid w:val="00740B4F"/>
    <w:rsid w:val="00741E8B"/>
    <w:rsid w:val="0074533B"/>
    <w:rsid w:val="00747041"/>
    <w:rsid w:val="00752BC7"/>
    <w:rsid w:val="00756436"/>
    <w:rsid w:val="00756794"/>
    <w:rsid w:val="007569E0"/>
    <w:rsid w:val="00757143"/>
    <w:rsid w:val="007643BC"/>
    <w:rsid w:val="00774598"/>
    <w:rsid w:val="00774FFC"/>
    <w:rsid w:val="0078079F"/>
    <w:rsid w:val="007814E0"/>
    <w:rsid w:val="00782790"/>
    <w:rsid w:val="007866D8"/>
    <w:rsid w:val="0079103F"/>
    <w:rsid w:val="007959FE"/>
    <w:rsid w:val="007A0C0A"/>
    <w:rsid w:val="007A0CF1"/>
    <w:rsid w:val="007A3BBF"/>
    <w:rsid w:val="007A6200"/>
    <w:rsid w:val="007B299A"/>
    <w:rsid w:val="007B580A"/>
    <w:rsid w:val="007B6BA5"/>
    <w:rsid w:val="007C3390"/>
    <w:rsid w:val="007C42D8"/>
    <w:rsid w:val="007C4F4B"/>
    <w:rsid w:val="007D4074"/>
    <w:rsid w:val="007D7362"/>
    <w:rsid w:val="007F08AC"/>
    <w:rsid w:val="007F3061"/>
    <w:rsid w:val="007F5CE2"/>
    <w:rsid w:val="007F6611"/>
    <w:rsid w:val="007F6B34"/>
    <w:rsid w:val="007F73E0"/>
    <w:rsid w:val="0080083B"/>
    <w:rsid w:val="00800EAB"/>
    <w:rsid w:val="008072D9"/>
    <w:rsid w:val="00807B82"/>
    <w:rsid w:val="00810BAC"/>
    <w:rsid w:val="008147EA"/>
    <w:rsid w:val="008175E9"/>
    <w:rsid w:val="008200F7"/>
    <w:rsid w:val="0082141C"/>
    <w:rsid w:val="008242D7"/>
    <w:rsid w:val="0082577B"/>
    <w:rsid w:val="008273DD"/>
    <w:rsid w:val="0082783D"/>
    <w:rsid w:val="0083014A"/>
    <w:rsid w:val="0084541E"/>
    <w:rsid w:val="00852CE5"/>
    <w:rsid w:val="00853312"/>
    <w:rsid w:val="00853AEA"/>
    <w:rsid w:val="00857104"/>
    <w:rsid w:val="008649B4"/>
    <w:rsid w:val="008655AD"/>
    <w:rsid w:val="00866893"/>
    <w:rsid w:val="00866F02"/>
    <w:rsid w:val="00867D18"/>
    <w:rsid w:val="00871227"/>
    <w:rsid w:val="0087175C"/>
    <w:rsid w:val="00871F9A"/>
    <w:rsid w:val="00871FD5"/>
    <w:rsid w:val="00875766"/>
    <w:rsid w:val="0088172E"/>
    <w:rsid w:val="00881EFA"/>
    <w:rsid w:val="00882D29"/>
    <w:rsid w:val="008879CB"/>
    <w:rsid w:val="00895334"/>
    <w:rsid w:val="008979B1"/>
    <w:rsid w:val="008A27DD"/>
    <w:rsid w:val="008A665C"/>
    <w:rsid w:val="008A6B25"/>
    <w:rsid w:val="008A6C4F"/>
    <w:rsid w:val="008B2EC6"/>
    <w:rsid w:val="008B389E"/>
    <w:rsid w:val="008B6D22"/>
    <w:rsid w:val="008B7C61"/>
    <w:rsid w:val="008C49AA"/>
    <w:rsid w:val="008C4EFA"/>
    <w:rsid w:val="008C51AE"/>
    <w:rsid w:val="008D045E"/>
    <w:rsid w:val="008D3F25"/>
    <w:rsid w:val="008D4D82"/>
    <w:rsid w:val="008D7F37"/>
    <w:rsid w:val="008E0E46"/>
    <w:rsid w:val="008E7116"/>
    <w:rsid w:val="008F004A"/>
    <w:rsid w:val="008F143B"/>
    <w:rsid w:val="008F3410"/>
    <w:rsid w:val="008F3882"/>
    <w:rsid w:val="008F4B7C"/>
    <w:rsid w:val="00916D94"/>
    <w:rsid w:val="00921B08"/>
    <w:rsid w:val="00926E47"/>
    <w:rsid w:val="0093289F"/>
    <w:rsid w:val="00933A51"/>
    <w:rsid w:val="009348BB"/>
    <w:rsid w:val="0094141A"/>
    <w:rsid w:val="00943DA7"/>
    <w:rsid w:val="00946364"/>
    <w:rsid w:val="00947162"/>
    <w:rsid w:val="00956063"/>
    <w:rsid w:val="0096038C"/>
    <w:rsid w:val="009610D0"/>
    <w:rsid w:val="00962DCF"/>
    <w:rsid w:val="0096375C"/>
    <w:rsid w:val="009662E6"/>
    <w:rsid w:val="0097095E"/>
    <w:rsid w:val="0097457A"/>
    <w:rsid w:val="0097712B"/>
    <w:rsid w:val="00983C13"/>
    <w:rsid w:val="0098592B"/>
    <w:rsid w:val="00985FC4"/>
    <w:rsid w:val="00990766"/>
    <w:rsid w:val="00991261"/>
    <w:rsid w:val="009964C4"/>
    <w:rsid w:val="009978F1"/>
    <w:rsid w:val="009A19F8"/>
    <w:rsid w:val="009A23EF"/>
    <w:rsid w:val="009A29A1"/>
    <w:rsid w:val="009A2FC1"/>
    <w:rsid w:val="009A3440"/>
    <w:rsid w:val="009A34AF"/>
    <w:rsid w:val="009A4DBD"/>
    <w:rsid w:val="009A7B81"/>
    <w:rsid w:val="009B1F0E"/>
    <w:rsid w:val="009B3056"/>
    <w:rsid w:val="009B5890"/>
    <w:rsid w:val="009D01C0"/>
    <w:rsid w:val="009D2BDF"/>
    <w:rsid w:val="009D6A08"/>
    <w:rsid w:val="009D7B59"/>
    <w:rsid w:val="009E0A16"/>
    <w:rsid w:val="009E0FAB"/>
    <w:rsid w:val="009E6CB7"/>
    <w:rsid w:val="009E7970"/>
    <w:rsid w:val="009F0309"/>
    <w:rsid w:val="009F061D"/>
    <w:rsid w:val="009F2EAC"/>
    <w:rsid w:val="009F4711"/>
    <w:rsid w:val="009F57E3"/>
    <w:rsid w:val="009F6A1B"/>
    <w:rsid w:val="00A040BB"/>
    <w:rsid w:val="00A103FF"/>
    <w:rsid w:val="00A10F4F"/>
    <w:rsid w:val="00A11067"/>
    <w:rsid w:val="00A113F8"/>
    <w:rsid w:val="00A13499"/>
    <w:rsid w:val="00A15410"/>
    <w:rsid w:val="00A1704A"/>
    <w:rsid w:val="00A20025"/>
    <w:rsid w:val="00A23516"/>
    <w:rsid w:val="00A30362"/>
    <w:rsid w:val="00A34E15"/>
    <w:rsid w:val="00A425EB"/>
    <w:rsid w:val="00A50BD4"/>
    <w:rsid w:val="00A5748C"/>
    <w:rsid w:val="00A603CC"/>
    <w:rsid w:val="00A606CB"/>
    <w:rsid w:val="00A65DD8"/>
    <w:rsid w:val="00A72F1E"/>
    <w:rsid w:val="00A72F22"/>
    <w:rsid w:val="00A733BC"/>
    <w:rsid w:val="00A748A6"/>
    <w:rsid w:val="00A74C92"/>
    <w:rsid w:val="00A76A69"/>
    <w:rsid w:val="00A83C73"/>
    <w:rsid w:val="00A879A4"/>
    <w:rsid w:val="00A9793F"/>
    <w:rsid w:val="00AA0FF8"/>
    <w:rsid w:val="00AA59CD"/>
    <w:rsid w:val="00AA701E"/>
    <w:rsid w:val="00AB0FD5"/>
    <w:rsid w:val="00AB12E3"/>
    <w:rsid w:val="00AB3F27"/>
    <w:rsid w:val="00AC0F2C"/>
    <w:rsid w:val="00AC502A"/>
    <w:rsid w:val="00AD22C9"/>
    <w:rsid w:val="00AD2819"/>
    <w:rsid w:val="00AD5BCF"/>
    <w:rsid w:val="00AE3880"/>
    <w:rsid w:val="00AE56FF"/>
    <w:rsid w:val="00AF0106"/>
    <w:rsid w:val="00AF58C1"/>
    <w:rsid w:val="00AF649A"/>
    <w:rsid w:val="00AF6B4F"/>
    <w:rsid w:val="00B04A3F"/>
    <w:rsid w:val="00B0517B"/>
    <w:rsid w:val="00B05B44"/>
    <w:rsid w:val="00B06643"/>
    <w:rsid w:val="00B14154"/>
    <w:rsid w:val="00B143E4"/>
    <w:rsid w:val="00B15055"/>
    <w:rsid w:val="00B201C3"/>
    <w:rsid w:val="00B2192B"/>
    <w:rsid w:val="00B24409"/>
    <w:rsid w:val="00B24D8A"/>
    <w:rsid w:val="00B26230"/>
    <w:rsid w:val="00B30179"/>
    <w:rsid w:val="00B3473F"/>
    <w:rsid w:val="00B34882"/>
    <w:rsid w:val="00B35005"/>
    <w:rsid w:val="00B37B15"/>
    <w:rsid w:val="00B43187"/>
    <w:rsid w:val="00B45C02"/>
    <w:rsid w:val="00B54F94"/>
    <w:rsid w:val="00B63E57"/>
    <w:rsid w:val="00B70694"/>
    <w:rsid w:val="00B70E2C"/>
    <w:rsid w:val="00B72A1E"/>
    <w:rsid w:val="00B752CA"/>
    <w:rsid w:val="00B7736F"/>
    <w:rsid w:val="00B81E12"/>
    <w:rsid w:val="00B86E7E"/>
    <w:rsid w:val="00B91CCF"/>
    <w:rsid w:val="00B9288E"/>
    <w:rsid w:val="00B97011"/>
    <w:rsid w:val="00BA148F"/>
    <w:rsid w:val="00BA339B"/>
    <w:rsid w:val="00BA74E1"/>
    <w:rsid w:val="00BA794A"/>
    <w:rsid w:val="00BA7E1B"/>
    <w:rsid w:val="00BB4493"/>
    <w:rsid w:val="00BB659E"/>
    <w:rsid w:val="00BC1E7E"/>
    <w:rsid w:val="00BC7088"/>
    <w:rsid w:val="00BC74E9"/>
    <w:rsid w:val="00BC7F91"/>
    <w:rsid w:val="00BD0F6E"/>
    <w:rsid w:val="00BE36A9"/>
    <w:rsid w:val="00BE38E2"/>
    <w:rsid w:val="00BE5AF7"/>
    <w:rsid w:val="00BE618E"/>
    <w:rsid w:val="00BE6206"/>
    <w:rsid w:val="00BE7BEC"/>
    <w:rsid w:val="00BF0A5A"/>
    <w:rsid w:val="00BF0E63"/>
    <w:rsid w:val="00BF112D"/>
    <w:rsid w:val="00BF12A3"/>
    <w:rsid w:val="00BF16D7"/>
    <w:rsid w:val="00BF2373"/>
    <w:rsid w:val="00BF337E"/>
    <w:rsid w:val="00BF4682"/>
    <w:rsid w:val="00C044E2"/>
    <w:rsid w:val="00C048CB"/>
    <w:rsid w:val="00C066F3"/>
    <w:rsid w:val="00C07025"/>
    <w:rsid w:val="00C0796A"/>
    <w:rsid w:val="00C11C63"/>
    <w:rsid w:val="00C2032A"/>
    <w:rsid w:val="00C23859"/>
    <w:rsid w:val="00C24C2F"/>
    <w:rsid w:val="00C25A69"/>
    <w:rsid w:val="00C26C20"/>
    <w:rsid w:val="00C30426"/>
    <w:rsid w:val="00C4198B"/>
    <w:rsid w:val="00C457BD"/>
    <w:rsid w:val="00C463DD"/>
    <w:rsid w:val="00C465A2"/>
    <w:rsid w:val="00C5100F"/>
    <w:rsid w:val="00C54438"/>
    <w:rsid w:val="00C57497"/>
    <w:rsid w:val="00C60EFE"/>
    <w:rsid w:val="00C745C3"/>
    <w:rsid w:val="00C76879"/>
    <w:rsid w:val="00C81780"/>
    <w:rsid w:val="00C82882"/>
    <w:rsid w:val="00C90EFC"/>
    <w:rsid w:val="00C94230"/>
    <w:rsid w:val="00C94295"/>
    <w:rsid w:val="00C97496"/>
    <w:rsid w:val="00CA24A4"/>
    <w:rsid w:val="00CB348D"/>
    <w:rsid w:val="00CB7A36"/>
    <w:rsid w:val="00CC0A71"/>
    <w:rsid w:val="00CD1CE2"/>
    <w:rsid w:val="00CD46F5"/>
    <w:rsid w:val="00CD5AD7"/>
    <w:rsid w:val="00CE4A8F"/>
    <w:rsid w:val="00CE73A4"/>
    <w:rsid w:val="00CF071D"/>
    <w:rsid w:val="00CF2385"/>
    <w:rsid w:val="00CF7BBB"/>
    <w:rsid w:val="00D0137F"/>
    <w:rsid w:val="00D05608"/>
    <w:rsid w:val="00D06C90"/>
    <w:rsid w:val="00D15B04"/>
    <w:rsid w:val="00D160E8"/>
    <w:rsid w:val="00D2031B"/>
    <w:rsid w:val="00D25FE2"/>
    <w:rsid w:val="00D31E76"/>
    <w:rsid w:val="00D354B3"/>
    <w:rsid w:val="00D35AA9"/>
    <w:rsid w:val="00D37DA9"/>
    <w:rsid w:val="00D406A7"/>
    <w:rsid w:val="00D42494"/>
    <w:rsid w:val="00D428CC"/>
    <w:rsid w:val="00D43252"/>
    <w:rsid w:val="00D44D86"/>
    <w:rsid w:val="00D50B7D"/>
    <w:rsid w:val="00D51874"/>
    <w:rsid w:val="00D52012"/>
    <w:rsid w:val="00D6415B"/>
    <w:rsid w:val="00D704E5"/>
    <w:rsid w:val="00D72727"/>
    <w:rsid w:val="00D738B4"/>
    <w:rsid w:val="00D87C97"/>
    <w:rsid w:val="00D91DAC"/>
    <w:rsid w:val="00D943F0"/>
    <w:rsid w:val="00D9782B"/>
    <w:rsid w:val="00D978C6"/>
    <w:rsid w:val="00DA0956"/>
    <w:rsid w:val="00DA357F"/>
    <w:rsid w:val="00DA3E12"/>
    <w:rsid w:val="00DB2E20"/>
    <w:rsid w:val="00DB3A89"/>
    <w:rsid w:val="00DC18AD"/>
    <w:rsid w:val="00DC6337"/>
    <w:rsid w:val="00DC6D96"/>
    <w:rsid w:val="00DC7A82"/>
    <w:rsid w:val="00DD53EA"/>
    <w:rsid w:val="00DE729F"/>
    <w:rsid w:val="00DF2644"/>
    <w:rsid w:val="00DF4F72"/>
    <w:rsid w:val="00DF5DAE"/>
    <w:rsid w:val="00DF7CAE"/>
    <w:rsid w:val="00E026EB"/>
    <w:rsid w:val="00E04E42"/>
    <w:rsid w:val="00E148F1"/>
    <w:rsid w:val="00E15892"/>
    <w:rsid w:val="00E16713"/>
    <w:rsid w:val="00E24C14"/>
    <w:rsid w:val="00E272BA"/>
    <w:rsid w:val="00E27D29"/>
    <w:rsid w:val="00E301D6"/>
    <w:rsid w:val="00E36273"/>
    <w:rsid w:val="00E423C0"/>
    <w:rsid w:val="00E44314"/>
    <w:rsid w:val="00E505E5"/>
    <w:rsid w:val="00E53D4E"/>
    <w:rsid w:val="00E5560E"/>
    <w:rsid w:val="00E57C99"/>
    <w:rsid w:val="00E6414C"/>
    <w:rsid w:val="00E7260F"/>
    <w:rsid w:val="00E778A8"/>
    <w:rsid w:val="00E85A94"/>
    <w:rsid w:val="00E8702D"/>
    <w:rsid w:val="00E916A9"/>
    <w:rsid w:val="00E916DE"/>
    <w:rsid w:val="00E925AD"/>
    <w:rsid w:val="00E965ED"/>
    <w:rsid w:val="00E96630"/>
    <w:rsid w:val="00EA765D"/>
    <w:rsid w:val="00EB0583"/>
    <w:rsid w:val="00EB2846"/>
    <w:rsid w:val="00EB3EDA"/>
    <w:rsid w:val="00EC18A3"/>
    <w:rsid w:val="00EC2493"/>
    <w:rsid w:val="00EC5DC8"/>
    <w:rsid w:val="00EC6496"/>
    <w:rsid w:val="00EC6E87"/>
    <w:rsid w:val="00ED0C54"/>
    <w:rsid w:val="00ED18DC"/>
    <w:rsid w:val="00ED2CE6"/>
    <w:rsid w:val="00ED4D0A"/>
    <w:rsid w:val="00ED6201"/>
    <w:rsid w:val="00ED7A2A"/>
    <w:rsid w:val="00EE790C"/>
    <w:rsid w:val="00EF1D7F"/>
    <w:rsid w:val="00EF2E78"/>
    <w:rsid w:val="00EF34D8"/>
    <w:rsid w:val="00EF7DE2"/>
    <w:rsid w:val="00F0137E"/>
    <w:rsid w:val="00F064A4"/>
    <w:rsid w:val="00F21786"/>
    <w:rsid w:val="00F22092"/>
    <w:rsid w:val="00F24ED6"/>
    <w:rsid w:val="00F25746"/>
    <w:rsid w:val="00F30601"/>
    <w:rsid w:val="00F316EB"/>
    <w:rsid w:val="00F3742B"/>
    <w:rsid w:val="00F37A48"/>
    <w:rsid w:val="00F41FDB"/>
    <w:rsid w:val="00F4689C"/>
    <w:rsid w:val="00F507EC"/>
    <w:rsid w:val="00F52C10"/>
    <w:rsid w:val="00F56D63"/>
    <w:rsid w:val="00F609A9"/>
    <w:rsid w:val="00F74D7B"/>
    <w:rsid w:val="00F7723B"/>
    <w:rsid w:val="00F80C99"/>
    <w:rsid w:val="00F815F8"/>
    <w:rsid w:val="00F81863"/>
    <w:rsid w:val="00F826E0"/>
    <w:rsid w:val="00F867EC"/>
    <w:rsid w:val="00F90138"/>
    <w:rsid w:val="00F91B2B"/>
    <w:rsid w:val="00F946AA"/>
    <w:rsid w:val="00FB246A"/>
    <w:rsid w:val="00FB7247"/>
    <w:rsid w:val="00FC03CD"/>
    <w:rsid w:val="00FC0646"/>
    <w:rsid w:val="00FC1643"/>
    <w:rsid w:val="00FC3BC5"/>
    <w:rsid w:val="00FC68B7"/>
    <w:rsid w:val="00FD77A2"/>
    <w:rsid w:val="00FE4A30"/>
    <w:rsid w:val="00FE574B"/>
    <w:rsid w:val="00FE6985"/>
    <w:rsid w:val="00FF2FEA"/>
    <w:rsid w:val="00FF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8E284D4"/>
  <w15:docId w15:val="{5C4A5DBB-C9DD-46CC-9E1D-E4364FA07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925A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Fußnote,Footnote Text Char Char,single space,footnote text"/>
    <w:basedOn w:val="Normal"/>
    <w:link w:val="FootnoteTextChar"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E925AD"/>
  </w:style>
  <w:style w:type="paragraph" w:customStyle="1" w:styleId="Bullet2G">
    <w:name w:val="_Bullet 2_G"/>
    <w:basedOn w:val="Normal"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semiHidden/>
    <w:rsid w:val="00E925AD"/>
    <w:rPr>
      <w:color w:val="auto"/>
      <w:u w:val="none"/>
    </w:rPr>
  </w:style>
  <w:style w:type="paragraph" w:styleId="Footer">
    <w:name w:val="footer"/>
    <w:aliases w:val="3_G"/>
    <w:basedOn w:val="Normal"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semiHidden/>
    <w:rsid w:val="00E925AD"/>
    <w:rPr>
      <w:color w:val="auto"/>
      <w:u w:val="none"/>
    </w:rPr>
  </w:style>
  <w:style w:type="paragraph" w:styleId="BalloonText">
    <w:name w:val="Balloon Text"/>
    <w:basedOn w:val="Normal"/>
    <w:link w:val="BalloonTextChar"/>
    <w:rsid w:val="00C24C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4C2F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,Fußnote Char,Footnote Text Char Char Char,single space Char,footnote text Char"/>
    <w:basedOn w:val="DefaultParagraphFont"/>
    <w:link w:val="FootnoteText"/>
    <w:rsid w:val="00C24C2F"/>
    <w:rPr>
      <w:sz w:val="18"/>
      <w:lang w:eastAsia="en-US"/>
    </w:rPr>
  </w:style>
  <w:style w:type="character" w:styleId="CommentReference">
    <w:name w:val="annotation reference"/>
    <w:basedOn w:val="DefaultParagraphFont"/>
    <w:rsid w:val="008301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014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83014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301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3014A"/>
    <w:rPr>
      <w:b/>
      <w:bCs/>
      <w:lang w:eastAsia="en-US"/>
    </w:rPr>
  </w:style>
  <w:style w:type="paragraph" w:styleId="Revision">
    <w:name w:val="Revision"/>
    <w:hidden/>
    <w:uiPriority w:val="99"/>
    <w:semiHidden/>
    <w:rsid w:val="0083014A"/>
    <w:rPr>
      <w:lang w:eastAsia="en-US"/>
    </w:rPr>
  </w:style>
  <w:style w:type="character" w:customStyle="1" w:styleId="SingleTxtGChar">
    <w:name w:val="_ Single Txt_G Char"/>
    <w:link w:val="SingleTxtG"/>
    <w:rsid w:val="00044F5F"/>
    <w:rPr>
      <w:lang w:eastAsia="en-US"/>
    </w:rPr>
  </w:style>
  <w:style w:type="character" w:customStyle="1" w:styleId="H1GChar">
    <w:name w:val="_ H_1_G Char"/>
    <w:link w:val="H1G"/>
    <w:rsid w:val="00E16713"/>
    <w:rPr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648F2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BF337E"/>
    <w:pPr>
      <w:suppressAutoHyphens w:val="0"/>
      <w:spacing w:after="120" w:line="480" w:lineRule="auto"/>
    </w:pPr>
    <w:rPr>
      <w:rFonts w:eastAsiaTheme="minorEastAsia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F337E"/>
    <w:rPr>
      <w:rFonts w:eastAsiaTheme="minorEastAs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84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84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3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8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ichuk\AppData\Roaming\Microsoft\Templates\ECE+PlainPage\ECE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9939F-1D16-4863-9384-0BC7B3E5B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ECE_E</Template>
  <TotalTime>6</TotalTime>
  <Pages>4</Pages>
  <Words>1224</Words>
  <Characters>6977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Ludmila Boichuk</dc:creator>
  <cp:lastModifiedBy>Filip Aggestam</cp:lastModifiedBy>
  <cp:revision>4</cp:revision>
  <cp:lastPrinted>2018-09-27T12:14:00Z</cp:lastPrinted>
  <dcterms:created xsi:type="dcterms:W3CDTF">2018-12-18T16:13:00Z</dcterms:created>
  <dcterms:modified xsi:type="dcterms:W3CDTF">2018-12-19T09:02:00Z</dcterms:modified>
</cp:coreProperties>
</file>