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14:paraId="23B562F3" w14:textId="77777777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14:paraId="0042F40A" w14:textId="77777777" w:rsidR="00A2454C" w:rsidRPr="00635870" w:rsidRDefault="00A2454C" w:rsidP="00D10C4A">
            <w:pPr>
              <w:spacing w:after="80" w:line="300" w:lineRule="exact"/>
              <w:rPr>
                <w:sz w:val="28"/>
                <w:lang w:val="en-GB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2398D3E4" w14:textId="77777777"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058468" w14:textId="05BE661F" w:rsidR="00A2454C" w:rsidRPr="00A360A2" w:rsidRDefault="000E4973" w:rsidP="000E4973">
            <w:pPr>
              <w:jc w:val="right"/>
              <w:rPr>
                <w:lang w:val="en-GB"/>
              </w:rPr>
            </w:pPr>
            <w:r w:rsidRPr="000E4973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/MP.EIA/</w:t>
            </w:r>
            <w:r w:rsidR="0020312A">
              <w:rPr>
                <w:lang w:val="en-GB"/>
              </w:rPr>
              <w:t>2019</w:t>
            </w:r>
            <w:r>
              <w:rPr>
                <w:lang w:val="en-GB"/>
              </w:rPr>
              <w:t>/</w:t>
            </w:r>
            <w:r w:rsidR="0020312A">
              <w:rPr>
                <w:lang w:val="en-GB"/>
              </w:rPr>
              <w:t>12</w:t>
            </w:r>
          </w:p>
        </w:tc>
      </w:tr>
      <w:tr w:rsidR="00A2454C" w:rsidRPr="004E5FCA" w14:paraId="5D1E452A" w14:textId="77777777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00A1BD9A" w14:textId="77777777"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F6906F" wp14:editId="090FD72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7F36EB2" w14:textId="77777777"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0EA93E2" w14:textId="77777777" w:rsidR="00A2454C" w:rsidRDefault="000E4973" w:rsidP="000E4973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Distr.: General </w:t>
            </w:r>
          </w:p>
          <w:p w14:paraId="323815A7" w14:textId="11D1D3AA" w:rsidR="000E4973" w:rsidRDefault="0020312A" w:rsidP="000E4973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26 November </w:t>
            </w:r>
            <w:r w:rsidR="000E4973">
              <w:rPr>
                <w:lang w:val="en-GB"/>
              </w:rPr>
              <w:t>2018</w:t>
            </w:r>
          </w:p>
          <w:p w14:paraId="2CA36543" w14:textId="0C54666A" w:rsidR="000E4973" w:rsidRDefault="006575A6" w:rsidP="000E4973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14:paraId="13707AA8" w14:textId="661408DC" w:rsidR="000E4973" w:rsidRPr="00635870" w:rsidRDefault="000E4973" w:rsidP="000E4973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264869">
              <w:rPr>
                <w:lang w:val="en-US"/>
              </w:rPr>
              <w:t xml:space="preserve">English and </w:t>
            </w:r>
            <w:r>
              <w:rPr>
                <w:lang w:val="en-GB"/>
              </w:rPr>
              <w:t>Russian</w:t>
            </w:r>
          </w:p>
        </w:tc>
      </w:tr>
    </w:tbl>
    <w:p w14:paraId="6D5036B2" w14:textId="0BE10BC0" w:rsidR="000E4973" w:rsidRDefault="000E4973" w:rsidP="00FC0EE6">
      <w:pPr>
        <w:tabs>
          <w:tab w:val="left" w:pos="7780"/>
        </w:tabs>
        <w:spacing w:before="120" w:after="6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  <w:r w:rsidR="003806D7">
        <w:rPr>
          <w:b/>
          <w:sz w:val="28"/>
          <w:szCs w:val="28"/>
        </w:rPr>
        <w:tab/>
      </w:r>
    </w:p>
    <w:p w14:paraId="394F2DB8" w14:textId="77777777" w:rsidR="000E4973" w:rsidRPr="006509C1" w:rsidRDefault="000E4973" w:rsidP="000E4973">
      <w:pPr>
        <w:spacing w:before="60" w:after="60" w:line="240" w:lineRule="exact"/>
        <w:rPr>
          <w:sz w:val="24"/>
        </w:rPr>
      </w:pPr>
      <w:bookmarkStart w:id="1" w:name="_Hlk531014030"/>
      <w:r w:rsidRPr="006509C1">
        <w:rPr>
          <w:sz w:val="24"/>
        </w:rPr>
        <w:t xml:space="preserve">Совещание Сторон Конвенции </w:t>
      </w:r>
      <w:bookmarkEnd w:id="1"/>
      <w:r w:rsidRPr="006509C1">
        <w:rPr>
          <w:sz w:val="24"/>
        </w:rPr>
        <w:t xml:space="preserve">об оценке </w:t>
      </w:r>
      <w:r w:rsidRPr="006509C1">
        <w:rPr>
          <w:sz w:val="24"/>
        </w:rPr>
        <w:br/>
        <w:t xml:space="preserve">воздействия на окружающую среду </w:t>
      </w:r>
      <w:r w:rsidRPr="006509C1">
        <w:rPr>
          <w:sz w:val="24"/>
        </w:rPr>
        <w:br/>
        <w:t>в трансграничном контексте</w:t>
      </w:r>
    </w:p>
    <w:p w14:paraId="00051375" w14:textId="7EC303D5" w:rsidR="000E4973" w:rsidRPr="00354FCB" w:rsidRDefault="000E4973" w:rsidP="0039597B">
      <w:pPr>
        <w:spacing w:before="60" w:after="120" w:line="240" w:lineRule="exact"/>
        <w:rPr>
          <w:b/>
          <w:sz w:val="24"/>
        </w:rPr>
      </w:pPr>
    </w:p>
    <w:p w14:paraId="7B8F9E07" w14:textId="77777777" w:rsidR="00290912" w:rsidRPr="00FC0EE6" w:rsidRDefault="00290912" w:rsidP="00FC0EE6">
      <w:pPr>
        <w:suppressAutoHyphens/>
        <w:spacing w:before="120"/>
        <w:rPr>
          <w:b/>
          <w:spacing w:val="0"/>
          <w:w w:val="100"/>
          <w:kern w:val="0"/>
          <w:szCs w:val="20"/>
        </w:rPr>
      </w:pPr>
      <w:r w:rsidRPr="00FC0EE6">
        <w:rPr>
          <w:b/>
          <w:spacing w:val="0"/>
          <w:w w:val="100"/>
          <w:kern w:val="0"/>
          <w:szCs w:val="20"/>
        </w:rPr>
        <w:t>Промежуточная сессия</w:t>
      </w:r>
    </w:p>
    <w:p w14:paraId="60211DCE" w14:textId="448D254C" w:rsidR="000E4973" w:rsidRPr="00FC0EE6" w:rsidRDefault="000E4973" w:rsidP="00FC0EE6">
      <w:pPr>
        <w:suppressAutoHyphens/>
        <w:spacing w:line="240" w:lineRule="auto"/>
        <w:rPr>
          <w:spacing w:val="0"/>
          <w:w w:val="100"/>
          <w:kern w:val="0"/>
          <w:szCs w:val="20"/>
        </w:rPr>
      </w:pPr>
      <w:r w:rsidRPr="00FC0EE6">
        <w:rPr>
          <w:spacing w:val="0"/>
          <w:w w:val="100"/>
          <w:kern w:val="0"/>
          <w:szCs w:val="20"/>
        </w:rPr>
        <w:t xml:space="preserve">Женева, </w:t>
      </w:r>
      <w:r w:rsidR="00C66F29" w:rsidRPr="00FC0EE6">
        <w:rPr>
          <w:spacing w:val="0"/>
          <w:w w:val="100"/>
          <w:kern w:val="0"/>
          <w:szCs w:val="20"/>
        </w:rPr>
        <w:t>5-7 февраля</w:t>
      </w:r>
      <w:r w:rsidRPr="00FC0EE6">
        <w:rPr>
          <w:spacing w:val="0"/>
          <w:w w:val="100"/>
          <w:kern w:val="0"/>
          <w:szCs w:val="20"/>
        </w:rPr>
        <w:t xml:space="preserve"> </w:t>
      </w:r>
      <w:r w:rsidR="00C66F29" w:rsidRPr="00FC0EE6">
        <w:rPr>
          <w:spacing w:val="0"/>
          <w:w w:val="100"/>
          <w:kern w:val="0"/>
          <w:szCs w:val="20"/>
        </w:rPr>
        <w:t xml:space="preserve">2019 </w:t>
      </w:r>
      <w:r w:rsidRPr="00FC0EE6">
        <w:rPr>
          <w:spacing w:val="0"/>
          <w:w w:val="100"/>
          <w:kern w:val="0"/>
          <w:szCs w:val="20"/>
        </w:rPr>
        <w:t>года</w:t>
      </w:r>
    </w:p>
    <w:p w14:paraId="71815E85" w14:textId="0C73D54C" w:rsidR="000E4973" w:rsidRPr="00FC0EE6" w:rsidRDefault="000E4973" w:rsidP="00FC0EE6">
      <w:pPr>
        <w:suppressAutoHyphens/>
        <w:spacing w:line="240" w:lineRule="auto"/>
        <w:rPr>
          <w:spacing w:val="0"/>
          <w:w w:val="100"/>
          <w:kern w:val="0"/>
          <w:szCs w:val="20"/>
        </w:rPr>
      </w:pPr>
      <w:r w:rsidRPr="00FC0EE6">
        <w:rPr>
          <w:spacing w:val="0"/>
          <w:w w:val="100"/>
          <w:kern w:val="0"/>
          <w:szCs w:val="20"/>
        </w:rPr>
        <w:t>Пункт</w:t>
      </w:r>
      <w:r w:rsidR="00C67129" w:rsidRPr="00FC0EE6">
        <w:rPr>
          <w:spacing w:val="0"/>
          <w:w w:val="100"/>
          <w:kern w:val="0"/>
          <w:szCs w:val="20"/>
        </w:rPr>
        <w:t>ы</w:t>
      </w:r>
      <w:r w:rsidRPr="00FC0EE6">
        <w:rPr>
          <w:spacing w:val="0"/>
          <w:w w:val="100"/>
          <w:kern w:val="0"/>
          <w:szCs w:val="20"/>
        </w:rPr>
        <w:t xml:space="preserve"> 3</w:t>
      </w:r>
      <w:r w:rsidR="00C67129" w:rsidRPr="00FC0EE6">
        <w:rPr>
          <w:spacing w:val="0"/>
          <w:w w:val="100"/>
          <w:kern w:val="0"/>
          <w:szCs w:val="20"/>
        </w:rPr>
        <w:t xml:space="preserve"> (а) и 8</w:t>
      </w:r>
      <w:r w:rsidRPr="00FC0EE6">
        <w:rPr>
          <w:spacing w:val="0"/>
          <w:w w:val="100"/>
          <w:kern w:val="0"/>
          <w:szCs w:val="20"/>
        </w:rPr>
        <w:t xml:space="preserve"> предварительной повестки дня</w:t>
      </w:r>
    </w:p>
    <w:p w14:paraId="627A0226" w14:textId="598440E8" w:rsidR="00290912" w:rsidRPr="00EA274D" w:rsidRDefault="00290912" w:rsidP="00FC0EE6">
      <w:pPr>
        <w:pStyle w:val="HChG"/>
        <w:spacing w:before="120" w:after="120" w:line="240" w:lineRule="auto"/>
        <w:ind w:left="0" w:firstLine="0"/>
        <w:rPr>
          <w:b w:val="0"/>
          <w:bCs/>
          <w:lang w:val="ru-RU"/>
        </w:rPr>
      </w:pPr>
      <w:r w:rsidRPr="00FC0EE6">
        <w:rPr>
          <w:bCs/>
          <w:sz w:val="20"/>
          <w:lang w:val="ru-RU"/>
        </w:rPr>
        <w:t>Нерешенные вопросы</w:t>
      </w:r>
      <w:r w:rsidR="00C67129" w:rsidRPr="00FC0EE6">
        <w:rPr>
          <w:bCs/>
          <w:sz w:val="20"/>
          <w:lang w:val="ru-RU"/>
        </w:rPr>
        <w:t>: проекты решений</w:t>
      </w:r>
    </w:p>
    <w:p w14:paraId="6943AE99" w14:textId="3050AA1A" w:rsidR="00290912" w:rsidRPr="00EA274D" w:rsidRDefault="00290912" w:rsidP="00FC0EE6">
      <w:pPr>
        <w:pStyle w:val="HChG"/>
        <w:spacing w:before="120" w:after="120" w:line="240" w:lineRule="auto"/>
        <w:ind w:left="0" w:firstLine="0"/>
        <w:rPr>
          <w:b w:val="0"/>
          <w:bCs/>
          <w:lang w:val="ru-RU"/>
        </w:rPr>
      </w:pPr>
      <w:r w:rsidRPr="00FC0EE6">
        <w:rPr>
          <w:bCs/>
          <w:sz w:val="20"/>
          <w:lang w:val="ru-RU"/>
        </w:rPr>
        <w:t>Принятие решений</w:t>
      </w:r>
      <w:r w:rsidR="00C67129" w:rsidRPr="00FC0EE6">
        <w:rPr>
          <w:bCs/>
          <w:sz w:val="20"/>
          <w:lang w:val="ru-RU"/>
        </w:rPr>
        <w:t xml:space="preserve"> </w:t>
      </w:r>
      <w:r w:rsidRPr="00FC0EE6">
        <w:rPr>
          <w:bCs/>
          <w:sz w:val="20"/>
          <w:lang w:val="ru-RU"/>
        </w:rPr>
        <w:t>Совещанием Сторон Конвенции</w:t>
      </w:r>
    </w:p>
    <w:p w14:paraId="1AC616B0" w14:textId="77777777" w:rsidR="0031437F" w:rsidRDefault="0031437F" w:rsidP="00C03CA2"/>
    <w:p w14:paraId="06201BC1" w14:textId="3F02A355" w:rsidR="00F00F8C" w:rsidRPr="00DD5704" w:rsidRDefault="000E4973" w:rsidP="000E4973">
      <w:pPr>
        <w:pStyle w:val="HChGR"/>
      </w:pPr>
      <w:r>
        <w:tab/>
      </w:r>
      <w:r>
        <w:tab/>
      </w:r>
      <w:r w:rsidR="003806D7">
        <w:t xml:space="preserve">Пересмотренные </w:t>
      </w:r>
      <w:r w:rsidR="009B175A">
        <w:t>Р</w:t>
      </w:r>
      <w:r w:rsidRPr="000E4973">
        <w:t>уководящи</w:t>
      </w:r>
      <w:r w:rsidR="00EC2DA1">
        <w:t>е</w:t>
      </w:r>
      <w:r w:rsidRPr="000E4973">
        <w:t xml:space="preserve"> </w:t>
      </w:r>
      <w:bookmarkStart w:id="2" w:name="_Hlk509223895"/>
      <w:r w:rsidRPr="000E4973">
        <w:t>принцип</w:t>
      </w:r>
      <w:r w:rsidR="00FE6421">
        <w:t>ы</w:t>
      </w:r>
      <w:r w:rsidRPr="000E4973">
        <w:t xml:space="preserve"> по оценке воздействия на окружающую среду в трансграничном </w:t>
      </w:r>
      <w:r w:rsidRPr="00DD5704">
        <w:t>контексте для стран Центральной Азии</w:t>
      </w:r>
      <w:bookmarkEnd w:id="2"/>
    </w:p>
    <w:p w14:paraId="3C6129EA" w14:textId="44D3C38A" w:rsidR="000E4973" w:rsidRDefault="00F00F8C" w:rsidP="00F00F8C">
      <w:pPr>
        <w:pStyle w:val="H1G"/>
        <w:spacing w:before="240" w:after="120"/>
        <w:rPr>
          <w:lang w:val="ru-RU"/>
        </w:rPr>
      </w:pPr>
      <w:r w:rsidRPr="00DD5704">
        <w:rPr>
          <w:lang w:val="ru-RU"/>
        </w:rPr>
        <w:tab/>
      </w:r>
      <w:r w:rsidRPr="00DD5704">
        <w:rPr>
          <w:lang w:val="ru-RU"/>
        </w:rPr>
        <w:tab/>
        <w:t>Подготовлены консультантами секретариата</w:t>
      </w:r>
      <w:r w:rsidRPr="00E80597">
        <w:rPr>
          <w:lang w:val="ru-RU"/>
        </w:rPr>
        <w:t xml:space="preserve"> на </w:t>
      </w:r>
      <w:r w:rsidRPr="00DD5704">
        <w:rPr>
          <w:lang w:val="ru-RU"/>
        </w:rPr>
        <w:t>основе консультаций</w:t>
      </w:r>
      <w:r w:rsidRPr="002C224B">
        <w:rPr>
          <w:lang w:val="ru-RU"/>
        </w:rPr>
        <w:t xml:space="preserve"> со странами Центральной Азии</w:t>
      </w:r>
      <w:r w:rsidR="000E4973" w:rsidRPr="002C224B">
        <w:rPr>
          <w:lang w:val="ru-RU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4973" w14:paraId="53EDBD59" w14:textId="77777777" w:rsidTr="00FC0EE6">
        <w:trPr>
          <w:jc w:val="center"/>
        </w:trPr>
        <w:tc>
          <w:tcPr>
            <w:tcW w:w="9628" w:type="dxa"/>
          </w:tcPr>
          <w:p w14:paraId="7691D6E3" w14:textId="77777777" w:rsidR="000E4973" w:rsidRPr="00A113DE" w:rsidRDefault="000E4973" w:rsidP="00064072">
            <w:pPr>
              <w:tabs>
                <w:tab w:val="left" w:pos="255"/>
              </w:tabs>
              <w:spacing w:before="240" w:after="120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Резюме</w:t>
            </w:r>
          </w:p>
        </w:tc>
      </w:tr>
      <w:tr w:rsidR="000E4973" w14:paraId="2B074E1B" w14:textId="77777777" w:rsidTr="00FC0EE6">
        <w:trPr>
          <w:jc w:val="center"/>
        </w:trPr>
        <w:tc>
          <w:tcPr>
            <w:tcW w:w="9628" w:type="dxa"/>
            <w:shd w:val="clear" w:color="auto" w:fill="auto"/>
          </w:tcPr>
          <w:p w14:paraId="4EC3CF9D" w14:textId="785C15E6" w:rsidR="003806D7" w:rsidRDefault="00FE6421" w:rsidP="000E4973">
            <w:pPr>
              <w:pStyle w:val="SingleTxtGR"/>
            </w:pPr>
            <w:r>
              <w:t>Н</w:t>
            </w:r>
            <w:r w:rsidR="000E4973" w:rsidRPr="000E4973">
              <w:t xml:space="preserve">а седьмой </w:t>
            </w:r>
            <w:r>
              <w:t>и третьей сессиях</w:t>
            </w:r>
            <w:r w:rsidR="000E4973" w:rsidRPr="000E4973">
              <w:t xml:space="preserve"> </w:t>
            </w:r>
            <w:r w:rsidR="00EA274D">
              <w:t>(Минск, 13-16 июня 2017 г.)</w:t>
            </w:r>
            <w:r w:rsidR="006C2931" w:rsidRPr="009E7126">
              <w:t xml:space="preserve"> </w:t>
            </w:r>
            <w:r w:rsidR="0002759A" w:rsidRPr="000E4973">
              <w:t>Совещани</w:t>
            </w:r>
            <w:r w:rsidR="0002759A">
              <w:t>е</w:t>
            </w:r>
            <w:r w:rsidR="0002759A" w:rsidRPr="000E4973">
              <w:t xml:space="preserve"> </w:t>
            </w:r>
            <w:r w:rsidR="000E4973" w:rsidRPr="000E4973">
              <w:t xml:space="preserve">сторон Конвенции об оценке воздействия на окружающую среду в трансграничном контексте и </w:t>
            </w:r>
            <w:r w:rsidR="0002759A" w:rsidRPr="000E4973">
              <w:t>Совещани</w:t>
            </w:r>
            <w:r w:rsidR="0002759A">
              <w:t>е</w:t>
            </w:r>
            <w:r w:rsidR="0002759A" w:rsidRPr="000E4973">
              <w:t xml:space="preserve"> </w:t>
            </w:r>
            <w:r w:rsidR="000E4973" w:rsidRPr="000E4973">
              <w:t>сторон Конвенции, действующего в качестве Совещания сторон Протокола по стратегической экологической оценке</w:t>
            </w:r>
            <w:r w:rsidR="00C67129">
              <w:t>,</w:t>
            </w:r>
            <w:r w:rsidR="004A4EEE">
              <w:t xml:space="preserve"> поручили завершить</w:t>
            </w:r>
            <w:r w:rsidR="000E4973" w:rsidRPr="000E4973">
              <w:t xml:space="preserve"> </w:t>
            </w:r>
            <w:r w:rsidR="003806D7">
              <w:t>пересмотр</w:t>
            </w:r>
            <w:r w:rsidR="00587B6B">
              <w:t>енные Руководящие</w:t>
            </w:r>
            <w:r w:rsidR="000E4973" w:rsidRPr="000E4973">
              <w:t xml:space="preserve"> принцип</w:t>
            </w:r>
            <w:r w:rsidR="00587B6B">
              <w:t>ы</w:t>
            </w:r>
            <w:r w:rsidR="000E4973" w:rsidRPr="000E4973">
              <w:t xml:space="preserve"> по </w:t>
            </w:r>
            <w:r w:rsidR="002A67A7" w:rsidRPr="002A67A7">
              <w:t xml:space="preserve">оценке воздействия на окружающую среду </w:t>
            </w:r>
            <w:r w:rsidR="000E4973" w:rsidRPr="000E4973">
              <w:t>в трансграничном контексте для стран Центральной Азии (ECE/MP.EIA/23.Add.1–ECE/MP.EIA/SEA/7.Add.1,</w:t>
            </w:r>
            <w:r w:rsidR="007D7A74">
              <w:t xml:space="preserve"> </w:t>
            </w:r>
            <w:r w:rsidR="00F00F8C">
              <w:t xml:space="preserve">решение </w:t>
            </w:r>
            <w:r w:rsidR="00F00F8C" w:rsidRPr="00F00F8C">
              <w:t>VII/3–III/3</w:t>
            </w:r>
            <w:r w:rsidR="00F00F8C">
              <w:t>, п</w:t>
            </w:r>
            <w:r w:rsidR="000E4973" w:rsidRPr="000E4973">
              <w:t>риложение I, пункт I.10.).</w:t>
            </w:r>
            <w:r w:rsidR="00264869">
              <w:t xml:space="preserve"> Настоящий документ, подготовленный консультантами при содействии стран Центральной Азии, составлен в соответствии с данным поручением.</w:t>
            </w:r>
          </w:p>
          <w:p w14:paraId="46AE628B" w14:textId="6A9C2C89" w:rsidR="000E4973" w:rsidRDefault="003806D7" w:rsidP="003806D7">
            <w:pPr>
              <w:pStyle w:val="SingleTxtGR"/>
            </w:pPr>
            <w:r>
              <w:t xml:space="preserve">Совещанию сторон Конвенции предлагается рассмотреть вопрос о согласовании Пересмотренных руководящих принципов с последующим утверждением в рамках решения </w:t>
            </w:r>
            <w:r>
              <w:rPr>
                <w:lang w:val="en-US"/>
              </w:rPr>
              <w:t>IS</w:t>
            </w:r>
            <w:r w:rsidRPr="00FC0EE6">
              <w:t>/3</w:t>
            </w:r>
            <w:r>
              <w:t>.</w:t>
            </w:r>
          </w:p>
        </w:tc>
      </w:tr>
    </w:tbl>
    <w:p w14:paraId="536F346B" w14:textId="77777777" w:rsidR="000E4973" w:rsidRPr="00DD5704" w:rsidRDefault="000E4973">
      <w:pPr>
        <w:spacing w:line="240" w:lineRule="auto"/>
      </w:pPr>
      <w:r>
        <w:br w:type="page"/>
      </w:r>
    </w:p>
    <w:p w14:paraId="6C3ADB8A" w14:textId="600A17D5" w:rsidR="00D10C4A" w:rsidRPr="004B27C6" w:rsidRDefault="00D10C4A" w:rsidP="00697D40">
      <w:pPr>
        <w:tabs>
          <w:tab w:val="center" w:pos="4819"/>
        </w:tabs>
        <w:spacing w:after="120"/>
        <w:rPr>
          <w:sz w:val="28"/>
        </w:rPr>
      </w:pPr>
      <w:r w:rsidRPr="004B27C6">
        <w:rPr>
          <w:sz w:val="28"/>
          <w:szCs w:val="28"/>
        </w:rPr>
        <w:lastRenderedPageBreak/>
        <w:t>Содержание</w:t>
      </w:r>
      <w:r w:rsidR="00697D40">
        <w:rPr>
          <w:sz w:val="28"/>
          <w:szCs w:val="28"/>
        </w:rPr>
        <w:tab/>
      </w:r>
    </w:p>
    <w:p w14:paraId="290521D7" w14:textId="77777777" w:rsidR="00D10C4A" w:rsidRPr="0065435C" w:rsidRDefault="00D10C4A" w:rsidP="00064072">
      <w:pPr>
        <w:tabs>
          <w:tab w:val="right" w:pos="9638"/>
        </w:tabs>
        <w:spacing w:after="120"/>
        <w:ind w:left="283"/>
        <w:rPr>
          <w:sz w:val="18"/>
        </w:rPr>
      </w:pPr>
      <w:r w:rsidRPr="0065435C">
        <w:rPr>
          <w:i/>
          <w:sz w:val="18"/>
        </w:rPr>
        <w:tab/>
      </w:r>
      <w:r w:rsidRPr="0065435C">
        <w:rPr>
          <w:i/>
          <w:sz w:val="18"/>
          <w:szCs w:val="18"/>
        </w:rPr>
        <w:t>Стр.</w:t>
      </w:r>
    </w:p>
    <w:p w14:paraId="43726586" w14:textId="7FC1135C" w:rsidR="00D10C4A" w:rsidRPr="00DA7D08" w:rsidRDefault="00D10C4A" w:rsidP="008D1A85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</w:pPr>
      <w:r>
        <w:tab/>
      </w:r>
      <w:r>
        <w:tab/>
      </w:r>
      <w:r w:rsidRPr="006808C1">
        <w:t xml:space="preserve">О разработке </w:t>
      </w:r>
      <w:r w:rsidR="003806D7">
        <w:t>Пересмотренных</w:t>
      </w:r>
      <w:r w:rsidR="00264869">
        <w:t xml:space="preserve"> </w:t>
      </w:r>
      <w:r w:rsidRPr="006808C1">
        <w:t>Руководящих принципов</w:t>
      </w:r>
      <w:r w:rsidRPr="006808C1">
        <w:tab/>
      </w:r>
      <w:r w:rsidRPr="006808C1">
        <w:tab/>
      </w:r>
      <w:r w:rsidR="00DA7D08" w:rsidRPr="009E7126">
        <w:t>3</w:t>
      </w:r>
    </w:p>
    <w:p w14:paraId="16ADA3DE" w14:textId="4BF2368C" w:rsidR="00D10C4A" w:rsidRPr="00C66F29" w:rsidRDefault="00D10C4A" w:rsidP="00D10C4A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  <w:ind w:left="1470" w:hanging="720"/>
      </w:pPr>
      <w:r w:rsidRPr="003E1977">
        <w:rPr>
          <w:lang w:val="fr-CH"/>
        </w:rPr>
        <w:t>I</w:t>
      </w:r>
      <w:r w:rsidRPr="003E1977">
        <w:t>.</w:t>
      </w:r>
      <w:r w:rsidRPr="003E1977">
        <w:tab/>
      </w:r>
      <w:r w:rsidRPr="00D10C4A">
        <w:t>Введение</w:t>
      </w:r>
      <w:r w:rsidR="000E4973">
        <w:tab/>
      </w:r>
      <w:r>
        <w:tab/>
      </w:r>
      <w:r w:rsidR="00B6532A" w:rsidRPr="00C66F29">
        <w:t>6</w:t>
      </w:r>
    </w:p>
    <w:p w14:paraId="1E743B7D" w14:textId="2C1120FE" w:rsidR="00D10C4A" w:rsidRPr="00FC0EE6" w:rsidRDefault="009539BC" w:rsidP="008D1A85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  <w:ind w:left="1470" w:hanging="720"/>
      </w:pPr>
      <w:r w:rsidRPr="006808C1">
        <w:tab/>
      </w:r>
      <w:r w:rsidRPr="006808C1">
        <w:tab/>
      </w:r>
      <w:r>
        <w:rPr>
          <w:lang w:val="fr-CH"/>
        </w:rPr>
        <w:t>A</w:t>
      </w:r>
      <w:r w:rsidRPr="006808C1">
        <w:t>.</w:t>
      </w:r>
      <w:r w:rsidRPr="006808C1">
        <w:tab/>
      </w:r>
      <w:r w:rsidRPr="00C248C3">
        <w:t xml:space="preserve">Международно-правовые основы для проведения оценки воздействия на </w:t>
      </w:r>
      <w:r w:rsidR="008D1A85" w:rsidRPr="00C248C3">
        <w:br/>
      </w:r>
      <w:r w:rsidRPr="00C248C3">
        <w:t>окружающую</w:t>
      </w:r>
      <w:r w:rsidR="008D1A85" w:rsidRPr="00C248C3">
        <w:t xml:space="preserve"> </w:t>
      </w:r>
      <w:r w:rsidRPr="00C248C3">
        <w:t>среду в трансграничном контексте</w:t>
      </w:r>
      <w:r w:rsidRPr="00EC2DA1">
        <w:tab/>
      </w:r>
      <w:r w:rsidRPr="00EC2DA1">
        <w:tab/>
      </w:r>
      <w:r w:rsidR="00B6532A" w:rsidRPr="00FC0EE6">
        <w:t>6</w:t>
      </w:r>
    </w:p>
    <w:p w14:paraId="6C1AFAF5" w14:textId="1DBC3E1C" w:rsidR="009539BC" w:rsidRPr="00C66F29" w:rsidRDefault="008519F3" w:rsidP="005036FB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  <w:ind w:left="1470" w:hanging="720"/>
      </w:pPr>
      <w:r w:rsidRPr="00EC2DA1">
        <w:tab/>
      </w:r>
      <w:r w:rsidR="005036FB" w:rsidRPr="00EC2DA1">
        <w:tab/>
      </w:r>
      <w:r w:rsidRPr="008519F3">
        <w:rPr>
          <w:rFonts w:asciiTheme="majorBidi" w:hAnsiTheme="majorBidi" w:cstheme="majorBidi"/>
          <w:szCs w:val="20"/>
        </w:rPr>
        <w:t>Б</w:t>
      </w:r>
      <w:r w:rsidR="009539BC" w:rsidRPr="008519F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 w:rsidR="009539BC" w:rsidRPr="006808C1">
        <w:t xml:space="preserve">Предпосылки </w:t>
      </w:r>
      <w:r>
        <w:t xml:space="preserve">и цели </w:t>
      </w:r>
      <w:r w:rsidR="006B12FF">
        <w:t>Пересмотренных</w:t>
      </w:r>
      <w:r w:rsidR="00264869">
        <w:t xml:space="preserve"> </w:t>
      </w:r>
      <w:r>
        <w:t>Руководящих принципов</w:t>
      </w:r>
      <w:r w:rsidR="00E11BCC">
        <w:tab/>
      </w:r>
      <w:r w:rsidR="00E11BCC">
        <w:tab/>
      </w:r>
      <w:r w:rsidR="00B6532A" w:rsidRPr="00C66F29">
        <w:t>8</w:t>
      </w:r>
    </w:p>
    <w:p w14:paraId="69B399F2" w14:textId="2D10A589" w:rsidR="004E035B" w:rsidRPr="00DD5704" w:rsidRDefault="004E035B" w:rsidP="005036FB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  <w:ind w:left="1470" w:hanging="720"/>
      </w:pPr>
      <w:r>
        <w:rPr>
          <w:rFonts w:asciiTheme="majorBidi" w:hAnsiTheme="majorBidi" w:cstheme="majorBidi"/>
          <w:szCs w:val="20"/>
        </w:rPr>
        <w:tab/>
      </w:r>
      <w:r>
        <w:rPr>
          <w:rFonts w:asciiTheme="majorBidi" w:hAnsiTheme="majorBidi" w:cstheme="majorBidi"/>
          <w:szCs w:val="20"/>
        </w:rPr>
        <w:tab/>
      </w:r>
      <w:r w:rsidRPr="00E11BCC">
        <w:rPr>
          <w:rFonts w:asciiTheme="majorBidi" w:hAnsiTheme="majorBidi" w:cstheme="majorBidi"/>
          <w:szCs w:val="20"/>
        </w:rPr>
        <w:t>В</w:t>
      </w:r>
      <w:r w:rsidRPr="00C66F29">
        <w:rPr>
          <w:rFonts w:asciiTheme="majorBidi" w:hAnsiTheme="majorBidi" w:cstheme="majorBidi"/>
          <w:szCs w:val="20"/>
        </w:rPr>
        <w:t>.</w:t>
      </w:r>
      <w:r w:rsidRPr="00C66F29">
        <w:rPr>
          <w:rFonts w:asciiTheme="majorBidi" w:hAnsiTheme="majorBidi" w:cstheme="majorBidi"/>
          <w:szCs w:val="20"/>
        </w:rPr>
        <w:tab/>
      </w:r>
      <w:r w:rsidR="00EB117F" w:rsidRPr="00340D85">
        <w:t>Целевая аудитория</w:t>
      </w:r>
      <w:r w:rsidR="00EB117F">
        <w:tab/>
      </w:r>
      <w:r w:rsidR="00EB117F">
        <w:tab/>
      </w:r>
      <w:r w:rsidR="000C6FC6" w:rsidRPr="00EA274D">
        <w:t xml:space="preserve"> </w:t>
      </w:r>
      <w:r w:rsidR="00DA7D08" w:rsidRPr="009E7126">
        <w:t>8</w:t>
      </w:r>
    </w:p>
    <w:p w14:paraId="03F9950D" w14:textId="59A77C95" w:rsidR="00E87D46" w:rsidRPr="00C66F29" w:rsidRDefault="00E87D46" w:rsidP="00E87D46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  <w:ind w:left="147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20"/>
        </w:rPr>
        <w:tab/>
      </w:r>
      <w:r>
        <w:rPr>
          <w:rFonts w:asciiTheme="majorBidi" w:hAnsiTheme="majorBidi" w:cstheme="majorBidi"/>
          <w:szCs w:val="20"/>
        </w:rPr>
        <w:tab/>
      </w:r>
      <w:r w:rsidRPr="00E11BCC">
        <w:rPr>
          <w:rFonts w:asciiTheme="majorBidi" w:hAnsiTheme="majorBidi" w:cstheme="majorBidi"/>
          <w:szCs w:val="20"/>
        </w:rPr>
        <w:t>Г</w:t>
      </w:r>
      <w:r w:rsidRPr="00E11BC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 w:rsidRPr="00E87D46">
        <w:rPr>
          <w:rFonts w:asciiTheme="majorBidi" w:hAnsiTheme="majorBidi" w:cstheme="majorBidi"/>
        </w:rPr>
        <w:t xml:space="preserve">Правовые источники </w:t>
      </w:r>
      <w:r w:rsidR="006B12FF">
        <w:t>Пересмотренных</w:t>
      </w:r>
      <w:r w:rsidRPr="00E87D46">
        <w:rPr>
          <w:rFonts w:asciiTheme="majorBidi" w:hAnsiTheme="majorBidi" w:cstheme="majorBidi"/>
        </w:rPr>
        <w:t xml:space="preserve"> Руководящих принципов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B6532A" w:rsidRPr="00C66F29">
        <w:rPr>
          <w:rFonts w:asciiTheme="majorBidi" w:hAnsiTheme="majorBidi" w:cstheme="majorBidi"/>
        </w:rPr>
        <w:t>9</w:t>
      </w:r>
    </w:p>
    <w:p w14:paraId="621A6CF5" w14:textId="72AB4F02" w:rsidR="009E5681" w:rsidRPr="00DA7D08" w:rsidRDefault="009E5681" w:rsidP="005036FB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  <w:ind w:left="1470" w:hanging="720"/>
        <w:rPr>
          <w:rFonts w:ascii="Verdana" w:hAnsi="Verdana"/>
          <w:spacing w:val="0"/>
          <w:w w:val="100"/>
          <w:kern w:val="0"/>
          <w:szCs w:val="20"/>
          <w:lang w:eastAsia="zh-CN"/>
        </w:rPr>
      </w:pPr>
      <w:r w:rsidRPr="006808C1">
        <w:tab/>
      </w:r>
      <w:r w:rsidRPr="006808C1">
        <w:tab/>
      </w:r>
      <w:r w:rsidR="00E87D46" w:rsidRPr="00FC0EE6">
        <w:rPr>
          <w:rFonts w:asciiTheme="majorBidi" w:hAnsiTheme="majorBidi" w:cstheme="majorBidi"/>
          <w:szCs w:val="20"/>
        </w:rPr>
        <w:t>Д</w:t>
      </w:r>
      <w:r w:rsidR="00E87D46" w:rsidRPr="00E11BCC">
        <w:rPr>
          <w:rFonts w:asciiTheme="majorBidi" w:hAnsiTheme="majorBidi" w:cstheme="majorBidi"/>
        </w:rPr>
        <w:t>.</w:t>
      </w:r>
      <w:r w:rsidRPr="006808C1">
        <w:tab/>
        <w:t xml:space="preserve">Структура и содержание </w:t>
      </w:r>
      <w:r w:rsidR="006B12FF">
        <w:t>Пересмотренных</w:t>
      </w:r>
      <w:r w:rsidR="006B12FF" w:rsidRPr="006808C1">
        <w:t xml:space="preserve"> </w:t>
      </w:r>
      <w:r w:rsidRPr="006808C1">
        <w:t>Руководящих принципов</w:t>
      </w:r>
      <w:r w:rsidRPr="006808C1">
        <w:tab/>
      </w:r>
      <w:r w:rsidRPr="006808C1">
        <w:tab/>
      </w:r>
      <w:r w:rsidR="00DA7D08" w:rsidRPr="009E7126">
        <w:t>9</w:t>
      </w:r>
    </w:p>
    <w:p w14:paraId="0BBC5F8B" w14:textId="3F021D14" w:rsidR="00E87D46" w:rsidRPr="00C66F29" w:rsidRDefault="009E5681" w:rsidP="00E87D46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pacing w:after="120"/>
        <w:ind w:left="1470" w:hanging="720"/>
      </w:pPr>
      <w:r w:rsidRPr="006808C1">
        <w:tab/>
      </w:r>
      <w:r w:rsidRPr="006808C1">
        <w:tab/>
      </w:r>
      <w:r w:rsidR="00E87D46">
        <w:rPr>
          <w:lang w:val="fr-CH"/>
        </w:rPr>
        <w:t>E</w:t>
      </w:r>
      <w:r w:rsidR="00E87D46" w:rsidRPr="00C66F29">
        <w:t>.</w:t>
      </w:r>
      <w:r w:rsidR="001244C1">
        <w:rPr>
          <w:rFonts w:asciiTheme="majorBidi" w:hAnsiTheme="majorBidi" w:cstheme="majorBidi"/>
        </w:rPr>
        <w:tab/>
      </w:r>
      <w:r w:rsidRPr="006808C1">
        <w:t xml:space="preserve">Дополнительная информация по практическому осуществлению трансграничной </w:t>
      </w:r>
      <w:r w:rsidR="00C70824">
        <w:br/>
      </w:r>
      <w:r w:rsidR="008D1A85" w:rsidRPr="006808C1">
        <w:t xml:space="preserve">оценки воздействия на </w:t>
      </w:r>
      <w:r w:rsidR="008D1A85" w:rsidRPr="00C70824">
        <w:t>окружающую среду</w:t>
      </w:r>
      <w:r w:rsidRPr="006808C1">
        <w:t xml:space="preserve"> на основе Конвенции Эспо</w:t>
      </w:r>
      <w:r w:rsidR="00E87D46">
        <w:tab/>
      </w:r>
      <w:r w:rsidR="00E87D46">
        <w:tab/>
      </w:r>
      <w:bookmarkStart w:id="3" w:name="_Hlk509238308"/>
      <w:r w:rsidR="007E6CF4" w:rsidRPr="00C66F29">
        <w:t>12</w:t>
      </w:r>
    </w:p>
    <w:bookmarkEnd w:id="3"/>
    <w:p w14:paraId="0FBD08FA" w14:textId="79D169C7" w:rsidR="00A47106" w:rsidRPr="00C66F29" w:rsidRDefault="009E5681" w:rsidP="00E87D46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720" w:hanging="720"/>
      </w:pPr>
      <w:r w:rsidRPr="006808C1">
        <w:tab/>
      </w:r>
      <w:r>
        <w:rPr>
          <w:lang w:val="fr-CH"/>
        </w:rPr>
        <w:t>II</w:t>
      </w:r>
      <w:r w:rsidRPr="006808C1">
        <w:t>.</w:t>
      </w:r>
      <w:r w:rsidRPr="006808C1">
        <w:tab/>
        <w:t xml:space="preserve">Общие руководящие принципы </w:t>
      </w:r>
      <w:r w:rsidR="00C70824" w:rsidRPr="00C70824">
        <w:t xml:space="preserve">по оценке воздействия на окружающую среду в </w:t>
      </w:r>
      <w:r w:rsidR="00C248C3">
        <w:tab/>
      </w:r>
      <w:r w:rsidR="00C248C3">
        <w:tab/>
      </w:r>
      <w:r w:rsidR="00C70824" w:rsidRPr="00C70824">
        <w:t>трансграничном контексте для стран Центральной Азии</w:t>
      </w:r>
      <w:r w:rsidRPr="006808C1">
        <w:tab/>
      </w:r>
      <w:r w:rsidR="00386AD6">
        <w:tab/>
        <w:t>1</w:t>
      </w:r>
      <w:r w:rsidR="007E6CF4" w:rsidRPr="00C66F29">
        <w:t>2</w:t>
      </w:r>
    </w:p>
    <w:p w14:paraId="620E1C56" w14:textId="55DA9AED" w:rsidR="00A47106" w:rsidRPr="00C66F29" w:rsidRDefault="00A47106" w:rsidP="009E5681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134" w:hanging="720"/>
      </w:pPr>
      <w:r w:rsidRPr="006808C1">
        <w:tab/>
      </w:r>
      <w:r>
        <w:rPr>
          <w:lang w:val="fr-CH"/>
        </w:rPr>
        <w:t>III</w:t>
      </w:r>
      <w:r w:rsidRPr="006808C1">
        <w:t>.</w:t>
      </w:r>
      <w:r w:rsidRPr="006808C1">
        <w:tab/>
        <w:t xml:space="preserve">Специальные руководящие </w:t>
      </w:r>
      <w:r w:rsidR="00C70824" w:rsidRPr="00C70824">
        <w:t xml:space="preserve">принципы по оценке воздействия на окружающую среду </w:t>
      </w:r>
      <w:r w:rsidR="000A4FCC">
        <w:br/>
      </w:r>
      <w:r w:rsidR="00C70824" w:rsidRPr="00C70824">
        <w:t>в трансграничном контексте для стран Центральной Азии</w:t>
      </w:r>
      <w:r w:rsidR="00386AD6">
        <w:tab/>
      </w:r>
      <w:r w:rsidR="00386AD6">
        <w:tab/>
        <w:t>1</w:t>
      </w:r>
      <w:r w:rsidR="007E6CF4" w:rsidRPr="00C66F29">
        <w:t>3</w:t>
      </w:r>
    </w:p>
    <w:p w14:paraId="5261EDF3" w14:textId="5B85BAC1" w:rsidR="00A47106" w:rsidRPr="00DA7D08" w:rsidRDefault="00A47106" w:rsidP="00A47106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494" w:hanging="360"/>
      </w:pPr>
      <w:r>
        <w:rPr>
          <w:lang w:val="fr-CH"/>
        </w:rPr>
        <w:t>A</w:t>
      </w:r>
      <w:r w:rsidRPr="006808C1">
        <w:t>.</w:t>
      </w:r>
      <w:r w:rsidRPr="006808C1">
        <w:tab/>
        <w:t xml:space="preserve">Определение необходимости проведения трансграничной </w:t>
      </w:r>
      <w:r w:rsidR="007D6B00" w:rsidRPr="007D6B00">
        <w:t>оценк</w:t>
      </w:r>
      <w:r w:rsidR="007D6B00">
        <w:t>и</w:t>
      </w:r>
      <w:r w:rsidR="007D6B00" w:rsidRPr="007D6B00">
        <w:t xml:space="preserve"> воздействия на окружающую среду</w:t>
      </w:r>
      <w:r w:rsidR="009E5681" w:rsidRPr="006808C1">
        <w:tab/>
      </w:r>
      <w:r w:rsidR="00386AD6">
        <w:tab/>
      </w:r>
      <w:r w:rsidR="00DA7D08" w:rsidRPr="009E7126">
        <w:t>14</w:t>
      </w:r>
    </w:p>
    <w:p w14:paraId="00E7E859" w14:textId="0AEE7BA9" w:rsidR="0088119D" w:rsidRPr="00C66F29" w:rsidRDefault="008A4DB9" w:rsidP="001604A6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494" w:hanging="360"/>
      </w:pPr>
      <w:r w:rsidRPr="00C66F29">
        <w:t>Б</w:t>
      </w:r>
      <w:r w:rsidR="00A47106" w:rsidRPr="008A4DB9">
        <w:rPr>
          <w:rFonts w:asciiTheme="majorBidi" w:hAnsiTheme="majorBidi" w:cstheme="majorBidi"/>
        </w:rPr>
        <w:t>.</w:t>
      </w:r>
      <w:r w:rsidR="00606524">
        <w:tab/>
      </w:r>
      <w:r w:rsidR="00604E35" w:rsidRPr="0055721A">
        <w:t>Уведомление</w:t>
      </w:r>
      <w:r w:rsidR="001604A6" w:rsidRPr="000A101C">
        <w:tab/>
      </w:r>
      <w:r w:rsidR="001604A6" w:rsidRPr="000A101C">
        <w:tab/>
      </w:r>
      <w:r w:rsidR="007E6CF4" w:rsidRPr="00C66F29">
        <w:t>15</w:t>
      </w:r>
    </w:p>
    <w:p w14:paraId="11F273E6" w14:textId="0C53F621" w:rsidR="00862234" w:rsidRPr="00DD5704" w:rsidRDefault="0088119D" w:rsidP="00606524">
      <w:pPr>
        <w:tabs>
          <w:tab w:val="right" w:pos="850"/>
          <w:tab w:val="left" w:pos="1134"/>
          <w:tab w:val="left" w:pos="1560"/>
          <w:tab w:val="left" w:pos="1984"/>
          <w:tab w:val="right" w:leader="dot" w:pos="8930"/>
          <w:tab w:val="right" w:pos="9638"/>
        </w:tabs>
        <w:spacing w:after="120"/>
        <w:ind w:left="1134" w:hanging="720"/>
        <w:rPr>
          <w:rFonts w:ascii="Verdana" w:hAnsi="Verdana"/>
          <w:spacing w:val="0"/>
          <w:w w:val="100"/>
          <w:kern w:val="0"/>
          <w:szCs w:val="20"/>
          <w:lang w:eastAsia="zh-CN"/>
        </w:rPr>
      </w:pPr>
      <w:r w:rsidRPr="0055721A">
        <w:rPr>
          <w:rFonts w:asciiTheme="majorBidi" w:hAnsiTheme="majorBidi" w:cstheme="majorBidi"/>
          <w:szCs w:val="20"/>
        </w:rPr>
        <w:tab/>
      </w:r>
      <w:r w:rsidRPr="0055721A">
        <w:rPr>
          <w:rFonts w:asciiTheme="majorBidi" w:hAnsiTheme="majorBidi" w:cstheme="majorBidi"/>
          <w:szCs w:val="20"/>
        </w:rPr>
        <w:tab/>
        <w:t>В.</w:t>
      </w:r>
      <w:r w:rsidRPr="0055721A">
        <w:rPr>
          <w:rFonts w:asciiTheme="majorBidi" w:hAnsiTheme="majorBidi" w:cstheme="majorBidi"/>
          <w:szCs w:val="20"/>
        </w:rPr>
        <w:tab/>
      </w:r>
      <w:r w:rsidR="00862234" w:rsidRPr="0055721A">
        <w:t>Отсутствие</w:t>
      </w:r>
      <w:r w:rsidR="001B1F9B">
        <w:t xml:space="preserve"> уведомления</w:t>
      </w:r>
      <w:r w:rsidR="001B1F9B">
        <w:tab/>
      </w:r>
      <w:r w:rsidR="001B1F9B">
        <w:tab/>
      </w:r>
      <w:r w:rsidR="00DA7D08" w:rsidRPr="009E7126">
        <w:t>17</w:t>
      </w:r>
    </w:p>
    <w:p w14:paraId="1D54F242" w14:textId="461680CE" w:rsidR="00862234" w:rsidRPr="00DA7D08" w:rsidRDefault="00D978B7" w:rsidP="00606524">
      <w:pPr>
        <w:tabs>
          <w:tab w:val="right" w:pos="850"/>
          <w:tab w:val="left" w:pos="1134"/>
          <w:tab w:val="left" w:pos="1418"/>
          <w:tab w:val="left" w:pos="1560"/>
          <w:tab w:val="right" w:leader="dot" w:pos="8930"/>
          <w:tab w:val="right" w:pos="9638"/>
        </w:tabs>
        <w:spacing w:after="120"/>
        <w:ind w:left="1134" w:hanging="720"/>
        <w:rPr>
          <w:rFonts w:ascii="Verdana" w:hAnsi="Verdana"/>
          <w:spacing w:val="0"/>
          <w:w w:val="100"/>
          <w:kern w:val="0"/>
          <w:szCs w:val="20"/>
          <w:lang w:eastAsia="zh-CN"/>
        </w:rPr>
      </w:pPr>
      <w:r w:rsidRPr="0055721A">
        <w:rPr>
          <w:rFonts w:ascii="Verdana" w:hAnsi="Verdana"/>
          <w:szCs w:val="20"/>
        </w:rPr>
        <w:tab/>
      </w:r>
      <w:r w:rsidRPr="0055721A">
        <w:rPr>
          <w:rFonts w:ascii="Verdana" w:hAnsi="Verdana"/>
          <w:szCs w:val="20"/>
        </w:rPr>
        <w:tab/>
      </w:r>
      <w:r w:rsidR="0088119D" w:rsidRPr="0055721A">
        <w:rPr>
          <w:rFonts w:asciiTheme="majorBidi" w:hAnsiTheme="majorBidi" w:cstheme="majorBidi"/>
          <w:szCs w:val="20"/>
        </w:rPr>
        <w:t>Г</w:t>
      </w:r>
      <w:r w:rsidR="00862234" w:rsidRPr="0055721A">
        <w:rPr>
          <w:rFonts w:asciiTheme="majorBidi" w:hAnsiTheme="majorBidi" w:cstheme="majorBidi"/>
        </w:rPr>
        <w:t>.</w:t>
      </w:r>
      <w:r w:rsidR="00862234" w:rsidRPr="0055721A">
        <w:tab/>
      </w:r>
      <w:r w:rsidR="00AD6FE1" w:rsidRPr="0055721A">
        <w:tab/>
      </w:r>
      <w:r w:rsidR="00862234" w:rsidRPr="0055721A">
        <w:t>Документация п</w:t>
      </w:r>
      <w:r w:rsidR="00862234" w:rsidRPr="006808C1">
        <w:t>о оценке воз</w:t>
      </w:r>
      <w:r w:rsidR="001B1F9B">
        <w:t>действия на окружающую среду</w:t>
      </w:r>
      <w:r w:rsidR="001B1F9B">
        <w:tab/>
      </w:r>
      <w:r w:rsidR="001B1F9B">
        <w:tab/>
      </w:r>
      <w:r w:rsidR="00DA7D08" w:rsidRPr="009E7126">
        <w:t>17</w:t>
      </w:r>
    </w:p>
    <w:p w14:paraId="5EDE8E30" w14:textId="1A77C28D" w:rsidR="00862234" w:rsidRPr="00DA7D08" w:rsidRDefault="0088119D" w:rsidP="00606524">
      <w:pPr>
        <w:tabs>
          <w:tab w:val="right" w:pos="850"/>
          <w:tab w:val="left" w:pos="1134"/>
          <w:tab w:val="left" w:pos="1560"/>
          <w:tab w:val="right" w:leader="dot" w:pos="8930"/>
          <w:tab w:val="right" w:pos="9638"/>
        </w:tabs>
        <w:spacing w:after="120"/>
        <w:ind w:left="1701" w:hanging="567"/>
      </w:pPr>
      <w:r>
        <w:t>Д</w:t>
      </w:r>
      <w:r w:rsidR="00862234" w:rsidRPr="006808C1">
        <w:t>.</w:t>
      </w:r>
      <w:r w:rsidR="00862234" w:rsidRPr="006808C1">
        <w:tab/>
        <w:t xml:space="preserve">Участие </w:t>
      </w:r>
      <w:r w:rsidR="001B1F9B">
        <w:t>общественности</w:t>
      </w:r>
      <w:r w:rsidR="001B1F9B">
        <w:tab/>
      </w:r>
      <w:r w:rsidR="001B1F9B">
        <w:tab/>
      </w:r>
      <w:r w:rsidR="00DA7D08" w:rsidRPr="009E7126">
        <w:t>18</w:t>
      </w:r>
    </w:p>
    <w:p w14:paraId="1B01BAD4" w14:textId="6C0B5C1F" w:rsidR="00862234" w:rsidRPr="00DA7D08" w:rsidRDefault="0088119D" w:rsidP="00A47106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494" w:hanging="360"/>
      </w:pPr>
      <w:r>
        <w:t>Е</w:t>
      </w:r>
      <w:r w:rsidR="00D978B7" w:rsidRPr="00340D85">
        <w:t>.</w:t>
      </w:r>
      <w:r w:rsidR="001B1F9B">
        <w:tab/>
        <w:t>Консультации</w:t>
      </w:r>
      <w:r w:rsidR="001B1F9B">
        <w:tab/>
      </w:r>
      <w:r w:rsidR="001B1F9B">
        <w:tab/>
      </w:r>
      <w:r w:rsidR="00DA7D08">
        <w:t>1</w:t>
      </w:r>
      <w:r w:rsidR="00DA7D08" w:rsidRPr="009E7126">
        <w:t>9</w:t>
      </w:r>
    </w:p>
    <w:p w14:paraId="2C69265E" w14:textId="661A0ACF" w:rsidR="00862234" w:rsidRPr="00DD5704" w:rsidRDefault="0088119D" w:rsidP="00A47106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494" w:hanging="360"/>
      </w:pPr>
      <w:r>
        <w:t>Ж</w:t>
      </w:r>
      <w:r w:rsidR="001B1F9B">
        <w:t>.</w:t>
      </w:r>
      <w:r w:rsidR="001B1F9B">
        <w:tab/>
        <w:t>Окончательное решение</w:t>
      </w:r>
      <w:r w:rsidR="001B1F9B">
        <w:tab/>
      </w:r>
      <w:r w:rsidR="001B1F9B">
        <w:tab/>
      </w:r>
      <w:r w:rsidR="00DA7D08" w:rsidRPr="009E7126">
        <w:t>20</w:t>
      </w:r>
    </w:p>
    <w:p w14:paraId="58F1A556" w14:textId="101D9C8A" w:rsidR="00862234" w:rsidRPr="00DD5704" w:rsidRDefault="0088119D" w:rsidP="005A06FC">
      <w:pPr>
        <w:tabs>
          <w:tab w:val="right" w:pos="850"/>
          <w:tab w:val="left" w:pos="1134"/>
          <w:tab w:val="left" w:pos="1418"/>
          <w:tab w:val="right" w:leader="dot" w:pos="8930"/>
          <w:tab w:val="right" w:pos="9638"/>
        </w:tabs>
        <w:spacing w:after="120"/>
        <w:ind w:left="1494" w:hanging="360"/>
      </w:pPr>
      <w:r>
        <w:t>З</w:t>
      </w:r>
      <w:r w:rsidR="00862234" w:rsidRPr="006808C1">
        <w:t>.</w:t>
      </w:r>
      <w:r w:rsidR="00862234" w:rsidRPr="006808C1">
        <w:tab/>
      </w:r>
      <w:r w:rsidR="00D73423">
        <w:tab/>
      </w:r>
      <w:r w:rsidR="001B1F9B">
        <w:t>Другие вопросы</w:t>
      </w:r>
      <w:r w:rsidR="001B1F9B">
        <w:tab/>
      </w:r>
      <w:r w:rsidR="001B1F9B">
        <w:tab/>
      </w:r>
      <w:r w:rsidR="00DA7D08" w:rsidRPr="009E7126">
        <w:t>21</w:t>
      </w:r>
    </w:p>
    <w:p w14:paraId="4960AF21" w14:textId="4939D635" w:rsidR="00862234" w:rsidRPr="006808C1" w:rsidRDefault="00862234" w:rsidP="00862234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494" w:hanging="927"/>
      </w:pPr>
      <w:r w:rsidRPr="006808C1">
        <w:t>Приложени</w:t>
      </w:r>
      <w:r w:rsidR="002F0E12">
        <w:t>я</w:t>
      </w:r>
    </w:p>
    <w:p w14:paraId="1D2B6B7E" w14:textId="54AB0D99" w:rsidR="00862234" w:rsidRPr="00DA7D08" w:rsidRDefault="00BB46D0" w:rsidP="00BB46D0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494" w:hanging="360"/>
        <w:rPr>
          <w:webHidden/>
        </w:rPr>
      </w:pPr>
      <w:r w:rsidRPr="00BB46D0">
        <w:rPr>
          <w:webHidden/>
          <w:lang w:val="fr-CH"/>
        </w:rPr>
        <w:t>I</w:t>
      </w:r>
      <w:r w:rsidRPr="006808C1">
        <w:rPr>
          <w:webHidden/>
        </w:rPr>
        <w:t>.</w:t>
      </w:r>
      <w:r w:rsidRPr="006808C1">
        <w:rPr>
          <w:webHidden/>
        </w:rPr>
        <w:tab/>
      </w:r>
      <w:r w:rsidR="006B12FF">
        <w:t>П</w:t>
      </w:r>
      <w:r w:rsidR="00862234" w:rsidRPr="006808C1">
        <w:t xml:space="preserve">еречень видов деятельности, которые подлежат </w:t>
      </w:r>
      <w:r w:rsidRPr="006808C1">
        <w:br/>
      </w:r>
      <w:r w:rsidR="00862234" w:rsidRPr="006808C1">
        <w:t xml:space="preserve">трансграничной </w:t>
      </w:r>
      <w:r w:rsidR="00C6564D" w:rsidRPr="00C70824">
        <w:t xml:space="preserve">оценке воздействия на окружающую среду </w:t>
      </w:r>
      <w:r w:rsidR="0074536E" w:rsidRPr="006808C1">
        <w:tab/>
      </w:r>
      <w:r w:rsidRPr="006808C1">
        <w:tab/>
      </w:r>
      <w:r w:rsidR="00DA7D08" w:rsidRPr="006808C1">
        <w:t>2</w:t>
      </w:r>
      <w:r w:rsidR="00DA7D08" w:rsidRPr="009E7126">
        <w:t>2</w:t>
      </w:r>
    </w:p>
    <w:p w14:paraId="25C786D5" w14:textId="3E2A6E49" w:rsidR="00862234" w:rsidRPr="00DD5704" w:rsidRDefault="00BB46D0" w:rsidP="00BB46D0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  <w:ind w:left="1494" w:hanging="360"/>
      </w:pPr>
      <w:r w:rsidRPr="00BB46D0">
        <w:rPr>
          <w:lang w:val="fr-CH"/>
        </w:rPr>
        <w:t>II</w:t>
      </w:r>
      <w:r w:rsidRPr="006808C1">
        <w:t>.</w:t>
      </w:r>
      <w:r w:rsidRPr="006808C1">
        <w:tab/>
      </w:r>
      <w:r w:rsidR="001833AD">
        <w:t>Термины и определения</w:t>
      </w:r>
      <w:r w:rsidR="001833AD">
        <w:tab/>
      </w:r>
      <w:r w:rsidR="001833AD">
        <w:tab/>
      </w:r>
      <w:r w:rsidR="00DA7D08">
        <w:t>2</w:t>
      </w:r>
      <w:r w:rsidR="00DA7D08" w:rsidRPr="009E7126">
        <w:t>6</w:t>
      </w:r>
    </w:p>
    <w:p w14:paraId="032DB328" w14:textId="75594650" w:rsidR="006943E6" w:rsidRPr="00C66F29" w:rsidRDefault="006943E6" w:rsidP="002C224B">
      <w:pPr>
        <w:tabs>
          <w:tab w:val="right" w:pos="850"/>
          <w:tab w:val="left" w:pos="1134"/>
          <w:tab w:val="left" w:pos="1984"/>
          <w:tab w:val="right" w:leader="dot" w:pos="8930"/>
          <w:tab w:val="right" w:pos="9638"/>
        </w:tabs>
        <w:spacing w:after="120"/>
      </w:pPr>
      <w:r w:rsidRPr="002C224B">
        <w:t xml:space="preserve">           </w:t>
      </w:r>
      <w:r>
        <w:t xml:space="preserve">Рисунок </w:t>
      </w:r>
      <w:r>
        <w:br/>
      </w:r>
      <w:r>
        <w:tab/>
      </w:r>
      <w:r w:rsidR="00912013">
        <w:tab/>
      </w:r>
      <w:r>
        <w:t xml:space="preserve">Общая схема проведения </w:t>
      </w:r>
      <w:r w:rsidRPr="006943E6">
        <w:t>трансграничной оценк</w:t>
      </w:r>
      <w:r>
        <w:t>и</w:t>
      </w:r>
      <w:r w:rsidRPr="006943E6">
        <w:t xml:space="preserve"> воздействия на окружающую среду</w:t>
      </w:r>
      <w:r w:rsidR="00EA7ABE">
        <w:tab/>
      </w:r>
      <w:r w:rsidR="00EA7ABE" w:rsidRPr="00C66F29">
        <w:t>11</w:t>
      </w:r>
    </w:p>
    <w:p w14:paraId="728C6CD9" w14:textId="77777777" w:rsidR="00D10C4A" w:rsidRDefault="00604E35" w:rsidP="00604E35">
      <w:pPr>
        <w:spacing w:line="240" w:lineRule="auto"/>
      </w:pPr>
      <w:r>
        <w:br w:type="page"/>
      </w:r>
    </w:p>
    <w:p w14:paraId="2F2D0D15" w14:textId="5B581D7A" w:rsidR="00AA7C9F" w:rsidRPr="00E354B7" w:rsidRDefault="000E4973" w:rsidP="002C224B">
      <w:pPr>
        <w:pStyle w:val="HChGR"/>
      </w:pPr>
      <w:bookmarkStart w:id="4" w:name="_Toc507852122"/>
      <w:r>
        <w:lastRenderedPageBreak/>
        <w:tab/>
      </w:r>
      <w:r>
        <w:tab/>
      </w:r>
      <w:bookmarkEnd w:id="4"/>
      <w:r w:rsidR="00AA7C9F">
        <w:tab/>
      </w:r>
      <w:r w:rsidR="00AA7C9F" w:rsidRPr="00E354B7">
        <w:t xml:space="preserve">О разработке </w:t>
      </w:r>
      <w:r w:rsidR="00135482">
        <w:t>Пересмотренных</w:t>
      </w:r>
      <w:r w:rsidR="00135482" w:rsidRPr="00E354B7">
        <w:t xml:space="preserve"> </w:t>
      </w:r>
      <w:r w:rsidR="00AA7C9F" w:rsidRPr="00E354B7">
        <w:t>Руководящих принципов</w:t>
      </w:r>
    </w:p>
    <w:p w14:paraId="6E5BAEF3" w14:textId="7CD5ADEC" w:rsidR="00AA7C9F" w:rsidRPr="00E354B7" w:rsidRDefault="00DD6824" w:rsidP="00704A15">
      <w:pPr>
        <w:pStyle w:val="SingleTxtG"/>
        <w:rPr>
          <w:lang w:val="ru-RU"/>
        </w:rPr>
      </w:pPr>
      <w:r w:rsidRPr="000A1E52">
        <w:rPr>
          <w:lang w:val="ru-RU"/>
        </w:rPr>
        <w:t>1.</w:t>
      </w:r>
      <w:r w:rsidRPr="000A1E52">
        <w:rPr>
          <w:lang w:val="ru-RU"/>
        </w:rPr>
        <w:tab/>
      </w:r>
      <w:r w:rsidR="00AA7C9F" w:rsidRPr="006808C1">
        <w:rPr>
          <w:lang w:val="ru-RU"/>
        </w:rPr>
        <w:t>Настоящие Руководящие принципы являются результатом усовершенствования «Руководящих принципов оценки воздействия на окружающую среду в трансграничном контексте в странах Центральной Азии»</w:t>
      </w:r>
      <w:r w:rsidR="00DC7222" w:rsidRPr="00DC7222">
        <w:rPr>
          <w:lang w:val="ru-RU"/>
        </w:rPr>
        <w:t xml:space="preserve"> </w:t>
      </w:r>
      <w:r w:rsidR="00DC7222" w:rsidRPr="006808C1">
        <w:rPr>
          <w:lang w:val="ru-RU"/>
        </w:rPr>
        <w:t>(далее</w:t>
      </w:r>
      <w:r w:rsidR="0002759A">
        <w:rPr>
          <w:lang w:val="ru-RU"/>
        </w:rPr>
        <w:t xml:space="preserve"> –</w:t>
      </w:r>
      <w:r w:rsidR="00DC7222" w:rsidRPr="006808C1">
        <w:rPr>
          <w:lang w:val="ru-RU"/>
        </w:rPr>
        <w:t xml:space="preserve"> Руководящие принципы 2007 года)</w:t>
      </w:r>
      <w:r w:rsidR="00DC7222" w:rsidRPr="00705C71">
        <w:rPr>
          <w:lang w:val="ru-RU"/>
        </w:rPr>
        <w:t xml:space="preserve"> (</w:t>
      </w:r>
      <w:r w:rsidR="00DC7222" w:rsidRPr="00B553A6">
        <w:rPr>
          <w:lang w:val="en-US"/>
        </w:rPr>
        <w:t>ECE</w:t>
      </w:r>
      <w:r w:rsidR="00DC7222" w:rsidRPr="00705C71">
        <w:rPr>
          <w:lang w:val="ru-RU"/>
        </w:rPr>
        <w:t>/</w:t>
      </w:r>
      <w:r w:rsidR="00DC7222" w:rsidRPr="00B553A6">
        <w:rPr>
          <w:lang w:val="en-US"/>
        </w:rPr>
        <w:t>MP</w:t>
      </w:r>
      <w:r w:rsidR="00DC7222" w:rsidRPr="00705C71">
        <w:rPr>
          <w:lang w:val="ru-RU"/>
        </w:rPr>
        <w:t>.</w:t>
      </w:r>
      <w:r w:rsidR="00DC7222" w:rsidRPr="00B553A6">
        <w:rPr>
          <w:lang w:val="en-US"/>
        </w:rPr>
        <w:t>EIA</w:t>
      </w:r>
      <w:r w:rsidR="00DC7222" w:rsidRPr="00705C71">
        <w:rPr>
          <w:lang w:val="ru-RU"/>
        </w:rPr>
        <w:t>/</w:t>
      </w:r>
      <w:r w:rsidR="00DC7222" w:rsidRPr="00B553A6">
        <w:rPr>
          <w:lang w:val="en-US"/>
        </w:rPr>
        <w:t>WG</w:t>
      </w:r>
      <w:r w:rsidR="00DC7222" w:rsidRPr="00705C71">
        <w:rPr>
          <w:lang w:val="ru-RU"/>
        </w:rPr>
        <w:t>.1/2007/6)</w:t>
      </w:r>
      <w:r w:rsidR="00AA7C9F" w:rsidRPr="006808C1">
        <w:rPr>
          <w:lang w:val="ru-RU"/>
        </w:rPr>
        <w:t xml:space="preserve">, </w:t>
      </w:r>
      <w:r w:rsidR="00102B22">
        <w:rPr>
          <w:lang w:val="ru-RU"/>
        </w:rPr>
        <w:t xml:space="preserve">разработанных в 2007 году и </w:t>
      </w:r>
      <w:r w:rsidR="00AA7C9F" w:rsidRPr="006808C1">
        <w:rPr>
          <w:lang w:val="ru-RU"/>
        </w:rPr>
        <w:t xml:space="preserve">принятых к сведению на четвёртой сессии Совещания сторон Конвенции Эспо </w:t>
      </w:r>
      <w:r w:rsidR="00DC7222">
        <w:rPr>
          <w:lang w:val="ru-RU"/>
        </w:rPr>
        <w:br/>
      </w:r>
      <w:r w:rsidR="00135482">
        <w:rPr>
          <w:lang w:val="ru-RU"/>
        </w:rPr>
        <w:t xml:space="preserve">в </w:t>
      </w:r>
      <w:r w:rsidR="00AA7C9F" w:rsidRPr="006808C1">
        <w:rPr>
          <w:lang w:val="ru-RU"/>
        </w:rPr>
        <w:t>2008 г.</w:t>
      </w:r>
      <w:r w:rsidR="00135482">
        <w:rPr>
          <w:lang w:val="ru-RU"/>
        </w:rPr>
        <w:t xml:space="preserve"> (</w:t>
      </w:r>
      <w:r w:rsidR="00FA15A2">
        <w:rPr>
          <w:lang w:val="en-US"/>
        </w:rPr>
        <w:t>ECE</w:t>
      </w:r>
      <w:r w:rsidR="00FA15A2" w:rsidRPr="000A1E52">
        <w:rPr>
          <w:lang w:val="ru-RU"/>
        </w:rPr>
        <w:t>/</w:t>
      </w:r>
      <w:r w:rsidR="00FA15A2">
        <w:rPr>
          <w:lang w:val="en-US"/>
        </w:rPr>
        <w:t>MP</w:t>
      </w:r>
      <w:r w:rsidR="00FA15A2" w:rsidRPr="000A1E52">
        <w:rPr>
          <w:lang w:val="ru-RU"/>
        </w:rPr>
        <w:t>.</w:t>
      </w:r>
      <w:r w:rsidR="00FA15A2">
        <w:rPr>
          <w:lang w:val="en-US"/>
        </w:rPr>
        <w:t>EIA</w:t>
      </w:r>
      <w:r w:rsidR="00FA15A2" w:rsidRPr="000A1E52">
        <w:rPr>
          <w:lang w:val="ru-RU"/>
        </w:rPr>
        <w:t xml:space="preserve">/10, </w:t>
      </w:r>
      <w:r w:rsidR="00FA15A2">
        <w:rPr>
          <w:lang w:val="ru-RU"/>
        </w:rPr>
        <w:t>решение</w:t>
      </w:r>
      <w:r w:rsidR="00FA15A2" w:rsidRPr="000A1E52">
        <w:rPr>
          <w:lang w:val="ru-RU"/>
        </w:rPr>
        <w:t xml:space="preserve"> </w:t>
      </w:r>
      <w:r w:rsidR="00FA15A2">
        <w:rPr>
          <w:lang w:val="en-US"/>
        </w:rPr>
        <w:t>IV</w:t>
      </w:r>
      <w:r w:rsidR="00FA15A2" w:rsidRPr="000A1E52">
        <w:rPr>
          <w:lang w:val="ru-RU"/>
        </w:rPr>
        <w:t xml:space="preserve">/5, </w:t>
      </w:r>
      <w:r w:rsidR="0066341F">
        <w:rPr>
          <w:lang w:val="ru-RU"/>
        </w:rPr>
        <w:t>пункт</w:t>
      </w:r>
      <w:r w:rsidR="00FA15A2" w:rsidRPr="000A1E52">
        <w:rPr>
          <w:lang w:val="ru-RU"/>
        </w:rPr>
        <w:t xml:space="preserve"> 2</w:t>
      </w:r>
      <w:r w:rsidR="00AA7C9F" w:rsidRPr="006808C1">
        <w:rPr>
          <w:lang w:val="ru-RU"/>
        </w:rPr>
        <w:t xml:space="preserve">). Руководящие принципы 2007 г. содержали рекомендации по практическому применению процедур на основе Конвенции, а также обзор законодательства и практики </w:t>
      </w:r>
      <w:r w:rsidR="002C224B">
        <w:rPr>
          <w:lang w:val="ru-RU"/>
        </w:rPr>
        <w:t xml:space="preserve">применения </w:t>
      </w:r>
      <w:r w:rsidR="00AA7C9F" w:rsidRPr="006808C1">
        <w:rPr>
          <w:lang w:val="ru-RU"/>
        </w:rPr>
        <w:t xml:space="preserve"> </w:t>
      </w:r>
      <w:r w:rsidR="002C224B" w:rsidRPr="006808C1">
        <w:rPr>
          <w:lang w:val="ru-RU"/>
        </w:rPr>
        <w:t>оценк</w:t>
      </w:r>
      <w:r w:rsidR="002C224B">
        <w:rPr>
          <w:lang w:val="ru-RU"/>
        </w:rPr>
        <w:t xml:space="preserve">и </w:t>
      </w:r>
      <w:r w:rsidR="00AA7C9F" w:rsidRPr="006808C1">
        <w:rPr>
          <w:lang w:val="ru-RU"/>
        </w:rPr>
        <w:t>воздействия на окружающую среду</w:t>
      </w:r>
      <w:r w:rsidR="00DC7222">
        <w:rPr>
          <w:lang w:val="ru-RU"/>
        </w:rPr>
        <w:t xml:space="preserve"> </w:t>
      </w:r>
      <w:r w:rsidR="00AA7C9F" w:rsidRPr="006808C1">
        <w:rPr>
          <w:lang w:val="ru-RU"/>
        </w:rPr>
        <w:t xml:space="preserve">в пяти странах Центральной Азии по состоянию на середину 2005 г. </w:t>
      </w:r>
      <w:r w:rsidR="0071586B" w:rsidRPr="006808C1">
        <w:rPr>
          <w:lang w:val="ru-RU"/>
        </w:rPr>
        <w:t>Последующ</w:t>
      </w:r>
      <w:r w:rsidR="0071586B">
        <w:rPr>
          <w:lang w:val="ru-RU"/>
        </w:rPr>
        <w:t>ая</w:t>
      </w:r>
      <w:r w:rsidR="0071586B" w:rsidRPr="006808C1">
        <w:rPr>
          <w:lang w:val="ru-RU"/>
        </w:rPr>
        <w:t xml:space="preserve"> </w:t>
      </w:r>
      <w:r w:rsidR="00AA7C9F" w:rsidRPr="006808C1">
        <w:rPr>
          <w:lang w:val="ru-RU"/>
        </w:rPr>
        <w:t>доработка и усовершенствование Руководящих принципов 2007 г. проводились по инициативе Кыргызстана</w:t>
      </w:r>
      <w:r w:rsidR="00107CA1">
        <w:rPr>
          <w:lang w:val="ru-RU"/>
        </w:rPr>
        <w:t xml:space="preserve"> с целью</w:t>
      </w:r>
      <w:r w:rsidR="00AA7C9F" w:rsidRPr="006808C1">
        <w:rPr>
          <w:lang w:val="ru-RU"/>
        </w:rPr>
        <w:t xml:space="preserve"> </w:t>
      </w:r>
      <w:r w:rsidR="00107CA1" w:rsidRPr="006808C1">
        <w:rPr>
          <w:lang w:val="ru-RU"/>
        </w:rPr>
        <w:t>выработ</w:t>
      </w:r>
      <w:r w:rsidR="00107CA1">
        <w:rPr>
          <w:lang w:val="ru-RU"/>
        </w:rPr>
        <w:t>ки</w:t>
      </w:r>
      <w:r w:rsidR="00107CA1" w:rsidRPr="006808C1">
        <w:rPr>
          <w:lang w:val="ru-RU"/>
        </w:rPr>
        <w:t xml:space="preserve"> </w:t>
      </w:r>
      <w:r w:rsidR="00AA7C9F" w:rsidRPr="006808C1">
        <w:rPr>
          <w:lang w:val="ru-RU"/>
        </w:rPr>
        <w:t>дополнительны</w:t>
      </w:r>
      <w:r w:rsidR="00107CA1">
        <w:rPr>
          <w:lang w:val="ru-RU"/>
        </w:rPr>
        <w:t>х</w:t>
      </w:r>
      <w:r w:rsidR="00AA7C9F" w:rsidRPr="006808C1">
        <w:rPr>
          <w:lang w:val="ru-RU"/>
        </w:rPr>
        <w:t xml:space="preserve"> </w:t>
      </w:r>
      <w:r w:rsidR="00F7549D" w:rsidRPr="006808C1">
        <w:rPr>
          <w:lang w:val="ru-RU"/>
        </w:rPr>
        <w:t>рекомендаци</w:t>
      </w:r>
      <w:r w:rsidR="00F7549D">
        <w:rPr>
          <w:lang w:val="ru-RU"/>
        </w:rPr>
        <w:t>й</w:t>
      </w:r>
      <w:r w:rsidR="00F7549D" w:rsidRPr="006808C1">
        <w:rPr>
          <w:lang w:val="ru-RU"/>
        </w:rPr>
        <w:t xml:space="preserve"> </w:t>
      </w:r>
      <w:r w:rsidR="00AA7C9F" w:rsidRPr="006808C1">
        <w:rPr>
          <w:lang w:val="ru-RU"/>
        </w:rPr>
        <w:t xml:space="preserve">по процедуре трансграничной оценки воздействия на окружающую среду, включая </w:t>
      </w:r>
      <w:r w:rsidR="0066341F">
        <w:rPr>
          <w:lang w:val="ru-RU"/>
        </w:rPr>
        <w:t xml:space="preserve">относительно </w:t>
      </w:r>
      <w:r w:rsidR="00AA7C9F" w:rsidRPr="006808C1">
        <w:rPr>
          <w:lang w:val="ru-RU"/>
        </w:rPr>
        <w:t>уведомлени</w:t>
      </w:r>
      <w:r w:rsidR="0066341F">
        <w:rPr>
          <w:lang w:val="ru-RU"/>
        </w:rPr>
        <w:t>я</w:t>
      </w:r>
      <w:r w:rsidR="00AA7C9F" w:rsidRPr="006808C1">
        <w:rPr>
          <w:lang w:val="ru-RU"/>
        </w:rPr>
        <w:t>, консультаци</w:t>
      </w:r>
      <w:r w:rsidR="0066341F">
        <w:rPr>
          <w:lang w:val="ru-RU"/>
        </w:rPr>
        <w:t>й</w:t>
      </w:r>
      <w:r w:rsidR="00AA7C9F" w:rsidRPr="006808C1">
        <w:rPr>
          <w:lang w:val="ru-RU"/>
        </w:rPr>
        <w:t xml:space="preserve"> на основании документации по оценке воздействия на окружающую среду, </w:t>
      </w:r>
      <w:r w:rsidR="00F7549D" w:rsidRPr="006808C1">
        <w:rPr>
          <w:lang w:val="ru-RU"/>
        </w:rPr>
        <w:t>участи</w:t>
      </w:r>
      <w:r w:rsidR="00F7549D">
        <w:rPr>
          <w:lang w:val="ru-RU"/>
        </w:rPr>
        <w:t>я</w:t>
      </w:r>
      <w:r w:rsidR="00F7549D" w:rsidRPr="006808C1">
        <w:rPr>
          <w:lang w:val="ru-RU"/>
        </w:rPr>
        <w:t xml:space="preserve"> </w:t>
      </w:r>
      <w:r w:rsidR="00AA7C9F" w:rsidRPr="006808C1">
        <w:rPr>
          <w:lang w:val="ru-RU"/>
        </w:rPr>
        <w:t xml:space="preserve">общественности и </w:t>
      </w:r>
      <w:r w:rsidR="00F7549D" w:rsidRPr="006808C1">
        <w:rPr>
          <w:lang w:val="ru-RU"/>
        </w:rPr>
        <w:t>окончательно</w:t>
      </w:r>
      <w:r w:rsidR="00F7549D">
        <w:rPr>
          <w:lang w:val="ru-RU"/>
        </w:rPr>
        <w:t>го</w:t>
      </w:r>
      <w:r w:rsidR="00F7549D" w:rsidRPr="006808C1">
        <w:rPr>
          <w:lang w:val="ru-RU"/>
        </w:rPr>
        <w:t xml:space="preserve"> решени</w:t>
      </w:r>
      <w:r w:rsidR="00F7549D">
        <w:rPr>
          <w:lang w:val="ru-RU"/>
        </w:rPr>
        <w:t>я</w:t>
      </w:r>
      <w:r w:rsidR="00AA7C9F" w:rsidRPr="006808C1">
        <w:rPr>
          <w:lang w:val="ru-RU"/>
        </w:rPr>
        <w:t xml:space="preserve">. В связи с изменениями в национальном законодательстве по ОВОС в странах Центральной Азии, произошедшими после 2005 г., необходимо было </w:t>
      </w:r>
      <w:r w:rsidR="0002759A">
        <w:rPr>
          <w:lang w:val="ru-RU"/>
        </w:rPr>
        <w:t>также</w:t>
      </w:r>
      <w:r w:rsidR="0002759A" w:rsidRPr="006808C1">
        <w:rPr>
          <w:lang w:val="ru-RU"/>
        </w:rPr>
        <w:t xml:space="preserve"> </w:t>
      </w:r>
      <w:r w:rsidR="00AA7C9F" w:rsidRPr="006808C1">
        <w:rPr>
          <w:lang w:val="ru-RU"/>
        </w:rPr>
        <w:t>обновить обзоры национального законодательства в части применения процедуры трансграничной оценки воздействия на окружающую среду.</w:t>
      </w:r>
    </w:p>
    <w:p w14:paraId="4E5395B0" w14:textId="206C0CD4" w:rsidR="0099209C" w:rsidRDefault="00DD6824" w:rsidP="00AA7C9F">
      <w:pPr>
        <w:pStyle w:val="SingleTxtG"/>
        <w:rPr>
          <w:lang w:val="ru-RU"/>
        </w:rPr>
      </w:pPr>
      <w:r w:rsidRPr="000A1E52">
        <w:rPr>
          <w:lang w:val="ru-RU"/>
        </w:rPr>
        <w:t>2.</w:t>
      </w:r>
      <w:r w:rsidRPr="000A1E52">
        <w:rPr>
          <w:lang w:val="ru-RU"/>
        </w:rPr>
        <w:tab/>
      </w:r>
      <w:r w:rsidR="00AA7C9F" w:rsidRPr="006808C1">
        <w:rPr>
          <w:lang w:val="ru-RU"/>
        </w:rPr>
        <w:t xml:space="preserve">Данная деятельность проводилась консультантами секретариата с 2016 г. </w:t>
      </w:r>
      <w:r w:rsidR="00135482" w:rsidRPr="006808C1">
        <w:rPr>
          <w:lang w:val="ru-RU"/>
        </w:rPr>
        <w:t xml:space="preserve">в сотрудничестве с Казахстаном, Кыргызстаном, Таджикистаном, Туркменистаном и Узбекистаном </w:t>
      </w:r>
      <w:r w:rsidR="00135482">
        <w:rPr>
          <w:lang w:val="ru-RU"/>
        </w:rPr>
        <w:t>и</w:t>
      </w:r>
      <w:r w:rsidR="00AA7C9F" w:rsidRPr="006808C1">
        <w:rPr>
          <w:lang w:val="ru-RU"/>
        </w:rPr>
        <w:t xml:space="preserve"> в рамках рабочих планов Конвенции Эспо и Протокола о стратегической экологической оценке на 2014-2017 </w:t>
      </w:r>
      <w:r w:rsidR="00B41C29">
        <w:rPr>
          <w:lang w:val="ru-RU"/>
        </w:rPr>
        <w:t xml:space="preserve">гг. </w:t>
      </w:r>
      <w:r w:rsidR="00E2207A" w:rsidRPr="00FC0EE6">
        <w:rPr>
          <w:lang w:val="es-ES"/>
        </w:rPr>
        <w:t>(</w:t>
      </w:r>
      <w:r w:rsidR="00B41C29">
        <w:rPr>
          <w:lang w:val="ru-RU"/>
        </w:rPr>
        <w:t>см</w:t>
      </w:r>
      <w:r w:rsidR="00B41C29" w:rsidRPr="00FC0EE6">
        <w:rPr>
          <w:lang w:val="es-ES"/>
        </w:rPr>
        <w:t xml:space="preserve">. </w:t>
      </w:r>
      <w:r w:rsidR="00E2207A" w:rsidRPr="00FC0EE6">
        <w:rPr>
          <w:lang w:val="es-ES"/>
        </w:rPr>
        <w:t>ECE/MP.EIA/20/Add.3-ECE/MP.EIA/SEA/4/Add.3)</w:t>
      </w:r>
      <w:r w:rsidR="000A1E52" w:rsidRPr="00FC0EE6">
        <w:rPr>
          <w:lang w:val="es-ES"/>
        </w:rPr>
        <w:t xml:space="preserve"> </w:t>
      </w:r>
      <w:r w:rsidR="00AA7C9F" w:rsidRPr="006808C1">
        <w:rPr>
          <w:lang w:val="ru-RU"/>
        </w:rPr>
        <w:t>и</w:t>
      </w:r>
      <w:r w:rsidR="00AA7C9F" w:rsidRPr="00FC0EE6">
        <w:rPr>
          <w:lang w:val="es-ES"/>
        </w:rPr>
        <w:t xml:space="preserve"> 2017-2020 </w:t>
      </w:r>
      <w:r w:rsidR="00AA7C9F" w:rsidRPr="006808C1">
        <w:rPr>
          <w:lang w:val="ru-RU"/>
        </w:rPr>
        <w:t>гг</w:t>
      </w:r>
      <w:r w:rsidR="00AA7C9F" w:rsidRPr="00FC0EE6">
        <w:rPr>
          <w:lang w:val="es-ES"/>
        </w:rPr>
        <w:t>.</w:t>
      </w:r>
      <w:r w:rsidR="00E2207A" w:rsidRPr="00FC0EE6">
        <w:rPr>
          <w:lang w:val="es-ES"/>
        </w:rPr>
        <w:t xml:space="preserve"> (</w:t>
      </w:r>
      <w:r w:rsidR="00B41C29">
        <w:rPr>
          <w:lang w:val="ru-RU"/>
        </w:rPr>
        <w:t>см</w:t>
      </w:r>
      <w:r w:rsidR="00B41C29" w:rsidRPr="00FC0EE6">
        <w:rPr>
          <w:lang w:val="es-ES"/>
        </w:rPr>
        <w:t xml:space="preserve">. </w:t>
      </w:r>
      <w:r w:rsidR="00E2207A" w:rsidRPr="00FC0EE6">
        <w:rPr>
          <w:lang w:val="es-ES"/>
        </w:rPr>
        <w:t>ECE/MP.EIA/23/Add.1-ECE/MP.EIA/SEA/7/Add.1)</w:t>
      </w:r>
      <w:r w:rsidR="00AA7C9F" w:rsidRPr="00FC0EE6">
        <w:rPr>
          <w:lang w:val="es-ES"/>
        </w:rPr>
        <w:t xml:space="preserve">. </w:t>
      </w:r>
      <w:r w:rsidR="00AA7C9F" w:rsidRPr="006808C1">
        <w:rPr>
          <w:lang w:val="ru-RU"/>
        </w:rPr>
        <w:t xml:space="preserve">Деятельность осуществлялась при административной и содержательной поддержке Регионального экологического центра для Центральной Азии и при финансовой поддержке Федерального Бюро по окружающей среде Швейцарии. </w:t>
      </w:r>
    </w:p>
    <w:p w14:paraId="1DD3E62A" w14:textId="77777777" w:rsidR="0099209C" w:rsidRDefault="0099209C">
      <w:pPr>
        <w:spacing w:line="240" w:lineRule="auto"/>
        <w:rPr>
          <w:spacing w:val="0"/>
          <w:w w:val="100"/>
          <w:kern w:val="0"/>
          <w:szCs w:val="20"/>
        </w:rPr>
      </w:pPr>
      <w:r>
        <w:br w:type="page"/>
      </w:r>
    </w:p>
    <w:p w14:paraId="77A2730D" w14:textId="6DF04141" w:rsidR="004446E3" w:rsidRPr="00E354B7" w:rsidRDefault="00DD6824" w:rsidP="00704A15">
      <w:pPr>
        <w:pStyle w:val="SingleTxtG"/>
        <w:rPr>
          <w:lang w:val="ru-RU"/>
        </w:rPr>
      </w:pPr>
      <w:r w:rsidRPr="000A1E52">
        <w:rPr>
          <w:lang w:val="ru-RU"/>
        </w:rPr>
        <w:t>3.</w:t>
      </w:r>
      <w:r w:rsidRPr="000A1E52">
        <w:rPr>
          <w:lang w:val="ru-RU"/>
        </w:rPr>
        <w:tab/>
      </w:r>
      <w:r w:rsidR="00B41C29">
        <w:rPr>
          <w:lang w:val="ru-RU"/>
        </w:rPr>
        <w:t xml:space="preserve">Настоящие Пересмотренные </w:t>
      </w:r>
      <w:r w:rsidR="00B41C29" w:rsidRPr="006808C1">
        <w:rPr>
          <w:lang w:val="ru-RU"/>
        </w:rPr>
        <w:t>Руководящи</w:t>
      </w:r>
      <w:r w:rsidR="00B41C29">
        <w:rPr>
          <w:lang w:val="ru-RU"/>
        </w:rPr>
        <w:t>е</w:t>
      </w:r>
      <w:r w:rsidR="00B41C29" w:rsidRPr="006808C1">
        <w:rPr>
          <w:lang w:val="ru-RU"/>
        </w:rPr>
        <w:t xml:space="preserve"> принцип</w:t>
      </w:r>
      <w:r w:rsidR="00B41C29">
        <w:rPr>
          <w:lang w:val="ru-RU"/>
        </w:rPr>
        <w:t>ы</w:t>
      </w:r>
      <w:r w:rsidR="00B41C29" w:rsidRPr="006808C1">
        <w:rPr>
          <w:lang w:val="ru-RU"/>
        </w:rPr>
        <w:t xml:space="preserve"> </w:t>
      </w:r>
      <w:r w:rsidR="00B41C29" w:rsidRPr="00FC0EE6">
        <w:rPr>
          <w:lang w:val="ru-RU"/>
        </w:rPr>
        <w:t>по оценке воздействия на окружающую среду в трансграничном контексте для стран Центральной Азии</w:t>
      </w:r>
      <w:r w:rsidR="00B41C29" w:rsidRPr="006808C1">
        <w:rPr>
          <w:lang w:val="ru-RU"/>
        </w:rPr>
        <w:t xml:space="preserve"> </w:t>
      </w:r>
      <w:r w:rsidR="00B41C29">
        <w:rPr>
          <w:lang w:val="ru-RU"/>
        </w:rPr>
        <w:t>(</w:t>
      </w:r>
      <w:r w:rsidR="001A6EFB">
        <w:rPr>
          <w:lang w:val="ru-RU"/>
        </w:rPr>
        <w:t xml:space="preserve">далее  – </w:t>
      </w:r>
      <w:r w:rsidR="00B41C29">
        <w:rPr>
          <w:lang w:val="ru-RU"/>
        </w:rPr>
        <w:t xml:space="preserve">Пересмотренные Руководящие принципы) </w:t>
      </w:r>
      <w:r w:rsidR="00B41C29" w:rsidRPr="006808C1">
        <w:rPr>
          <w:lang w:val="ru-RU"/>
        </w:rPr>
        <w:t>отража</w:t>
      </w:r>
      <w:r w:rsidR="00B41C29">
        <w:rPr>
          <w:lang w:val="ru-RU"/>
        </w:rPr>
        <w:t>ю</w:t>
      </w:r>
      <w:r w:rsidR="00B41C29" w:rsidRPr="006808C1">
        <w:rPr>
          <w:lang w:val="ru-RU"/>
        </w:rPr>
        <w:t xml:space="preserve">т </w:t>
      </w:r>
      <w:r w:rsidR="00AA7C9F" w:rsidRPr="006808C1">
        <w:rPr>
          <w:lang w:val="ru-RU"/>
        </w:rPr>
        <w:t>рекомендации и комментарии, предоставленные представителями Казахстана, Кыргызстана, Таджикистана, Туркменистана и Узбекистана в письменной форме, а также во время трёх суб-региональных семинаров, проведенных 9 февраля 2017 г. в Алматы,</w:t>
      </w:r>
      <w:r w:rsidR="00160971">
        <w:rPr>
          <w:rStyle w:val="FootnoteReference"/>
          <w:lang w:val="ru-RU"/>
        </w:rPr>
        <w:footnoteReference w:id="1"/>
      </w:r>
      <w:r w:rsidR="00AA7C9F" w:rsidRPr="006808C1">
        <w:rPr>
          <w:lang w:val="ru-RU"/>
        </w:rPr>
        <w:t xml:space="preserve"> 5 апреля</w:t>
      </w:r>
      <w:r w:rsidR="004446E3" w:rsidRPr="006808C1">
        <w:rPr>
          <w:lang w:val="ru-RU"/>
        </w:rPr>
        <w:t xml:space="preserve"> </w:t>
      </w:r>
      <w:r w:rsidR="004446E3" w:rsidRPr="00063EB8">
        <w:rPr>
          <w:lang w:val="ru-RU"/>
        </w:rPr>
        <w:t>2017 г. в Бишкеке</w:t>
      </w:r>
      <w:r w:rsidR="005B1FE1">
        <w:rPr>
          <w:rStyle w:val="FootnoteReference"/>
          <w:lang w:val="ru-RU"/>
        </w:rPr>
        <w:footnoteReference w:id="2"/>
      </w:r>
      <w:r w:rsidR="004446E3" w:rsidRPr="00063EB8">
        <w:rPr>
          <w:lang w:val="ru-RU"/>
        </w:rPr>
        <w:t xml:space="preserve"> и 2-3 ноября 2017 г. в Киеве</w:t>
      </w:r>
      <w:r w:rsidR="001A6EFB">
        <w:rPr>
          <w:lang w:val="ru-RU"/>
        </w:rPr>
        <w:t>,</w:t>
      </w:r>
      <w:r w:rsidR="00AB0746" w:rsidRPr="009076C1">
        <w:rPr>
          <w:rStyle w:val="FootnoteReference"/>
          <w:lang w:val="ru-RU"/>
        </w:rPr>
        <w:footnoteReference w:id="3"/>
      </w:r>
      <w:r w:rsidR="001A6EFB">
        <w:rPr>
          <w:lang w:val="ru-RU"/>
        </w:rPr>
        <w:t xml:space="preserve"> соответственно</w:t>
      </w:r>
      <w:r w:rsidR="004446E3" w:rsidRPr="00063EB8">
        <w:rPr>
          <w:lang w:val="ru-RU"/>
        </w:rPr>
        <w:t xml:space="preserve">. </w:t>
      </w:r>
      <w:r w:rsidR="00B41C29">
        <w:rPr>
          <w:lang w:val="ru-RU"/>
        </w:rPr>
        <w:t>Пересмотренные</w:t>
      </w:r>
      <w:r w:rsidR="00B41C29" w:rsidRPr="00E354B7">
        <w:rPr>
          <w:lang w:val="ru-RU"/>
        </w:rPr>
        <w:t xml:space="preserve"> Руководящи</w:t>
      </w:r>
      <w:r w:rsidR="00B41C29">
        <w:rPr>
          <w:lang w:val="ru-RU"/>
        </w:rPr>
        <w:t>е</w:t>
      </w:r>
      <w:r w:rsidR="00B41C29" w:rsidRPr="00E354B7">
        <w:rPr>
          <w:lang w:val="ru-RU"/>
        </w:rPr>
        <w:t xml:space="preserve"> принцип</w:t>
      </w:r>
      <w:r w:rsidR="00B41C29">
        <w:rPr>
          <w:lang w:val="ru-RU"/>
        </w:rPr>
        <w:t>ы</w:t>
      </w:r>
      <w:r w:rsidR="00B41C29" w:rsidRPr="00E354B7">
        <w:rPr>
          <w:lang w:val="ru-RU"/>
        </w:rPr>
        <w:t xml:space="preserve"> </w:t>
      </w:r>
      <w:r w:rsidR="004446E3" w:rsidRPr="00E354B7">
        <w:rPr>
          <w:lang w:val="ru-RU"/>
        </w:rPr>
        <w:t xml:space="preserve">также </w:t>
      </w:r>
      <w:r w:rsidR="00B41C29" w:rsidRPr="00E354B7">
        <w:rPr>
          <w:lang w:val="ru-RU"/>
        </w:rPr>
        <w:t>отража</w:t>
      </w:r>
      <w:r w:rsidR="00B41C29">
        <w:rPr>
          <w:lang w:val="ru-RU"/>
        </w:rPr>
        <w:t>ю</w:t>
      </w:r>
      <w:r w:rsidR="00B41C29" w:rsidRPr="00E354B7">
        <w:rPr>
          <w:lang w:val="ru-RU"/>
        </w:rPr>
        <w:t xml:space="preserve">т </w:t>
      </w:r>
      <w:r w:rsidR="004446E3" w:rsidRPr="00E354B7">
        <w:rPr>
          <w:lang w:val="ru-RU"/>
        </w:rPr>
        <w:t>результаты предварительного</w:t>
      </w:r>
      <w:r w:rsidR="00FB4602" w:rsidRPr="002C224B">
        <w:rPr>
          <w:lang w:val="ru-RU"/>
        </w:rPr>
        <w:t xml:space="preserve"> </w:t>
      </w:r>
      <w:r w:rsidR="004446E3" w:rsidRPr="00E354B7">
        <w:rPr>
          <w:lang w:val="ru-RU"/>
        </w:rPr>
        <w:t xml:space="preserve">обзора действующего национального экологического законодательства, подготовленного национальными экспертами по каждой стране. </w:t>
      </w:r>
    </w:p>
    <w:p w14:paraId="4A18182F" w14:textId="2C7E3AE9" w:rsidR="006B646E" w:rsidRDefault="00DD6824" w:rsidP="008832A8">
      <w:pPr>
        <w:pStyle w:val="SingleTxtG"/>
        <w:rPr>
          <w:lang w:val="ru-RU"/>
        </w:rPr>
      </w:pPr>
      <w:r w:rsidRPr="000771BF">
        <w:rPr>
          <w:lang w:val="ru-RU"/>
        </w:rPr>
        <w:t>4.</w:t>
      </w:r>
      <w:r w:rsidRPr="000771BF">
        <w:rPr>
          <w:lang w:val="ru-RU"/>
        </w:rPr>
        <w:tab/>
      </w:r>
      <w:r w:rsidR="00B41C29">
        <w:rPr>
          <w:lang w:val="ru-RU"/>
        </w:rPr>
        <w:t>По</w:t>
      </w:r>
      <w:r w:rsidR="004446E3" w:rsidRPr="00063EB8">
        <w:rPr>
          <w:lang w:val="ru-RU"/>
        </w:rPr>
        <w:t xml:space="preserve"> состоянию на октябрь </w:t>
      </w:r>
      <w:r w:rsidR="00B41C29" w:rsidRPr="00063EB8">
        <w:rPr>
          <w:lang w:val="ru-RU"/>
        </w:rPr>
        <w:t>201</w:t>
      </w:r>
      <w:r w:rsidR="00B41C29">
        <w:rPr>
          <w:lang w:val="ru-RU"/>
        </w:rPr>
        <w:t>8</w:t>
      </w:r>
      <w:r w:rsidR="00B41C29" w:rsidRPr="00063EB8">
        <w:rPr>
          <w:lang w:val="ru-RU"/>
        </w:rPr>
        <w:t xml:space="preserve"> </w:t>
      </w:r>
      <w:r w:rsidR="004446E3" w:rsidRPr="00063EB8">
        <w:rPr>
          <w:lang w:val="ru-RU"/>
        </w:rPr>
        <w:t xml:space="preserve">г. </w:t>
      </w:r>
      <w:r w:rsidR="006B646E" w:rsidRPr="00063EB8">
        <w:rPr>
          <w:lang w:val="ru-RU"/>
        </w:rPr>
        <w:t>только</w:t>
      </w:r>
      <w:r w:rsidR="006B646E">
        <w:rPr>
          <w:lang w:val="ru-RU"/>
        </w:rPr>
        <w:t xml:space="preserve"> две </w:t>
      </w:r>
      <w:r w:rsidR="00B41C29">
        <w:rPr>
          <w:lang w:val="ru-RU"/>
        </w:rPr>
        <w:t>из пяти стран Центральной Азии</w:t>
      </w:r>
      <w:r w:rsidR="006B646E">
        <w:rPr>
          <w:lang w:val="ru-RU"/>
        </w:rPr>
        <w:t>,</w:t>
      </w:r>
      <w:r w:rsidR="00B41C29">
        <w:rPr>
          <w:lang w:val="ru-RU"/>
        </w:rPr>
        <w:t xml:space="preserve"> </w:t>
      </w:r>
      <w:r w:rsidR="004446E3" w:rsidRPr="00063EB8">
        <w:rPr>
          <w:lang w:val="ru-RU"/>
        </w:rPr>
        <w:t>Кыргыз</w:t>
      </w:r>
      <w:r w:rsidR="00FB4602">
        <w:rPr>
          <w:lang w:val="ru-RU"/>
        </w:rPr>
        <w:t>стан</w:t>
      </w:r>
      <w:r w:rsidR="00B41C29">
        <w:rPr>
          <w:lang w:val="ru-RU"/>
        </w:rPr>
        <w:t xml:space="preserve"> и Казахстан</w:t>
      </w:r>
      <w:r w:rsidR="006B646E">
        <w:rPr>
          <w:lang w:val="ru-RU"/>
        </w:rPr>
        <w:t>,</w:t>
      </w:r>
      <w:r w:rsidR="00B41C29">
        <w:rPr>
          <w:lang w:val="ru-RU"/>
        </w:rPr>
        <w:t xml:space="preserve"> являются </w:t>
      </w:r>
      <w:r w:rsidR="006B646E">
        <w:rPr>
          <w:lang w:val="ru-RU"/>
        </w:rPr>
        <w:t>с</w:t>
      </w:r>
      <w:r w:rsidR="00B41C29">
        <w:rPr>
          <w:lang w:val="ru-RU"/>
        </w:rPr>
        <w:t>торонами Конвенции (с 2001 г.). При этом</w:t>
      </w:r>
      <w:r w:rsidR="002F7F5F">
        <w:rPr>
          <w:lang w:val="ru-RU"/>
        </w:rPr>
        <w:t>,</w:t>
      </w:r>
      <w:r w:rsidR="00B41C29">
        <w:rPr>
          <w:lang w:val="ru-RU"/>
        </w:rPr>
        <w:t xml:space="preserve"> Таджикистан, Туркменистан и Узбекистан, не явля</w:t>
      </w:r>
      <w:r w:rsidR="006B646E">
        <w:rPr>
          <w:lang w:val="ru-RU"/>
        </w:rPr>
        <w:t xml:space="preserve">ющиеся на данный момент сторонами Конвенции </w:t>
      </w:r>
      <w:r w:rsidR="00FB4602">
        <w:rPr>
          <w:lang w:val="ru-RU"/>
        </w:rPr>
        <w:t xml:space="preserve">, </w:t>
      </w:r>
      <w:r w:rsidR="006B646E">
        <w:rPr>
          <w:lang w:val="ru-RU"/>
        </w:rPr>
        <w:t xml:space="preserve">выражают все больший интерес в применении трансграничной оценки воздействия на окружающую среду в отношении планируемой деятельности, </w:t>
      </w:r>
      <w:r w:rsidR="006744C4">
        <w:rPr>
          <w:lang w:val="ru-RU"/>
        </w:rPr>
        <w:t xml:space="preserve">в том числе </w:t>
      </w:r>
      <w:r w:rsidR="002F7F5F">
        <w:rPr>
          <w:lang w:val="ru-RU"/>
        </w:rPr>
        <w:t xml:space="preserve">в контексте </w:t>
      </w:r>
      <w:r w:rsidR="006B646E">
        <w:rPr>
          <w:lang w:val="ru-RU"/>
        </w:rPr>
        <w:t>текуще</w:t>
      </w:r>
      <w:r w:rsidR="002F7F5F">
        <w:rPr>
          <w:lang w:val="ru-RU"/>
        </w:rPr>
        <w:t>го</w:t>
      </w:r>
      <w:r w:rsidR="006B646E">
        <w:rPr>
          <w:lang w:val="ru-RU"/>
        </w:rPr>
        <w:t xml:space="preserve"> и будуще</w:t>
      </w:r>
      <w:r w:rsidR="002F7F5F">
        <w:rPr>
          <w:lang w:val="ru-RU"/>
        </w:rPr>
        <w:t>го</w:t>
      </w:r>
      <w:r w:rsidR="006B646E">
        <w:rPr>
          <w:lang w:val="ru-RU"/>
        </w:rPr>
        <w:t xml:space="preserve"> экономическо</w:t>
      </w:r>
      <w:r w:rsidR="002F7F5F">
        <w:rPr>
          <w:lang w:val="ru-RU"/>
        </w:rPr>
        <w:t>го</w:t>
      </w:r>
      <w:r w:rsidR="006B646E">
        <w:rPr>
          <w:lang w:val="ru-RU"/>
        </w:rPr>
        <w:t xml:space="preserve"> развити</w:t>
      </w:r>
      <w:r w:rsidR="002F7F5F">
        <w:rPr>
          <w:lang w:val="ru-RU"/>
        </w:rPr>
        <w:t>я</w:t>
      </w:r>
      <w:r w:rsidR="006B646E">
        <w:rPr>
          <w:lang w:val="ru-RU"/>
        </w:rPr>
        <w:t xml:space="preserve"> региона, например, в рамках инициативы «Один пояс и один путь».</w:t>
      </w:r>
    </w:p>
    <w:p w14:paraId="2E24AC11" w14:textId="611D21EB" w:rsidR="004446E3" w:rsidRPr="00F65801" w:rsidRDefault="006B646E" w:rsidP="008832A8">
      <w:pPr>
        <w:pStyle w:val="SingleTxtG"/>
        <w:rPr>
          <w:lang w:val="ru-RU"/>
        </w:rPr>
      </w:pPr>
      <w:r w:rsidRPr="001010BB">
        <w:rPr>
          <w:lang w:val="ru-RU"/>
        </w:rPr>
        <w:t>5.</w:t>
      </w:r>
      <w:r w:rsidRPr="001010BB">
        <w:rPr>
          <w:lang w:val="ru-RU"/>
        </w:rPr>
        <w:tab/>
      </w:r>
      <w:r>
        <w:rPr>
          <w:lang w:val="ru-RU"/>
        </w:rPr>
        <w:t xml:space="preserve">В настоящее время только Кыргызстан, </w:t>
      </w:r>
      <w:r w:rsidR="00FB4602">
        <w:rPr>
          <w:lang w:val="ru-RU"/>
        </w:rPr>
        <w:t xml:space="preserve">как </w:t>
      </w:r>
      <w:r w:rsidR="004446E3" w:rsidRPr="00063EB8">
        <w:rPr>
          <w:lang w:val="ru-RU"/>
        </w:rPr>
        <w:t xml:space="preserve">сторона Конвенции, внедрил положения Конвенции в свое национальное законодательство. </w:t>
      </w:r>
      <w:r w:rsidR="004446E3" w:rsidRPr="00F65801">
        <w:rPr>
          <w:lang w:val="ru-RU"/>
        </w:rPr>
        <w:t>Казахстан, как сторона Конвенции, применял Конвенцию непосредственно, что, при отсутствии детальных положений в национальном законодательстве, рассматривается Комитетом по вопросам соблюдения Конвенции и Протокола недостаточным для надлежаще</w:t>
      </w:r>
      <w:r w:rsidR="004446E3">
        <w:rPr>
          <w:lang w:val="ru-RU"/>
        </w:rPr>
        <w:t>го выполнения</w:t>
      </w:r>
      <w:r w:rsidR="004446E3" w:rsidRPr="00F65801">
        <w:rPr>
          <w:lang w:val="ru-RU"/>
        </w:rPr>
        <w:t xml:space="preserve"> Конвенции</w:t>
      </w:r>
      <w:r w:rsidR="001C2E2B">
        <w:rPr>
          <w:lang w:val="ru-RU"/>
        </w:rPr>
        <w:t xml:space="preserve"> </w:t>
      </w:r>
      <w:r w:rsidR="001C2E2B" w:rsidRPr="001010BB">
        <w:rPr>
          <w:lang w:val="ru-RU"/>
        </w:rPr>
        <w:t>(</w:t>
      </w:r>
      <w:r w:rsidR="001C2E2B" w:rsidRPr="00B134A9">
        <w:t>ECE</w:t>
      </w:r>
      <w:r w:rsidR="001C2E2B" w:rsidRPr="001010BB">
        <w:rPr>
          <w:lang w:val="ru-RU"/>
        </w:rPr>
        <w:t>/</w:t>
      </w:r>
      <w:r w:rsidR="001C2E2B" w:rsidRPr="00B134A9">
        <w:t>MP</w:t>
      </w:r>
      <w:r w:rsidR="001C2E2B" w:rsidRPr="001010BB">
        <w:rPr>
          <w:lang w:val="ru-RU"/>
        </w:rPr>
        <w:t>.</w:t>
      </w:r>
      <w:r w:rsidR="001C2E2B" w:rsidRPr="00B134A9">
        <w:t>EIA</w:t>
      </w:r>
      <w:r w:rsidR="001C2E2B" w:rsidRPr="001010BB">
        <w:rPr>
          <w:lang w:val="ru-RU"/>
        </w:rPr>
        <w:t xml:space="preserve">/10, </w:t>
      </w:r>
      <w:r w:rsidR="001010BB">
        <w:rPr>
          <w:lang w:val="ru-RU"/>
        </w:rPr>
        <w:t>решение</w:t>
      </w:r>
      <w:r w:rsidR="001C2E2B" w:rsidRPr="001010BB">
        <w:rPr>
          <w:lang w:val="ru-RU"/>
        </w:rPr>
        <w:t xml:space="preserve"> </w:t>
      </w:r>
      <w:r w:rsidR="001C2E2B">
        <w:t>IV</w:t>
      </w:r>
      <w:r w:rsidR="001C2E2B" w:rsidRPr="001010BB">
        <w:rPr>
          <w:lang w:val="ru-RU"/>
        </w:rPr>
        <w:t xml:space="preserve">/2, </w:t>
      </w:r>
      <w:r w:rsidR="001C2E2B">
        <w:rPr>
          <w:lang w:val="ru-RU"/>
        </w:rPr>
        <w:t xml:space="preserve">приложение </w:t>
      </w:r>
      <w:r w:rsidR="001C2E2B">
        <w:t>I</w:t>
      </w:r>
      <w:r w:rsidR="001C2E2B" w:rsidRPr="001010BB">
        <w:rPr>
          <w:lang w:val="ru-RU"/>
        </w:rPr>
        <w:t xml:space="preserve">, </w:t>
      </w:r>
      <w:r w:rsidR="001C2E2B">
        <w:rPr>
          <w:lang w:val="ru-RU"/>
        </w:rPr>
        <w:t xml:space="preserve">пункт </w:t>
      </w:r>
      <w:r w:rsidR="001C2E2B" w:rsidRPr="001010BB">
        <w:rPr>
          <w:lang w:val="ru-RU"/>
        </w:rPr>
        <w:t>64)</w:t>
      </w:r>
      <w:r w:rsidR="004446E3" w:rsidRPr="00F65801">
        <w:rPr>
          <w:lang w:val="ru-RU"/>
        </w:rPr>
        <w:t xml:space="preserve">. В свою очередь, Таджикистан, Туркменистан и Узбекистан, не являющиеся на данный момент сторонами Конвенции, также не имеют национального законодательства для применения процедуры трансграничной </w:t>
      </w:r>
      <w:r w:rsidR="00EE2546">
        <w:rPr>
          <w:lang w:val="ru-RU"/>
        </w:rPr>
        <w:t>оценки воздействия на окружающую среду</w:t>
      </w:r>
      <w:r w:rsidR="004446E3" w:rsidRPr="00F65801">
        <w:rPr>
          <w:lang w:val="ru-RU"/>
        </w:rPr>
        <w:t>.</w:t>
      </w:r>
    </w:p>
    <w:p w14:paraId="4FE9C2D8" w14:textId="7520CB83" w:rsidR="002E4E82" w:rsidRPr="00E354B7" w:rsidRDefault="006B646E" w:rsidP="006808C1">
      <w:pPr>
        <w:pStyle w:val="SingleTxtG"/>
        <w:rPr>
          <w:lang w:val="ru-RU"/>
        </w:rPr>
      </w:pPr>
      <w:r>
        <w:rPr>
          <w:lang w:val="ru-RU"/>
        </w:rPr>
        <w:t>6</w:t>
      </w:r>
      <w:r w:rsidR="00DD6824" w:rsidRPr="001010BB">
        <w:rPr>
          <w:lang w:val="ru-RU"/>
        </w:rPr>
        <w:t>.</w:t>
      </w:r>
      <w:r w:rsidR="00DD6824" w:rsidRPr="001010BB">
        <w:rPr>
          <w:lang w:val="ru-RU"/>
        </w:rPr>
        <w:tab/>
      </w:r>
      <w:r w:rsidR="004446E3" w:rsidRPr="00063EB8">
        <w:rPr>
          <w:lang w:val="ru-RU"/>
        </w:rPr>
        <w:t xml:space="preserve">Соответственно, участники третьего </w:t>
      </w:r>
      <w:r w:rsidR="00EE2546" w:rsidRPr="00063EB8">
        <w:rPr>
          <w:lang w:val="ru-RU"/>
        </w:rPr>
        <w:t>субрегионального</w:t>
      </w:r>
      <w:r w:rsidR="004446E3" w:rsidRPr="00063EB8">
        <w:rPr>
          <w:lang w:val="ru-RU"/>
        </w:rPr>
        <w:t xml:space="preserve"> семинара договорились, что </w:t>
      </w:r>
      <w:r w:rsidR="00EE2546">
        <w:rPr>
          <w:lang w:val="ru-RU"/>
        </w:rPr>
        <w:t>Пересмотренные</w:t>
      </w:r>
      <w:r w:rsidR="00731812">
        <w:rPr>
          <w:lang w:val="ru-RU"/>
        </w:rPr>
        <w:t xml:space="preserve"> </w:t>
      </w:r>
      <w:r w:rsidR="004446E3" w:rsidRPr="00063EB8">
        <w:rPr>
          <w:lang w:val="ru-RU"/>
        </w:rPr>
        <w:t xml:space="preserve">Руководящих </w:t>
      </w:r>
      <w:r w:rsidR="00EE2546" w:rsidRPr="00063EB8">
        <w:rPr>
          <w:lang w:val="ru-RU"/>
        </w:rPr>
        <w:t>принцип</w:t>
      </w:r>
      <w:r w:rsidR="00EE2546">
        <w:rPr>
          <w:lang w:val="ru-RU"/>
        </w:rPr>
        <w:t>ы</w:t>
      </w:r>
      <w:r w:rsidR="00EE2546" w:rsidRPr="00063EB8">
        <w:rPr>
          <w:lang w:val="ru-RU"/>
        </w:rPr>
        <w:t xml:space="preserve"> долж</w:t>
      </w:r>
      <w:r w:rsidR="00EE2546">
        <w:rPr>
          <w:lang w:val="ru-RU"/>
        </w:rPr>
        <w:t>ны</w:t>
      </w:r>
      <w:r w:rsidR="00EE2546" w:rsidRPr="00063EB8">
        <w:rPr>
          <w:lang w:val="ru-RU"/>
        </w:rPr>
        <w:t xml:space="preserve"> </w:t>
      </w:r>
      <w:r w:rsidR="004446E3" w:rsidRPr="00063EB8">
        <w:rPr>
          <w:lang w:val="ru-RU"/>
        </w:rPr>
        <w:t xml:space="preserve">содержать только общие и специальные рекомендации по проведению трансграничной оценки воздействия на окружающую среду в странах Центральной Азии, термины и определения, а также перечень видов деятельности на основании Конвенции. </w:t>
      </w:r>
      <w:r w:rsidR="004446E3" w:rsidRPr="00E354B7">
        <w:rPr>
          <w:lang w:val="ru-RU"/>
        </w:rPr>
        <w:t>Они также пришли к общему мнению, что для практического применения на субрегиональном уровне процедур</w:t>
      </w:r>
      <w:r w:rsidR="006808C1">
        <w:rPr>
          <w:lang w:val="ru-RU"/>
        </w:rPr>
        <w:t xml:space="preserve"> </w:t>
      </w:r>
      <w:r w:rsidR="002E4E82" w:rsidRPr="00E354B7">
        <w:rPr>
          <w:lang w:val="ru-RU"/>
        </w:rPr>
        <w:t xml:space="preserve">трансграничной </w:t>
      </w:r>
      <w:r w:rsidR="00EE2546">
        <w:rPr>
          <w:lang w:val="ru-RU"/>
        </w:rPr>
        <w:t>оценки воздействия на окружающую среду</w:t>
      </w:r>
      <w:r w:rsidR="002E4E82" w:rsidRPr="00E354B7">
        <w:rPr>
          <w:lang w:val="ru-RU"/>
        </w:rPr>
        <w:t xml:space="preserve"> в соответствии с положениями Конвенции Эспо, проект руководящих принципов следует дополнить:</w:t>
      </w:r>
      <w:r w:rsidR="00EE2546">
        <w:rPr>
          <w:lang w:val="ru-RU"/>
        </w:rPr>
        <w:t xml:space="preserve"> </w:t>
      </w:r>
    </w:p>
    <w:p w14:paraId="55E4BAEC" w14:textId="062C690A" w:rsidR="002E4E82" w:rsidRPr="00063EB8" w:rsidRDefault="009C7DAF" w:rsidP="002E4E82">
      <w:pPr>
        <w:pStyle w:val="SingleTxtG"/>
        <w:ind w:firstLine="567"/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</w:r>
      <w:r w:rsidR="006744C4">
        <w:rPr>
          <w:lang w:val="ru-RU"/>
        </w:rPr>
        <w:t>пояснительной</w:t>
      </w:r>
      <w:r w:rsidR="006744C4" w:rsidRPr="00063EB8">
        <w:rPr>
          <w:lang w:val="ru-RU"/>
        </w:rPr>
        <w:t xml:space="preserve"> </w:t>
      </w:r>
      <w:r w:rsidR="002E4E82" w:rsidRPr="00063EB8">
        <w:rPr>
          <w:lang w:val="ru-RU"/>
        </w:rPr>
        <w:t xml:space="preserve">запиской, </w:t>
      </w:r>
      <w:r w:rsidR="002E4E82">
        <w:rPr>
          <w:lang w:val="ru-RU"/>
        </w:rPr>
        <w:t>предоставляю</w:t>
      </w:r>
      <w:r w:rsidR="002E4E82" w:rsidRPr="00063EB8">
        <w:rPr>
          <w:lang w:val="ru-RU"/>
        </w:rPr>
        <w:t>щей дополнительн</w:t>
      </w:r>
      <w:r w:rsidR="002E4E82">
        <w:rPr>
          <w:lang w:val="ru-RU"/>
        </w:rPr>
        <w:t xml:space="preserve">ые детали </w:t>
      </w:r>
      <w:r w:rsidR="002E4E82" w:rsidRPr="00063EB8">
        <w:rPr>
          <w:lang w:val="ru-RU"/>
        </w:rPr>
        <w:t xml:space="preserve">и, </w:t>
      </w:r>
      <w:r w:rsidR="002E4E82">
        <w:rPr>
          <w:lang w:val="ru-RU"/>
        </w:rPr>
        <w:t>по</w:t>
      </w:r>
      <w:r w:rsidR="002E4E82" w:rsidRPr="00063EB8">
        <w:rPr>
          <w:lang w:val="ru-RU"/>
        </w:rPr>
        <w:t xml:space="preserve"> возмож</w:t>
      </w:r>
      <w:r w:rsidR="002E4E82">
        <w:rPr>
          <w:lang w:val="ru-RU"/>
        </w:rPr>
        <w:t xml:space="preserve">ности, существующую практику выполнения </w:t>
      </w:r>
      <w:r w:rsidR="002E4E82" w:rsidRPr="00063EB8">
        <w:rPr>
          <w:lang w:val="ru-RU"/>
        </w:rPr>
        <w:t>конкретных статей Конвенции</w:t>
      </w:r>
      <w:r w:rsidR="006744C4">
        <w:rPr>
          <w:lang w:val="ru-RU"/>
        </w:rPr>
        <w:t>,</w:t>
      </w:r>
      <w:r w:rsidR="002E4E82" w:rsidRPr="00063EB8">
        <w:rPr>
          <w:lang w:val="ru-RU"/>
        </w:rPr>
        <w:t xml:space="preserve"> или детальное модельное двустороннее соглашение для имплементации Конвенции Эспо;</w:t>
      </w:r>
    </w:p>
    <w:p w14:paraId="42E3E380" w14:textId="7C609E9E" w:rsidR="002E4E82" w:rsidRPr="00063EB8" w:rsidRDefault="009C7DAF" w:rsidP="002E4E82">
      <w:pPr>
        <w:pStyle w:val="SingleTxtG"/>
        <w:ind w:firstLine="567"/>
        <w:rPr>
          <w:lang w:val="ru-RU"/>
        </w:rPr>
      </w:pPr>
      <w:r>
        <w:rPr>
          <w:lang w:val="ru-RU"/>
        </w:rPr>
        <w:t>(б)</w:t>
      </w:r>
      <w:r>
        <w:rPr>
          <w:lang w:val="ru-RU"/>
        </w:rPr>
        <w:tab/>
      </w:r>
      <w:r w:rsidR="006744C4" w:rsidRPr="00063EB8">
        <w:rPr>
          <w:lang w:val="ru-RU"/>
        </w:rPr>
        <w:t>конкретны</w:t>
      </w:r>
      <w:r w:rsidR="006744C4">
        <w:rPr>
          <w:lang w:val="ru-RU"/>
        </w:rPr>
        <w:t>ми</w:t>
      </w:r>
      <w:r w:rsidR="006744C4" w:rsidRPr="00063EB8">
        <w:rPr>
          <w:lang w:val="ru-RU"/>
        </w:rPr>
        <w:t xml:space="preserve"> рекомендаци</w:t>
      </w:r>
      <w:r w:rsidR="006744C4">
        <w:rPr>
          <w:lang w:val="ru-RU"/>
        </w:rPr>
        <w:t>ями</w:t>
      </w:r>
      <w:r w:rsidR="006744C4" w:rsidRPr="00063EB8">
        <w:rPr>
          <w:lang w:val="ru-RU"/>
        </w:rPr>
        <w:t xml:space="preserve"> </w:t>
      </w:r>
      <w:r w:rsidR="002E4E82" w:rsidRPr="00063EB8">
        <w:rPr>
          <w:lang w:val="ru-RU"/>
        </w:rPr>
        <w:t xml:space="preserve">относительно приведения национального законодательства каждой </w:t>
      </w:r>
      <w:r w:rsidR="006744C4" w:rsidRPr="00063EB8">
        <w:rPr>
          <w:lang w:val="ru-RU"/>
        </w:rPr>
        <w:t>и</w:t>
      </w:r>
      <w:r w:rsidR="006744C4">
        <w:rPr>
          <w:lang w:val="ru-RU"/>
        </w:rPr>
        <w:t>з</w:t>
      </w:r>
      <w:r w:rsidR="006744C4" w:rsidRPr="00063EB8">
        <w:rPr>
          <w:lang w:val="ru-RU"/>
        </w:rPr>
        <w:t xml:space="preserve"> </w:t>
      </w:r>
      <w:r w:rsidR="002E4E82" w:rsidRPr="00063EB8">
        <w:rPr>
          <w:lang w:val="ru-RU"/>
        </w:rPr>
        <w:t xml:space="preserve">стран Центральной Азии в соответствие с положениями </w:t>
      </w:r>
      <w:r w:rsidR="006744C4" w:rsidRPr="00063EB8">
        <w:rPr>
          <w:lang w:val="ru-RU"/>
        </w:rPr>
        <w:t>Конвенци</w:t>
      </w:r>
      <w:r w:rsidR="006744C4">
        <w:rPr>
          <w:lang w:val="ru-RU"/>
        </w:rPr>
        <w:t>и</w:t>
      </w:r>
      <w:r w:rsidR="006744C4" w:rsidRPr="00063EB8">
        <w:rPr>
          <w:lang w:val="ru-RU"/>
        </w:rPr>
        <w:t xml:space="preserve"> </w:t>
      </w:r>
      <w:r w:rsidR="002E4E82" w:rsidRPr="00063EB8">
        <w:rPr>
          <w:lang w:val="ru-RU"/>
        </w:rPr>
        <w:t>на основании соответствующих обзоров национального законодательства;</w:t>
      </w:r>
    </w:p>
    <w:p w14:paraId="55577676" w14:textId="280221E4" w:rsidR="002E4E82" w:rsidRDefault="009C7DAF" w:rsidP="002C224B">
      <w:pPr>
        <w:pStyle w:val="SingleTxtG"/>
        <w:ind w:firstLine="567"/>
        <w:rPr>
          <w:lang w:val="ru-RU"/>
        </w:rPr>
      </w:pPr>
      <w:r>
        <w:rPr>
          <w:lang w:val="ru-RU"/>
        </w:rPr>
        <w:t>(в)</w:t>
      </w:r>
      <w:r>
        <w:rPr>
          <w:lang w:val="ru-RU"/>
        </w:rPr>
        <w:tab/>
      </w:r>
      <w:r w:rsidR="002E4E82" w:rsidRPr="00063EB8">
        <w:rPr>
          <w:lang w:val="ru-RU"/>
        </w:rPr>
        <w:t xml:space="preserve">деятельностью по повышению информированности и укреплению потенциала, направленной на продвижение преимуществ, предоставляемых трансграничной </w:t>
      </w:r>
      <w:r w:rsidR="00EE2546">
        <w:rPr>
          <w:lang w:val="ru-RU"/>
        </w:rPr>
        <w:t>оценки воздействия на окружающую среду</w:t>
      </w:r>
      <w:r w:rsidR="002E4E82" w:rsidRPr="00063EB8">
        <w:rPr>
          <w:lang w:val="ru-RU"/>
        </w:rPr>
        <w:t xml:space="preserve"> как инструмента озеленения экономик и на обмен практическими примерами эффективной имплементации Конвенции среди лиц, принимающих решения, во всех странах Центральной Азии, в частности в контексте инициативы </w:t>
      </w:r>
      <w:r w:rsidR="002E4E82">
        <w:rPr>
          <w:lang w:val="ru-RU"/>
        </w:rPr>
        <w:t>«О</w:t>
      </w:r>
      <w:r w:rsidR="002E4E82" w:rsidRPr="00063EB8">
        <w:rPr>
          <w:lang w:val="ru-RU"/>
        </w:rPr>
        <w:t>дин пояс и один путь</w:t>
      </w:r>
      <w:r w:rsidR="002E4E82">
        <w:rPr>
          <w:lang w:val="ru-RU"/>
        </w:rPr>
        <w:t>»</w:t>
      </w:r>
      <w:r w:rsidR="002E4E82" w:rsidRPr="00063EB8">
        <w:rPr>
          <w:lang w:val="ru-RU"/>
        </w:rPr>
        <w:t>.</w:t>
      </w:r>
    </w:p>
    <w:p w14:paraId="4451E421" w14:textId="21B21FF7" w:rsidR="00EE2546" w:rsidRPr="00CE7F46" w:rsidRDefault="003851F8" w:rsidP="00FC0EE6">
      <w:pPr>
        <w:pStyle w:val="SingleTxtG"/>
        <w:rPr>
          <w:lang w:val="ru-RU"/>
        </w:rPr>
      </w:pPr>
      <w:r>
        <w:rPr>
          <w:lang w:val="ru-RU"/>
        </w:rPr>
        <w:t>7</w:t>
      </w:r>
      <w:r w:rsidRPr="001010BB">
        <w:rPr>
          <w:lang w:val="ru-RU"/>
        </w:rPr>
        <w:t>.</w:t>
      </w:r>
      <w:r w:rsidRPr="001010BB">
        <w:rPr>
          <w:lang w:val="ru-RU"/>
        </w:rPr>
        <w:tab/>
      </w:r>
      <w:r w:rsidR="00EE2546">
        <w:rPr>
          <w:lang w:val="ru-RU"/>
        </w:rPr>
        <w:t>Проект Пересмотренных Руководящи</w:t>
      </w:r>
      <w:r>
        <w:rPr>
          <w:lang w:val="ru-RU"/>
        </w:rPr>
        <w:t>х</w:t>
      </w:r>
      <w:r w:rsidR="00EE2546">
        <w:rPr>
          <w:lang w:val="ru-RU"/>
        </w:rPr>
        <w:t xml:space="preserve"> принципов </w:t>
      </w:r>
      <w:r>
        <w:rPr>
          <w:lang w:val="ru-RU"/>
        </w:rPr>
        <w:t>был рассмотрен Рабочей группой по оценке воздействия на окружающую среду и стратегической экологической оценке (Женева, 28-30 мая 2018 г.). По поручению Рабочей группы и в соответствии с комментариями, полученными во время и после заседания, секретариат завершил работу над текстом Пересмотренных Руководящих принципов и представил документ Совещани</w:t>
      </w:r>
      <w:r w:rsidR="002F7F5F">
        <w:rPr>
          <w:lang w:val="ru-RU"/>
        </w:rPr>
        <w:t>ю</w:t>
      </w:r>
      <w:r>
        <w:rPr>
          <w:lang w:val="ru-RU"/>
        </w:rPr>
        <w:t xml:space="preserve"> Сторон Конвенции </w:t>
      </w:r>
      <w:r w:rsidR="002F7F5F">
        <w:rPr>
          <w:lang w:val="ru-RU"/>
        </w:rPr>
        <w:t xml:space="preserve">для </w:t>
      </w:r>
      <w:r>
        <w:rPr>
          <w:lang w:val="ru-RU"/>
        </w:rPr>
        <w:t>утверждения</w:t>
      </w:r>
      <w:r w:rsidR="002F7F5F">
        <w:rPr>
          <w:lang w:val="ru-RU"/>
        </w:rPr>
        <w:t xml:space="preserve"> на его промежуточной </w:t>
      </w:r>
      <w:r w:rsidR="002F7F5F" w:rsidRPr="00CE7F46">
        <w:rPr>
          <w:lang w:val="ru-RU"/>
        </w:rPr>
        <w:t xml:space="preserve">сессии </w:t>
      </w:r>
      <w:r w:rsidRPr="00CE7F46">
        <w:rPr>
          <w:lang w:val="ru-RU"/>
        </w:rPr>
        <w:t xml:space="preserve">в рамках решения </w:t>
      </w:r>
      <w:r w:rsidRPr="00FC0EE6">
        <w:rPr>
          <w:lang w:val="ru-RU"/>
        </w:rPr>
        <w:t>IS/3</w:t>
      </w:r>
      <w:r w:rsidRPr="00CE7F46">
        <w:rPr>
          <w:lang w:val="ru-RU"/>
        </w:rPr>
        <w:t>.</w:t>
      </w:r>
    </w:p>
    <w:p w14:paraId="4ABAC92C" w14:textId="7866E2BF" w:rsidR="003851F8" w:rsidRPr="00CE7F46" w:rsidRDefault="003851F8" w:rsidP="00FC0EE6">
      <w:pPr>
        <w:pStyle w:val="SingleTxtG"/>
        <w:rPr>
          <w:lang w:val="ru-RU"/>
        </w:rPr>
      </w:pPr>
      <w:r w:rsidRPr="00CE7F46">
        <w:rPr>
          <w:lang w:val="ru-RU"/>
        </w:rPr>
        <w:t>8.</w:t>
      </w:r>
      <w:r w:rsidRPr="00CE7F46">
        <w:rPr>
          <w:lang w:val="ru-RU"/>
        </w:rPr>
        <w:tab/>
      </w:r>
      <w:r w:rsidR="002F7F5F" w:rsidRPr="00CE7F46">
        <w:rPr>
          <w:lang w:val="ru-RU"/>
        </w:rPr>
        <w:t>По всему тексту н</w:t>
      </w:r>
      <w:r w:rsidR="007534A1" w:rsidRPr="00CE7F46">
        <w:rPr>
          <w:lang w:val="ru-RU"/>
        </w:rPr>
        <w:t>астоящи</w:t>
      </w:r>
      <w:r w:rsidR="002F7F5F" w:rsidRPr="00CE7F46">
        <w:rPr>
          <w:lang w:val="ru-RU"/>
        </w:rPr>
        <w:t>х</w:t>
      </w:r>
      <w:r w:rsidR="007534A1" w:rsidRPr="00CE7F46">
        <w:rPr>
          <w:lang w:val="ru-RU"/>
        </w:rPr>
        <w:t xml:space="preserve"> Руководящи</w:t>
      </w:r>
      <w:r w:rsidR="002F7F5F" w:rsidRPr="00CE7F46">
        <w:rPr>
          <w:lang w:val="ru-RU"/>
        </w:rPr>
        <w:t>х</w:t>
      </w:r>
      <w:r w:rsidR="007534A1" w:rsidRPr="00CE7F46">
        <w:rPr>
          <w:lang w:val="ru-RU"/>
        </w:rPr>
        <w:t xml:space="preserve"> принцип</w:t>
      </w:r>
      <w:r w:rsidR="002F7F5F" w:rsidRPr="00CE7F46">
        <w:rPr>
          <w:lang w:val="ru-RU"/>
        </w:rPr>
        <w:t xml:space="preserve">ов, слова «должны» или «должен» относятся к требованиям Конвенции, а слова </w:t>
      </w:r>
      <w:r w:rsidR="00CE7F46" w:rsidRPr="00CE7F46">
        <w:rPr>
          <w:lang w:val="ru-RU"/>
        </w:rPr>
        <w:t xml:space="preserve">«могут», «возможно», «рекомендуется», «в соответствии с </w:t>
      </w:r>
      <w:r w:rsidR="00250EF3">
        <w:rPr>
          <w:lang w:val="ru-RU"/>
        </w:rPr>
        <w:t>надлежащей</w:t>
      </w:r>
      <w:r w:rsidR="00250EF3" w:rsidRPr="00CE7F46">
        <w:rPr>
          <w:lang w:val="ru-RU"/>
        </w:rPr>
        <w:t xml:space="preserve"> </w:t>
      </w:r>
      <w:r w:rsidR="00CE7F46" w:rsidRPr="00CE7F46">
        <w:rPr>
          <w:lang w:val="ru-RU"/>
        </w:rPr>
        <w:t xml:space="preserve">практикой», относятся к рекомендованной </w:t>
      </w:r>
      <w:r w:rsidR="007B776D">
        <w:rPr>
          <w:lang w:val="ru-RU"/>
        </w:rPr>
        <w:t>надлежащей</w:t>
      </w:r>
      <w:r w:rsidR="007B776D" w:rsidRPr="00CE7F46">
        <w:rPr>
          <w:lang w:val="ru-RU"/>
        </w:rPr>
        <w:t xml:space="preserve"> </w:t>
      </w:r>
      <w:r w:rsidR="00CE7F46" w:rsidRPr="00CE7F46">
        <w:rPr>
          <w:lang w:val="ru-RU"/>
        </w:rPr>
        <w:t xml:space="preserve">практике и дополнительным дательным рекомендациям, направленным на </w:t>
      </w:r>
      <w:r w:rsidR="007534A1" w:rsidRPr="00CE7F46">
        <w:rPr>
          <w:lang w:val="ru-RU"/>
        </w:rPr>
        <w:t>содействи</w:t>
      </w:r>
      <w:r w:rsidR="00CE7F46" w:rsidRPr="00CE7F46">
        <w:rPr>
          <w:lang w:val="ru-RU"/>
        </w:rPr>
        <w:t>е</w:t>
      </w:r>
      <w:r w:rsidR="007534A1" w:rsidRPr="00CE7F46">
        <w:rPr>
          <w:lang w:val="ru-RU"/>
        </w:rPr>
        <w:t xml:space="preserve"> практическо</w:t>
      </w:r>
      <w:r w:rsidR="00CE7F46" w:rsidRPr="00CE7F46">
        <w:rPr>
          <w:lang w:val="ru-RU"/>
        </w:rPr>
        <w:t>му</w:t>
      </w:r>
      <w:r w:rsidR="007534A1" w:rsidRPr="00CE7F46">
        <w:rPr>
          <w:lang w:val="ru-RU"/>
        </w:rPr>
        <w:t xml:space="preserve"> применени</w:t>
      </w:r>
      <w:r w:rsidR="00CE7F46" w:rsidRPr="00CE7F46">
        <w:rPr>
          <w:lang w:val="ru-RU"/>
        </w:rPr>
        <w:t>ю</w:t>
      </w:r>
      <w:r w:rsidR="007534A1" w:rsidRPr="00CE7F46">
        <w:rPr>
          <w:lang w:val="ru-RU"/>
        </w:rPr>
        <w:t xml:space="preserve"> процедуры оценки воздействия на окружающую среду в трансграничном  контексте, </w:t>
      </w:r>
      <w:r w:rsidR="007534A1" w:rsidRPr="007B776D">
        <w:rPr>
          <w:lang w:val="ru-RU"/>
        </w:rPr>
        <w:t xml:space="preserve">включая </w:t>
      </w:r>
      <w:r w:rsidR="00CE7F46" w:rsidRPr="007B776D">
        <w:rPr>
          <w:lang w:val="ru-RU"/>
        </w:rPr>
        <w:t xml:space="preserve">в рамках </w:t>
      </w:r>
      <w:r w:rsidR="007534A1" w:rsidRPr="007B776D">
        <w:rPr>
          <w:lang w:val="ru-RU"/>
        </w:rPr>
        <w:t>особ</w:t>
      </w:r>
      <w:r w:rsidR="00CE7F46" w:rsidRPr="007B776D">
        <w:rPr>
          <w:lang w:val="ru-RU"/>
        </w:rPr>
        <w:t>ого</w:t>
      </w:r>
      <w:r w:rsidR="007534A1" w:rsidRPr="007B776D">
        <w:rPr>
          <w:lang w:val="ru-RU"/>
        </w:rPr>
        <w:t xml:space="preserve"> контекст</w:t>
      </w:r>
      <w:r w:rsidR="00CE7F46" w:rsidRPr="007B776D">
        <w:rPr>
          <w:lang w:val="ru-RU"/>
        </w:rPr>
        <w:t>а</w:t>
      </w:r>
      <w:r w:rsidR="007534A1" w:rsidRPr="007B776D">
        <w:rPr>
          <w:lang w:val="ru-RU"/>
        </w:rPr>
        <w:t xml:space="preserve"> </w:t>
      </w:r>
      <w:r w:rsidR="007534A1" w:rsidRPr="00CE7F46">
        <w:rPr>
          <w:lang w:val="ru-RU"/>
        </w:rPr>
        <w:t>стран Центральной Азии</w:t>
      </w:r>
      <w:r w:rsidR="00CE7F46" w:rsidRPr="00CE7F46">
        <w:rPr>
          <w:lang w:val="ru-RU"/>
        </w:rPr>
        <w:t>.</w:t>
      </w:r>
    </w:p>
    <w:p w14:paraId="0DFF0242" w14:textId="3E841562" w:rsidR="003851F8" w:rsidRPr="00FC0EE6" w:rsidRDefault="003851F8" w:rsidP="00FC0EE6">
      <w:pPr>
        <w:pStyle w:val="SingleTxtG"/>
        <w:rPr>
          <w:lang w:val="ru-RU"/>
        </w:rPr>
      </w:pPr>
      <w:r w:rsidRPr="00CE7F46">
        <w:rPr>
          <w:lang w:val="ru-RU"/>
        </w:rPr>
        <w:t>9.</w:t>
      </w:r>
      <w:r w:rsidRPr="00CE7F46">
        <w:rPr>
          <w:lang w:val="ru-RU"/>
        </w:rPr>
        <w:tab/>
      </w:r>
      <w:r w:rsidR="007534A1" w:rsidRPr="00CE7F46">
        <w:rPr>
          <w:lang w:val="ru-RU"/>
        </w:rPr>
        <w:t xml:space="preserve">Информация </w:t>
      </w:r>
      <w:r w:rsidR="003F4A0F" w:rsidRPr="00CE7F46">
        <w:rPr>
          <w:lang w:val="ru-RU"/>
        </w:rPr>
        <w:t xml:space="preserve">и </w:t>
      </w:r>
      <w:r w:rsidR="008A14B5" w:rsidRPr="00CE7F46">
        <w:rPr>
          <w:lang w:val="ru-RU"/>
        </w:rPr>
        <w:t>выводы</w:t>
      </w:r>
      <w:r w:rsidR="003F4A0F" w:rsidRPr="00CE7F46">
        <w:rPr>
          <w:lang w:val="ru-RU"/>
        </w:rPr>
        <w:t xml:space="preserve">, изложенные в настоящих Пересмотренных Руководящих принципах, не имеют обязательной юридической силы: они не освобождают от обязательств, </w:t>
      </w:r>
      <w:r w:rsidR="00250EF3">
        <w:rPr>
          <w:lang w:val="ru-RU"/>
        </w:rPr>
        <w:t>предусмотренных</w:t>
      </w:r>
      <w:r w:rsidR="003F4A0F" w:rsidRPr="00CE7F46">
        <w:rPr>
          <w:lang w:val="ru-RU"/>
        </w:rPr>
        <w:t xml:space="preserve"> </w:t>
      </w:r>
      <w:r w:rsidR="00250EF3" w:rsidRPr="00CE7F46">
        <w:rPr>
          <w:lang w:val="ru-RU"/>
        </w:rPr>
        <w:t>Конвенци</w:t>
      </w:r>
      <w:r w:rsidR="00250EF3">
        <w:rPr>
          <w:lang w:val="ru-RU"/>
        </w:rPr>
        <w:t>ей</w:t>
      </w:r>
      <w:r w:rsidR="00250EF3" w:rsidRPr="00CE7F46">
        <w:rPr>
          <w:lang w:val="ru-RU"/>
        </w:rPr>
        <w:t xml:space="preserve"> </w:t>
      </w:r>
      <w:r w:rsidR="003F4A0F" w:rsidRPr="00CE7F46">
        <w:rPr>
          <w:lang w:val="ru-RU"/>
        </w:rPr>
        <w:t>Эспо.</w:t>
      </w:r>
    </w:p>
    <w:p w14:paraId="176869A2" w14:textId="77777777" w:rsidR="002E4E82" w:rsidRPr="006808C1" w:rsidRDefault="00F95106" w:rsidP="00F95106">
      <w:pPr>
        <w:pStyle w:val="HChG"/>
        <w:rPr>
          <w:lang w:val="ru-RU"/>
        </w:rPr>
      </w:pPr>
      <w:r w:rsidRPr="006808C1">
        <w:rPr>
          <w:lang w:val="ru-RU"/>
        </w:rPr>
        <w:tab/>
      </w:r>
      <w:r w:rsidR="002E4E82" w:rsidRPr="00E326A9">
        <w:t>I</w:t>
      </w:r>
      <w:r w:rsidR="002E4E82" w:rsidRPr="006808C1">
        <w:rPr>
          <w:lang w:val="ru-RU"/>
        </w:rPr>
        <w:t>.</w:t>
      </w:r>
      <w:r w:rsidR="002E4E82" w:rsidRPr="006808C1">
        <w:rPr>
          <w:lang w:val="ru-RU"/>
        </w:rPr>
        <w:tab/>
        <w:t>Введение</w:t>
      </w:r>
    </w:p>
    <w:p w14:paraId="1BA91A62" w14:textId="77777777" w:rsidR="002E4E82" w:rsidRPr="00340D85" w:rsidRDefault="003C2896" w:rsidP="003C2896">
      <w:pPr>
        <w:pStyle w:val="H1G"/>
        <w:rPr>
          <w:lang w:val="ru-RU"/>
        </w:rPr>
      </w:pPr>
      <w:bookmarkStart w:id="5" w:name="_Toc507852125"/>
      <w:r w:rsidRPr="00340D85">
        <w:rPr>
          <w:lang w:val="ru-RU"/>
        </w:rPr>
        <w:tab/>
      </w:r>
      <w:r w:rsidR="00F95106">
        <w:t>A</w:t>
      </w:r>
      <w:r w:rsidR="002E4E82" w:rsidRPr="00340D85">
        <w:rPr>
          <w:lang w:val="ru-RU"/>
        </w:rPr>
        <w:t>.</w:t>
      </w:r>
      <w:r w:rsidR="002E4E82" w:rsidRPr="00340D85">
        <w:rPr>
          <w:lang w:val="ru-RU"/>
        </w:rPr>
        <w:tab/>
        <w:t>Международно-правовые основы для проведения оценки воздействия на окружающую среду в трансграничном контексте</w:t>
      </w:r>
      <w:bookmarkEnd w:id="5"/>
      <w:r w:rsidR="002E4E82" w:rsidRPr="00340D85">
        <w:rPr>
          <w:lang w:val="ru-RU"/>
        </w:rPr>
        <w:t xml:space="preserve"> </w:t>
      </w:r>
    </w:p>
    <w:p w14:paraId="4165F3B9" w14:textId="74DAE14C" w:rsidR="002E4E82" w:rsidRPr="00491F48" w:rsidRDefault="008A14B5" w:rsidP="002E4E82">
      <w:pPr>
        <w:pStyle w:val="SingleTxtG"/>
        <w:rPr>
          <w:lang w:val="ru-RU"/>
        </w:rPr>
      </w:pPr>
      <w:r>
        <w:rPr>
          <w:lang w:val="ru-RU"/>
        </w:rPr>
        <w:t>10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 w:rsidR="002E4E82" w:rsidRPr="00491F48">
        <w:rPr>
          <w:lang w:val="ru-RU"/>
        </w:rPr>
        <w:t>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того,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юрисдикции.</w:t>
      </w:r>
      <w:r w:rsidR="00BD64FE">
        <w:rPr>
          <w:rStyle w:val="FootnoteReference"/>
          <w:lang w:val="ru-RU"/>
        </w:rPr>
        <w:footnoteReference w:id="4"/>
      </w:r>
    </w:p>
    <w:p w14:paraId="7F43DD0A" w14:textId="0AF14417" w:rsidR="002E4E82" w:rsidRPr="00491F48" w:rsidRDefault="008A14B5" w:rsidP="002E4E82">
      <w:pPr>
        <w:pStyle w:val="SingleTxtG"/>
        <w:rPr>
          <w:lang w:val="ru-RU"/>
        </w:rPr>
      </w:pPr>
      <w:r>
        <w:rPr>
          <w:lang w:val="ru-RU"/>
        </w:rPr>
        <w:t>11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 w:rsidR="002E4E82" w:rsidRPr="00491F48">
        <w:rPr>
          <w:lang w:val="ru-RU"/>
        </w:rPr>
        <w:t>Начиная с конца 1960-х гг. оценка воздействия на окружающую среду рассматривается как</w:t>
      </w:r>
      <w:r w:rsidR="002E4E82">
        <w:rPr>
          <w:lang w:val="ru-RU"/>
        </w:rPr>
        <w:t xml:space="preserve"> эффективный инструмент предупреждения и смягчения</w:t>
      </w:r>
      <w:r w:rsidR="002E4E82" w:rsidRPr="00491F48">
        <w:rPr>
          <w:lang w:val="ru-RU"/>
        </w:rPr>
        <w:t xml:space="preserve"> нега</w:t>
      </w:r>
      <w:r w:rsidR="002E4E82">
        <w:rPr>
          <w:lang w:val="ru-RU"/>
        </w:rPr>
        <w:t xml:space="preserve">тивных последствий, а также усиления позитивных последствий от планируемой </w:t>
      </w:r>
      <w:r w:rsidR="00785F83">
        <w:rPr>
          <w:lang w:val="ru-RU"/>
        </w:rPr>
        <w:t xml:space="preserve">экономической </w:t>
      </w:r>
      <w:r w:rsidR="002E4E82">
        <w:rPr>
          <w:lang w:val="ru-RU"/>
        </w:rPr>
        <w:t>деятельности.</w:t>
      </w:r>
      <w:r w:rsidR="002E4E82" w:rsidRPr="00491F48">
        <w:rPr>
          <w:lang w:val="ru-RU"/>
        </w:rPr>
        <w:t xml:space="preserve"> В соответствии с принципом 17 Рио-де-Жанейрской декларации по окружающей среде и развитию, </w:t>
      </w:r>
      <w:r w:rsidR="002E4E82">
        <w:rPr>
          <w:lang w:val="ru-RU"/>
        </w:rPr>
        <w:t>«о</w:t>
      </w:r>
      <w:r w:rsidR="002E4E82" w:rsidRPr="00985B3F">
        <w:rPr>
          <w:lang w:val="ru-RU"/>
        </w:rPr>
        <w:t>ценка экологических последствий в качестве национального инструмента осуществляется в отношении предполагаемых видов деятельности, которые могут оказать значительное негативное влияние на окружающую среду и которые подлежат утверждению решением компетентного национального органа</w:t>
      </w:r>
      <w:r w:rsidR="002E4E82">
        <w:rPr>
          <w:lang w:val="ru-RU"/>
        </w:rPr>
        <w:t>»</w:t>
      </w:r>
      <w:r w:rsidR="002E4E82" w:rsidRPr="00491F48">
        <w:rPr>
          <w:lang w:val="ru-RU"/>
        </w:rPr>
        <w:t>.</w:t>
      </w:r>
    </w:p>
    <w:p w14:paraId="6983CADB" w14:textId="0F506E65" w:rsidR="002E4E82" w:rsidRDefault="00785F83" w:rsidP="002E4E82">
      <w:pPr>
        <w:pStyle w:val="SingleTxtG"/>
        <w:rPr>
          <w:lang w:val="ru-RU"/>
        </w:rPr>
      </w:pPr>
      <w:r>
        <w:rPr>
          <w:lang w:val="ru-RU"/>
        </w:rPr>
        <w:t>12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 w:rsidR="002E4E82" w:rsidRPr="00491F48">
        <w:rPr>
          <w:lang w:val="ru-RU"/>
        </w:rPr>
        <w:t>В соответствии с</w:t>
      </w:r>
      <w:r>
        <w:rPr>
          <w:lang w:val="ru-RU"/>
        </w:rPr>
        <w:t>о статьей 2</w:t>
      </w:r>
      <w:r w:rsidR="002E4E82" w:rsidRPr="00491F48">
        <w:rPr>
          <w:lang w:val="ru-RU"/>
        </w:rPr>
        <w:t xml:space="preserve"> </w:t>
      </w:r>
      <w:r w:rsidRPr="00491F48">
        <w:rPr>
          <w:lang w:val="ru-RU"/>
        </w:rPr>
        <w:t>Конвенци</w:t>
      </w:r>
      <w:r>
        <w:rPr>
          <w:lang w:val="ru-RU"/>
        </w:rPr>
        <w:t xml:space="preserve">и </w:t>
      </w:r>
      <w:r w:rsidR="002E4E82" w:rsidRPr="00491F48">
        <w:rPr>
          <w:lang w:val="ru-RU"/>
        </w:rPr>
        <w:t xml:space="preserve">Эспо, ее Стороны обязаны проводить </w:t>
      </w:r>
      <w:r>
        <w:rPr>
          <w:lang w:val="ru-RU"/>
        </w:rPr>
        <w:t>оценку воздействия на окружающую среду</w:t>
      </w:r>
      <w:r w:rsidR="002E4E82">
        <w:rPr>
          <w:lang w:val="ru-RU"/>
        </w:rPr>
        <w:t>, когда предпол</w:t>
      </w:r>
      <w:r w:rsidR="002E4E82" w:rsidRPr="00491F48">
        <w:rPr>
          <w:lang w:val="ru-RU"/>
        </w:rPr>
        <w:t xml:space="preserve">агаемая деятельность может вызвать </w:t>
      </w:r>
      <w:r w:rsidR="002E4E82">
        <w:rPr>
          <w:lang w:val="ru-RU"/>
        </w:rPr>
        <w:t>значительное</w:t>
      </w:r>
      <w:r w:rsidR="002E4E82" w:rsidRPr="00491F48">
        <w:rPr>
          <w:lang w:val="ru-RU"/>
        </w:rPr>
        <w:t xml:space="preserve"> </w:t>
      </w:r>
      <w:r w:rsidR="002E4E82">
        <w:rPr>
          <w:lang w:val="ru-RU"/>
        </w:rPr>
        <w:t>вредное трансграничное воздействие.</w:t>
      </w:r>
      <w:r w:rsidR="002E4E82" w:rsidRPr="00491F48">
        <w:rPr>
          <w:lang w:val="ru-RU"/>
        </w:rPr>
        <w:t xml:space="preserve"> </w:t>
      </w:r>
      <w:r w:rsidR="002E4E82">
        <w:rPr>
          <w:lang w:val="ru-RU"/>
        </w:rPr>
        <w:t>Конвенция была разработана под эгидой ЕЭК в 1991 г. и вступила в силу в 1997 г. К Конвенции было принято две поправки (в 2001 и 2004 гг.), и обе поправки уже вступили в силу</w:t>
      </w:r>
      <w:r w:rsidR="0020679B">
        <w:rPr>
          <w:lang w:val="ru-RU"/>
        </w:rPr>
        <w:t xml:space="preserve"> </w:t>
      </w:r>
      <w:r w:rsidR="0020679B" w:rsidRPr="00717405">
        <w:rPr>
          <w:lang w:val="ru-RU"/>
        </w:rPr>
        <w:t>(</w:t>
      </w:r>
      <w:r>
        <w:rPr>
          <w:lang w:val="ru-RU"/>
        </w:rPr>
        <w:t>см.</w:t>
      </w:r>
      <w:r w:rsidRPr="00717405">
        <w:rPr>
          <w:lang w:val="ru-RU"/>
        </w:rPr>
        <w:t xml:space="preserve"> </w:t>
      </w:r>
      <w:r w:rsidR="0020679B" w:rsidRPr="00FA41D9">
        <w:t>ECE</w:t>
      </w:r>
      <w:r w:rsidR="0020679B" w:rsidRPr="00717405">
        <w:rPr>
          <w:lang w:val="ru-RU"/>
        </w:rPr>
        <w:t>/</w:t>
      </w:r>
      <w:r w:rsidR="0020679B" w:rsidRPr="00FA41D9">
        <w:t>MP</w:t>
      </w:r>
      <w:r w:rsidR="0020679B" w:rsidRPr="00717405">
        <w:rPr>
          <w:lang w:val="ru-RU"/>
        </w:rPr>
        <w:t>.</w:t>
      </w:r>
      <w:r w:rsidR="0020679B" w:rsidRPr="00FA41D9">
        <w:t>EIA</w:t>
      </w:r>
      <w:r w:rsidR="0020679B" w:rsidRPr="00717405">
        <w:rPr>
          <w:lang w:val="ru-RU"/>
        </w:rPr>
        <w:t xml:space="preserve">/4, </w:t>
      </w:r>
      <w:r w:rsidR="0020679B">
        <w:rPr>
          <w:lang w:val="ru-RU"/>
        </w:rPr>
        <w:t>решение</w:t>
      </w:r>
      <w:r w:rsidR="0020679B" w:rsidRPr="00717405">
        <w:rPr>
          <w:lang w:val="ru-RU"/>
        </w:rPr>
        <w:t xml:space="preserve"> </w:t>
      </w:r>
      <w:r w:rsidR="0020679B" w:rsidRPr="00FA41D9">
        <w:t>II</w:t>
      </w:r>
      <w:r w:rsidR="0020679B" w:rsidRPr="00717405">
        <w:rPr>
          <w:lang w:val="ru-RU"/>
        </w:rPr>
        <w:t xml:space="preserve">/14 </w:t>
      </w:r>
      <w:r w:rsidR="0020679B">
        <w:t>and</w:t>
      </w:r>
      <w:r w:rsidR="0020679B" w:rsidRPr="00717405">
        <w:rPr>
          <w:lang w:val="ru-RU"/>
        </w:rPr>
        <w:t xml:space="preserve"> </w:t>
      </w:r>
      <w:r w:rsidR="0020679B">
        <w:t>ECE</w:t>
      </w:r>
      <w:r w:rsidR="0020679B" w:rsidRPr="00717405">
        <w:rPr>
          <w:lang w:val="ru-RU"/>
        </w:rPr>
        <w:t>/</w:t>
      </w:r>
      <w:r w:rsidR="0020679B">
        <w:t>MP</w:t>
      </w:r>
      <w:r w:rsidR="0020679B" w:rsidRPr="00717405">
        <w:rPr>
          <w:lang w:val="ru-RU"/>
        </w:rPr>
        <w:t>.</w:t>
      </w:r>
      <w:r w:rsidR="0020679B">
        <w:t>EIA</w:t>
      </w:r>
      <w:r w:rsidR="0020679B" w:rsidRPr="00717405">
        <w:rPr>
          <w:lang w:val="ru-RU"/>
        </w:rPr>
        <w:t xml:space="preserve">/6, </w:t>
      </w:r>
      <w:r w:rsidR="0020679B">
        <w:rPr>
          <w:lang w:val="ru-RU"/>
        </w:rPr>
        <w:t>решение</w:t>
      </w:r>
      <w:r>
        <w:rPr>
          <w:lang w:val="ru-RU"/>
        </w:rPr>
        <w:t xml:space="preserve"> </w:t>
      </w:r>
      <w:r w:rsidR="0020679B" w:rsidRPr="00FA41D9">
        <w:t>III</w:t>
      </w:r>
      <w:r w:rsidR="0020679B" w:rsidRPr="00717405">
        <w:rPr>
          <w:lang w:val="ru-RU"/>
        </w:rPr>
        <w:t>/7)</w:t>
      </w:r>
      <w:r w:rsidR="002E4E82">
        <w:rPr>
          <w:lang w:val="ru-RU"/>
        </w:rPr>
        <w:t>. Конвенция находится в процессе ее становления как глобального инструмента. В целом, Конвенция предусматривает юридические и процессуальные рамки для трансграничных процедур, допуская различия в национальных системах и процедурах оценки воздействия на окружающую среду. В 2003 г. к Конвенции был принят Протокол о стратегической экологической оценке, сфера действия которого распространяется на государственные планы и программы</w:t>
      </w:r>
      <w:r w:rsidR="002E4E82" w:rsidRPr="00646205">
        <w:rPr>
          <w:vertAlign w:val="superscript"/>
          <w:lang w:val="ru-RU"/>
        </w:rPr>
        <w:t xml:space="preserve"> </w:t>
      </w:r>
      <w:r w:rsidR="002E4E82">
        <w:rPr>
          <w:lang w:val="ru-RU"/>
        </w:rPr>
        <w:t xml:space="preserve">и, насколько возможно, на политики и законодательство. </w:t>
      </w:r>
    </w:p>
    <w:p w14:paraId="000A2814" w14:textId="0E64A9E7" w:rsidR="002E4E82" w:rsidRPr="00491F48" w:rsidRDefault="00785F83" w:rsidP="002E4E82">
      <w:pPr>
        <w:pStyle w:val="SingleTxtG"/>
        <w:rPr>
          <w:lang w:val="ru-RU"/>
        </w:rPr>
      </w:pPr>
      <w:r>
        <w:rPr>
          <w:lang w:val="ru-RU"/>
        </w:rPr>
        <w:t>13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 w:rsidR="002E4E82">
        <w:rPr>
          <w:lang w:val="ru-RU"/>
        </w:rPr>
        <w:t xml:space="preserve">Несмотря на то, что все пять стран </w:t>
      </w:r>
      <w:r w:rsidR="002E4E82" w:rsidRPr="00491F48">
        <w:rPr>
          <w:lang w:val="ru-RU"/>
        </w:rPr>
        <w:t xml:space="preserve">Центральной Азии </w:t>
      </w:r>
      <w:r w:rsidR="002E4E82">
        <w:rPr>
          <w:lang w:val="ru-RU"/>
        </w:rPr>
        <w:t xml:space="preserve">являются членами </w:t>
      </w:r>
      <w:r w:rsidR="005C6B87">
        <w:rPr>
          <w:lang w:val="ru-RU"/>
        </w:rPr>
        <w:t>Е</w:t>
      </w:r>
      <w:r w:rsidR="005C6B87" w:rsidRPr="005C6B87">
        <w:rPr>
          <w:lang w:val="ru-RU"/>
        </w:rPr>
        <w:t>вропейск</w:t>
      </w:r>
      <w:r w:rsidR="005C6B87">
        <w:rPr>
          <w:lang w:val="ru-RU"/>
        </w:rPr>
        <w:t>ой</w:t>
      </w:r>
      <w:r w:rsidR="005C6B87" w:rsidRPr="005C6B87">
        <w:rPr>
          <w:lang w:val="ru-RU"/>
        </w:rPr>
        <w:t xml:space="preserve"> экономическ</w:t>
      </w:r>
      <w:r w:rsidR="005C6B87">
        <w:rPr>
          <w:lang w:val="ru-RU"/>
        </w:rPr>
        <w:t>ой</w:t>
      </w:r>
      <w:r w:rsidR="005C6B87" w:rsidRPr="005C6B87">
        <w:rPr>
          <w:lang w:val="ru-RU"/>
        </w:rPr>
        <w:t xml:space="preserve"> комисси</w:t>
      </w:r>
      <w:r w:rsidR="005C6B87">
        <w:rPr>
          <w:lang w:val="ru-RU"/>
        </w:rPr>
        <w:t xml:space="preserve">и </w:t>
      </w:r>
      <w:r w:rsidR="005C6B87" w:rsidRPr="005C6B87">
        <w:rPr>
          <w:lang w:val="ru-RU"/>
        </w:rPr>
        <w:t>Организации Объединенных Наций</w:t>
      </w:r>
      <w:r w:rsidR="005C6B87">
        <w:rPr>
          <w:lang w:val="ru-RU"/>
        </w:rPr>
        <w:t xml:space="preserve"> (</w:t>
      </w:r>
      <w:r w:rsidR="002E4E82">
        <w:rPr>
          <w:lang w:val="ru-RU"/>
        </w:rPr>
        <w:t>ЕЭК</w:t>
      </w:r>
      <w:r w:rsidR="005C6B87">
        <w:rPr>
          <w:lang w:val="ru-RU"/>
        </w:rPr>
        <w:t>)</w:t>
      </w:r>
      <w:r w:rsidR="002E4E82" w:rsidRPr="00491F48">
        <w:rPr>
          <w:lang w:val="ru-RU"/>
        </w:rPr>
        <w:t xml:space="preserve">, </w:t>
      </w:r>
      <w:r w:rsidR="002E4E82">
        <w:rPr>
          <w:lang w:val="ru-RU"/>
        </w:rPr>
        <w:t xml:space="preserve">в настоящий момент только две – Казахстан и Кыргызстан – являются </w:t>
      </w:r>
      <w:r w:rsidR="002E4E82" w:rsidRPr="00491F48">
        <w:rPr>
          <w:lang w:val="ru-RU"/>
        </w:rPr>
        <w:t>сторонами этой Конвенции</w:t>
      </w:r>
      <w:r w:rsidR="002E4E82">
        <w:rPr>
          <w:lang w:val="ru-RU"/>
        </w:rPr>
        <w:t xml:space="preserve"> (с 2001 г.) и</w:t>
      </w:r>
      <w:r w:rsidR="002E4E82" w:rsidRPr="00491F48">
        <w:rPr>
          <w:lang w:val="ru-RU"/>
        </w:rPr>
        <w:t xml:space="preserve">, </w:t>
      </w:r>
      <w:r w:rsidR="002E4E82">
        <w:rPr>
          <w:lang w:val="ru-RU"/>
        </w:rPr>
        <w:t xml:space="preserve">таким образом, имеют </w:t>
      </w:r>
      <w:r w:rsidR="002E4E82" w:rsidRPr="00491F48">
        <w:rPr>
          <w:lang w:val="ru-RU"/>
        </w:rPr>
        <w:t xml:space="preserve">особые взаимные обязательства </w:t>
      </w:r>
      <w:r w:rsidR="002E4E82">
        <w:rPr>
          <w:lang w:val="ru-RU"/>
        </w:rPr>
        <w:t xml:space="preserve">относительно проведения </w:t>
      </w:r>
      <w:r w:rsidR="002E4E82" w:rsidRPr="00491F48">
        <w:rPr>
          <w:lang w:val="ru-RU"/>
        </w:rPr>
        <w:t>трансграничной оценки воздействия на окружающую среду</w:t>
      </w:r>
      <w:r w:rsidR="002E4E82">
        <w:rPr>
          <w:lang w:val="ru-RU"/>
        </w:rPr>
        <w:t xml:space="preserve"> для планируемой деятельности, которая может оказывать значительное вредное трансграничное воздействие</w:t>
      </w:r>
      <w:r w:rsidR="002E4E82" w:rsidRPr="00DC5887">
        <w:rPr>
          <w:lang w:val="ru-RU"/>
        </w:rPr>
        <w:t>.</w:t>
      </w:r>
      <w:r w:rsidR="002E4E82">
        <w:rPr>
          <w:lang w:val="ru-RU"/>
        </w:rPr>
        <w:t xml:space="preserve"> В то же время, практическое применение оценки воздействия на окружающую среду в трансграничном контексте десятки лет играло важную роль в международном сотрудничестве по вопросам охраны окружающей среды и устойчивого развития в субрегионе, а также признается принципом общего международного права.</w:t>
      </w:r>
      <w:r w:rsidR="002E4E82" w:rsidRPr="0069085F">
        <w:rPr>
          <w:vertAlign w:val="superscript"/>
          <w:lang w:val="ru-RU"/>
        </w:rPr>
        <w:footnoteReference w:id="5"/>
      </w:r>
      <w:r w:rsidR="002E4E82" w:rsidRPr="005A6061">
        <w:rPr>
          <w:lang w:val="ru-RU"/>
        </w:rPr>
        <w:t xml:space="preserve"> </w:t>
      </w:r>
      <w:r w:rsidR="002E4E82">
        <w:rPr>
          <w:lang w:val="ru-RU"/>
        </w:rPr>
        <w:t>Международная же практика полностью построена на Конвенции Эспо.</w:t>
      </w:r>
      <w:r w:rsidR="002E4E82" w:rsidRPr="0069085F">
        <w:rPr>
          <w:vertAlign w:val="superscript"/>
          <w:lang w:val="ru-RU"/>
        </w:rPr>
        <w:footnoteReference w:id="6"/>
      </w:r>
      <w:r w:rsidR="002E4E82" w:rsidRPr="0069085F">
        <w:rPr>
          <w:vertAlign w:val="superscript"/>
          <w:lang w:val="ru-RU"/>
        </w:rPr>
        <w:t xml:space="preserve"> </w:t>
      </w:r>
    </w:p>
    <w:p w14:paraId="20B025B0" w14:textId="6CFF13A0" w:rsidR="002E4E82" w:rsidRPr="00E326A9" w:rsidRDefault="00176C95" w:rsidP="002E4E82">
      <w:pPr>
        <w:pStyle w:val="SingleTxtG"/>
        <w:rPr>
          <w:lang w:val="ru-RU"/>
        </w:rPr>
      </w:pPr>
      <w:r>
        <w:rPr>
          <w:lang w:val="ru-RU"/>
        </w:rPr>
        <w:t>14</w:t>
      </w:r>
      <w:r w:rsidR="002E4E82" w:rsidRPr="00E326A9">
        <w:rPr>
          <w:lang w:val="ru-RU"/>
        </w:rPr>
        <w:t>.</w:t>
      </w:r>
      <w:r w:rsidR="002E4E82" w:rsidRPr="00E326A9">
        <w:rPr>
          <w:lang w:val="ru-RU"/>
        </w:rPr>
        <w:tab/>
        <w:t xml:space="preserve">Трансграничная </w:t>
      </w:r>
      <w:r>
        <w:rPr>
          <w:lang w:val="ru-RU"/>
        </w:rPr>
        <w:t>оценка воздействия на окружающую среду</w:t>
      </w:r>
      <w:r w:rsidRPr="00E326A9">
        <w:rPr>
          <w:lang w:val="ru-RU"/>
        </w:rPr>
        <w:t xml:space="preserve"> </w:t>
      </w:r>
      <w:r w:rsidR="002E4E82" w:rsidRPr="00E326A9">
        <w:rPr>
          <w:lang w:val="ru-RU"/>
        </w:rPr>
        <w:t xml:space="preserve">является полезным инструментом для </w:t>
      </w:r>
      <w:r w:rsidR="002E4E82">
        <w:rPr>
          <w:lang w:val="ru-RU"/>
        </w:rPr>
        <w:t>р</w:t>
      </w:r>
      <w:r w:rsidR="002E4E82" w:rsidRPr="00E326A9">
        <w:rPr>
          <w:lang w:val="ru-RU"/>
        </w:rPr>
        <w:t>азвити</w:t>
      </w:r>
      <w:r w:rsidR="002E4E82">
        <w:rPr>
          <w:lang w:val="ru-RU"/>
        </w:rPr>
        <w:t>я</w:t>
      </w:r>
      <w:r w:rsidR="002E4E82" w:rsidRPr="00E326A9">
        <w:rPr>
          <w:lang w:val="ru-RU"/>
        </w:rPr>
        <w:t xml:space="preserve"> конструктивного диалога</w:t>
      </w:r>
      <w:r w:rsidR="002E4E82" w:rsidRPr="00696355">
        <w:rPr>
          <w:lang w:val="ru-RU"/>
        </w:rPr>
        <w:t xml:space="preserve"> </w:t>
      </w:r>
      <w:r w:rsidR="002E4E82" w:rsidRPr="00E326A9">
        <w:rPr>
          <w:lang w:val="ru-RU"/>
        </w:rPr>
        <w:t xml:space="preserve">между странами </w:t>
      </w:r>
      <w:r w:rsidR="002E4E82">
        <w:rPr>
          <w:lang w:val="ru-RU"/>
        </w:rPr>
        <w:t>Центральной Азии</w:t>
      </w:r>
      <w:r w:rsidR="002E4E82" w:rsidRPr="00E326A9">
        <w:rPr>
          <w:lang w:val="ru-RU"/>
        </w:rPr>
        <w:t xml:space="preserve"> </w:t>
      </w:r>
      <w:r w:rsidR="002E4E82">
        <w:rPr>
          <w:lang w:val="ru-RU"/>
        </w:rPr>
        <w:t xml:space="preserve">с целью содействия </w:t>
      </w:r>
      <w:r w:rsidR="002E4E82" w:rsidRPr="00E326A9">
        <w:rPr>
          <w:lang w:val="ru-RU"/>
        </w:rPr>
        <w:t>предупреждени</w:t>
      </w:r>
      <w:r w:rsidR="002E4E82">
        <w:rPr>
          <w:lang w:val="ru-RU"/>
        </w:rPr>
        <w:t>ю</w:t>
      </w:r>
      <w:r w:rsidR="002E4E82" w:rsidRPr="00E326A9">
        <w:rPr>
          <w:lang w:val="ru-RU"/>
        </w:rPr>
        <w:t xml:space="preserve"> </w:t>
      </w:r>
      <w:r w:rsidR="002E4E82">
        <w:rPr>
          <w:lang w:val="ru-RU"/>
        </w:rPr>
        <w:t xml:space="preserve">вредного воздействия на окружающую среду. </w:t>
      </w:r>
      <w:r w:rsidR="002E4E82" w:rsidRPr="00E326A9">
        <w:rPr>
          <w:lang w:val="ru-RU"/>
        </w:rPr>
        <w:t xml:space="preserve">Она также позволяет оценить кумулятивное воздействие </w:t>
      </w:r>
      <w:r w:rsidR="002E4E82">
        <w:rPr>
          <w:lang w:val="ru-RU"/>
        </w:rPr>
        <w:t xml:space="preserve">от ряда </w:t>
      </w:r>
      <w:r>
        <w:rPr>
          <w:lang w:val="ru-RU"/>
        </w:rPr>
        <w:t>направлений экономической деятельности</w:t>
      </w:r>
      <w:r w:rsidR="002E4E82">
        <w:rPr>
          <w:lang w:val="ru-RU"/>
        </w:rPr>
        <w:t xml:space="preserve">, </w:t>
      </w:r>
      <w:r>
        <w:rPr>
          <w:lang w:val="ru-RU"/>
        </w:rPr>
        <w:t xml:space="preserve">которые, </w:t>
      </w:r>
      <w:r w:rsidR="002E4E82">
        <w:rPr>
          <w:lang w:val="ru-RU"/>
        </w:rPr>
        <w:t xml:space="preserve">в том числе, используют общие </w:t>
      </w:r>
      <w:r w:rsidR="002E4E82" w:rsidRPr="00E326A9">
        <w:rPr>
          <w:lang w:val="ru-RU"/>
        </w:rPr>
        <w:t>природн</w:t>
      </w:r>
      <w:r w:rsidR="002E4E82">
        <w:rPr>
          <w:lang w:val="ru-RU"/>
        </w:rPr>
        <w:t>ые</w:t>
      </w:r>
      <w:r w:rsidR="002E4E82" w:rsidRPr="00E326A9">
        <w:rPr>
          <w:lang w:val="ru-RU"/>
        </w:rPr>
        <w:t xml:space="preserve"> ресурс</w:t>
      </w:r>
      <w:r w:rsidR="002E4E82">
        <w:rPr>
          <w:lang w:val="ru-RU"/>
        </w:rPr>
        <w:t>ы;</w:t>
      </w:r>
      <w:r w:rsidR="002E4E82" w:rsidRPr="00E326A9">
        <w:rPr>
          <w:lang w:val="ru-RU"/>
        </w:rPr>
        <w:t xml:space="preserve"> </w:t>
      </w:r>
      <w:r w:rsidR="002E4E82">
        <w:rPr>
          <w:lang w:val="ru-RU"/>
        </w:rPr>
        <w:t xml:space="preserve">и разработать </w:t>
      </w:r>
      <w:r w:rsidR="002E4E82" w:rsidRPr="00E326A9">
        <w:rPr>
          <w:lang w:val="ru-RU"/>
        </w:rPr>
        <w:t xml:space="preserve">эффективные меры по предупреждению или </w:t>
      </w:r>
      <w:r w:rsidR="002E4E82">
        <w:rPr>
          <w:lang w:val="ru-RU"/>
        </w:rPr>
        <w:t>смягчению</w:t>
      </w:r>
      <w:r w:rsidR="002E4E82" w:rsidRPr="00E326A9">
        <w:rPr>
          <w:lang w:val="ru-RU"/>
        </w:rPr>
        <w:t xml:space="preserve"> </w:t>
      </w:r>
      <w:r w:rsidR="002E4E82">
        <w:rPr>
          <w:lang w:val="ru-RU"/>
        </w:rPr>
        <w:t xml:space="preserve">предполагаемого вредного воздействия на окружающую среду. </w:t>
      </w:r>
      <w:r w:rsidR="002E4E82" w:rsidRPr="00E326A9">
        <w:rPr>
          <w:lang w:val="ru-RU"/>
        </w:rPr>
        <w:t>Кроме этого, трансграничная оценка воздействия на окружающую среду на осно</w:t>
      </w:r>
      <w:r w:rsidR="002E4E82">
        <w:rPr>
          <w:lang w:val="ru-RU"/>
        </w:rPr>
        <w:t xml:space="preserve">ве </w:t>
      </w:r>
      <w:r w:rsidR="002E4E82" w:rsidRPr="00E326A9">
        <w:rPr>
          <w:lang w:val="ru-RU"/>
        </w:rPr>
        <w:t>Конвенции Эспо, как и процедура</w:t>
      </w:r>
      <w:r w:rsidR="002E4E82">
        <w:rPr>
          <w:lang w:val="ru-RU"/>
        </w:rPr>
        <w:t xml:space="preserve"> проведения</w:t>
      </w:r>
      <w:r w:rsidR="002E4E82" w:rsidRPr="00E326A9">
        <w:rPr>
          <w:lang w:val="ru-RU"/>
        </w:rPr>
        <w:t xml:space="preserve"> стратегической экологической оценк</w:t>
      </w:r>
      <w:r w:rsidR="002E4E82">
        <w:rPr>
          <w:lang w:val="ru-RU"/>
        </w:rPr>
        <w:t>и на основе Протокола по</w:t>
      </w:r>
      <w:r w:rsidR="002E4E82" w:rsidRPr="00E326A9">
        <w:rPr>
          <w:lang w:val="ru-RU"/>
        </w:rPr>
        <w:t xml:space="preserve"> </w:t>
      </w:r>
      <w:r w:rsidR="00A17221">
        <w:rPr>
          <w:lang w:val="ru-RU"/>
        </w:rPr>
        <w:t>стратегической экологической оценке</w:t>
      </w:r>
      <w:r w:rsidR="002E4E82" w:rsidRPr="00E326A9">
        <w:rPr>
          <w:lang w:val="ru-RU"/>
        </w:rPr>
        <w:t xml:space="preserve">, </w:t>
      </w:r>
      <w:r w:rsidR="00C91962" w:rsidRPr="00E326A9">
        <w:rPr>
          <w:lang w:val="ru-RU"/>
        </w:rPr>
        <w:t>явля</w:t>
      </w:r>
      <w:r w:rsidR="00C91962">
        <w:rPr>
          <w:lang w:val="ru-RU"/>
        </w:rPr>
        <w:t>е</w:t>
      </w:r>
      <w:r w:rsidR="00C91962" w:rsidRPr="00E326A9">
        <w:rPr>
          <w:lang w:val="ru-RU"/>
        </w:rPr>
        <w:t xml:space="preserve">тся </w:t>
      </w:r>
      <w:r w:rsidR="002E4E82" w:rsidRPr="00E326A9">
        <w:rPr>
          <w:lang w:val="ru-RU"/>
        </w:rPr>
        <w:t xml:space="preserve">важным инструментом для стран </w:t>
      </w:r>
      <w:r w:rsidR="003D16EA">
        <w:rPr>
          <w:lang w:val="ru-RU"/>
        </w:rPr>
        <w:t>в деле</w:t>
      </w:r>
      <w:r w:rsidR="002E0D33">
        <w:rPr>
          <w:lang w:val="ru-RU"/>
        </w:rPr>
        <w:t xml:space="preserve"> обеспечения</w:t>
      </w:r>
      <w:r w:rsidR="00064072">
        <w:rPr>
          <w:lang w:val="ru-RU"/>
        </w:rPr>
        <w:t xml:space="preserve"> </w:t>
      </w:r>
      <w:r w:rsidR="00064072" w:rsidRPr="0019715F">
        <w:rPr>
          <w:lang w:val="ru-RU"/>
        </w:rPr>
        <w:t xml:space="preserve"> </w:t>
      </w:r>
      <w:r w:rsidR="00064072">
        <w:rPr>
          <w:lang w:val="ru-RU"/>
        </w:rPr>
        <w:t xml:space="preserve">сближения </w:t>
      </w:r>
      <w:r w:rsidR="007B584A">
        <w:rPr>
          <w:lang w:val="ru-RU"/>
        </w:rPr>
        <w:t xml:space="preserve">их </w:t>
      </w:r>
      <w:r w:rsidR="00064072">
        <w:rPr>
          <w:lang w:val="ru-RU"/>
        </w:rPr>
        <w:t>экономического развития с</w:t>
      </w:r>
      <w:r w:rsidR="002E4E82" w:rsidRPr="00E326A9">
        <w:rPr>
          <w:lang w:val="ru-RU"/>
        </w:rPr>
        <w:t xml:space="preserve"> Цел</w:t>
      </w:r>
      <w:r w:rsidR="00527949">
        <w:rPr>
          <w:lang w:val="ru-RU"/>
        </w:rPr>
        <w:t>ями</w:t>
      </w:r>
      <w:r w:rsidR="002E4E82" w:rsidRPr="00E326A9">
        <w:rPr>
          <w:lang w:val="ru-RU"/>
        </w:rPr>
        <w:t xml:space="preserve"> Устойчивого Развития</w:t>
      </w:r>
      <w:r w:rsidR="001E561F">
        <w:rPr>
          <w:lang w:val="ru-RU"/>
        </w:rPr>
        <w:t>.</w:t>
      </w:r>
      <w:r w:rsidR="002E4E82" w:rsidRPr="00D30B22">
        <w:rPr>
          <w:vertAlign w:val="superscript"/>
          <w:lang w:val="ru-RU"/>
        </w:rPr>
        <w:footnoteReference w:id="7"/>
      </w:r>
      <w:r w:rsidR="002E4E82">
        <w:rPr>
          <w:lang w:val="ru-RU"/>
        </w:rPr>
        <w:t xml:space="preserve"> </w:t>
      </w:r>
      <w:r w:rsidR="00C316B3">
        <w:rPr>
          <w:lang w:val="ru-RU"/>
        </w:rPr>
        <w:t>Т</w:t>
      </w:r>
      <w:r w:rsidR="00C316B3" w:rsidRPr="00C316B3">
        <w:rPr>
          <w:lang w:val="ru-RU"/>
        </w:rPr>
        <w:t>рансграничная</w:t>
      </w:r>
      <w:r w:rsidR="00C316B3">
        <w:rPr>
          <w:lang w:val="ru-RU"/>
        </w:rPr>
        <w:t xml:space="preserve"> </w:t>
      </w:r>
      <w:r w:rsidR="00797890">
        <w:rPr>
          <w:lang w:val="ru-RU"/>
        </w:rPr>
        <w:t>оценка воздействия на окружающую среду</w:t>
      </w:r>
      <w:r w:rsidR="00797890" w:rsidRPr="00C316B3" w:rsidDel="00C316B3">
        <w:rPr>
          <w:lang w:val="ru-RU"/>
        </w:rPr>
        <w:t xml:space="preserve"> </w:t>
      </w:r>
      <w:r w:rsidR="002E4E82" w:rsidRPr="00E326A9">
        <w:rPr>
          <w:lang w:val="ru-RU"/>
        </w:rPr>
        <w:t>явля</w:t>
      </w:r>
      <w:r w:rsidR="002E4E82">
        <w:rPr>
          <w:lang w:val="ru-RU"/>
        </w:rPr>
        <w:t>е</w:t>
      </w:r>
      <w:r w:rsidR="002E4E82" w:rsidRPr="00E326A9">
        <w:rPr>
          <w:lang w:val="ru-RU"/>
        </w:rPr>
        <w:t xml:space="preserve">тся основой для всестороннего внедрения экологических вопросов и </w:t>
      </w:r>
      <w:r w:rsidR="002E4E82">
        <w:rPr>
          <w:lang w:val="ru-RU"/>
        </w:rPr>
        <w:t>вопросов здоро</w:t>
      </w:r>
      <w:r w:rsidR="002E4E82" w:rsidRPr="00E326A9">
        <w:rPr>
          <w:lang w:val="ru-RU"/>
        </w:rPr>
        <w:t>в</w:t>
      </w:r>
      <w:r w:rsidR="002E4E82">
        <w:rPr>
          <w:lang w:val="ru-RU"/>
        </w:rPr>
        <w:t xml:space="preserve">ья населения </w:t>
      </w:r>
      <w:r w:rsidR="002E4E82" w:rsidRPr="00E326A9">
        <w:rPr>
          <w:lang w:val="ru-RU"/>
        </w:rPr>
        <w:t>в широкий спектр инвестиционных инициатив во всех секторах экономики. Следует отметить, что в этом отношении стратегическая экологическая оценка</w:t>
      </w:r>
      <w:r w:rsidR="0024637B">
        <w:rPr>
          <w:lang w:val="ru-RU"/>
        </w:rPr>
        <w:t xml:space="preserve">, </w:t>
      </w:r>
      <w:r w:rsidR="002E4E82" w:rsidRPr="00E326A9">
        <w:rPr>
          <w:lang w:val="ru-RU"/>
        </w:rPr>
        <w:t>которая применяется на ранних стадиях государственного планирования и принятия решений по вопросам экономического и регионального развития</w:t>
      </w:r>
      <w:r w:rsidR="0024637B">
        <w:rPr>
          <w:lang w:val="ru-RU"/>
        </w:rPr>
        <w:t xml:space="preserve">, </w:t>
      </w:r>
      <w:r w:rsidR="002E4E82" w:rsidRPr="00E326A9">
        <w:rPr>
          <w:lang w:val="ru-RU"/>
        </w:rPr>
        <w:t xml:space="preserve">считается особенно полезным инструментом. </w:t>
      </w:r>
    </w:p>
    <w:p w14:paraId="20A2A10A" w14:textId="41E15D66" w:rsidR="002E4E82" w:rsidRPr="00340D85" w:rsidRDefault="00F37290" w:rsidP="001D0EEC">
      <w:pPr>
        <w:pStyle w:val="H1G"/>
        <w:rPr>
          <w:lang w:val="ru-RU"/>
        </w:rPr>
      </w:pPr>
      <w:bookmarkStart w:id="6" w:name="_Toc507852126"/>
      <w:r w:rsidRPr="00340D85">
        <w:rPr>
          <w:lang w:val="ru-RU"/>
        </w:rPr>
        <w:tab/>
      </w:r>
      <w:r w:rsidR="004F645F" w:rsidRPr="00340D85">
        <w:rPr>
          <w:lang w:val="ru-RU"/>
        </w:rPr>
        <w:t>Б</w:t>
      </w:r>
      <w:r w:rsidR="002E4E82" w:rsidRPr="00340D85">
        <w:rPr>
          <w:lang w:val="ru-RU"/>
        </w:rPr>
        <w:t>.</w:t>
      </w:r>
      <w:r w:rsidR="002E4E82" w:rsidRPr="00340D85">
        <w:rPr>
          <w:lang w:val="ru-RU"/>
        </w:rPr>
        <w:tab/>
        <w:t xml:space="preserve">Предпосылки для разработки и цели </w:t>
      </w:r>
      <w:r w:rsidR="004A4362">
        <w:rPr>
          <w:lang w:val="ru-RU"/>
        </w:rPr>
        <w:t xml:space="preserve">Пересмотренных </w:t>
      </w:r>
      <w:r w:rsidR="002E4E82" w:rsidRPr="00340D85">
        <w:rPr>
          <w:lang w:val="ru-RU"/>
        </w:rPr>
        <w:t>Руководящих принципов</w:t>
      </w:r>
      <w:bookmarkEnd w:id="6"/>
    </w:p>
    <w:p w14:paraId="1A08C46B" w14:textId="3DE03BF3" w:rsidR="002E4E82" w:rsidRPr="00E326A9" w:rsidRDefault="004A4362" w:rsidP="002E4E82">
      <w:pPr>
        <w:pStyle w:val="SingleTxtG"/>
        <w:rPr>
          <w:lang w:val="ru-RU"/>
        </w:rPr>
      </w:pPr>
      <w:r>
        <w:rPr>
          <w:lang w:val="ru-RU"/>
        </w:rPr>
        <w:t>15</w:t>
      </w:r>
      <w:r w:rsidR="002E4E82" w:rsidRPr="00E326A9">
        <w:rPr>
          <w:lang w:val="ru-RU"/>
        </w:rPr>
        <w:t>.</w:t>
      </w:r>
      <w:r w:rsidR="002E4E82" w:rsidRPr="00E326A9">
        <w:rPr>
          <w:lang w:val="ru-RU"/>
        </w:rPr>
        <w:tab/>
        <w:t>Страны Центральной Азии признают, что экологические угрозы не имеют границ и что важно предупреждать и сводить к минимуму ущерб окружающей среде на субрегиональном уровне</w:t>
      </w:r>
      <w:r>
        <w:rPr>
          <w:lang w:val="ru-RU"/>
        </w:rPr>
        <w:t>, в том числе при помощи применения трансграничной оценки воздействия на окружающую среду</w:t>
      </w:r>
      <w:r w:rsidR="002E4E82" w:rsidRPr="00E326A9">
        <w:rPr>
          <w:lang w:val="ru-RU"/>
        </w:rPr>
        <w:t xml:space="preserve">. В то же время страны Центральной Азии, являющиеся и не являющиеся Сторонами Конвенции, сталкиваются с трудностями в проведении процедуры трансграничной </w:t>
      </w:r>
      <w:r>
        <w:rPr>
          <w:lang w:val="ru-RU"/>
        </w:rPr>
        <w:t>оценки воздействия на окружающую среду</w:t>
      </w:r>
      <w:r w:rsidRPr="00E326A9">
        <w:rPr>
          <w:lang w:val="ru-RU"/>
        </w:rPr>
        <w:t xml:space="preserve"> </w:t>
      </w:r>
      <w:r w:rsidR="002E4E82" w:rsidRPr="00E326A9">
        <w:rPr>
          <w:lang w:val="ru-RU"/>
        </w:rPr>
        <w:t xml:space="preserve">проектов, которые могут </w:t>
      </w:r>
      <w:r w:rsidR="002E4E82">
        <w:rPr>
          <w:lang w:val="ru-RU"/>
        </w:rPr>
        <w:t>оказать</w:t>
      </w:r>
      <w:r w:rsidR="002E4E82" w:rsidRPr="00E326A9">
        <w:rPr>
          <w:lang w:val="ru-RU"/>
        </w:rPr>
        <w:t xml:space="preserve"> значительное вредное трансграничное воздействие. Многие из этих трудностей связаны с системными несоответствиями между национальными</w:t>
      </w:r>
      <w:r w:rsidR="002E4E82" w:rsidRPr="006808C1">
        <w:rPr>
          <w:lang w:val="ru-RU"/>
        </w:rPr>
        <w:t xml:space="preserve"> </w:t>
      </w:r>
      <w:r w:rsidR="002E4E82" w:rsidRPr="00E326A9">
        <w:rPr>
          <w:lang w:val="ru-RU"/>
        </w:rPr>
        <w:t xml:space="preserve">системами оценки воздействия на окружающую среду в странах Центральной Азии и международными </w:t>
      </w:r>
      <w:r>
        <w:rPr>
          <w:lang w:val="ru-RU"/>
        </w:rPr>
        <w:t>положениями об оценке воздействия на окружающую среду</w:t>
      </w:r>
      <w:r w:rsidR="002E4E82" w:rsidRPr="00E326A9">
        <w:rPr>
          <w:lang w:val="ru-RU"/>
        </w:rPr>
        <w:t xml:space="preserve">, </w:t>
      </w:r>
      <w:r w:rsidR="002E4E82">
        <w:rPr>
          <w:lang w:val="ru-RU"/>
        </w:rPr>
        <w:t xml:space="preserve">закрепленными в </w:t>
      </w:r>
      <w:r w:rsidR="002E4E82" w:rsidRPr="00E326A9">
        <w:rPr>
          <w:lang w:val="ru-RU"/>
        </w:rPr>
        <w:t>Конвенци</w:t>
      </w:r>
      <w:r w:rsidR="002E4E82">
        <w:rPr>
          <w:lang w:val="ru-RU"/>
        </w:rPr>
        <w:t>и</w:t>
      </w:r>
      <w:r w:rsidR="002E4E82" w:rsidRPr="00E326A9">
        <w:rPr>
          <w:lang w:val="ru-RU"/>
        </w:rPr>
        <w:t xml:space="preserve"> Эспо. В частности, сложности возникают при </w:t>
      </w:r>
      <w:r w:rsidR="002E4E82" w:rsidRPr="001E23EA">
        <w:rPr>
          <w:lang w:val="ru-RU"/>
        </w:rPr>
        <w:t xml:space="preserve">координации </w:t>
      </w:r>
      <w:r w:rsidR="00340D85" w:rsidRPr="001E23EA">
        <w:rPr>
          <w:lang w:val="ru-RU"/>
        </w:rPr>
        <w:t>этапов</w:t>
      </w:r>
      <w:r w:rsidR="002E4E82" w:rsidRPr="001E23EA">
        <w:rPr>
          <w:lang w:val="ru-RU"/>
        </w:rPr>
        <w:t xml:space="preserve"> и результатов национальных процедур по проведению </w:t>
      </w:r>
      <w:r>
        <w:rPr>
          <w:lang w:val="ru-RU"/>
        </w:rPr>
        <w:t>оценки воздействия на окружающую среду</w:t>
      </w:r>
      <w:r w:rsidRPr="001E23EA">
        <w:rPr>
          <w:lang w:val="ru-RU"/>
        </w:rPr>
        <w:t xml:space="preserve"> </w:t>
      </w:r>
      <w:r w:rsidR="002E4E82" w:rsidRPr="001E23EA">
        <w:rPr>
          <w:lang w:val="ru-RU"/>
        </w:rPr>
        <w:t>и последующего принятия</w:t>
      </w:r>
      <w:r w:rsidR="002E4E82" w:rsidRPr="00E326A9">
        <w:rPr>
          <w:lang w:val="ru-RU"/>
        </w:rPr>
        <w:t xml:space="preserve"> разрешительных решений в отношении планируемой деятельности на национальном уровне и деятельности, осуществляемой в рамках трансграничной </w:t>
      </w:r>
      <w:r>
        <w:rPr>
          <w:lang w:val="ru-RU"/>
        </w:rPr>
        <w:t>оценки воздействия на окружающую среду</w:t>
      </w:r>
      <w:r w:rsidRPr="00E326A9">
        <w:rPr>
          <w:lang w:val="ru-RU"/>
        </w:rPr>
        <w:t xml:space="preserve"> </w:t>
      </w:r>
      <w:r w:rsidR="002E4E82" w:rsidRPr="00E326A9">
        <w:rPr>
          <w:lang w:val="ru-RU"/>
        </w:rPr>
        <w:t xml:space="preserve">на международном уровне, с целью проведения консультаций относительно планируемой деятельности между заинтересованными государствами. </w:t>
      </w:r>
    </w:p>
    <w:p w14:paraId="66472C2E" w14:textId="10A0DC29" w:rsidR="00DD6F1D" w:rsidRDefault="004A4362" w:rsidP="002E4E82">
      <w:pPr>
        <w:pStyle w:val="SingleTxtG"/>
        <w:rPr>
          <w:lang w:val="ru-RU"/>
        </w:rPr>
      </w:pPr>
      <w:r>
        <w:rPr>
          <w:lang w:val="ru-RU"/>
        </w:rPr>
        <w:t>16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 w:rsidR="002E4E82" w:rsidRPr="00ED0CD7">
        <w:rPr>
          <w:lang w:val="ru-RU"/>
        </w:rPr>
        <w:t xml:space="preserve">Целью настоящих </w:t>
      </w:r>
      <w:r>
        <w:rPr>
          <w:lang w:val="ru-RU"/>
        </w:rPr>
        <w:t xml:space="preserve">Пересмотренных </w:t>
      </w:r>
      <w:r w:rsidR="002E4E82" w:rsidRPr="00ED0CD7">
        <w:rPr>
          <w:lang w:val="ru-RU"/>
        </w:rPr>
        <w:t xml:space="preserve">Руководящих принципов </w:t>
      </w:r>
      <w:r w:rsidR="002E4E82" w:rsidRPr="00491F48">
        <w:rPr>
          <w:lang w:val="ru-RU"/>
        </w:rPr>
        <w:t xml:space="preserve">является </w:t>
      </w:r>
      <w:r w:rsidR="002E4E82">
        <w:rPr>
          <w:lang w:val="ru-RU"/>
        </w:rPr>
        <w:t xml:space="preserve">предоставление </w:t>
      </w:r>
      <w:r w:rsidR="0024637B">
        <w:rPr>
          <w:lang w:val="ru-RU"/>
        </w:rPr>
        <w:t xml:space="preserve">странам Центральной Азии </w:t>
      </w:r>
      <w:r w:rsidR="002E4E82">
        <w:rPr>
          <w:lang w:val="ru-RU"/>
        </w:rPr>
        <w:t xml:space="preserve">- принимая во внимание их субрегиональный и национальный контекст, а также национальное законодательство, -  инструмента для практического применения процедур </w:t>
      </w:r>
      <w:r w:rsidR="002E4E82" w:rsidRPr="00491F48">
        <w:rPr>
          <w:lang w:val="ru-RU"/>
        </w:rPr>
        <w:t xml:space="preserve">оценки воздействия на окружающую среду в трансграничном контексте </w:t>
      </w:r>
      <w:r w:rsidR="002E4E82">
        <w:rPr>
          <w:lang w:val="ru-RU"/>
        </w:rPr>
        <w:t xml:space="preserve">в соответствии с Конвенцией. </w:t>
      </w:r>
      <w:r>
        <w:rPr>
          <w:lang w:val="ru-RU"/>
        </w:rPr>
        <w:t xml:space="preserve">Документ может </w:t>
      </w:r>
      <w:r w:rsidR="0024637B">
        <w:rPr>
          <w:lang w:val="ru-RU"/>
        </w:rPr>
        <w:t xml:space="preserve">стать </w:t>
      </w:r>
      <w:r w:rsidR="00CE7F46">
        <w:rPr>
          <w:lang w:val="ru-RU"/>
        </w:rPr>
        <w:t xml:space="preserve">ценным ресурсным материалом </w:t>
      </w:r>
      <w:r>
        <w:rPr>
          <w:lang w:val="ru-RU"/>
        </w:rPr>
        <w:t xml:space="preserve">для стран Центральной Азии </w:t>
      </w:r>
      <w:r w:rsidR="00CE7F46">
        <w:rPr>
          <w:lang w:val="ru-RU"/>
        </w:rPr>
        <w:t>при</w:t>
      </w:r>
      <w:r>
        <w:rPr>
          <w:lang w:val="ru-RU"/>
        </w:rPr>
        <w:t xml:space="preserve"> </w:t>
      </w:r>
      <w:r w:rsidR="00CE7F46">
        <w:rPr>
          <w:lang w:val="ru-RU"/>
        </w:rPr>
        <w:t>разработке</w:t>
      </w:r>
      <w:r>
        <w:rPr>
          <w:lang w:val="ru-RU"/>
        </w:rPr>
        <w:t xml:space="preserve"> национальных правовых систем в соответствии с положениями Конвенции. Кроме ссылок на положения Конвенции</w:t>
      </w:r>
      <w:r w:rsidR="0024637B">
        <w:rPr>
          <w:lang w:val="ru-RU"/>
        </w:rPr>
        <w:t>,</w:t>
      </w:r>
      <w:r>
        <w:rPr>
          <w:lang w:val="ru-RU"/>
        </w:rPr>
        <w:t xml:space="preserve"> настоящие Пересмотренные Руководящие принципы содержат дополнительные практические рекомендации по </w:t>
      </w:r>
      <w:r w:rsidR="00CE7F46">
        <w:rPr>
          <w:lang w:val="ru-RU"/>
        </w:rPr>
        <w:t xml:space="preserve">преодолению </w:t>
      </w:r>
      <w:r>
        <w:rPr>
          <w:lang w:val="ru-RU"/>
        </w:rPr>
        <w:t xml:space="preserve">текущих сложностей, включая </w:t>
      </w:r>
      <w:r w:rsidR="00673E70">
        <w:rPr>
          <w:lang w:val="ru-RU"/>
        </w:rPr>
        <w:t xml:space="preserve">связанных с </w:t>
      </w:r>
      <w:r w:rsidR="00DD6F1D">
        <w:rPr>
          <w:lang w:val="ru-RU"/>
        </w:rPr>
        <w:t>согласовани</w:t>
      </w:r>
      <w:r w:rsidR="00673E70">
        <w:rPr>
          <w:lang w:val="ru-RU"/>
        </w:rPr>
        <w:t>ем</w:t>
      </w:r>
      <w:r w:rsidR="00DD6F1D">
        <w:rPr>
          <w:lang w:val="ru-RU"/>
        </w:rPr>
        <w:t xml:space="preserve"> национальных и трансграничных процедур оценки воздействия на окружающую среду</w:t>
      </w:r>
      <w:r w:rsidR="00673E70">
        <w:rPr>
          <w:lang w:val="ru-RU"/>
        </w:rPr>
        <w:t xml:space="preserve">. Они также </w:t>
      </w:r>
      <w:r w:rsidR="00DD6F1D">
        <w:rPr>
          <w:lang w:val="ru-RU"/>
        </w:rPr>
        <w:t>принима</w:t>
      </w:r>
      <w:r w:rsidR="00673E70">
        <w:rPr>
          <w:lang w:val="ru-RU"/>
        </w:rPr>
        <w:t>ют</w:t>
      </w:r>
      <w:r w:rsidR="00DD6F1D">
        <w:rPr>
          <w:lang w:val="ru-RU"/>
        </w:rPr>
        <w:t xml:space="preserve"> во внимание особенности действующ</w:t>
      </w:r>
      <w:r w:rsidR="00673E70">
        <w:rPr>
          <w:lang w:val="ru-RU"/>
        </w:rPr>
        <w:t xml:space="preserve">их в Центральной Азии </w:t>
      </w:r>
      <w:r w:rsidR="00DD6F1D">
        <w:rPr>
          <w:lang w:val="ru-RU"/>
        </w:rPr>
        <w:t xml:space="preserve">национальной </w:t>
      </w:r>
      <w:r w:rsidR="00673E70">
        <w:rPr>
          <w:lang w:val="ru-RU"/>
        </w:rPr>
        <w:t xml:space="preserve">процедур по </w:t>
      </w:r>
      <w:r w:rsidR="00DD6F1D">
        <w:rPr>
          <w:lang w:val="ru-RU"/>
        </w:rPr>
        <w:t>оценк</w:t>
      </w:r>
      <w:r w:rsidR="00673E70">
        <w:rPr>
          <w:lang w:val="ru-RU"/>
        </w:rPr>
        <w:t>е воздействия на окружающую среду</w:t>
      </w:r>
      <w:r w:rsidR="00DD6F1D">
        <w:rPr>
          <w:lang w:val="ru-RU"/>
        </w:rPr>
        <w:t xml:space="preserve"> и разрешительных процедур</w:t>
      </w:r>
      <w:r w:rsidR="00673E70">
        <w:rPr>
          <w:lang w:val="ru-RU"/>
        </w:rPr>
        <w:t>, н</w:t>
      </w:r>
      <w:r w:rsidR="00DD6F1D">
        <w:rPr>
          <w:lang w:val="ru-RU"/>
        </w:rPr>
        <w:t>апример</w:t>
      </w:r>
      <w:r w:rsidR="0024637B">
        <w:rPr>
          <w:lang w:val="ru-RU"/>
        </w:rPr>
        <w:t xml:space="preserve"> таких</w:t>
      </w:r>
      <w:r w:rsidR="00DD6F1D">
        <w:rPr>
          <w:lang w:val="ru-RU"/>
        </w:rPr>
        <w:t xml:space="preserve">, </w:t>
      </w:r>
      <w:r w:rsidR="0024637B">
        <w:rPr>
          <w:lang w:val="ru-RU"/>
        </w:rPr>
        <w:t xml:space="preserve">как </w:t>
      </w:r>
      <w:r w:rsidR="007D64F2">
        <w:rPr>
          <w:lang w:val="ru-RU"/>
        </w:rPr>
        <w:t xml:space="preserve">процедура </w:t>
      </w:r>
      <w:r w:rsidR="007D64F2" w:rsidRPr="00933D81">
        <w:rPr>
          <w:lang w:val="ru-RU"/>
        </w:rPr>
        <w:t xml:space="preserve">выдачи </w:t>
      </w:r>
      <w:r w:rsidR="00DD6F1D" w:rsidRPr="00933D81">
        <w:rPr>
          <w:lang w:val="ru-RU"/>
        </w:rPr>
        <w:t>разрешени</w:t>
      </w:r>
      <w:r w:rsidR="007D64F2" w:rsidRPr="00933D81">
        <w:rPr>
          <w:lang w:val="ru-RU"/>
        </w:rPr>
        <w:t>я</w:t>
      </w:r>
      <w:r w:rsidR="00DD6F1D" w:rsidRPr="00933D81">
        <w:rPr>
          <w:lang w:val="ru-RU"/>
        </w:rPr>
        <w:t xml:space="preserve"> на строительство.</w:t>
      </w:r>
    </w:p>
    <w:p w14:paraId="5D63F0CC" w14:textId="6BA74E6D" w:rsidR="002E4E82" w:rsidRDefault="00DD6F1D" w:rsidP="002E4E82">
      <w:pPr>
        <w:pStyle w:val="SingleTxtG"/>
        <w:rPr>
          <w:lang w:val="ru-RU"/>
        </w:rPr>
      </w:pPr>
      <w:r>
        <w:rPr>
          <w:lang w:val="ru-RU"/>
        </w:rPr>
        <w:t>17</w:t>
      </w:r>
      <w:r w:rsidRPr="00985B3F">
        <w:rPr>
          <w:lang w:val="ru-RU"/>
        </w:rPr>
        <w:t>.</w:t>
      </w:r>
      <w:r w:rsidRPr="00985B3F">
        <w:rPr>
          <w:lang w:val="ru-RU"/>
        </w:rPr>
        <w:tab/>
      </w:r>
      <w:r w:rsidR="002E4E82">
        <w:rPr>
          <w:lang w:val="ru-RU"/>
        </w:rPr>
        <w:t xml:space="preserve">Более того, в процессе подготовки </w:t>
      </w:r>
      <w:r>
        <w:rPr>
          <w:lang w:val="ru-RU"/>
        </w:rPr>
        <w:t xml:space="preserve">Пересмотренных Руководящих принципов </w:t>
      </w:r>
      <w:r w:rsidR="002E4E82">
        <w:rPr>
          <w:lang w:val="ru-RU"/>
        </w:rPr>
        <w:t xml:space="preserve">страны имели возможность </w:t>
      </w:r>
      <w:r w:rsidR="002E4E82" w:rsidRPr="00166AD3">
        <w:rPr>
          <w:lang w:val="ru-RU"/>
        </w:rPr>
        <w:t>собраться</w:t>
      </w:r>
      <w:r w:rsidR="002E4E82">
        <w:rPr>
          <w:lang w:val="ru-RU"/>
        </w:rPr>
        <w:t xml:space="preserve"> вместе, что способствовало налаживанию диалога и развитию общего понимания в отношении процедур проведения трансграничной оценки воздействия на окружающую среду</w:t>
      </w:r>
      <w:r w:rsidR="002E4E82" w:rsidRPr="00BA154B">
        <w:rPr>
          <w:lang w:val="ru-RU"/>
        </w:rPr>
        <w:t xml:space="preserve"> </w:t>
      </w:r>
      <w:r w:rsidR="002E4E82">
        <w:rPr>
          <w:lang w:val="ru-RU"/>
        </w:rPr>
        <w:t>на субрегиональном уровне.</w:t>
      </w:r>
      <w:r w:rsidR="002E4E82" w:rsidRPr="00491F48">
        <w:rPr>
          <w:lang w:val="ru-RU"/>
        </w:rPr>
        <w:t xml:space="preserve"> </w:t>
      </w:r>
    </w:p>
    <w:p w14:paraId="5E19973A" w14:textId="77777777" w:rsidR="002E4E82" w:rsidRPr="00340D85" w:rsidRDefault="002E4E82" w:rsidP="00F82727">
      <w:pPr>
        <w:pStyle w:val="H1G"/>
        <w:rPr>
          <w:lang w:val="ru-RU"/>
        </w:rPr>
      </w:pPr>
      <w:r w:rsidRPr="00340D85">
        <w:rPr>
          <w:lang w:val="ru-RU"/>
        </w:rPr>
        <w:tab/>
      </w:r>
      <w:r w:rsidR="00545921" w:rsidRPr="00340D85">
        <w:rPr>
          <w:lang w:val="ru-RU"/>
        </w:rPr>
        <w:t>В</w:t>
      </w:r>
      <w:r w:rsidRPr="00340D85">
        <w:rPr>
          <w:lang w:val="ru-RU"/>
        </w:rPr>
        <w:t>.</w:t>
      </w:r>
      <w:r w:rsidRPr="00340D85">
        <w:rPr>
          <w:lang w:val="ru-RU"/>
        </w:rPr>
        <w:tab/>
        <w:t xml:space="preserve">Целевая аудитория </w:t>
      </w:r>
    </w:p>
    <w:p w14:paraId="16CB7319" w14:textId="062ACE44" w:rsidR="002E4E82" w:rsidRPr="00CF22F1" w:rsidRDefault="00DD6F1D" w:rsidP="002E4E82">
      <w:pPr>
        <w:pStyle w:val="SingleTxtG"/>
        <w:rPr>
          <w:lang w:val="ru-RU"/>
        </w:rPr>
      </w:pPr>
      <w:r>
        <w:rPr>
          <w:lang w:val="ru-RU"/>
        </w:rPr>
        <w:t>18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>
        <w:rPr>
          <w:lang w:val="ru-RU"/>
        </w:rPr>
        <w:t xml:space="preserve">Пересмотренные </w:t>
      </w:r>
      <w:r w:rsidR="002E4E82">
        <w:rPr>
          <w:lang w:val="ru-RU"/>
        </w:rPr>
        <w:t xml:space="preserve">Руководящие принципы предназначены </w:t>
      </w:r>
      <w:r w:rsidR="002E4E82" w:rsidRPr="00491F48">
        <w:rPr>
          <w:lang w:val="ru-RU"/>
        </w:rPr>
        <w:t xml:space="preserve">для </w:t>
      </w:r>
      <w:r>
        <w:rPr>
          <w:lang w:val="ru-RU"/>
        </w:rPr>
        <w:t xml:space="preserve">государственных </w:t>
      </w:r>
      <w:r w:rsidR="002E4E82" w:rsidRPr="00491F48">
        <w:rPr>
          <w:lang w:val="ru-RU"/>
        </w:rPr>
        <w:t xml:space="preserve">органов и </w:t>
      </w:r>
      <w:r>
        <w:rPr>
          <w:lang w:val="ru-RU"/>
        </w:rPr>
        <w:t xml:space="preserve">должностных </w:t>
      </w:r>
      <w:r w:rsidR="002E4E82" w:rsidRPr="00491F48">
        <w:rPr>
          <w:lang w:val="ru-RU"/>
        </w:rPr>
        <w:t>лиц</w:t>
      </w:r>
      <w:r>
        <w:rPr>
          <w:lang w:val="ru-RU"/>
        </w:rPr>
        <w:t xml:space="preserve"> Центральной Азии</w:t>
      </w:r>
      <w:r w:rsidR="002E4E82" w:rsidRPr="00491F48">
        <w:rPr>
          <w:lang w:val="ru-RU"/>
        </w:rPr>
        <w:t xml:space="preserve">, ответственных за принятие </w:t>
      </w:r>
      <w:r w:rsidR="00230445" w:rsidRPr="00491F48">
        <w:rPr>
          <w:lang w:val="ru-RU"/>
        </w:rPr>
        <w:t>решени</w:t>
      </w:r>
      <w:r w:rsidR="00230445">
        <w:rPr>
          <w:lang w:val="ru-RU"/>
        </w:rPr>
        <w:t>й</w:t>
      </w:r>
      <w:r w:rsidR="00230445" w:rsidRPr="00491F48">
        <w:rPr>
          <w:lang w:val="ru-RU"/>
        </w:rPr>
        <w:t xml:space="preserve"> </w:t>
      </w:r>
      <w:r w:rsidR="002E4E82" w:rsidRPr="00491F48">
        <w:rPr>
          <w:lang w:val="ru-RU"/>
        </w:rPr>
        <w:t>в отношении планируемой деятельности</w:t>
      </w:r>
      <w:r>
        <w:rPr>
          <w:lang w:val="ru-RU"/>
        </w:rPr>
        <w:t>;</w:t>
      </w:r>
      <w:r w:rsidRPr="00491F48">
        <w:rPr>
          <w:lang w:val="ru-RU"/>
        </w:rPr>
        <w:t xml:space="preserve"> </w:t>
      </w:r>
      <w:r w:rsidR="009D4CEE">
        <w:rPr>
          <w:lang w:val="ru-RU"/>
        </w:rPr>
        <w:t xml:space="preserve">для </w:t>
      </w:r>
      <w:r w:rsidR="002E4E82" w:rsidRPr="00491F48">
        <w:rPr>
          <w:lang w:val="ru-RU"/>
        </w:rPr>
        <w:t xml:space="preserve">компетентных органов в области </w:t>
      </w:r>
      <w:r>
        <w:rPr>
          <w:lang w:val="ru-RU"/>
        </w:rPr>
        <w:t>оценки воздействия на окружающую среду</w:t>
      </w:r>
      <w:r w:rsidRPr="00491F48">
        <w:rPr>
          <w:lang w:val="ru-RU"/>
        </w:rPr>
        <w:t xml:space="preserve"> </w:t>
      </w:r>
      <w:r w:rsidR="002E4E82" w:rsidRPr="00491F48">
        <w:rPr>
          <w:lang w:val="ru-RU"/>
        </w:rPr>
        <w:t>в трансграничном контексте</w:t>
      </w:r>
      <w:r w:rsidR="002E4E82">
        <w:rPr>
          <w:lang w:val="ru-RU"/>
        </w:rPr>
        <w:t xml:space="preserve"> в странах Центральной Азии</w:t>
      </w:r>
      <w:r w:rsidR="002E1C3C">
        <w:rPr>
          <w:lang w:val="ru-RU"/>
        </w:rPr>
        <w:t>, а также в соседних странах;</w:t>
      </w:r>
      <w:r w:rsidR="002E1C3C" w:rsidRPr="00491F48">
        <w:rPr>
          <w:lang w:val="ru-RU"/>
        </w:rPr>
        <w:t xml:space="preserve"> </w:t>
      </w:r>
      <w:r w:rsidR="002E4E82" w:rsidRPr="00491F48">
        <w:rPr>
          <w:lang w:val="ru-RU"/>
        </w:rPr>
        <w:t>для инициаторов хозяйственной деятельности</w:t>
      </w:r>
      <w:r w:rsidR="002E4E82">
        <w:rPr>
          <w:lang w:val="ru-RU"/>
        </w:rPr>
        <w:t xml:space="preserve"> на национальном уровне</w:t>
      </w:r>
      <w:r w:rsidR="009D4CEE">
        <w:rPr>
          <w:lang w:val="ru-RU"/>
        </w:rPr>
        <w:t>;</w:t>
      </w:r>
      <w:r w:rsidR="009D4CEE" w:rsidRPr="00491F48">
        <w:rPr>
          <w:lang w:val="ru-RU"/>
        </w:rPr>
        <w:t xml:space="preserve"> </w:t>
      </w:r>
      <w:r w:rsidR="009D4CEE">
        <w:rPr>
          <w:lang w:val="ru-RU"/>
        </w:rPr>
        <w:t xml:space="preserve">для </w:t>
      </w:r>
      <w:r w:rsidR="002E4E82">
        <w:rPr>
          <w:lang w:val="ru-RU"/>
        </w:rPr>
        <w:t xml:space="preserve">подрядчиков - </w:t>
      </w:r>
      <w:r w:rsidR="002E4E82" w:rsidRPr="00491F48">
        <w:rPr>
          <w:lang w:val="ru-RU"/>
        </w:rPr>
        <w:t xml:space="preserve">исполнителей </w:t>
      </w:r>
      <w:r w:rsidR="009D4CEE">
        <w:rPr>
          <w:lang w:val="ru-RU"/>
        </w:rPr>
        <w:t>проведения оценки воздействия на окружающую среду</w:t>
      </w:r>
      <w:r w:rsidR="002E4E82" w:rsidRPr="00491F48">
        <w:rPr>
          <w:lang w:val="ru-RU"/>
        </w:rPr>
        <w:t xml:space="preserve"> и общественных организаций, участвующих в проведении </w:t>
      </w:r>
      <w:r w:rsidR="009D4CEE">
        <w:rPr>
          <w:lang w:val="ru-RU"/>
        </w:rPr>
        <w:t xml:space="preserve">процедур </w:t>
      </w:r>
      <w:r w:rsidR="009D4CEE" w:rsidRPr="00491F48">
        <w:rPr>
          <w:lang w:val="ru-RU"/>
        </w:rPr>
        <w:t>оцен</w:t>
      </w:r>
      <w:r w:rsidR="009D4CEE">
        <w:rPr>
          <w:lang w:val="ru-RU"/>
        </w:rPr>
        <w:t>ки</w:t>
      </w:r>
      <w:r w:rsidR="009D4CEE" w:rsidRPr="00491F48">
        <w:rPr>
          <w:lang w:val="ru-RU"/>
        </w:rPr>
        <w:t xml:space="preserve"> </w:t>
      </w:r>
      <w:r w:rsidR="002E4E82" w:rsidRPr="00491F48">
        <w:rPr>
          <w:lang w:val="ru-RU"/>
        </w:rPr>
        <w:t>воздействия на окружающую среду на национальном и трансграничном уровнях</w:t>
      </w:r>
      <w:r w:rsidR="009D4CEE">
        <w:rPr>
          <w:lang w:val="ru-RU"/>
        </w:rPr>
        <w:t xml:space="preserve"> в центральноазиатском субрегионе</w:t>
      </w:r>
      <w:r w:rsidR="002E4E82" w:rsidRPr="00491F48">
        <w:rPr>
          <w:lang w:val="ru-RU"/>
        </w:rPr>
        <w:t>.</w:t>
      </w:r>
    </w:p>
    <w:p w14:paraId="160B568F" w14:textId="4AE36F71" w:rsidR="002E4E82" w:rsidRPr="00340D85" w:rsidRDefault="002E4E82" w:rsidP="000C157E">
      <w:pPr>
        <w:pStyle w:val="H1G"/>
        <w:rPr>
          <w:lang w:val="ru-RU"/>
        </w:rPr>
      </w:pPr>
      <w:r w:rsidRPr="00340D85">
        <w:rPr>
          <w:lang w:val="ru-RU"/>
        </w:rPr>
        <w:tab/>
      </w:r>
      <w:r w:rsidR="00545921" w:rsidRPr="00340D85">
        <w:rPr>
          <w:lang w:val="ru-RU"/>
        </w:rPr>
        <w:t>Г</w:t>
      </w:r>
      <w:r w:rsidRPr="00340D85">
        <w:rPr>
          <w:lang w:val="ru-RU"/>
        </w:rPr>
        <w:t>.</w:t>
      </w:r>
      <w:r w:rsidRPr="00340D85">
        <w:rPr>
          <w:lang w:val="ru-RU"/>
        </w:rPr>
        <w:tab/>
        <w:t xml:space="preserve"> </w:t>
      </w:r>
      <w:bookmarkStart w:id="7" w:name="_Hlk509238233"/>
      <w:r w:rsidRPr="00340D85">
        <w:rPr>
          <w:lang w:val="ru-RU"/>
        </w:rPr>
        <w:t>Правовые источники</w:t>
      </w:r>
      <w:r w:rsidR="00DF123E" w:rsidRPr="00340D85">
        <w:rPr>
          <w:lang w:val="ru-RU"/>
        </w:rPr>
        <w:t xml:space="preserve"> </w:t>
      </w:r>
      <w:r w:rsidR="009D4CEE">
        <w:rPr>
          <w:lang w:val="ru-RU"/>
        </w:rPr>
        <w:t>Пересмотренных</w:t>
      </w:r>
      <w:r w:rsidR="009D4CEE" w:rsidRPr="00340D85">
        <w:rPr>
          <w:lang w:val="ru-RU"/>
        </w:rPr>
        <w:t xml:space="preserve"> </w:t>
      </w:r>
      <w:r w:rsidRPr="00340D85">
        <w:rPr>
          <w:lang w:val="ru-RU"/>
        </w:rPr>
        <w:t>Руководящих принципов</w:t>
      </w:r>
      <w:bookmarkEnd w:id="7"/>
    </w:p>
    <w:p w14:paraId="4C046292" w14:textId="1ED55BAF" w:rsidR="002E4E82" w:rsidRPr="0045328C" w:rsidRDefault="009D4CEE" w:rsidP="002E4E82">
      <w:pPr>
        <w:pStyle w:val="SingleTxtG"/>
        <w:rPr>
          <w:lang w:val="ru-RU"/>
        </w:rPr>
      </w:pPr>
      <w:r>
        <w:rPr>
          <w:lang w:val="ru-RU"/>
        </w:rPr>
        <w:t>19</w:t>
      </w:r>
      <w:r w:rsidR="006848D9">
        <w:rPr>
          <w:lang w:val="ru-RU"/>
        </w:rPr>
        <w:t>.</w:t>
      </w:r>
      <w:r w:rsidR="002E4E82" w:rsidRPr="0045328C">
        <w:rPr>
          <w:lang w:val="ru-RU"/>
        </w:rPr>
        <w:tab/>
      </w:r>
      <w:r>
        <w:rPr>
          <w:lang w:val="ru-RU"/>
        </w:rPr>
        <w:t>Пересмотренные</w:t>
      </w:r>
      <w:r w:rsidR="002E4E82" w:rsidRPr="0045328C">
        <w:rPr>
          <w:lang w:val="ru-RU"/>
        </w:rPr>
        <w:t xml:space="preserve"> Руководящие принципы отражают и основываются на национальном природоохранном законодательстве стран субрегиона, а также международных договорах и соглашениях, сторонами которых являются некоторые страны Ц</w:t>
      </w:r>
      <w:r w:rsidR="002E4E82">
        <w:rPr>
          <w:lang w:val="ru-RU"/>
        </w:rPr>
        <w:t>ентральной Азии</w:t>
      </w:r>
      <w:r w:rsidR="00AA51F6">
        <w:rPr>
          <w:lang w:val="ru-RU"/>
        </w:rPr>
        <w:t xml:space="preserve">, </w:t>
      </w:r>
      <w:r w:rsidR="002E4E82" w:rsidRPr="0045328C">
        <w:rPr>
          <w:lang w:val="ru-RU"/>
        </w:rPr>
        <w:t>главным образом</w:t>
      </w:r>
      <w:r w:rsidR="00AA51F6">
        <w:rPr>
          <w:lang w:val="ru-RU"/>
        </w:rPr>
        <w:t>,</w:t>
      </w:r>
      <w:r w:rsidR="002E4E82" w:rsidRPr="0045328C">
        <w:rPr>
          <w:lang w:val="ru-RU"/>
        </w:rPr>
        <w:t xml:space="preserve"> Конвенции </w:t>
      </w:r>
      <w:r w:rsidR="002E4E82">
        <w:rPr>
          <w:lang w:val="ru-RU"/>
        </w:rPr>
        <w:t>Эспо</w:t>
      </w:r>
      <w:r w:rsidR="00AA51F6">
        <w:rPr>
          <w:lang w:val="ru-RU"/>
        </w:rPr>
        <w:t>,</w:t>
      </w:r>
      <w:r w:rsidR="002E4E82">
        <w:rPr>
          <w:lang w:val="ru-RU"/>
        </w:rPr>
        <w:t xml:space="preserve"> и соответствующих положениях</w:t>
      </w:r>
      <w:r w:rsidR="002E4E82" w:rsidRPr="0045328C">
        <w:rPr>
          <w:lang w:val="ru-RU"/>
        </w:rPr>
        <w:t xml:space="preserve"> Орхусской конвенции</w:t>
      </w:r>
      <w:r w:rsidR="00AA51F6">
        <w:rPr>
          <w:lang w:val="ru-RU"/>
        </w:rPr>
        <w:t>, сторонами которой являются Казахстан, Кыргызстан, Таджикистан и Туркменистан</w:t>
      </w:r>
      <w:r w:rsidR="002E4E82" w:rsidRPr="0045328C">
        <w:rPr>
          <w:lang w:val="ru-RU"/>
        </w:rPr>
        <w:t xml:space="preserve">. </w:t>
      </w:r>
      <w:r w:rsidR="00AA51F6">
        <w:rPr>
          <w:lang w:val="ru-RU"/>
        </w:rPr>
        <w:t xml:space="preserve">Пересмотренные </w:t>
      </w:r>
      <w:r w:rsidR="002E4E82" w:rsidRPr="0045328C">
        <w:rPr>
          <w:lang w:val="ru-RU"/>
        </w:rPr>
        <w:t>Руководящие принципы отражают общие особенности института оценки воздействия на окружающую среду в странах Ц</w:t>
      </w:r>
      <w:r w:rsidR="002E4E82">
        <w:rPr>
          <w:lang w:val="ru-RU"/>
        </w:rPr>
        <w:t>ентральной Азии</w:t>
      </w:r>
      <w:r w:rsidR="002E4E82" w:rsidRPr="0045328C">
        <w:rPr>
          <w:lang w:val="ru-RU"/>
        </w:rPr>
        <w:t>, интегрирующего оценку воздействия на окружающую среду</w:t>
      </w:r>
      <w:r w:rsidR="002E4E82" w:rsidRPr="006808C1">
        <w:rPr>
          <w:lang w:val="ru-RU"/>
        </w:rPr>
        <w:t xml:space="preserve"> </w:t>
      </w:r>
      <w:r w:rsidR="002E4E82" w:rsidRPr="0045328C">
        <w:rPr>
          <w:lang w:val="ru-RU"/>
        </w:rPr>
        <w:t>(ОВОС)</w:t>
      </w:r>
      <w:r w:rsidR="009C04E3">
        <w:rPr>
          <w:rStyle w:val="FootnoteReference"/>
          <w:lang w:val="ru-RU"/>
        </w:rPr>
        <w:footnoteReference w:id="8"/>
      </w:r>
      <w:r w:rsidR="002E4E82" w:rsidRPr="0045328C">
        <w:rPr>
          <w:lang w:val="ru-RU"/>
        </w:rPr>
        <w:t xml:space="preserve"> и государственную экологическую экспертизу (ГЭЭ)</w:t>
      </w:r>
      <w:r w:rsidR="002E4E82">
        <w:rPr>
          <w:lang w:val="ru-RU"/>
        </w:rPr>
        <w:t>.</w:t>
      </w:r>
      <w:r w:rsidR="00753378">
        <w:rPr>
          <w:rStyle w:val="FootnoteReference"/>
          <w:lang w:val="ru-RU"/>
        </w:rPr>
        <w:footnoteReference w:id="9"/>
      </w:r>
      <w:r w:rsidR="002E4E82" w:rsidRPr="0045328C">
        <w:rPr>
          <w:lang w:val="ru-RU"/>
        </w:rPr>
        <w:t xml:space="preserve"> </w:t>
      </w:r>
      <w:r w:rsidR="00AA51F6">
        <w:rPr>
          <w:lang w:val="ru-RU"/>
        </w:rPr>
        <w:t>Пересмотренные</w:t>
      </w:r>
      <w:r w:rsidR="00AA51F6" w:rsidRPr="0045328C">
        <w:rPr>
          <w:lang w:val="ru-RU"/>
        </w:rPr>
        <w:t xml:space="preserve"> </w:t>
      </w:r>
      <w:r w:rsidR="002E4E82" w:rsidRPr="0045328C">
        <w:rPr>
          <w:lang w:val="ru-RU"/>
        </w:rPr>
        <w:t xml:space="preserve">Руководящие принципы также учитывают тенденции и необходимость усовершенствования национальных правовых и институциональных механизмов проведения </w:t>
      </w:r>
      <w:r w:rsidR="00AA51F6">
        <w:rPr>
          <w:lang w:val="ru-RU"/>
        </w:rPr>
        <w:t xml:space="preserve">оценки воздействия на окружающую среду </w:t>
      </w:r>
      <w:r w:rsidR="002E4E82">
        <w:rPr>
          <w:lang w:val="ru-RU"/>
        </w:rPr>
        <w:t>в странах субрегиона</w:t>
      </w:r>
      <w:r w:rsidR="002E4E82" w:rsidRPr="0045328C">
        <w:rPr>
          <w:lang w:val="ru-RU"/>
        </w:rPr>
        <w:t>. Укрепление законодательных основ во всех странах Центральной Азии в соответствии с международными стандартами является</w:t>
      </w:r>
      <w:r w:rsidR="002E4E82">
        <w:rPr>
          <w:lang w:val="ru-RU"/>
        </w:rPr>
        <w:t xml:space="preserve"> одной из ключевых</w:t>
      </w:r>
      <w:r w:rsidR="002E4E82" w:rsidRPr="0045328C">
        <w:rPr>
          <w:lang w:val="ru-RU"/>
        </w:rPr>
        <w:t xml:space="preserve"> </w:t>
      </w:r>
      <w:r w:rsidR="002E4E82">
        <w:rPr>
          <w:lang w:val="ru-RU"/>
        </w:rPr>
        <w:t>предпосылок</w:t>
      </w:r>
      <w:r w:rsidR="002E4E82" w:rsidRPr="0045328C">
        <w:rPr>
          <w:lang w:val="ru-RU"/>
        </w:rPr>
        <w:t xml:space="preserve"> эффективного применения трансграничной </w:t>
      </w:r>
      <w:r w:rsidR="00AA51F6">
        <w:rPr>
          <w:lang w:val="ru-RU"/>
        </w:rPr>
        <w:t>оценки воздействия на окружающую среду</w:t>
      </w:r>
      <w:r w:rsidR="002E4E82" w:rsidRPr="0045328C">
        <w:rPr>
          <w:lang w:val="ru-RU"/>
        </w:rPr>
        <w:t xml:space="preserve"> в регионе. </w:t>
      </w:r>
    </w:p>
    <w:p w14:paraId="5F4664D6" w14:textId="0E4CC16B" w:rsidR="002E4E82" w:rsidRPr="00340D85" w:rsidRDefault="008B228D" w:rsidP="008B228D">
      <w:pPr>
        <w:pStyle w:val="H1G"/>
        <w:rPr>
          <w:sz w:val="28"/>
          <w:lang w:val="ru-RU"/>
        </w:rPr>
      </w:pPr>
      <w:bookmarkStart w:id="8" w:name="_Toc507852127"/>
      <w:r w:rsidRPr="00340D85">
        <w:rPr>
          <w:lang w:val="ru-RU"/>
        </w:rPr>
        <w:tab/>
      </w:r>
      <w:r w:rsidR="00545921" w:rsidRPr="00340D85">
        <w:rPr>
          <w:lang w:val="ru-RU"/>
        </w:rPr>
        <w:t>Д</w:t>
      </w:r>
      <w:r w:rsidR="002E4E82" w:rsidRPr="00340D85">
        <w:rPr>
          <w:lang w:val="ru-RU"/>
        </w:rPr>
        <w:t>.</w:t>
      </w:r>
      <w:r w:rsidR="002E4E82" w:rsidRPr="00340D85">
        <w:rPr>
          <w:lang w:val="ru-RU"/>
        </w:rPr>
        <w:tab/>
        <w:t xml:space="preserve">Структура и содержание </w:t>
      </w:r>
      <w:r w:rsidR="00EF4247">
        <w:rPr>
          <w:lang w:val="ru-RU"/>
        </w:rPr>
        <w:t xml:space="preserve">Пересмотренных </w:t>
      </w:r>
      <w:r w:rsidR="002E4E82" w:rsidRPr="00340D85">
        <w:rPr>
          <w:lang w:val="ru-RU"/>
        </w:rPr>
        <w:t>Руководящих принципов</w:t>
      </w:r>
      <w:bookmarkEnd w:id="8"/>
    </w:p>
    <w:p w14:paraId="2A9751DE" w14:textId="6962DC48" w:rsidR="002E4E82" w:rsidRDefault="00471F89" w:rsidP="002E4E82">
      <w:pPr>
        <w:pStyle w:val="SingleTxtG"/>
        <w:rPr>
          <w:lang w:val="ru-RU"/>
        </w:rPr>
      </w:pPr>
      <w:r w:rsidRPr="00FC0EE6">
        <w:rPr>
          <w:lang w:val="ru-RU"/>
        </w:rPr>
        <w:t>20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 w:rsidR="00BA54AC">
        <w:rPr>
          <w:lang w:val="ru-RU"/>
        </w:rPr>
        <w:t xml:space="preserve">Пересмотренные </w:t>
      </w:r>
      <w:r w:rsidR="002E4E82">
        <w:rPr>
          <w:lang w:val="ru-RU"/>
        </w:rPr>
        <w:t xml:space="preserve">Руководящие принципы отличаются </w:t>
      </w:r>
      <w:r w:rsidR="00BA54AC">
        <w:rPr>
          <w:lang w:val="ru-RU"/>
        </w:rPr>
        <w:t xml:space="preserve">от редакции 2007 года </w:t>
      </w:r>
      <w:r w:rsidR="002E4E82">
        <w:rPr>
          <w:lang w:val="ru-RU"/>
        </w:rPr>
        <w:t xml:space="preserve">как по структуре, так и по содержанию. Они содержат общие </w:t>
      </w:r>
      <w:r w:rsidR="00BA54AC">
        <w:rPr>
          <w:lang w:val="ru-RU"/>
        </w:rPr>
        <w:t xml:space="preserve">(глава </w:t>
      </w:r>
      <w:r w:rsidR="00BA54AC">
        <w:rPr>
          <w:lang w:val="en-US"/>
        </w:rPr>
        <w:t>I</w:t>
      </w:r>
      <w:r w:rsidR="00BA54AC">
        <w:rPr>
          <w:lang w:val="ru-RU"/>
        </w:rPr>
        <w:t xml:space="preserve">) </w:t>
      </w:r>
      <w:r w:rsidR="002E4E82">
        <w:rPr>
          <w:lang w:val="ru-RU"/>
        </w:rPr>
        <w:t xml:space="preserve">и специальные </w:t>
      </w:r>
      <w:r w:rsidR="00BA54AC" w:rsidRPr="00FC0EE6">
        <w:rPr>
          <w:lang w:val="ru-RU"/>
        </w:rPr>
        <w:t>(</w:t>
      </w:r>
      <w:r w:rsidR="00BA54AC">
        <w:rPr>
          <w:lang w:val="ru-RU"/>
        </w:rPr>
        <w:t xml:space="preserve">глава </w:t>
      </w:r>
      <w:r w:rsidR="00BA54AC">
        <w:rPr>
          <w:lang w:val="en-US"/>
        </w:rPr>
        <w:t>II</w:t>
      </w:r>
      <w:r w:rsidR="00BA54AC">
        <w:rPr>
          <w:lang w:val="ru-RU"/>
        </w:rPr>
        <w:t xml:space="preserve">) </w:t>
      </w:r>
      <w:r w:rsidR="002E4E82">
        <w:rPr>
          <w:lang w:val="ru-RU"/>
        </w:rPr>
        <w:t>рекомендации по проведению трансграничной оценки воздействия на окружающую среду в странах Центральной Азии, а также включают два приложения, содержащие «</w:t>
      </w:r>
      <w:r w:rsidR="00BA54AC">
        <w:rPr>
          <w:lang w:val="ru-RU"/>
        </w:rPr>
        <w:t>П</w:t>
      </w:r>
      <w:r w:rsidR="002E4E82" w:rsidRPr="00491F48">
        <w:rPr>
          <w:lang w:val="ru-RU"/>
        </w:rPr>
        <w:t xml:space="preserve">еречень видов деятельности, которые подлежат трансграничной </w:t>
      </w:r>
      <w:r w:rsidR="00BA54AC">
        <w:rPr>
          <w:lang w:val="ru-RU"/>
        </w:rPr>
        <w:t>оценке воздействия на окружающую среду</w:t>
      </w:r>
      <w:r w:rsidR="002E4E82" w:rsidRPr="00491F48">
        <w:rPr>
          <w:lang w:val="ru-RU"/>
        </w:rPr>
        <w:t>»</w:t>
      </w:r>
      <w:r w:rsidR="002E4E82">
        <w:rPr>
          <w:lang w:val="ru-RU"/>
        </w:rPr>
        <w:t xml:space="preserve"> (приложение </w:t>
      </w:r>
      <w:r w:rsidR="002E4E82" w:rsidRPr="00985B3F">
        <w:rPr>
          <w:lang w:val="ru-RU"/>
        </w:rPr>
        <w:t>I</w:t>
      </w:r>
      <w:r w:rsidR="002E4E82">
        <w:rPr>
          <w:lang w:val="ru-RU"/>
        </w:rPr>
        <w:t>) и «</w:t>
      </w:r>
      <w:r w:rsidR="002E4E82" w:rsidRPr="00491F48">
        <w:rPr>
          <w:lang w:val="ru-RU"/>
        </w:rPr>
        <w:t>Термины и определения»</w:t>
      </w:r>
      <w:r w:rsidR="002E4E82">
        <w:rPr>
          <w:lang w:val="ru-RU"/>
        </w:rPr>
        <w:t xml:space="preserve"> (приложение </w:t>
      </w:r>
      <w:r w:rsidR="002E4E82" w:rsidRPr="00985B3F">
        <w:rPr>
          <w:lang w:val="ru-RU"/>
        </w:rPr>
        <w:t>II</w:t>
      </w:r>
      <w:r w:rsidR="002E4E82">
        <w:rPr>
          <w:lang w:val="ru-RU"/>
        </w:rPr>
        <w:t xml:space="preserve">). Структура </w:t>
      </w:r>
      <w:r w:rsidR="00BA54AC">
        <w:rPr>
          <w:lang w:val="ru-RU"/>
        </w:rPr>
        <w:t xml:space="preserve">Пересмотренных </w:t>
      </w:r>
      <w:r w:rsidR="002E4E82">
        <w:rPr>
          <w:lang w:val="ru-RU"/>
        </w:rPr>
        <w:t xml:space="preserve">Руководящих принципов отражает </w:t>
      </w:r>
      <w:r w:rsidR="00BA54AC">
        <w:rPr>
          <w:lang w:val="ru-RU"/>
        </w:rPr>
        <w:t xml:space="preserve">этапы проведения </w:t>
      </w:r>
      <w:r w:rsidR="002E4E82">
        <w:rPr>
          <w:lang w:val="ru-RU"/>
        </w:rPr>
        <w:t xml:space="preserve">процедуры трансграничной </w:t>
      </w:r>
      <w:r w:rsidR="00BA54AC">
        <w:rPr>
          <w:lang w:val="ru-RU"/>
        </w:rPr>
        <w:t>оценки воздействия на окружающую среду в соответствии с</w:t>
      </w:r>
      <w:r w:rsidR="002E4E82">
        <w:rPr>
          <w:lang w:val="ru-RU"/>
        </w:rPr>
        <w:t xml:space="preserve"> требования</w:t>
      </w:r>
      <w:r w:rsidR="00BA54AC">
        <w:rPr>
          <w:lang w:val="ru-RU"/>
        </w:rPr>
        <w:t>ми</w:t>
      </w:r>
      <w:r w:rsidR="002E4E82">
        <w:rPr>
          <w:lang w:val="ru-RU"/>
        </w:rPr>
        <w:t xml:space="preserve"> Конвенции Эспо</w:t>
      </w:r>
      <w:r w:rsidR="00096289">
        <w:rPr>
          <w:lang w:val="ru-RU"/>
        </w:rPr>
        <w:t xml:space="preserve"> (см. схему ниже)</w:t>
      </w:r>
      <w:r w:rsidR="00BA54AC">
        <w:rPr>
          <w:lang w:val="ru-RU"/>
        </w:rPr>
        <w:t xml:space="preserve">, а также включает </w:t>
      </w:r>
      <w:r w:rsidR="00001512">
        <w:rPr>
          <w:lang w:val="ru-RU"/>
        </w:rPr>
        <w:t>рекомендации по надлежащей практике</w:t>
      </w:r>
      <w:r w:rsidR="00BA54AC">
        <w:rPr>
          <w:lang w:val="ru-RU"/>
        </w:rPr>
        <w:t xml:space="preserve"> применения Конвенции в условиях центральноазиатского региона</w:t>
      </w:r>
      <w:r w:rsidR="002E4E82">
        <w:rPr>
          <w:lang w:val="ru-RU"/>
        </w:rPr>
        <w:t>.</w:t>
      </w:r>
      <w:r w:rsidR="00096289">
        <w:rPr>
          <w:lang w:val="ru-RU"/>
        </w:rPr>
        <w:t xml:space="preserve"> </w:t>
      </w:r>
      <w:r w:rsidR="002E4E82">
        <w:rPr>
          <w:lang w:val="ru-RU"/>
        </w:rPr>
        <w:t xml:space="preserve"> </w:t>
      </w:r>
    </w:p>
    <w:p w14:paraId="0A2C6940" w14:textId="6ACD23D9" w:rsidR="002E4E82" w:rsidRDefault="00BA54AC" w:rsidP="002E4E82">
      <w:pPr>
        <w:pStyle w:val="SingleTxtG"/>
        <w:rPr>
          <w:lang w:val="ru-RU"/>
        </w:rPr>
      </w:pPr>
      <w:r>
        <w:rPr>
          <w:lang w:val="ru-RU"/>
        </w:rPr>
        <w:t>21</w:t>
      </w:r>
      <w:r w:rsidR="002E4E82" w:rsidRPr="00985B3F">
        <w:rPr>
          <w:lang w:val="ru-RU"/>
        </w:rPr>
        <w:t>.</w:t>
      </w:r>
      <w:r w:rsidR="002E4E82" w:rsidRPr="00985B3F">
        <w:rPr>
          <w:lang w:val="ru-RU"/>
        </w:rPr>
        <w:tab/>
      </w:r>
      <w:r>
        <w:rPr>
          <w:lang w:val="ru-RU"/>
        </w:rPr>
        <w:t>В соответствии с обращением стран Центральной Азии во время третьего субрегио</w:t>
      </w:r>
      <w:r w:rsidR="00001512">
        <w:rPr>
          <w:lang w:val="ru-RU"/>
        </w:rPr>
        <w:t xml:space="preserve">нального семинара, </w:t>
      </w:r>
      <w:r w:rsidR="00230445">
        <w:rPr>
          <w:lang w:val="ru-RU"/>
        </w:rPr>
        <w:t xml:space="preserve">а также </w:t>
      </w:r>
      <w:r w:rsidR="00001512">
        <w:rPr>
          <w:lang w:val="ru-RU"/>
        </w:rPr>
        <w:t xml:space="preserve">в зависимости от </w:t>
      </w:r>
      <w:r w:rsidR="00001512" w:rsidRPr="004A511A">
        <w:rPr>
          <w:lang w:val="ru-RU"/>
        </w:rPr>
        <w:t>имеющихся</w:t>
      </w:r>
      <w:r w:rsidR="00230445" w:rsidRPr="004A511A">
        <w:rPr>
          <w:lang w:val="ru-RU"/>
        </w:rPr>
        <w:t xml:space="preserve"> </w:t>
      </w:r>
      <w:r w:rsidR="00001512" w:rsidRPr="004A511A">
        <w:rPr>
          <w:lang w:val="ru-RU"/>
        </w:rPr>
        <w:t>ресурсов,</w:t>
      </w:r>
      <w:r w:rsidR="00001512">
        <w:rPr>
          <w:lang w:val="ru-RU"/>
        </w:rPr>
        <w:t xml:space="preserve"> Пересмотренные</w:t>
      </w:r>
      <w:r w:rsidR="00823631">
        <w:rPr>
          <w:lang w:val="ru-RU"/>
        </w:rPr>
        <w:t xml:space="preserve"> </w:t>
      </w:r>
      <w:r w:rsidR="002E4E82">
        <w:rPr>
          <w:lang w:val="ru-RU"/>
        </w:rPr>
        <w:t xml:space="preserve">Руководящие принципы будут </w:t>
      </w:r>
      <w:r w:rsidR="00001512">
        <w:rPr>
          <w:lang w:val="ru-RU"/>
        </w:rPr>
        <w:t xml:space="preserve">впоследствии </w:t>
      </w:r>
      <w:r w:rsidR="002E4E82">
        <w:rPr>
          <w:lang w:val="ru-RU"/>
        </w:rPr>
        <w:t>дополнены:</w:t>
      </w:r>
    </w:p>
    <w:p w14:paraId="64CE672F" w14:textId="55CE978F" w:rsidR="002E4E82" w:rsidRPr="00E17975" w:rsidRDefault="005F36D2" w:rsidP="002E4E82">
      <w:pPr>
        <w:pStyle w:val="SingleTxtG"/>
        <w:rPr>
          <w:lang w:val="ru-RU"/>
        </w:rPr>
      </w:pPr>
      <w:r>
        <w:rPr>
          <w:lang w:val="ru-RU"/>
        </w:rPr>
        <w:tab/>
      </w:r>
      <w:r w:rsidR="002E4E82" w:rsidRPr="00E17975">
        <w:rPr>
          <w:lang w:val="ru-RU"/>
        </w:rPr>
        <w:t xml:space="preserve">(а) рекомендациями для каждой страны по вопросам приведения национального законодательства в соответствие с Конвенцией, на основании обзоров законодательства, которые будут проведены в странах </w:t>
      </w:r>
      <w:r w:rsidR="00823631">
        <w:rPr>
          <w:lang w:val="ru-RU"/>
        </w:rPr>
        <w:t xml:space="preserve">Центральной Азии </w:t>
      </w:r>
      <w:r w:rsidR="002E4E82" w:rsidRPr="00E17975">
        <w:rPr>
          <w:lang w:val="ru-RU"/>
        </w:rPr>
        <w:t>при поддержке секретариата и при финансовой поддержке доноров, а также;</w:t>
      </w:r>
    </w:p>
    <w:p w14:paraId="5D5952FC" w14:textId="6287B763" w:rsidR="002E4E82" w:rsidRDefault="005F36D2" w:rsidP="002E4E82">
      <w:pPr>
        <w:pStyle w:val="SingleTxtG"/>
        <w:rPr>
          <w:lang w:val="ru-RU"/>
        </w:rPr>
      </w:pPr>
      <w:r>
        <w:rPr>
          <w:lang w:val="ru-RU"/>
        </w:rPr>
        <w:tab/>
      </w:r>
      <w:r w:rsidR="00F476B5">
        <w:rPr>
          <w:lang w:val="ru-RU"/>
        </w:rPr>
        <w:t>(б)</w:t>
      </w:r>
      <w:r w:rsidR="00F476B5">
        <w:rPr>
          <w:lang w:val="ru-RU"/>
        </w:rPr>
        <w:tab/>
      </w:r>
      <w:r w:rsidR="002E4E82">
        <w:rPr>
          <w:lang w:val="ru-RU"/>
        </w:rPr>
        <w:t>объяснительной запиской, предоставляю</w:t>
      </w:r>
      <w:r w:rsidR="002E4E82" w:rsidRPr="00063EB8">
        <w:rPr>
          <w:lang w:val="ru-RU"/>
        </w:rPr>
        <w:t>щей дополнительн</w:t>
      </w:r>
      <w:r w:rsidR="002E4E82">
        <w:rPr>
          <w:lang w:val="ru-RU"/>
        </w:rPr>
        <w:t xml:space="preserve">ые детали </w:t>
      </w:r>
      <w:r w:rsidR="002E4E82" w:rsidRPr="00063EB8">
        <w:rPr>
          <w:lang w:val="ru-RU"/>
        </w:rPr>
        <w:t xml:space="preserve">и, </w:t>
      </w:r>
      <w:r w:rsidR="002E4E82">
        <w:rPr>
          <w:lang w:val="ru-RU"/>
        </w:rPr>
        <w:t>по</w:t>
      </w:r>
      <w:r w:rsidR="002E4E82" w:rsidRPr="00063EB8">
        <w:rPr>
          <w:lang w:val="ru-RU"/>
        </w:rPr>
        <w:t xml:space="preserve"> возмож</w:t>
      </w:r>
      <w:r w:rsidR="002E4E82">
        <w:rPr>
          <w:lang w:val="ru-RU"/>
        </w:rPr>
        <w:t xml:space="preserve">ности, существующую практику выполнения </w:t>
      </w:r>
      <w:r w:rsidR="002E4E82" w:rsidRPr="00063EB8">
        <w:rPr>
          <w:lang w:val="ru-RU"/>
        </w:rPr>
        <w:t>конкретных статей Конвенции</w:t>
      </w:r>
      <w:r w:rsidR="00001512">
        <w:rPr>
          <w:lang w:val="ru-RU"/>
        </w:rPr>
        <w:t xml:space="preserve"> и/или </w:t>
      </w:r>
      <w:r w:rsidR="002E4E82">
        <w:rPr>
          <w:lang w:val="ru-RU"/>
        </w:rPr>
        <w:t xml:space="preserve">детальное </w:t>
      </w:r>
      <w:r w:rsidR="002E4E82" w:rsidRPr="007965FD">
        <w:rPr>
          <w:lang w:val="ru-RU"/>
        </w:rPr>
        <w:t xml:space="preserve">модельное </w:t>
      </w:r>
      <w:r w:rsidR="00340D85" w:rsidRPr="002C224B">
        <w:rPr>
          <w:lang w:val="ru-RU"/>
        </w:rPr>
        <w:t xml:space="preserve">двустороннее </w:t>
      </w:r>
      <w:r w:rsidR="002E4E82" w:rsidRPr="007965FD">
        <w:rPr>
          <w:lang w:val="ru-RU"/>
        </w:rPr>
        <w:t>соглашение</w:t>
      </w:r>
      <w:r w:rsidR="002E4E82">
        <w:rPr>
          <w:lang w:val="ru-RU"/>
        </w:rPr>
        <w:t xml:space="preserve"> для имплементации Конвенции Эспо.</w:t>
      </w:r>
    </w:p>
    <w:p w14:paraId="46D17061" w14:textId="737CBF7B" w:rsidR="0051286A" w:rsidRDefault="00001512" w:rsidP="002E4E82">
      <w:pPr>
        <w:pStyle w:val="SingleTxtG"/>
        <w:rPr>
          <w:lang w:val="ru-RU"/>
        </w:rPr>
      </w:pPr>
      <w:r>
        <w:rPr>
          <w:lang w:val="ru-RU"/>
        </w:rPr>
        <w:t>22</w:t>
      </w:r>
      <w:r w:rsidR="002E4E82" w:rsidRPr="0045328C">
        <w:rPr>
          <w:lang w:val="ru-RU"/>
        </w:rPr>
        <w:t>.</w:t>
      </w:r>
      <w:r w:rsidR="002E4E82" w:rsidRPr="0045328C">
        <w:rPr>
          <w:lang w:val="ru-RU"/>
        </w:rPr>
        <w:tab/>
      </w:r>
      <w:r w:rsidR="002E4E82">
        <w:rPr>
          <w:lang w:val="ru-RU"/>
        </w:rPr>
        <w:t xml:space="preserve">В целях </w:t>
      </w:r>
      <w:r w:rsidR="002E4E82" w:rsidRPr="00D57770">
        <w:rPr>
          <w:lang w:val="ru-RU"/>
        </w:rPr>
        <w:t xml:space="preserve">содействия практическому применению процедур трансграничной </w:t>
      </w:r>
      <w:r>
        <w:rPr>
          <w:lang w:val="ru-RU"/>
        </w:rPr>
        <w:t>оценки воздействия на окружающую среду</w:t>
      </w:r>
      <w:r w:rsidRPr="00D57770">
        <w:rPr>
          <w:lang w:val="ru-RU"/>
        </w:rPr>
        <w:t xml:space="preserve"> </w:t>
      </w:r>
      <w:r w:rsidR="002E4E82" w:rsidRPr="00D57770">
        <w:rPr>
          <w:lang w:val="ru-RU"/>
        </w:rPr>
        <w:t>в субрегионе, в частности</w:t>
      </w:r>
      <w:r w:rsidR="002E4E82">
        <w:rPr>
          <w:lang w:val="ru-RU"/>
        </w:rPr>
        <w:t>,</w:t>
      </w:r>
      <w:r w:rsidR="002E4E82" w:rsidRPr="00D57770">
        <w:rPr>
          <w:lang w:val="ru-RU"/>
        </w:rPr>
        <w:t xml:space="preserve"> в контексте инициативы </w:t>
      </w:r>
      <w:r w:rsidR="002E4E82">
        <w:rPr>
          <w:lang w:val="ru-RU"/>
        </w:rPr>
        <w:t>«О</w:t>
      </w:r>
      <w:r w:rsidR="002E4E82" w:rsidRPr="00D57770">
        <w:rPr>
          <w:lang w:val="ru-RU"/>
        </w:rPr>
        <w:t>дин пояс и один путь</w:t>
      </w:r>
      <w:r w:rsidR="002E4E82">
        <w:rPr>
          <w:lang w:val="ru-RU"/>
        </w:rPr>
        <w:t>»</w:t>
      </w:r>
      <w:r w:rsidR="002E4E82" w:rsidRPr="00D57770">
        <w:rPr>
          <w:lang w:val="ru-RU"/>
        </w:rPr>
        <w:t xml:space="preserve">, есть необходимость в продвижении среди лиц, принимающих решения во всех странах Центральной Азии, преимуществ, предоставляемых трансграничной </w:t>
      </w:r>
      <w:r>
        <w:rPr>
          <w:lang w:val="ru-RU"/>
        </w:rPr>
        <w:t>оценкой воздействия на окружающую среду</w:t>
      </w:r>
      <w:r w:rsidRPr="00D57770">
        <w:rPr>
          <w:lang w:val="ru-RU"/>
        </w:rPr>
        <w:t xml:space="preserve"> </w:t>
      </w:r>
      <w:r w:rsidR="002E4E82" w:rsidRPr="00D57770">
        <w:rPr>
          <w:lang w:val="ru-RU"/>
        </w:rPr>
        <w:t xml:space="preserve">как инструмента озеленения экономик и обеспечения экологически безопасных и устойчивых инвестиций. </w:t>
      </w:r>
      <w:r w:rsidR="002E4E82" w:rsidRPr="004A511A">
        <w:rPr>
          <w:lang w:val="ru-RU"/>
        </w:rPr>
        <w:t>Это может быть достигнуто, среди прочего, путем повышения информированности и укрепления потенциала, а также обмена практическими примерами эффективной имплементации Конвенции в других странах ЕЭК ООН.</w:t>
      </w:r>
    </w:p>
    <w:p w14:paraId="40EE15D9" w14:textId="77777777" w:rsidR="0051286A" w:rsidRDefault="0051286A">
      <w:pPr>
        <w:spacing w:line="240" w:lineRule="auto"/>
        <w:rPr>
          <w:spacing w:val="0"/>
          <w:w w:val="100"/>
          <w:kern w:val="0"/>
          <w:szCs w:val="20"/>
        </w:rPr>
      </w:pPr>
      <w:r>
        <w:br w:type="page"/>
      </w:r>
    </w:p>
    <w:p w14:paraId="0B923205" w14:textId="1C0BE338" w:rsidR="002E4E82" w:rsidRDefault="002E4E82" w:rsidP="002E4E82">
      <w:pPr>
        <w:pStyle w:val="SingleTxtG"/>
        <w:rPr>
          <w:lang w:val="ru-RU"/>
        </w:rPr>
      </w:pPr>
    </w:p>
    <w:p w14:paraId="18E879B7" w14:textId="06AA149D" w:rsidR="0051286A" w:rsidRDefault="00EE4EB6" w:rsidP="00FC0EE6">
      <w:pPr>
        <w:pStyle w:val="H1G"/>
        <w:spacing w:before="120" w:after="0"/>
        <w:ind w:right="-1"/>
        <w:rPr>
          <w:bCs/>
          <w:lang w:val="ru-RU"/>
        </w:rPr>
      </w:pPr>
      <w:r w:rsidRPr="00E03CB4">
        <w:rPr>
          <w:lang w:val="ru-RU"/>
        </w:rPr>
        <w:tab/>
      </w:r>
      <w:r w:rsidRPr="00FC0EE6">
        <w:rPr>
          <w:lang w:val="ru-RU"/>
        </w:rPr>
        <w:t xml:space="preserve">Общая схема проведения трансграничной оценки воздействия на </w:t>
      </w:r>
      <w:r w:rsidR="00001512">
        <w:rPr>
          <w:lang w:val="ru-RU"/>
        </w:rPr>
        <w:t>о</w:t>
      </w:r>
      <w:r w:rsidRPr="00FC0EE6">
        <w:rPr>
          <w:lang w:val="ru-RU"/>
        </w:rPr>
        <w:t>кружающую среду</w:t>
      </w:r>
    </w:p>
    <w:p w14:paraId="36DB4D6E" w14:textId="628013E4" w:rsidR="00742FCD" w:rsidRDefault="00765AD7" w:rsidP="00742FCD">
      <w:pPr>
        <w:pStyle w:val="SingleTxtG"/>
        <w:jc w:val="left"/>
        <w:rPr>
          <w:b/>
          <w:bCs/>
          <w:lang w:val="ru-RU"/>
        </w:rPr>
      </w:pPr>
      <w:r>
        <w:rPr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87F601" wp14:editId="2EE967B3">
                <wp:simplePos x="0" y="0"/>
                <wp:positionH relativeFrom="column">
                  <wp:posOffset>62171</wp:posOffset>
                </wp:positionH>
                <wp:positionV relativeFrom="paragraph">
                  <wp:posOffset>227047</wp:posOffset>
                </wp:positionV>
                <wp:extent cx="5361458" cy="5147815"/>
                <wp:effectExtent l="0" t="0" r="29845" b="1524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458" cy="5147815"/>
                          <a:chOff x="65837" y="0"/>
                          <a:chExt cx="5800149" cy="5488752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65837" y="0"/>
                            <a:ext cx="1654175" cy="4103966"/>
                            <a:chOff x="65837" y="0"/>
                            <a:chExt cx="1654175" cy="4103966"/>
                          </a:xfrm>
                        </wpg:grpSpPr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37" y="0"/>
                              <a:ext cx="1654175" cy="4103966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ECECE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63" y="233916"/>
                              <a:ext cx="1043940" cy="3258904"/>
                            </a:xfrm>
                            <a:prstGeom prst="rect">
                              <a:avLst/>
                            </a:prstGeom>
                            <a:noFill/>
                            <a:ln w="76200" cmpd="dbl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4DBE57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8BEE3D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B3F83CF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EB07A63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53E7CE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4F09A62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5F858D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4937E43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5FBCE9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DF180E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AA89A9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6FD130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B91281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907A033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99AD5A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9C33F4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18204D0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3FF6BFE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DEAD3D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1A8DF51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68BFE52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3A845BD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88351C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96A37A7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AE6029F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Участие общественности </w:t>
                                </w: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br/>
                                  <w:t>(Ст. 3.8, 2.6, 2.2, 4.2)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898" y="3636335"/>
                              <a:ext cx="1060450" cy="4114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EECADE" w14:textId="77777777" w:rsidR="004A511A" w:rsidRDefault="004A511A" w:rsidP="00742FCD">
                                <w:pPr>
                                  <w:widowControl w:val="0"/>
                                  <w:spacing w:line="20" w:lineRule="atLeas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Может выполняться один или несколько раз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4" name="Straight Arrow Connector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893" y="3519377"/>
                              <a:ext cx="0" cy="10477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138602" y="160934"/>
                            <a:ext cx="5727384" cy="5327818"/>
                            <a:chOff x="138602" y="160934"/>
                            <a:chExt cx="5727384" cy="5327818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3801970" y="160934"/>
                              <a:ext cx="2064016" cy="3623390"/>
                              <a:chOff x="3801970" y="160934"/>
                              <a:chExt cx="2064016" cy="3623390"/>
                            </a:xfrm>
                          </wpg:grpSpPr>
                          <wps:wsp>
                            <wps:cNvPr id="57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3513" y="160934"/>
                                <a:ext cx="173101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84F873" w14:textId="7583B0B3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Обращение затрагиваемой стороны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  <w:br/>
                                    <w:t>(Ст. 3.7)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8471" y="1053918"/>
                                <a:ext cx="1707515" cy="37225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7BC870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Применение процедуры прекращается в случае неучастия затрагиваемой стороны</w:t>
                                  </w:r>
                                </w:p>
                                <w:p w14:paraId="5CC550D2" w14:textId="581EB5D1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  <w:t>(Ст. 3.4)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9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7008" y="2539869"/>
                                <a:ext cx="1707515" cy="511876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dbl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957AB0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Возможность для затрагиваемой стороны </w:t>
                                  </w:r>
                                </w:p>
                                <w:p w14:paraId="1E907946" w14:textId="2D31F742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принять участие в определении сферы охвата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  <w:t xml:space="preserve"> (Ст. 2.11)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0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7008" y="3202121"/>
                                <a:ext cx="1707515" cy="582203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dbl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0D0C20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Предоставление документации по ОВОС</w:t>
                                  </w:r>
                                </w:p>
                                <w:p w14:paraId="1FD50DAD" w14:textId="70E75AC4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среди органов в районах, которые, по всей вероятности, будут подвергнуты воздействию для обсуждения и замечаний</w:t>
                                  </w:r>
                                </w:p>
                                <w:p w14:paraId="36970C68" w14:textId="76920F74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(Ст. 4.2)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1" name="Elbow Connector 21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3801970" y="244208"/>
                                <a:ext cx="321945" cy="5556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Straight Arrow Connector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4930" y="1244461"/>
                                <a:ext cx="34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Straight Arrow Connector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23912" y="2821112"/>
                                <a:ext cx="28321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Straight Arrow Connector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11369" y="3227613"/>
                                <a:ext cx="32214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138602" y="160934"/>
                              <a:ext cx="3676327" cy="5327818"/>
                              <a:chOff x="138602" y="160934"/>
                              <a:chExt cx="3676327" cy="5327818"/>
                            </a:xfrm>
                          </wpg:grpSpPr>
                          <wps:wsp>
                            <wps:cNvPr id="66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4969" y="160934"/>
                                <a:ext cx="2199005" cy="35071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6AF257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Определение необходимости проведения </w:t>
                                  </w:r>
                                </w:p>
                                <w:p w14:paraId="0ADFF888" w14:textId="5C67D7E4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трансграничной ОВОС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  <w:t>(Ст. 3.1)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7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4882" y="643444"/>
                                <a:ext cx="2199005" cy="280283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759C41" w14:textId="15E1F720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Уведомление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  <w:t>(Ст. 3.1 и 3.2)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8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4969" y="2685221"/>
                                <a:ext cx="2219960" cy="279947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D04459" w14:textId="18D2371B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Подготовка документации по ОВОС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  <w:t xml:space="preserve">(Ст. 4/Добавление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9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0266" y="4651733"/>
                                <a:ext cx="2211705" cy="3117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3CD701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Предоставление окончательного решения </w:t>
                                  </w:r>
                                </w:p>
                                <w:p w14:paraId="58111CD9" w14:textId="5398CE4A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затрагиваемой стороне (Ст. 6.2) и общественности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0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6874" y="5120024"/>
                                <a:ext cx="2218055" cy="351034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31664B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Послепроектный анализ</w:t>
                                  </w:r>
                                </w:p>
                                <w:p w14:paraId="102E4814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(при условии взаимных договоренностей)</w:t>
                                  </w:r>
                                </w:p>
                                <w:p w14:paraId="5A8FF244" w14:textId="282ED1AA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  <w:t>(Ст. 7)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1" name="Straight Arrow Connector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79489" y="503076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Straight Arrow Connector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79489" y="935091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Straight Arrow Connector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0122" y="1442207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Straight Arrow Connector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0122" y="2132095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Straight Arrow Connector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4568" y="4002578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Straight Arrow Connector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2569" y="4976316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602" y="5105491"/>
                                <a:ext cx="1060450" cy="38326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6573B9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В случае соответствующего решения сторон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8" name="Straight Arrow Connector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9052" y="5293531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4969" y="4151213"/>
                                <a:ext cx="2211705" cy="336826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D07FAF" w14:textId="272E2600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Принятие во внимание результатов процедуры трансграничной ОВОС и выдача окончательного решения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  <w:t>(Ст. 6)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0" name="Straight Arrow Connector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9797" y="4505453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5705" y="3561730"/>
                                <a:ext cx="2160271" cy="402572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dbl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C3754C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Консультации между сторонами по планируемой </w:t>
                                  </w:r>
                                </w:p>
                                <w:p w14:paraId="0A77DADA" w14:textId="30748D2A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деятельности на основании документации по ОВОС (Ст. 5)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4" name="Straight Arrow Connector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0122" y="3383064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Straight Arrow Connector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0122" y="2549111"/>
                                <a:ext cx="44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6234" y="1609752"/>
                                <a:ext cx="2173605" cy="477146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dbl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B5E86E" w14:textId="4BDEE1C3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Возможный обмен информацией по деталям процедуры трансграничной ОВОС и передача информации страной происхождения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  <w:t>(Ст. 3.5*)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7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4969" y="2286437"/>
                                <a:ext cx="2212975" cy="2637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402B90" w14:textId="4087E08A" w:rsidR="004A511A" w:rsidRDefault="004A511A" w:rsidP="005043DB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Получение информации от затрагиваемой стороны</w:t>
                                  </w:r>
                                </w:p>
                                <w:p w14:paraId="2ED43205" w14:textId="37BDDAC9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(Ст. 3.6)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8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336" y="1083947"/>
                                <a:ext cx="2217636" cy="3422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780D93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Подтверждение желания затрагиваемой стороны принять </w:t>
                                  </w:r>
                                </w:p>
                                <w:p w14:paraId="5AAD8303" w14:textId="77777777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участие в процедуре трансграничной ОВОС</w:t>
                                  </w:r>
                                </w:p>
                                <w:p w14:paraId="4D87F649" w14:textId="097F23E5" w:rsidR="004A511A" w:rsidRDefault="004A511A" w:rsidP="00742FCD">
                                  <w:pPr>
                                    <w:widowControl w:val="0"/>
                                    <w:spacing w:line="20" w:lineRule="atLeas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(Ст. 3.3)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87F601" id="Group 49" o:spid="_x0000_s1026" style="position:absolute;left:0;text-align:left;margin-left:4.9pt;margin-top:17.9pt;width:422.15pt;height:405.35pt;z-index:251660288" coordorigin="658" coordsize="58001,5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">
                <v:group id="Group 50" o:spid="_x0000_s1027" style="position:absolute;left:658;width:16542;height:41039" coordorigin="658" coordsize="16541,4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28" style="position:absolute;left:658;width:16542;height:4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" fillcolor="#f3f3f3" stroked="f" strokecolor="#ececec" strokeweight="2pt">
                    <v:shadow color="black [0]"/>
                    <v:textbox inset="2.88pt,2.88pt,2.88pt,2.88pt"/>
                  </v:rect>
                  <v:rect id="Rectangle 52" o:spid="_x0000_s1029" style="position:absolute;left:1721;top:2339;width:10440;height:3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" filled="f" fillcolor="#5b9bd5" strokecolor="#7f7f7f" strokeweight="6pt">
                    <v:stroke linestyle="thinThin"/>
                    <v:shadow color="black [0]"/>
                    <v:textbox inset="2.88pt,2.88pt,2.88pt,2.88pt">
                      <w:txbxContent>
                        <w:p w14:paraId="334DBE57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88BEE3D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3B3F83CF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0EB07A63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353E7CE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4F09A62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D5F858D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54937E43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395FBCE9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8DF180E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1AA89A9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566FD130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AB91281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907A033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499AD5A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569C33F4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18204D0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33FF6BFE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8DEAD3D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1A8DF51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068BFE52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3A845BD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988351C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96A37A7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AE6029F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Участие общественности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br/>
                            <w:t>(Ст. 3.8, 2.6, 2.2, 4.2)</w:t>
                          </w:r>
                        </w:p>
                      </w:txbxContent>
                    </v:textbox>
                  </v:rect>
                  <v:rect id="Rectangle 53" o:spid="_x0000_s1030" style="position:absolute;left:1508;top:36363;width:1060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" filled="f" fillcolor="#5b9bd5" strokecolor="#7f7f7f" strokeweight="1pt">
                    <v:shadow color="black [0]"/>
                    <v:textbox inset="2.88pt,2.88pt,2.88pt,2.88pt">
                      <w:txbxContent>
                        <w:p w14:paraId="62EECADE" w14:textId="77777777" w:rsidR="004A511A" w:rsidRDefault="004A511A" w:rsidP="00742FCD">
                          <w:pPr>
                            <w:widowControl w:val="0"/>
                            <w:spacing w:line="20" w:lineRule="atLeas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Может выполняться один или несколько раз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4" o:spid="_x0000_s1031" type="#_x0000_t32" style="position:absolute;left:6718;top:35193;width:0;height:1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" strokecolor="#7f7f7f" strokeweight="2pt">
                    <v:shadow color="black [0]"/>
                  </v:shape>
                </v:group>
                <v:group id="Group 55" o:spid="_x0000_s1032" style="position:absolute;left:1386;top:1609;width:57273;height:53278" coordorigin="1386,1609" coordsize="57273,5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56" o:spid="_x0000_s1033" style="position:absolute;left:38019;top:1609;width:20640;height:36234" coordorigin="38019,1609" coordsize="20640,3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57" o:spid="_x0000_s1034" style="position:absolute;left:41335;top:1609;width:17310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" filled="f" fillcolor="#5b9bd5" strokecolor="#7f7f7f" strokeweight="2pt">
                      <v:stroke dashstyle="dash"/>
                      <v:shadow color="black [0]"/>
                      <v:textbox inset="2.88pt,2.88pt,2.88pt,2.88pt">
                        <w:txbxContent>
                          <w:p w14:paraId="0684F873" w14:textId="7583B0B3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Обращение затрагиваемой стороны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br/>
                              <w:t>(Ст. 3.7)</w:t>
                            </w:r>
                          </w:p>
                        </w:txbxContent>
                      </v:textbox>
                    </v:rect>
                    <v:rect id="Rectangle 58" o:spid="_x0000_s1035" style="position:absolute;left:41584;top:10539;width:17075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" filled="f" fillcolor="#5b9bd5" strokecolor="#7f7f7f" strokeweight="2pt">
                      <v:stroke dashstyle="dash"/>
                      <v:shadow color="black [0]"/>
                      <v:textbox inset="2.88pt,2.88pt,2.88pt,2.88pt">
                        <w:txbxContent>
                          <w:p w14:paraId="397BC870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Применение процедуры прекращается в случае неучастия затрагиваемой стороны</w:t>
                            </w:r>
                          </w:p>
                          <w:p w14:paraId="5CC550D2" w14:textId="581EB5D1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t>(Ст. 3.4)</w:t>
                            </w:r>
                          </w:p>
                        </w:txbxContent>
                      </v:textbox>
                    </v:rect>
                    <v:rect id="Rectangle 59" o:spid="_x0000_s1036" style="position:absolute;left:41570;top:25398;width:17075;height: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" filled="f" fillcolor="#5b9bd5" strokecolor="#7f7f7f" strokeweight="6pt">
                      <v:stroke linestyle="thinThin"/>
                      <v:shadow color="black [0]"/>
                      <v:textbox inset="2.88pt,2.88pt,2.88pt,2.88pt">
                        <w:txbxContent>
                          <w:p w14:paraId="41957AB0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Возможность для затрагиваемой стороны </w:t>
                            </w:r>
                          </w:p>
                          <w:p w14:paraId="1E907946" w14:textId="2D31F742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принять участие в определении сферы охвата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 xml:space="preserve"> (Ст. 2.11)</w:t>
                            </w:r>
                          </w:p>
                        </w:txbxContent>
                      </v:textbox>
                    </v:rect>
                    <v:rect id="Rectangle 60" o:spid="_x0000_s1037" style="position:absolute;left:41570;top:32021;width:17075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" filled="f" fillcolor="#5b9bd5" strokecolor="#7f7f7f" strokeweight="6pt">
                      <v:stroke linestyle="thinThin"/>
                      <v:shadow color="black [0]"/>
                      <v:textbox inset="2.88pt,2.88pt,2.88pt,2.88pt">
                        <w:txbxContent>
                          <w:p w14:paraId="530D0C20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Предоставление документации по ОВОС</w:t>
                            </w:r>
                          </w:p>
                          <w:p w14:paraId="1FD50DAD" w14:textId="70E75AC4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среди органов в районах, которые, по всей вероятности, будут подвергнуты воздействию для обсуждения и замечаний</w:t>
                            </w:r>
                          </w:p>
                          <w:p w14:paraId="36970C68" w14:textId="76920F74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(Ст. 4.2)</w:t>
                            </w:r>
                          </w:p>
                        </w:txbxContent>
                      </v:textbox>
                    </v:re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1" o:spid="_x0000_s1038" type="#_x0000_t34" style="position:absolute;left:38019;top:2442;width:3220;height:555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" strokecolor="#7f7f7f" strokeweight="2pt">
                      <v:stroke endarrow="block"/>
                      <v:shadow color="black [0]"/>
                    </v:shape>
                    <v:shape id="Straight Arrow Connector 62" o:spid="_x0000_s1039" type="#_x0000_t32" style="position:absolute;left:38149;top:12444;width:3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" strokecolor="#7f7f7f" strokeweight="2pt">
                      <v:stroke endarrow="block"/>
                      <v:shadow color="black [0]"/>
                    </v:shape>
                    <v:shape id="Straight Arrow Connector 63" o:spid="_x0000_s1040" type="#_x0000_t32" style="position:absolute;left:38239;top:28211;width:2832;height: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" strokecolor="#7f7f7f" strokeweight="2pt">
                      <v:stroke endarrow="block"/>
                      <v:shadow color="black [0]"/>
                    </v:shape>
                    <v:shape id="Straight Arrow Connector 64" o:spid="_x0000_s1041" type="#_x0000_t32" style="position:absolute;left:38113;top:32276;width:322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" strokecolor="#7f7f7f" strokeweight="2pt">
                      <v:stroke endarrow="block"/>
                      <v:shadow color="black [0]"/>
                    </v:shape>
                  </v:group>
                  <v:group id="Group 65" o:spid="_x0000_s1042" style="position:absolute;left:1386;top:1609;width:36763;height:53278" coordorigin="1386,1609" coordsize="36763,5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Rectangle 66" o:spid="_x0000_s1043" style="position:absolute;left:15949;top:1609;width:21990;height: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" filled="f" fillcolor="#5b9bd5" strokecolor="#7f7f7f" strokeweight="2pt">
                      <v:shadow color="black [0]"/>
                      <v:textbox inset="2.88pt,2.88pt,2.88pt,2.88pt">
                        <w:txbxContent>
                          <w:p w14:paraId="7D6AF257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Определение необходимости проведения </w:t>
                            </w:r>
                          </w:p>
                          <w:p w14:paraId="0ADFF888" w14:textId="5C67D7E4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трансграничной ОВОС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>(Ст. 3.1)</w:t>
                            </w:r>
                          </w:p>
                        </w:txbxContent>
                      </v:textbox>
                    </v:rect>
                    <v:rect id="Rectangle 67" o:spid="_x0000_s1044" style="position:absolute;left:15948;top:6434;width:21990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" filled="f" fillcolor="#5b9bd5" strokecolor="#7f7f7f" strokeweight="2pt">
                      <v:shadow color="black [0]"/>
                      <v:textbox inset="2.88pt,2.88pt,2.88pt,2.88pt">
                        <w:txbxContent>
                          <w:p w14:paraId="4C759C41" w14:textId="15E1F720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Уведомление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>(Ст. 3.1 и 3.2)</w:t>
                            </w:r>
                          </w:p>
                        </w:txbxContent>
                      </v:textbox>
                    </v:rect>
                    <v:rect id="Rectangle 68" o:spid="_x0000_s1045" style="position:absolute;left:15949;top:26852;width:22200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" filled="f" fillcolor="#5b9bd5" strokecolor="#7f7f7f" strokeweight="2pt">
                      <v:shadow color="black [0]"/>
                      <v:textbox inset="2.88pt,2.88pt,2.88pt,2.88pt">
                        <w:txbxContent>
                          <w:p w14:paraId="0DD04459" w14:textId="18D2371B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Подготовка документации по ОВОС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 xml:space="preserve">(Ст. 4/Добавление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69" o:spid="_x0000_s1046" style="position:absolute;left:15902;top:46517;width:2211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" filled="f" fillcolor="#5b9bd5" strokecolor="#7f7f7f" strokeweight="2pt">
                      <v:shadow color="black [0]"/>
                      <v:textbox inset="2.88pt,2.88pt,2.88pt,2.88pt">
                        <w:txbxContent>
                          <w:p w14:paraId="2B3CD701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Предоставление окончательного решения </w:t>
                            </w:r>
                          </w:p>
                          <w:p w14:paraId="58111CD9" w14:textId="5398CE4A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затрагиваемой стороне (Ст. 6.2) и общественности</w:t>
                            </w:r>
                          </w:p>
                        </w:txbxContent>
                      </v:textbox>
                    </v:rect>
                    <v:rect id="Rectangle 70" o:spid="_x0000_s1047" style="position:absolute;left:15968;top:51200;width:22181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" filled="f" fillcolor="#5b9bd5" strokecolor="#7f7f7f" strokeweight="2pt">
                      <v:shadow color="black [0]"/>
                      <v:textbox inset="2.88pt,2.88pt,2.88pt,2.88pt">
                        <w:txbxContent>
                          <w:p w14:paraId="6631664B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Послепроектный анализ</w:t>
                            </w:r>
                          </w:p>
                          <w:p w14:paraId="102E4814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(при условии взаимных договоренностей)</w:t>
                            </w:r>
                          </w:p>
                          <w:p w14:paraId="5A8FF244" w14:textId="282ED1AA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t>(Ст. 7)</w:t>
                            </w:r>
                          </w:p>
                        </w:txbxContent>
                      </v:textbox>
                    </v:rect>
                    <v:shape id="Straight Arrow Connector 71" o:spid="_x0000_s1048" type="#_x0000_t32" style="position:absolute;left:26794;top:5030;width:45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" strokecolor="#7f7f7f" strokeweight="2pt">
                      <v:stroke endarrow="block"/>
                      <v:shadow color="black [0]"/>
                    </v:shape>
                    <v:shape id="Straight Arrow Connector 72" o:spid="_x0000_s1049" type="#_x0000_t32" style="position:absolute;left:26794;top:9350;width:45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" strokecolor="#7f7f7f" strokeweight="2pt">
                      <v:stroke endarrow="block"/>
                      <v:shadow color="black [0]"/>
                    </v:shape>
                    <v:shape id="Straight Arrow Connector 73" o:spid="_x0000_s1050" type="#_x0000_t32" style="position:absolute;left:26901;top:14422;width:44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" strokecolor="#7f7f7f" strokeweight="2pt">
                      <v:stroke endarrow="block"/>
                      <v:shadow color="black [0]"/>
                    </v:shape>
                    <v:shape id="Straight Arrow Connector 74" o:spid="_x0000_s1051" type="#_x0000_t32" style="position:absolute;left:26901;top:21320;width:44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" strokecolor="#7f7f7f" strokeweight="2pt">
                      <v:stroke endarrow="block"/>
                      <v:shadow color="black [0]"/>
                    </v:shape>
                    <v:shape id="Straight Arrow Connector 75" o:spid="_x0000_s1052" type="#_x0000_t32" style="position:absolute;left:26945;top:40025;width:45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" strokecolor="#7f7f7f" strokeweight="2pt">
                      <v:stroke endarrow="block"/>
                      <v:shadow color="black [0]"/>
                    </v:shape>
                    <v:shape id="Straight Arrow Connector 76" o:spid="_x0000_s1053" type="#_x0000_t32" style="position:absolute;left:27025;top:49763;width:45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" strokecolor="#7f7f7f" strokeweight="2pt">
                      <v:stroke endarrow="block"/>
                      <v:shadow color="black [0]"/>
                    </v:shape>
                    <v:rect id="Rectangle 77" o:spid="_x0000_s1054" style="position:absolute;left:1386;top:51054;width:10604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" filled="f" fillcolor="#5b9bd5" strokecolor="#7f7f7f" strokeweight="1pt">
                      <v:shadow color="black [0]"/>
                      <v:textbox inset="2.88pt,2.88pt,2.88pt,2.88pt">
                        <w:txbxContent>
                          <w:p w14:paraId="516573B9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В случае соответствующего решения сторон</w:t>
                            </w:r>
                          </w:p>
                        </w:txbxContent>
                      </v:textbox>
                    </v:rect>
                    <v:shape id="Straight Arrow Connector 78" o:spid="_x0000_s1055" type="#_x0000_t32" style="position:absolute;left:11990;top:52935;width:40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" strokecolor="#7f7f7f" strokeweight="2pt">
                      <v:shadow color="black [0]"/>
                    </v:shape>
                    <v:rect id="Rectangle 79" o:spid="_x0000_s1056" style="position:absolute;left:15949;top:41512;width:22117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" filled="f" fillcolor="#5b9bd5" strokecolor="#7f7f7f" strokeweight="2pt">
                      <v:shadow color="black [0]"/>
                      <v:textbox inset="2.88pt,2.88pt,2.88pt,2.88pt">
                        <w:txbxContent>
                          <w:p w14:paraId="18D07FAF" w14:textId="272E2600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Принятие во внимание результатов процедуры трансграничной ОВОС и выдача окончательного решения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>(Ст. 6)</w:t>
                            </w:r>
                          </w:p>
                        </w:txbxContent>
                      </v:textbox>
                    </v:rect>
                    <v:shape id="Straight Arrow Connector 80" o:spid="_x0000_s1057" type="#_x0000_t32" style="position:absolute;left:26997;top:45054;width:45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" strokecolor="#7f7f7f" strokeweight="2pt">
                      <v:stroke endarrow="block"/>
                      <v:shadow color="black [0]"/>
                    </v:shape>
                    <v:rect id="Rectangle 82" o:spid="_x0000_s1058" style="position:absolute;left:16157;top:35617;width:2160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" filled="f" fillcolor="#5b9bd5" strokecolor="#7f7f7f" strokeweight="6pt">
                      <v:stroke linestyle="thinThin"/>
                      <v:shadow color="black [0]"/>
                      <v:textbox inset="2.88pt,2.88pt,2.88pt,2.88pt">
                        <w:txbxContent>
                          <w:p w14:paraId="69C3754C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Консультации между сторонами по планируемой </w:t>
                            </w:r>
                          </w:p>
                          <w:p w14:paraId="0A77DADA" w14:textId="30748D2A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деятельности на основании документации по ОВОС (Ст. 5)</w:t>
                            </w:r>
                          </w:p>
                        </w:txbxContent>
                      </v:textbox>
                    </v:rect>
                    <v:shape id="Straight Arrow Connector 84" o:spid="_x0000_s1059" type="#_x0000_t32" style="position:absolute;left:26901;top:33830;width:44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" strokecolor="#7f7f7f" strokeweight="2pt">
                      <v:stroke endarrow="block"/>
                      <v:shadow color="black [0]"/>
                    </v:shape>
                    <v:shape id="Straight Arrow Connector 85" o:spid="_x0000_s1060" type="#_x0000_t32" style="position:absolute;left:26901;top:25491;width:44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" strokecolor="#7f7f7f" strokeweight="2pt">
                      <v:stroke endarrow="block"/>
                      <v:shadow color="black [0]"/>
                    </v:shape>
                    <v:rect id="Rectangle 86" o:spid="_x0000_s1061" style="position:absolute;left:16162;top:16097;width:21736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" filled="f" fillcolor="#5b9bd5" strokecolor="#7f7f7f" strokeweight="6pt">
                      <v:stroke linestyle="thinThin"/>
                      <v:shadow color="black [0]"/>
                      <v:textbox inset="2.88pt,2.88pt,2.88pt,2.88pt">
                        <w:txbxContent>
                          <w:p w14:paraId="79B5E86E" w14:textId="4BDEE1C3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Возможный обмен информацией по деталям процедуры трансграничной ОВОС и передача информации страной происхождения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>(Ст. 3.5*)</w:t>
                            </w:r>
                          </w:p>
                        </w:txbxContent>
                      </v:textbox>
                    </v:rect>
                    <v:rect id="Rectangle 87" o:spid="_x0000_s1062" style="position:absolute;left:15949;top:22864;width:22130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" filled="f" fillcolor="#5b9bd5" strokecolor="#7f7f7f" strokeweight="2pt">
                      <v:stroke dashstyle="dash"/>
                      <v:shadow color="black [0]"/>
                      <v:textbox inset="2.88pt,2.88pt,2.88pt,2.88pt">
                        <w:txbxContent>
                          <w:p w14:paraId="6E402B90" w14:textId="4087E08A" w:rsidR="004A511A" w:rsidRDefault="004A511A" w:rsidP="005043DB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Получение информации от затрагиваемой стороны</w:t>
                            </w:r>
                          </w:p>
                          <w:p w14:paraId="2ED43205" w14:textId="37BDDAC9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(Ст. 3.6)</w:t>
                            </w:r>
                          </w:p>
                        </w:txbxContent>
                      </v:textbox>
                    </v:rect>
                    <v:rect id="Rectangle 88" o:spid="_x0000_s1063" style="position:absolute;left:15843;top:10839;width:2217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" filled="f" fillcolor="#5b9bd5" strokecolor="#7f7f7f" strokeweight="2pt">
                      <v:stroke dashstyle="dash"/>
                      <v:shadow color="black [0]"/>
                      <v:textbox inset="2.88pt,2.88pt,2.88pt,2.88pt">
                        <w:txbxContent>
                          <w:p w14:paraId="2A780D93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Подтверждение желания затрагиваемой стороны принять </w:t>
                            </w:r>
                          </w:p>
                          <w:p w14:paraId="5AAD8303" w14:textId="77777777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участие в процедуре трансграничной ОВОС</w:t>
                            </w:r>
                          </w:p>
                          <w:p w14:paraId="4D87F649" w14:textId="097F23E5" w:rsidR="004A511A" w:rsidRDefault="004A511A" w:rsidP="00742FCD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(Ст. 3.3)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EE663E4" w14:textId="5AD9B1A3" w:rsidR="00742FCD" w:rsidRPr="00C66F29" w:rsidRDefault="00742FCD" w:rsidP="00EE4EB6">
      <w:pPr>
        <w:pStyle w:val="SingleTxtG"/>
        <w:rPr>
          <w:b/>
          <w:bCs/>
          <w:lang w:val="ru-RU"/>
        </w:rPr>
      </w:pPr>
    </w:p>
    <w:p w14:paraId="796968E9" w14:textId="14A1558B" w:rsidR="0051286A" w:rsidRPr="00C66F29" w:rsidRDefault="0051286A" w:rsidP="00EE4EB6">
      <w:pPr>
        <w:pStyle w:val="SingleTxtG"/>
        <w:rPr>
          <w:b/>
          <w:bCs/>
          <w:lang w:val="ru-RU"/>
        </w:rPr>
      </w:pPr>
    </w:p>
    <w:p w14:paraId="4D09A519" w14:textId="6AB19B39" w:rsidR="0051286A" w:rsidRDefault="00765AD7">
      <w:pPr>
        <w:spacing w:line="240" w:lineRule="auto"/>
        <w:rPr>
          <w:b/>
          <w:bCs/>
          <w:spacing w:val="0"/>
          <w:w w:val="100"/>
          <w:kern w:val="0"/>
          <w:szCs w:val="20"/>
        </w:rPr>
      </w:pPr>
      <w:r>
        <w:rPr>
          <w:noProof/>
          <w:w w:val="10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9CC767" wp14:editId="4A753D0F">
                <wp:simplePos x="0" y="0"/>
                <wp:positionH relativeFrom="margin">
                  <wp:posOffset>23606</wp:posOffset>
                </wp:positionH>
                <wp:positionV relativeFrom="paragraph">
                  <wp:posOffset>5287645</wp:posOffset>
                </wp:positionV>
                <wp:extent cx="5991225" cy="1727132"/>
                <wp:effectExtent l="0" t="0" r="9525" b="698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727132"/>
                          <a:chOff x="-164089" y="6991460"/>
                          <a:chExt cx="6481445" cy="1841520"/>
                        </a:xfrm>
                      </wpg:grpSpPr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6991460"/>
                            <a:ext cx="1790065" cy="520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C28FF4" w14:textId="77777777" w:rsidR="004A511A" w:rsidRDefault="004A511A" w:rsidP="00742F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Обязанность </w:t>
                              </w:r>
                            </w:p>
                            <w:p w14:paraId="31196114" w14:textId="77777777" w:rsidR="004A511A" w:rsidRDefault="004A511A" w:rsidP="00742F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стороны происхождения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77656" y="6991460"/>
                            <a:ext cx="1798320" cy="520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BB9C33" w14:textId="77777777" w:rsidR="004A511A" w:rsidRDefault="004A511A" w:rsidP="00742F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Обязанность</w:t>
                              </w:r>
                            </w:p>
                            <w:p w14:paraId="0B6430BD" w14:textId="77777777" w:rsidR="004A511A" w:rsidRDefault="004A511A" w:rsidP="00742F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затрагиваемой стороны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040372" y="7023358"/>
                            <a:ext cx="1790065" cy="504825"/>
                          </a:xfrm>
                          <a:prstGeom prst="rect">
                            <a:avLst/>
                          </a:prstGeom>
                          <a:noFill/>
                          <a:ln w="76200" cmpd="dbl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445F62" w14:textId="77777777" w:rsidR="004A511A" w:rsidRDefault="004A511A" w:rsidP="00742F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Совместные обязательства</w:t>
                              </w:r>
                            </w:p>
                            <w:p w14:paraId="3C0C20AC" w14:textId="77777777" w:rsidR="004A511A" w:rsidRDefault="004A511A" w:rsidP="00742F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сторон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-164089" y="7679547"/>
                            <a:ext cx="6481445" cy="11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2ABE0F" w14:textId="77777777" w:rsidR="004A511A" w:rsidRDefault="004A511A" w:rsidP="00742FCD">
                              <w:pPr>
                                <w:spacing w:before="240" w:after="240"/>
                                <w:ind w:left="82" w:right="1164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C0EE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t>Аббревиатура: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ОВОС = оценка воздействия на окружающую среду.</w:t>
                              </w:r>
                            </w:p>
                            <w:p w14:paraId="2C0C6D14" w14:textId="49D3295D" w:rsidR="004A511A" w:rsidRDefault="004A511A" w:rsidP="00742FCD">
                              <w:pPr>
                                <w:spacing w:before="240" w:after="240"/>
                                <w:ind w:left="82" w:right="1164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* Хотя статья 3.5. Конвенции не требует обмена информацией в отношении деталей процедуры проведения трансграничной оценки воздействия на окружающую среду, такой обмен доказал свою полезность при практическом применении трансграничной процедуры.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CC767" id="Group 89" o:spid="_x0000_s1064" style="position:absolute;margin-left:1.85pt;margin-top:416.35pt;width:471.75pt;height:136pt;z-index:251661312;mso-position-horizontal-relative:margin;mso-height-relative:margin" coordorigin="-1640,69914" coordsize="64814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">
                <v:rect id="Rectangle 90" o:spid="_x0000_s1065" style="position:absolute;top:69914;width:1790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" filled="f" fillcolor="#5b9bd5" strokecolor="#7f7f7f" strokeweight="2pt">
                  <v:shadow color="black [0]"/>
                  <v:textbox inset="2.88pt,2.88pt,2.88pt,2.88pt">
                    <w:txbxContent>
                      <w:p w14:paraId="46C28FF4" w14:textId="77777777" w:rsidR="004A511A" w:rsidRDefault="004A511A" w:rsidP="00742F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Обязанность </w:t>
                        </w:r>
                      </w:p>
                      <w:p w14:paraId="31196114" w14:textId="77777777" w:rsidR="004A511A" w:rsidRDefault="004A511A" w:rsidP="00742F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стороны происхождения</w:t>
                        </w:r>
                      </w:p>
                    </w:txbxContent>
                  </v:textbox>
                </v:rect>
                <v:rect id="Rectangle 91" o:spid="_x0000_s1066" style="position:absolute;left:19776;top:69914;width:179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" filled="f" fillcolor="#5b9bd5" strokecolor="#7f7f7f" strokeweight="2pt">
                  <v:stroke dashstyle="dash"/>
                  <v:shadow color="black [0]"/>
                  <v:textbox inset="2.88pt,2.88pt,2.88pt,2.88pt">
                    <w:txbxContent>
                      <w:p w14:paraId="6FBB9C33" w14:textId="77777777" w:rsidR="004A511A" w:rsidRDefault="004A511A" w:rsidP="00742F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Обязанность</w:t>
                        </w:r>
                      </w:p>
                      <w:p w14:paraId="0B6430BD" w14:textId="77777777" w:rsidR="004A511A" w:rsidRDefault="004A511A" w:rsidP="00742F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затрагиваемой стороны</w:t>
                        </w:r>
                      </w:p>
                    </w:txbxContent>
                  </v:textbox>
                </v:rect>
                <v:rect id="Rectangle 92" o:spid="_x0000_s1067" style="position:absolute;left:40403;top:70233;width:1790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" filled="f" fillcolor="#5b9bd5" strokecolor="#7f7f7f" strokeweight="6pt">
                  <v:stroke linestyle="thinThin"/>
                  <v:shadow color="black [0]"/>
                  <v:textbox inset="2.88pt,2.88pt,2.88pt,2.88pt">
                    <w:txbxContent>
                      <w:p w14:paraId="4A445F62" w14:textId="77777777" w:rsidR="004A511A" w:rsidRDefault="004A511A" w:rsidP="00742F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Совместные обязательства</w:t>
                        </w:r>
                      </w:p>
                      <w:p w14:paraId="3C0C20AC" w14:textId="77777777" w:rsidR="004A511A" w:rsidRDefault="004A511A" w:rsidP="00742F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сторон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br/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68" type="#_x0000_t202" style="position:absolute;left:-1640;top:76795;width:64813;height:1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32ABE0F" w14:textId="77777777" w:rsidR="004A511A" w:rsidRDefault="004A511A" w:rsidP="00742FCD">
                        <w:pPr>
                          <w:spacing w:before="240" w:after="240"/>
                          <w:ind w:left="82" w:right="1164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0EE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Аббревиатура: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ОВОС = оценка воздействия на окружающую среду.</w:t>
                        </w:r>
                      </w:p>
                      <w:p w14:paraId="2C0C6D14" w14:textId="49D3295D" w:rsidR="004A511A" w:rsidRDefault="004A511A" w:rsidP="00742FCD">
                        <w:pPr>
                          <w:spacing w:before="240" w:after="240"/>
                          <w:ind w:left="82" w:right="1164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* Хотя статья 3.5. Конвенции не требует обмена информацией в отношении деталей процедуры проведения трансграничной оценки воздействия на окружающую среду, такой обмен доказал свою полезность при практическом применении трансграничной процедуры.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2638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1F6E9" wp14:editId="2B40A375">
                <wp:simplePos x="0" y="0"/>
                <wp:positionH relativeFrom="column">
                  <wp:posOffset>3518219</wp:posOffset>
                </wp:positionH>
                <wp:positionV relativeFrom="paragraph">
                  <wp:posOffset>2631365</wp:posOffset>
                </wp:positionV>
                <wp:extent cx="323294" cy="692785"/>
                <wp:effectExtent l="0" t="0" r="57785" b="88265"/>
                <wp:wrapNone/>
                <wp:docPr id="7" name="Elb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23294" cy="6927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9944" id="Elbow Connector 21" o:spid="_x0000_s1026" type="#_x0000_t34" style="position:absolute;margin-left:277.05pt;margin-top:207.2pt;width:25.45pt;height:54.55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" strokecolor="#7f7f7f" strokeweight="2pt">
                <v:stroke endarrow="block"/>
                <v:shadow color="black [0]"/>
              </v:shape>
            </w:pict>
          </mc:Fallback>
        </mc:AlternateContent>
      </w:r>
      <w:r w:rsidR="00B52638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1A681" wp14:editId="21F73CA4">
                <wp:simplePos x="0" y="0"/>
                <wp:positionH relativeFrom="column">
                  <wp:posOffset>3518218</wp:posOffset>
                </wp:positionH>
                <wp:positionV relativeFrom="paragraph">
                  <wp:posOffset>3194739</wp:posOffset>
                </wp:positionV>
                <wp:extent cx="277559" cy="468034"/>
                <wp:effectExtent l="38100" t="76200" r="27305" b="27305"/>
                <wp:wrapNone/>
                <wp:docPr id="8" name="Elb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77559" cy="468034"/>
                        </a:xfrm>
                        <a:prstGeom prst="bentConnector3">
                          <a:avLst>
                            <a:gd name="adj1" fmla="val 54673"/>
                          </a:avLst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800E" id="Elbow Connector 21" o:spid="_x0000_s1026" type="#_x0000_t34" style="position:absolute;margin-left:277.05pt;margin-top:251.55pt;width:21.85pt;height:36.8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" adj="11809" strokecolor="#7f7f7f" strokeweight="2pt">
                <v:stroke endarrow="block"/>
                <v:shadow color="black [0]"/>
              </v:shape>
            </w:pict>
          </mc:Fallback>
        </mc:AlternateContent>
      </w:r>
      <w:r w:rsidR="00B52638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FAD9C" wp14:editId="5493EE3E">
                <wp:simplePos x="0" y="0"/>
                <wp:positionH relativeFrom="column">
                  <wp:posOffset>3526885</wp:posOffset>
                </wp:positionH>
                <wp:positionV relativeFrom="paragraph">
                  <wp:posOffset>2999725</wp:posOffset>
                </wp:positionV>
                <wp:extent cx="293286" cy="4334"/>
                <wp:effectExtent l="38100" t="76200" r="0" b="914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3286" cy="433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CA882" id="Straight Arrow Connector 6" o:spid="_x0000_s1026" type="#_x0000_t32" style="position:absolute;margin-left:277.7pt;margin-top:236.2pt;width:23.1pt;height:.35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" strokecolor="#7f7f7f" strokeweight="2pt">
                <v:stroke endarrow="block"/>
                <v:shadow color="black [0]"/>
              </v:shape>
            </w:pict>
          </mc:Fallback>
        </mc:AlternateContent>
      </w:r>
      <w:r w:rsidR="00846A1C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5D0AF" wp14:editId="58FD842E">
                <wp:simplePos x="0" y="0"/>
                <wp:positionH relativeFrom="column">
                  <wp:posOffset>3840750</wp:posOffset>
                </wp:positionH>
                <wp:positionV relativeFrom="paragraph">
                  <wp:posOffset>3237197</wp:posOffset>
                </wp:positionV>
                <wp:extent cx="1578369" cy="489702"/>
                <wp:effectExtent l="38100" t="38100" r="41275" b="438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369" cy="489702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7953DF" w14:textId="70735D7F" w:rsidR="004A511A" w:rsidRDefault="004A511A" w:rsidP="00846A1C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846A1C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Предоставление документации по ОВОС</w:t>
                            </w:r>
                          </w:p>
                          <w:p w14:paraId="5A935A8A" w14:textId="60DC9787" w:rsidR="004A511A" w:rsidRDefault="004A511A" w:rsidP="00846A1C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среди общественности для обсуждения и замечаний</w:t>
                            </w:r>
                          </w:p>
                          <w:p w14:paraId="620559BD" w14:textId="34F08781" w:rsidR="004A511A" w:rsidRDefault="004A511A" w:rsidP="00846A1C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(Ст. 3.8 и 4.2)</w:t>
                            </w:r>
                          </w:p>
                          <w:p w14:paraId="0DF083D6" w14:textId="5634DFC4" w:rsidR="004A511A" w:rsidRDefault="004A511A" w:rsidP="00846A1C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D0AF" id="Rectangle 5" o:spid="_x0000_s1069" style="position:absolute;margin-left:302.4pt;margin-top:254.9pt;width:124.3pt;height:38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" filled="f" fillcolor="#5b9bd5" strokecolor="#7f7f7f" strokeweight="6pt">
                <v:stroke linestyle="thinThin"/>
                <v:shadow color="black [0]"/>
                <v:textbox inset="2.88pt,2.88pt,2.88pt,2.88pt">
                  <w:txbxContent>
                    <w:p w14:paraId="457953DF" w14:textId="70735D7F" w:rsidR="004A511A" w:rsidRDefault="004A511A" w:rsidP="00846A1C">
                      <w:pPr>
                        <w:widowControl w:val="0"/>
                        <w:spacing w:line="20" w:lineRule="atLeast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846A1C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Предоставление документации по ОВОС</w:t>
                      </w:r>
                    </w:p>
                    <w:p w14:paraId="5A935A8A" w14:textId="60DC9787" w:rsidR="004A511A" w:rsidRDefault="004A511A" w:rsidP="00846A1C">
                      <w:pPr>
                        <w:widowControl w:val="0"/>
                        <w:spacing w:line="20" w:lineRule="atLeast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среди общественности для обсуждения и замечаний</w:t>
                      </w:r>
                    </w:p>
                    <w:p w14:paraId="620559BD" w14:textId="34F08781" w:rsidR="004A511A" w:rsidRDefault="004A511A" w:rsidP="00846A1C">
                      <w:pPr>
                        <w:widowControl w:val="0"/>
                        <w:spacing w:line="20" w:lineRule="atLeast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(Ст. 3.8 и 4.2)</w:t>
                      </w:r>
                    </w:p>
                    <w:p w14:paraId="0DF083D6" w14:textId="5634DFC4" w:rsidR="004A511A" w:rsidRDefault="004A511A" w:rsidP="00846A1C">
                      <w:pPr>
                        <w:widowControl w:val="0"/>
                        <w:spacing w:line="20" w:lineRule="atLeast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DED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E41ED" wp14:editId="02B80CE8">
                <wp:simplePos x="0" y="0"/>
                <wp:positionH relativeFrom="column">
                  <wp:posOffset>2487899</wp:posOffset>
                </wp:positionH>
                <wp:positionV relativeFrom="paragraph">
                  <wp:posOffset>2322888</wp:posOffset>
                </wp:positionV>
                <wp:extent cx="0" cy="109346"/>
                <wp:effectExtent l="76200" t="0" r="57150" b="622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D0CA" id="Straight Arrow Connector 4" o:spid="_x0000_s1026" type="#_x0000_t32" style="position:absolute;margin-left:195.9pt;margin-top:182.9pt;width:0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" strokecolor="#7f7f7f" strokeweight="2pt">
                <v:stroke endarrow="block"/>
                <v:shadow color="black [0]"/>
              </v:shape>
            </w:pict>
          </mc:Fallback>
        </mc:AlternateContent>
      </w:r>
      <w:r w:rsidR="00286DED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A3EF0" wp14:editId="5D7D392D">
                <wp:simplePos x="0" y="0"/>
                <wp:positionH relativeFrom="column">
                  <wp:posOffset>1469234</wp:posOffset>
                </wp:positionH>
                <wp:positionV relativeFrom="paragraph">
                  <wp:posOffset>2435472</wp:posOffset>
                </wp:positionV>
                <wp:extent cx="2052055" cy="262558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055" cy="26255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D9BFC" w14:textId="0FC24D03" w:rsidR="004A511A" w:rsidRDefault="004A511A" w:rsidP="005043DB">
                            <w:pPr>
                              <w:widowControl w:val="0"/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Предоставление документации по ОВОС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>затрагиваемой стороне (Ст. 4.1)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A3EF0" id="Rectangle 2" o:spid="_x0000_s1070" style="position:absolute;margin-left:115.7pt;margin-top:191.75pt;width:161.6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" filled="f" fillcolor="#5b9bd5" strokecolor="#7f7f7f" strokeweight="2pt">
                <v:shadow color="black [0]"/>
                <v:textbox inset="2.88pt,2.88pt,2.88pt,2.88pt">
                  <w:txbxContent>
                    <w:p w14:paraId="083D9BFC" w14:textId="0FC24D03" w:rsidR="004A511A" w:rsidRDefault="004A511A" w:rsidP="005043DB">
                      <w:pPr>
                        <w:widowControl w:val="0"/>
                        <w:spacing w:line="20" w:lineRule="atLeast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Предоставление документации по ОВОС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  <w:t>затрагиваемой стороне (Ст. 4.1)</w:t>
                      </w:r>
                    </w:p>
                  </w:txbxContent>
                </v:textbox>
              </v:rect>
            </w:pict>
          </mc:Fallback>
        </mc:AlternateContent>
      </w:r>
      <w:r w:rsidR="0051286A">
        <w:rPr>
          <w:b/>
          <w:bCs/>
        </w:rPr>
        <w:br w:type="page"/>
      </w:r>
    </w:p>
    <w:p w14:paraId="128B14ED" w14:textId="77777777" w:rsidR="00EE4EB6" w:rsidRPr="00E03CB4" w:rsidRDefault="00EE4EB6" w:rsidP="00EE4EB6">
      <w:pPr>
        <w:pStyle w:val="SingleTxtG"/>
        <w:rPr>
          <w:b/>
          <w:bCs/>
          <w:lang w:val="ru-RU"/>
        </w:rPr>
      </w:pPr>
    </w:p>
    <w:p w14:paraId="376830F1" w14:textId="75223D30" w:rsidR="004A566C" w:rsidRPr="00340D85" w:rsidRDefault="00B11A74" w:rsidP="0098272B">
      <w:pPr>
        <w:pStyle w:val="H1G"/>
        <w:rPr>
          <w:lang w:val="ru-RU"/>
        </w:rPr>
      </w:pPr>
      <w:r w:rsidRPr="00340D85">
        <w:rPr>
          <w:lang w:val="ru-RU"/>
        </w:rPr>
        <w:tab/>
      </w:r>
      <w:r w:rsidR="00667D7F" w:rsidRPr="00340D85">
        <w:rPr>
          <w:lang w:val="ru-RU"/>
        </w:rPr>
        <w:t>Е</w:t>
      </w:r>
      <w:r w:rsidR="004A566C" w:rsidRPr="00340D85">
        <w:rPr>
          <w:lang w:val="ru-RU"/>
        </w:rPr>
        <w:t>.</w:t>
      </w:r>
      <w:r w:rsidR="004A566C" w:rsidRPr="00340D85">
        <w:rPr>
          <w:lang w:val="ru-RU"/>
        </w:rPr>
        <w:tab/>
        <w:t xml:space="preserve"> Дополнительная информация по практическому осуществлению трансграничной </w:t>
      </w:r>
      <w:r w:rsidR="00E6395C">
        <w:rPr>
          <w:lang w:val="ru-RU"/>
        </w:rPr>
        <w:t>оценки воздействия на окружающую среду</w:t>
      </w:r>
      <w:r w:rsidR="00E6395C" w:rsidRPr="00340D85">
        <w:rPr>
          <w:lang w:val="ru-RU"/>
        </w:rPr>
        <w:t xml:space="preserve"> </w:t>
      </w:r>
      <w:r w:rsidR="004A566C" w:rsidRPr="00340D85">
        <w:rPr>
          <w:lang w:val="ru-RU"/>
        </w:rPr>
        <w:t>на основе Конвенции Эспо</w:t>
      </w:r>
    </w:p>
    <w:p w14:paraId="1C7DB92A" w14:textId="4098E8C2" w:rsidR="0051286A" w:rsidRPr="006D36A2" w:rsidRDefault="00960C09" w:rsidP="0051286A">
      <w:pPr>
        <w:pStyle w:val="SingleTxtG"/>
        <w:rPr>
          <w:lang w:val="ru-RU"/>
        </w:rPr>
      </w:pPr>
      <w:r>
        <w:rPr>
          <w:lang w:val="ru-RU"/>
        </w:rPr>
        <w:t>23</w:t>
      </w:r>
      <w:r w:rsidR="004A566C">
        <w:rPr>
          <w:lang w:val="ru-RU"/>
        </w:rPr>
        <w:t>.</w:t>
      </w:r>
      <w:r w:rsidR="004A566C">
        <w:rPr>
          <w:lang w:val="ru-RU"/>
        </w:rPr>
        <w:tab/>
      </w:r>
      <w:r w:rsidR="004A566C" w:rsidRPr="00491F48">
        <w:rPr>
          <w:lang w:val="ru-RU"/>
        </w:rPr>
        <w:t xml:space="preserve">Страны Центральной Азии при разработке </w:t>
      </w:r>
      <w:r w:rsidR="004A566C">
        <w:rPr>
          <w:lang w:val="ru-RU"/>
        </w:rPr>
        <w:t xml:space="preserve">национального законодательства </w:t>
      </w:r>
      <w:r w:rsidR="004A566C" w:rsidRPr="00491F48">
        <w:rPr>
          <w:lang w:val="ru-RU"/>
        </w:rPr>
        <w:t xml:space="preserve">и применении мер, направленных на внедрение и проведение трансграничной </w:t>
      </w:r>
      <w:r>
        <w:rPr>
          <w:lang w:val="ru-RU"/>
        </w:rPr>
        <w:t>оценки воздействия на окружающую среду</w:t>
      </w:r>
      <w:r w:rsidR="004A566C" w:rsidRPr="00491F48">
        <w:rPr>
          <w:lang w:val="ru-RU"/>
        </w:rPr>
        <w:t xml:space="preserve">, могут также учитывать соответствующие рекомендательные документы, разработанные в рамках Конвенции Эспо. В частности, </w:t>
      </w:r>
      <w:r w:rsidR="004A566C">
        <w:rPr>
          <w:lang w:val="ru-RU"/>
        </w:rPr>
        <w:t xml:space="preserve">они могут обращаться к </w:t>
      </w:r>
      <w:r w:rsidR="00A1149F">
        <w:rPr>
          <w:lang w:val="ru-RU"/>
        </w:rPr>
        <w:t>«</w:t>
      </w:r>
      <w:r w:rsidR="004A566C" w:rsidRPr="0060751F">
        <w:rPr>
          <w:lang w:val="ru-RU"/>
        </w:rPr>
        <w:t>Руководств</w:t>
      </w:r>
      <w:r w:rsidR="004A566C">
        <w:rPr>
          <w:lang w:val="ru-RU"/>
        </w:rPr>
        <w:t>у</w:t>
      </w:r>
      <w:r w:rsidR="004A566C" w:rsidRPr="0060751F">
        <w:rPr>
          <w:lang w:val="ru-RU"/>
        </w:rPr>
        <w:t xml:space="preserve"> по практическому применению </w:t>
      </w:r>
      <w:r w:rsidR="00097B2F">
        <w:rPr>
          <w:lang w:val="ru-RU"/>
        </w:rPr>
        <w:t xml:space="preserve">принятой в Эспо </w:t>
      </w:r>
      <w:r w:rsidR="004A566C" w:rsidRPr="0060751F">
        <w:rPr>
          <w:lang w:val="ru-RU"/>
        </w:rPr>
        <w:t>Конвенции</w:t>
      </w:r>
      <w:r w:rsidR="00097B2F">
        <w:rPr>
          <w:lang w:val="ru-RU"/>
        </w:rPr>
        <w:t>»</w:t>
      </w:r>
      <w:r w:rsidR="004A566C" w:rsidRPr="0060751F">
        <w:rPr>
          <w:lang w:val="ru-RU"/>
        </w:rPr>
        <w:t xml:space="preserve"> (</w:t>
      </w:r>
      <w:r w:rsidR="004A566C" w:rsidRPr="00491F48">
        <w:rPr>
          <w:lang w:val="ru-RU"/>
        </w:rPr>
        <w:t>ECE/MP.EIA/8)</w:t>
      </w:r>
      <w:r w:rsidR="004A566C" w:rsidRPr="002F085F">
        <w:rPr>
          <w:lang w:val="ru-RU"/>
        </w:rPr>
        <w:t>,</w:t>
      </w:r>
      <w:r w:rsidR="004A566C" w:rsidRPr="00491F48">
        <w:rPr>
          <w:lang w:val="ru-RU"/>
        </w:rPr>
        <w:t xml:space="preserve"> </w:t>
      </w:r>
      <w:r w:rsidR="00097B2F">
        <w:rPr>
          <w:lang w:val="ru-RU"/>
        </w:rPr>
        <w:t>«</w:t>
      </w:r>
      <w:r w:rsidR="00097B2F" w:rsidRPr="004A511A">
        <w:rPr>
          <w:lang w:val="ru-RU"/>
        </w:rPr>
        <w:t>Обще</w:t>
      </w:r>
      <w:r w:rsidR="00097B2F">
        <w:rPr>
          <w:lang w:val="ru-RU"/>
        </w:rPr>
        <w:t>му</w:t>
      </w:r>
      <w:r w:rsidR="00097B2F" w:rsidRPr="004A511A">
        <w:rPr>
          <w:lang w:val="ru-RU"/>
        </w:rPr>
        <w:t xml:space="preserve"> руководств</w:t>
      </w:r>
      <w:r w:rsidR="00097B2F">
        <w:rPr>
          <w:lang w:val="ru-RU"/>
        </w:rPr>
        <w:t>у</w:t>
      </w:r>
      <w:r w:rsidR="00097B2F" w:rsidRPr="004A511A">
        <w:rPr>
          <w:lang w:val="ru-RU"/>
        </w:rPr>
        <w:t xml:space="preserve"> по улучшению соответствия между Конвенцией Эспо и экологической оценкой в рамках государственной экологической экспертизы в странах Восточной Европы, Кавказа и Центральной Азии</w:t>
      </w:r>
      <w:r w:rsidR="00097B2F">
        <w:rPr>
          <w:lang w:val="ru-RU"/>
        </w:rPr>
        <w:t>»</w:t>
      </w:r>
      <w:r w:rsidR="004A566C" w:rsidRPr="0060751F">
        <w:rPr>
          <w:lang w:val="ru-RU"/>
        </w:rPr>
        <w:t xml:space="preserve"> </w:t>
      </w:r>
      <w:r w:rsidR="004A566C" w:rsidRPr="00491F48">
        <w:rPr>
          <w:lang w:val="ru-RU"/>
        </w:rPr>
        <w:t>(ECE/MP.EIA/2014/2)</w:t>
      </w:r>
      <w:r w:rsidR="004A566C" w:rsidRPr="00AC1B92">
        <w:rPr>
          <w:lang w:val="ru-RU"/>
        </w:rPr>
        <w:t>,</w:t>
      </w:r>
      <w:r w:rsidR="004A566C" w:rsidRPr="00491F48">
        <w:rPr>
          <w:lang w:val="ru-RU"/>
        </w:rPr>
        <w:t xml:space="preserve"> </w:t>
      </w:r>
      <w:r w:rsidR="00097B2F">
        <w:rPr>
          <w:lang w:val="ru-RU"/>
        </w:rPr>
        <w:t>«</w:t>
      </w:r>
      <w:r w:rsidR="004A566C" w:rsidRPr="0060751F">
        <w:rPr>
          <w:lang w:val="ru-RU"/>
        </w:rPr>
        <w:t>Руководств</w:t>
      </w:r>
      <w:r w:rsidR="004A566C">
        <w:rPr>
          <w:lang w:val="ru-RU"/>
        </w:rPr>
        <w:t>у</w:t>
      </w:r>
      <w:r w:rsidR="004A566C" w:rsidRPr="0060751F">
        <w:rPr>
          <w:lang w:val="ru-RU"/>
        </w:rPr>
        <w:t xml:space="preserve"> по участию общественности</w:t>
      </w:r>
      <w:r w:rsidR="004A566C" w:rsidRPr="00491F48">
        <w:rPr>
          <w:lang w:val="ru-RU"/>
        </w:rPr>
        <w:t xml:space="preserve"> </w:t>
      </w:r>
      <w:r w:rsidR="00097B2F">
        <w:rPr>
          <w:lang w:val="ru-RU"/>
        </w:rPr>
        <w:t xml:space="preserve">в </w:t>
      </w:r>
      <w:r w:rsidR="005A5426">
        <w:rPr>
          <w:lang w:val="ru-RU"/>
        </w:rPr>
        <w:t>оценк</w:t>
      </w:r>
      <w:r w:rsidR="00097B2F">
        <w:rPr>
          <w:lang w:val="ru-RU"/>
        </w:rPr>
        <w:t>е</w:t>
      </w:r>
      <w:r w:rsidR="005A5426">
        <w:rPr>
          <w:lang w:val="ru-RU"/>
        </w:rPr>
        <w:t xml:space="preserve"> воздействия на окружающую среду в трансграничном контексте</w:t>
      </w:r>
      <w:r w:rsidR="00097B2F">
        <w:rPr>
          <w:lang w:val="ru-RU"/>
        </w:rPr>
        <w:t>»</w:t>
      </w:r>
      <w:r w:rsidR="005A5426">
        <w:rPr>
          <w:lang w:val="ru-RU"/>
        </w:rPr>
        <w:t xml:space="preserve"> </w:t>
      </w:r>
      <w:r w:rsidR="004A566C" w:rsidRPr="00491F48">
        <w:rPr>
          <w:lang w:val="ru-RU"/>
        </w:rPr>
        <w:t>(ECE/MP.EIA/7)</w:t>
      </w:r>
      <w:r w:rsidR="004A566C" w:rsidRPr="00AC1B92">
        <w:rPr>
          <w:lang w:val="ru-RU"/>
        </w:rPr>
        <w:t>,</w:t>
      </w:r>
      <w:r w:rsidR="004A566C" w:rsidRPr="00491F48">
        <w:rPr>
          <w:lang w:val="ru-RU"/>
        </w:rPr>
        <w:t xml:space="preserve"> </w:t>
      </w:r>
      <w:r w:rsidR="00097B2F">
        <w:rPr>
          <w:lang w:val="ru-RU"/>
        </w:rPr>
        <w:t>«</w:t>
      </w:r>
      <w:r w:rsidR="004A566C" w:rsidRPr="0060751F">
        <w:rPr>
          <w:lang w:val="ru-RU"/>
        </w:rPr>
        <w:t>Руководств</w:t>
      </w:r>
      <w:r w:rsidR="004A566C">
        <w:rPr>
          <w:lang w:val="ru-RU"/>
        </w:rPr>
        <w:t>у</w:t>
      </w:r>
      <w:r w:rsidR="004A566C" w:rsidRPr="0060751F">
        <w:rPr>
          <w:lang w:val="ru-RU"/>
        </w:rPr>
        <w:t xml:space="preserve"> по уведомлению согласно Конвенции Эспо</w:t>
      </w:r>
      <w:r w:rsidR="00097B2F">
        <w:rPr>
          <w:lang w:val="ru-RU"/>
        </w:rPr>
        <w:t>»</w:t>
      </w:r>
      <w:r w:rsidR="004A566C" w:rsidRPr="00491F48">
        <w:rPr>
          <w:lang w:val="ru-RU"/>
        </w:rPr>
        <w:t xml:space="preserve"> (ECE/MP.EIA/12).</w:t>
      </w:r>
      <w:r w:rsidR="004A566C">
        <w:rPr>
          <w:lang w:val="ru-RU"/>
        </w:rPr>
        <w:t xml:space="preserve"> Кроме</w:t>
      </w:r>
      <w:r w:rsidR="004A566C" w:rsidRPr="006D36A2">
        <w:rPr>
          <w:lang w:val="ru-RU"/>
        </w:rPr>
        <w:t xml:space="preserve"> </w:t>
      </w:r>
      <w:r w:rsidR="004A566C">
        <w:rPr>
          <w:lang w:val="ru-RU"/>
        </w:rPr>
        <w:t>этого, для стран важными источниками информации о практическом применении Конвенции ее Сторонами могут служить</w:t>
      </w:r>
      <w:r w:rsidR="004A566C" w:rsidRPr="006D36A2">
        <w:rPr>
          <w:lang w:val="ru-RU"/>
        </w:rPr>
        <w:t xml:space="preserve"> </w:t>
      </w:r>
      <w:r w:rsidR="00354AE9">
        <w:rPr>
          <w:lang w:val="ru-RU"/>
        </w:rPr>
        <w:t>«Мнения</w:t>
      </w:r>
      <w:r w:rsidR="00354AE9" w:rsidRPr="006D36A2">
        <w:rPr>
          <w:lang w:val="ru-RU"/>
        </w:rPr>
        <w:t xml:space="preserve"> </w:t>
      </w:r>
      <w:r w:rsidR="004A566C">
        <w:rPr>
          <w:lang w:val="ru-RU"/>
        </w:rPr>
        <w:t>Комитета</w:t>
      </w:r>
      <w:r w:rsidR="004A566C" w:rsidRPr="006D36A2">
        <w:rPr>
          <w:lang w:val="ru-RU"/>
        </w:rPr>
        <w:t xml:space="preserve"> </w:t>
      </w:r>
      <w:r w:rsidR="004A566C" w:rsidRPr="00A00806">
        <w:rPr>
          <w:lang w:val="ru-RU"/>
        </w:rPr>
        <w:t xml:space="preserve">по </w:t>
      </w:r>
      <w:r w:rsidR="004A511A" w:rsidRPr="00A00806">
        <w:rPr>
          <w:lang w:val="ru-RU"/>
        </w:rPr>
        <w:t>осуществлению</w:t>
      </w:r>
      <w:r w:rsidR="00354AE9" w:rsidRPr="00A00806">
        <w:rPr>
          <w:lang w:val="ru-RU"/>
        </w:rPr>
        <w:t>»</w:t>
      </w:r>
      <w:r w:rsidR="008C3AED" w:rsidRPr="00A00806">
        <w:rPr>
          <w:rStyle w:val="FootnoteReference"/>
          <w:lang w:val="ru-RU"/>
        </w:rPr>
        <w:footnoteReference w:id="10"/>
      </w:r>
      <w:r w:rsidR="004A566C" w:rsidRPr="00A00806">
        <w:rPr>
          <w:lang w:val="ru-RU"/>
        </w:rPr>
        <w:t xml:space="preserve"> и обзоры осуществления Конвенции.</w:t>
      </w:r>
      <w:r w:rsidR="00D15E37" w:rsidRPr="00A00806">
        <w:rPr>
          <w:rStyle w:val="FootnoteReference"/>
          <w:lang w:val="ru-RU"/>
        </w:rPr>
        <w:footnoteReference w:id="11"/>
      </w:r>
    </w:p>
    <w:p w14:paraId="7BA52651" w14:textId="22F79AED" w:rsidR="004A566C" w:rsidRPr="00340D85" w:rsidRDefault="00491AE8" w:rsidP="00573E32">
      <w:pPr>
        <w:pStyle w:val="HChG"/>
        <w:rPr>
          <w:bCs/>
          <w:lang w:val="ru-RU"/>
        </w:rPr>
      </w:pPr>
      <w:bookmarkStart w:id="9" w:name="_Toc507852129"/>
      <w:r w:rsidRPr="00340D85">
        <w:rPr>
          <w:lang w:val="ru-RU"/>
        </w:rPr>
        <w:tab/>
      </w:r>
      <w:r w:rsidR="004A566C" w:rsidRPr="0060751F">
        <w:t>II</w:t>
      </w:r>
      <w:r w:rsidR="004A566C" w:rsidRPr="00340D85">
        <w:rPr>
          <w:lang w:val="ru-RU"/>
        </w:rPr>
        <w:t>.</w:t>
      </w:r>
      <w:r w:rsidR="004A566C" w:rsidRPr="00340D85">
        <w:rPr>
          <w:lang w:val="ru-RU"/>
        </w:rPr>
        <w:tab/>
        <w:t xml:space="preserve">Общие руководящие принципы по оценке воздействия на окружающую среду </w:t>
      </w:r>
      <w:r w:rsidR="005A5426">
        <w:rPr>
          <w:lang w:val="ru-RU"/>
        </w:rPr>
        <w:t>в трансграничном контексте</w:t>
      </w:r>
      <w:r w:rsidR="005A5426" w:rsidRPr="00340D85">
        <w:rPr>
          <w:lang w:val="ru-RU"/>
        </w:rPr>
        <w:t xml:space="preserve"> </w:t>
      </w:r>
      <w:r w:rsidR="004A566C" w:rsidRPr="00340D85">
        <w:rPr>
          <w:lang w:val="ru-RU"/>
        </w:rPr>
        <w:t>для стран Центральной Азии</w:t>
      </w:r>
      <w:bookmarkEnd w:id="9"/>
    </w:p>
    <w:p w14:paraId="09BBF3A8" w14:textId="1502B1CD" w:rsidR="004A566C" w:rsidRPr="00491F48" w:rsidRDefault="00960C09" w:rsidP="004A566C">
      <w:pPr>
        <w:pStyle w:val="SingleTxtG"/>
        <w:rPr>
          <w:lang w:val="ru-RU"/>
        </w:rPr>
      </w:pPr>
      <w:r>
        <w:rPr>
          <w:lang w:val="ru-RU"/>
        </w:rPr>
        <w:t>24</w:t>
      </w:r>
      <w:r w:rsidR="004A566C">
        <w:rPr>
          <w:lang w:val="ru-RU"/>
        </w:rPr>
        <w:t>.</w:t>
      </w:r>
      <w:r w:rsidR="004A566C">
        <w:rPr>
          <w:lang w:val="ru-RU"/>
        </w:rPr>
        <w:tab/>
      </w:r>
      <w:r w:rsidR="004A566C" w:rsidRPr="00491F48">
        <w:rPr>
          <w:lang w:val="ru-RU"/>
        </w:rPr>
        <w:t xml:space="preserve">Трансграничная оценка воздействия на окружающую среду проводится на основании соответствующих принципов и норм международного права, </w:t>
      </w:r>
      <w:r w:rsidR="004A566C">
        <w:rPr>
          <w:lang w:val="ru-RU"/>
        </w:rPr>
        <w:t xml:space="preserve">установленных Конвенцией Эспо, и других </w:t>
      </w:r>
      <w:r w:rsidR="004A566C" w:rsidRPr="00491F48">
        <w:rPr>
          <w:lang w:val="ru-RU"/>
        </w:rPr>
        <w:t>соответствующих региональных и двусторонних соглашений</w:t>
      </w:r>
      <w:r>
        <w:rPr>
          <w:lang w:val="ru-RU"/>
        </w:rPr>
        <w:t xml:space="preserve">, как Протокол по </w:t>
      </w:r>
      <w:r w:rsidR="004D65B2">
        <w:rPr>
          <w:lang w:val="ru-RU"/>
        </w:rPr>
        <w:t>оценке воздействия на окружающую среду в трансграничном контексте к Тегеранской конвенции</w:t>
      </w:r>
      <w:r w:rsidR="004D65B2">
        <w:rPr>
          <w:rStyle w:val="FootnoteReference"/>
          <w:lang w:val="ru-RU"/>
        </w:rPr>
        <w:footnoteReference w:id="12"/>
      </w:r>
      <w:r>
        <w:rPr>
          <w:lang w:val="ru-RU"/>
        </w:rPr>
        <w:t xml:space="preserve"> </w:t>
      </w:r>
      <w:r w:rsidR="005043DB">
        <w:rPr>
          <w:lang w:val="ru-RU"/>
        </w:rPr>
        <w:t>и соглашения по проведению оценки воздействия на окружающую среду в отношении индивидуальных проектов, в частности в рамках инициативы «Один пояс и один путь»</w:t>
      </w:r>
      <w:r w:rsidR="004A566C" w:rsidRPr="00491F48">
        <w:rPr>
          <w:lang w:val="ru-RU"/>
        </w:rPr>
        <w:t xml:space="preserve">. </w:t>
      </w:r>
      <w:r w:rsidR="005043DB">
        <w:rPr>
          <w:lang w:val="ru-RU"/>
        </w:rPr>
        <w:t>Пересмотренные</w:t>
      </w:r>
      <w:r w:rsidR="004A566C">
        <w:rPr>
          <w:lang w:val="ru-RU"/>
        </w:rPr>
        <w:t xml:space="preserve"> Руководящие принципы разработаны, среди прочего, с учетом особенностей всех стран всех Центральной Азии, независимо от того, являются ли они сторонами Конвенции или нет. Таким образом, они </w:t>
      </w:r>
      <w:r w:rsidR="004A566C" w:rsidRPr="00491F48">
        <w:rPr>
          <w:lang w:val="ru-RU"/>
        </w:rPr>
        <w:t xml:space="preserve">применимы для всех стран </w:t>
      </w:r>
      <w:r w:rsidR="004A566C">
        <w:rPr>
          <w:lang w:val="ru-RU"/>
        </w:rPr>
        <w:t>субрегиона.</w:t>
      </w:r>
    </w:p>
    <w:p w14:paraId="0A7F1BD2" w14:textId="107852AB" w:rsidR="004A566C" w:rsidRPr="00491F48" w:rsidRDefault="006C3900" w:rsidP="004A566C">
      <w:pPr>
        <w:pStyle w:val="SingleTxtG"/>
        <w:rPr>
          <w:lang w:val="ru-RU"/>
        </w:rPr>
      </w:pPr>
      <w:r>
        <w:rPr>
          <w:lang w:val="ru-RU"/>
        </w:rPr>
        <w:t>2</w:t>
      </w:r>
      <w:r w:rsidR="005043DB">
        <w:rPr>
          <w:lang w:val="ru-RU"/>
        </w:rPr>
        <w:t>5</w:t>
      </w:r>
      <w:r w:rsidR="004A566C">
        <w:rPr>
          <w:lang w:val="ru-RU"/>
        </w:rPr>
        <w:t>.</w:t>
      </w:r>
      <w:r w:rsidR="004A566C">
        <w:rPr>
          <w:lang w:val="ru-RU"/>
        </w:rPr>
        <w:tab/>
      </w:r>
      <w:r w:rsidR="004A566C" w:rsidRPr="00491F48">
        <w:rPr>
          <w:lang w:val="ru-RU"/>
        </w:rPr>
        <w:t xml:space="preserve">Для проведения </w:t>
      </w:r>
      <w:r w:rsidR="004A566C">
        <w:rPr>
          <w:lang w:val="ru-RU"/>
        </w:rPr>
        <w:t xml:space="preserve">процедуры </w:t>
      </w:r>
      <w:r w:rsidR="004A566C" w:rsidRPr="00491F48">
        <w:rPr>
          <w:lang w:val="ru-RU"/>
        </w:rPr>
        <w:t xml:space="preserve">трансграничной </w:t>
      </w:r>
      <w:r w:rsidR="005043DB">
        <w:rPr>
          <w:lang w:val="ru-RU"/>
        </w:rPr>
        <w:t>оценки воздействия на окружающую среду</w:t>
      </w:r>
      <w:r w:rsidR="004A566C" w:rsidRPr="00491F48">
        <w:rPr>
          <w:lang w:val="ru-RU"/>
        </w:rPr>
        <w:t xml:space="preserve"> страны</w:t>
      </w:r>
      <w:r w:rsidR="005043DB">
        <w:rPr>
          <w:lang w:val="ru-RU"/>
        </w:rPr>
        <w:t xml:space="preserve"> Центральной Азии</w:t>
      </w:r>
      <w:r w:rsidR="00591D51">
        <w:rPr>
          <w:lang w:val="ru-RU"/>
        </w:rPr>
        <w:t xml:space="preserve"> должны</w:t>
      </w:r>
      <w:r w:rsidR="004A566C" w:rsidRPr="00491F48">
        <w:rPr>
          <w:lang w:val="ru-RU"/>
        </w:rPr>
        <w:t>:</w:t>
      </w:r>
    </w:p>
    <w:p w14:paraId="495B0C13" w14:textId="5FBD6E97" w:rsidR="004A566C" w:rsidRPr="00491F48" w:rsidRDefault="004A566C" w:rsidP="00673E70">
      <w:pPr>
        <w:pStyle w:val="SingleTxtG"/>
        <w:ind w:firstLine="567"/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</w:r>
      <w:r w:rsidR="00591D51">
        <w:rPr>
          <w:lang w:val="ru-RU"/>
        </w:rPr>
        <w:t>П</w:t>
      </w:r>
      <w:r w:rsidR="00591D51" w:rsidRPr="00807262">
        <w:rPr>
          <w:lang w:val="ru-RU"/>
        </w:rPr>
        <w:t>ринима</w:t>
      </w:r>
      <w:r w:rsidR="00591D51">
        <w:rPr>
          <w:lang w:val="ru-RU"/>
        </w:rPr>
        <w:t>ть</w:t>
      </w:r>
      <w:r w:rsidR="00591D51" w:rsidRPr="00807262">
        <w:rPr>
          <w:lang w:val="ru-RU"/>
        </w:rPr>
        <w:t xml:space="preserve"> </w:t>
      </w:r>
      <w:r w:rsidRPr="00807262">
        <w:rPr>
          <w:lang w:val="ru-RU"/>
        </w:rPr>
        <w:t xml:space="preserve">и </w:t>
      </w:r>
      <w:r w:rsidR="00591D51" w:rsidRPr="00807262">
        <w:rPr>
          <w:lang w:val="ru-RU"/>
        </w:rPr>
        <w:t>развива</w:t>
      </w:r>
      <w:r w:rsidR="00591D51">
        <w:rPr>
          <w:lang w:val="ru-RU"/>
        </w:rPr>
        <w:t>ть</w:t>
      </w:r>
      <w:r w:rsidR="00591D51" w:rsidRPr="00491F48">
        <w:rPr>
          <w:lang w:val="ru-RU"/>
        </w:rPr>
        <w:t xml:space="preserve"> </w:t>
      </w:r>
      <w:r w:rsidRPr="00491F48">
        <w:rPr>
          <w:lang w:val="ru-RU"/>
        </w:rPr>
        <w:t xml:space="preserve">необходимые законодательные, административные и другие меры для осуществления </w:t>
      </w:r>
      <w:r w:rsidR="00DB4956">
        <w:rPr>
          <w:lang w:val="ru-RU"/>
        </w:rPr>
        <w:t>н</w:t>
      </w:r>
      <w:r w:rsidR="00DB4956" w:rsidRPr="00491F48">
        <w:rPr>
          <w:lang w:val="ru-RU"/>
        </w:rPr>
        <w:t xml:space="preserve">а национальном уровне </w:t>
      </w:r>
      <w:r w:rsidRPr="00491F48">
        <w:rPr>
          <w:lang w:val="ru-RU"/>
        </w:rPr>
        <w:t>процедуры оценки</w:t>
      </w:r>
      <w:r>
        <w:rPr>
          <w:lang w:val="ru-RU"/>
        </w:rPr>
        <w:t xml:space="preserve"> вероятного</w:t>
      </w:r>
      <w:r w:rsidRPr="00491F48">
        <w:rPr>
          <w:lang w:val="ru-RU"/>
        </w:rPr>
        <w:t xml:space="preserve"> значительного воздействия планируемой деятельности на окружающую среду, </w:t>
      </w:r>
      <w:r w:rsidR="005043DB" w:rsidRPr="00491F48">
        <w:rPr>
          <w:lang w:val="ru-RU"/>
        </w:rPr>
        <w:t>обеспечива</w:t>
      </w:r>
      <w:r w:rsidR="005043DB">
        <w:rPr>
          <w:lang w:val="ru-RU"/>
        </w:rPr>
        <w:t>я</w:t>
      </w:r>
      <w:r w:rsidR="005043DB" w:rsidRPr="00491F48">
        <w:rPr>
          <w:lang w:val="ru-RU"/>
        </w:rPr>
        <w:t xml:space="preserve"> </w:t>
      </w:r>
      <w:r w:rsidRPr="00491F48">
        <w:rPr>
          <w:lang w:val="ru-RU"/>
        </w:rPr>
        <w:t>надлежащую роль государственных органов и участие общественности.</w:t>
      </w:r>
      <w:r w:rsidR="005043DB">
        <w:rPr>
          <w:lang w:val="ru-RU"/>
        </w:rPr>
        <w:t xml:space="preserve"> Принимая во внимания, что</w:t>
      </w:r>
      <w:r w:rsidR="00673E70" w:rsidRPr="00EA274D">
        <w:rPr>
          <w:lang w:val="ru-RU"/>
        </w:rPr>
        <w:t xml:space="preserve"> </w:t>
      </w:r>
      <w:r w:rsidR="00673E70">
        <w:rPr>
          <w:lang w:val="ru-RU"/>
        </w:rPr>
        <w:t>во всех странах Центральной Азии системы экологическ</w:t>
      </w:r>
      <w:r w:rsidR="007D64F2">
        <w:rPr>
          <w:lang w:val="ru-RU"/>
        </w:rPr>
        <w:t>ой</w:t>
      </w:r>
      <w:r w:rsidR="00673E70">
        <w:rPr>
          <w:lang w:val="ru-RU"/>
        </w:rPr>
        <w:t xml:space="preserve"> оценк</w:t>
      </w:r>
      <w:r w:rsidR="007D64F2">
        <w:rPr>
          <w:lang w:val="ru-RU"/>
        </w:rPr>
        <w:t>и</w:t>
      </w:r>
      <w:r w:rsidR="00673E70">
        <w:rPr>
          <w:lang w:val="ru-RU"/>
        </w:rPr>
        <w:t xml:space="preserve"> </w:t>
      </w:r>
      <w:r w:rsidR="007D64F2">
        <w:rPr>
          <w:lang w:val="ru-RU"/>
        </w:rPr>
        <w:t>(</w:t>
      </w:r>
      <w:r w:rsidR="00673E70">
        <w:rPr>
          <w:lang w:val="ru-RU"/>
        </w:rPr>
        <w:t>оценки воздействия на окру</w:t>
      </w:r>
      <w:r w:rsidR="007D64F2">
        <w:rPr>
          <w:lang w:val="ru-RU"/>
        </w:rPr>
        <w:t>жающую среду/</w:t>
      </w:r>
      <w:r w:rsidR="00673E70">
        <w:rPr>
          <w:lang w:val="ru-RU"/>
        </w:rPr>
        <w:t>экологической экспертизы</w:t>
      </w:r>
      <w:r w:rsidR="007D64F2">
        <w:rPr>
          <w:lang w:val="ru-RU"/>
        </w:rPr>
        <w:t>)</w:t>
      </w:r>
      <w:r w:rsidR="005043DB">
        <w:rPr>
          <w:lang w:val="ru-RU"/>
        </w:rPr>
        <w:t xml:space="preserve"> </w:t>
      </w:r>
      <w:r w:rsidR="00591D51">
        <w:rPr>
          <w:lang w:val="ru-RU"/>
        </w:rPr>
        <w:t>явля</w:t>
      </w:r>
      <w:r w:rsidR="007D64F2">
        <w:rPr>
          <w:lang w:val="ru-RU"/>
        </w:rPr>
        <w:t>ю</w:t>
      </w:r>
      <w:r w:rsidR="00591D51">
        <w:rPr>
          <w:lang w:val="ru-RU"/>
        </w:rPr>
        <w:t xml:space="preserve">тся составной частью систем выдачи разрешений, рекомендуется </w:t>
      </w:r>
      <w:r w:rsidR="007D64F2">
        <w:rPr>
          <w:lang w:val="ru-RU"/>
        </w:rPr>
        <w:t>интегрировать в эти системы и трансграничную оценку воздействия на окружающую среду</w:t>
      </w:r>
      <w:r w:rsidR="00591D51">
        <w:rPr>
          <w:lang w:val="ru-RU"/>
        </w:rPr>
        <w:t>;</w:t>
      </w:r>
    </w:p>
    <w:p w14:paraId="246FFE88" w14:textId="6CE472C6" w:rsidR="00591D51" w:rsidRDefault="004A566C" w:rsidP="004A566C">
      <w:pPr>
        <w:pStyle w:val="SingleTxtG"/>
        <w:ind w:firstLine="567"/>
        <w:rPr>
          <w:lang w:val="ru-RU"/>
        </w:rPr>
      </w:pPr>
      <w:r w:rsidRPr="0060751F">
        <w:rPr>
          <w:lang w:val="ru-RU"/>
        </w:rPr>
        <w:t>(б)</w:t>
      </w:r>
      <w:r>
        <w:rPr>
          <w:lang w:val="ru-RU"/>
        </w:rPr>
        <w:tab/>
      </w:r>
      <w:r w:rsidR="00591D51" w:rsidRPr="00F779E7">
        <w:rPr>
          <w:lang w:val="ru-RU"/>
        </w:rPr>
        <w:t>Принима</w:t>
      </w:r>
      <w:r w:rsidR="00591D51">
        <w:rPr>
          <w:lang w:val="ru-RU"/>
        </w:rPr>
        <w:t>ть</w:t>
      </w:r>
      <w:r w:rsidR="00591D51" w:rsidRPr="00491F48">
        <w:rPr>
          <w:lang w:val="ru-RU"/>
        </w:rPr>
        <w:t xml:space="preserve"> все надлежащие и эффективные меры для предотвращения, уменьшения и контроля за значительным вредным трансграничным воздействием на окружающую среду планируемой деятельности</w:t>
      </w:r>
      <w:r w:rsidR="00591D51">
        <w:rPr>
          <w:lang w:val="ru-RU"/>
        </w:rPr>
        <w:t>.</w:t>
      </w:r>
      <w:r w:rsidR="00591D51" w:rsidRPr="00807262">
        <w:rPr>
          <w:lang w:val="ru-RU"/>
        </w:rPr>
        <w:t xml:space="preserve"> </w:t>
      </w:r>
    </w:p>
    <w:p w14:paraId="44EB0500" w14:textId="6E03D527" w:rsidR="004A566C" w:rsidRPr="00491F48" w:rsidRDefault="00591D51" w:rsidP="00FC0EE6">
      <w:pPr>
        <w:pStyle w:val="SingleTxtG"/>
        <w:rPr>
          <w:lang w:val="ru-RU"/>
        </w:rPr>
      </w:pPr>
      <w:r>
        <w:rPr>
          <w:lang w:val="ru-RU"/>
        </w:rPr>
        <w:t>Также рекомендовано странам стремиться</w:t>
      </w:r>
      <w:r w:rsidR="004A566C" w:rsidRPr="00491F48">
        <w:rPr>
          <w:lang w:val="ru-RU"/>
        </w:rPr>
        <w:t xml:space="preserve"> к развитию общих подходов к трансграничной </w:t>
      </w:r>
      <w:r w:rsidR="004D1F70">
        <w:rPr>
          <w:lang w:val="ru-RU"/>
        </w:rPr>
        <w:t xml:space="preserve">оценке </w:t>
      </w:r>
      <w:r>
        <w:rPr>
          <w:lang w:val="ru-RU"/>
        </w:rPr>
        <w:t>воздействия на окружающую среду</w:t>
      </w:r>
      <w:r w:rsidR="004A566C" w:rsidRPr="00491F48">
        <w:rPr>
          <w:lang w:val="ru-RU"/>
        </w:rPr>
        <w:t>, исходя из соответствующей национальной и международной практики</w:t>
      </w:r>
      <w:r w:rsidR="004A566C">
        <w:rPr>
          <w:lang w:val="ru-RU"/>
        </w:rPr>
        <w:t xml:space="preserve"> и права</w:t>
      </w:r>
      <w:r w:rsidR="004A566C" w:rsidRPr="00491F48">
        <w:rPr>
          <w:lang w:val="ru-RU"/>
        </w:rPr>
        <w:t>. Обзор</w:t>
      </w:r>
      <w:r w:rsidR="004A566C">
        <w:rPr>
          <w:lang w:val="ru-RU"/>
        </w:rPr>
        <w:t>ы</w:t>
      </w:r>
      <w:r w:rsidR="004A566C" w:rsidRPr="00491F48">
        <w:rPr>
          <w:lang w:val="ru-RU"/>
        </w:rPr>
        <w:t xml:space="preserve"> действующего национального законодательства стран Центральной Азии в сфере </w:t>
      </w:r>
      <w:r>
        <w:rPr>
          <w:lang w:val="ru-RU"/>
        </w:rPr>
        <w:t>оценки воздействия на окружающую среду, описанных выше в пункте 2</w:t>
      </w:r>
      <w:r w:rsidR="004E5FCA" w:rsidRPr="004E5FCA">
        <w:rPr>
          <w:lang w:val="ru-RU"/>
        </w:rPr>
        <w:t>1</w:t>
      </w:r>
      <w:r>
        <w:rPr>
          <w:lang w:val="ru-RU"/>
        </w:rPr>
        <w:t xml:space="preserve"> (а), </w:t>
      </w:r>
      <w:r w:rsidR="004A566C" w:rsidRPr="00491F48">
        <w:rPr>
          <w:lang w:val="ru-RU"/>
        </w:rPr>
        <w:t>м</w:t>
      </w:r>
      <w:r w:rsidR="004A566C">
        <w:rPr>
          <w:lang w:val="ru-RU"/>
        </w:rPr>
        <w:t>огут оказаться полез</w:t>
      </w:r>
      <w:r w:rsidR="004A566C" w:rsidRPr="00491F48">
        <w:rPr>
          <w:lang w:val="ru-RU"/>
        </w:rPr>
        <w:t>н</w:t>
      </w:r>
      <w:r w:rsidR="004A566C">
        <w:rPr>
          <w:lang w:val="ru-RU"/>
        </w:rPr>
        <w:t>ыми</w:t>
      </w:r>
      <w:r w:rsidR="004A566C" w:rsidRPr="00491F48">
        <w:rPr>
          <w:lang w:val="ru-RU"/>
        </w:rPr>
        <w:t xml:space="preserve"> для создания таких общих подходов и поиска конкретных взаимовыгодных решений для эффективного проведения трансграничной </w:t>
      </w:r>
      <w:r>
        <w:rPr>
          <w:lang w:val="ru-RU"/>
        </w:rPr>
        <w:t>оценки воздействия на окружающую среду</w:t>
      </w:r>
      <w:r w:rsidR="004A566C" w:rsidRPr="00491F48">
        <w:rPr>
          <w:lang w:val="ru-RU"/>
        </w:rPr>
        <w:t xml:space="preserve">. Для целей трансграничной оценки воздействия на окружающую среду существующие национальные процедуры государственной экологической экспертизы, </w:t>
      </w:r>
      <w:r w:rsidR="004A566C">
        <w:rPr>
          <w:lang w:val="ru-RU"/>
        </w:rPr>
        <w:t xml:space="preserve">которые </w:t>
      </w:r>
      <w:r w:rsidR="004A566C" w:rsidRPr="00A00806">
        <w:rPr>
          <w:lang w:val="ru-RU"/>
        </w:rPr>
        <w:t xml:space="preserve">предусматривают требования к материалам </w:t>
      </w:r>
      <w:r w:rsidRPr="00A00806">
        <w:rPr>
          <w:lang w:val="ru-RU"/>
        </w:rPr>
        <w:t xml:space="preserve">оценки воздействия на окружающую среду </w:t>
      </w:r>
      <w:r w:rsidR="004A566C" w:rsidRPr="00A00806">
        <w:rPr>
          <w:lang w:val="ru-RU"/>
        </w:rPr>
        <w:t>и заканчиваются заключением</w:t>
      </w:r>
      <w:r w:rsidR="004A566C" w:rsidRPr="00491F48">
        <w:rPr>
          <w:lang w:val="ru-RU"/>
        </w:rPr>
        <w:t xml:space="preserve"> государственной экологической экспертизы, следует рассматривать как процесс принятия решения по п</w:t>
      </w:r>
      <w:r w:rsidR="004A566C">
        <w:rPr>
          <w:lang w:val="ru-RU"/>
        </w:rPr>
        <w:t>ланируемой деятельности.</w:t>
      </w:r>
      <w:r w:rsidR="004A566C" w:rsidRPr="00491F48">
        <w:rPr>
          <w:lang w:val="ru-RU"/>
        </w:rPr>
        <w:t xml:space="preserve"> </w:t>
      </w:r>
    </w:p>
    <w:p w14:paraId="072BB183" w14:textId="24A93C93" w:rsidR="004A566C" w:rsidRDefault="004A566C" w:rsidP="004A566C">
      <w:pPr>
        <w:pStyle w:val="SingleTxtG"/>
        <w:ind w:firstLine="567"/>
        <w:rPr>
          <w:lang w:val="ru-RU"/>
        </w:rPr>
      </w:pPr>
      <w:r w:rsidRPr="00491F48">
        <w:rPr>
          <w:lang w:val="ru-RU"/>
        </w:rPr>
        <w:t>.</w:t>
      </w:r>
    </w:p>
    <w:p w14:paraId="3245A045" w14:textId="6392918A" w:rsidR="004A566C" w:rsidRPr="00EC2DA1" w:rsidRDefault="00255FF1" w:rsidP="002C224B">
      <w:pPr>
        <w:pStyle w:val="HChG"/>
        <w:rPr>
          <w:lang w:val="ru-RU"/>
        </w:rPr>
      </w:pPr>
      <w:bookmarkStart w:id="11" w:name="_Toc507852130"/>
      <w:r w:rsidRPr="00340D85">
        <w:rPr>
          <w:lang w:val="ru-RU"/>
        </w:rPr>
        <w:tab/>
      </w:r>
      <w:r w:rsidR="004A566C" w:rsidRPr="002C224B">
        <w:rPr>
          <w:lang w:val="ru-RU"/>
        </w:rPr>
        <w:t>III</w:t>
      </w:r>
      <w:r w:rsidR="004A566C" w:rsidRPr="00EC2DA1">
        <w:rPr>
          <w:lang w:val="ru-RU"/>
        </w:rPr>
        <w:t xml:space="preserve">. </w:t>
      </w:r>
      <w:r w:rsidRPr="00EC2DA1">
        <w:rPr>
          <w:lang w:val="ru-RU"/>
        </w:rPr>
        <w:tab/>
      </w:r>
      <w:r w:rsidR="004A566C" w:rsidRPr="00EC2DA1">
        <w:rPr>
          <w:lang w:val="ru-RU"/>
        </w:rPr>
        <w:t>Специальные руководящие принципы</w:t>
      </w:r>
      <w:bookmarkEnd w:id="11"/>
      <w:r w:rsidR="00030F46" w:rsidRPr="002C224B">
        <w:rPr>
          <w:lang w:val="ru-RU"/>
        </w:rPr>
        <w:t xml:space="preserve"> </w:t>
      </w:r>
      <w:r w:rsidR="00030F46" w:rsidRPr="00030F46">
        <w:rPr>
          <w:lang w:val="ru-RU"/>
        </w:rPr>
        <w:t xml:space="preserve">по оценке </w:t>
      </w:r>
      <w:r w:rsidR="00030F46">
        <w:rPr>
          <w:lang w:val="ru-RU"/>
        </w:rPr>
        <w:t>в</w:t>
      </w:r>
      <w:r w:rsidR="00030F46" w:rsidRPr="00030F46">
        <w:rPr>
          <w:lang w:val="ru-RU"/>
        </w:rPr>
        <w:t>оздействия на окружающую среду</w:t>
      </w:r>
      <w:r w:rsidR="00030F46">
        <w:rPr>
          <w:lang w:val="ru-RU"/>
        </w:rPr>
        <w:t xml:space="preserve"> </w:t>
      </w:r>
      <w:r w:rsidR="00030F46" w:rsidRPr="00030F46">
        <w:rPr>
          <w:lang w:val="ru-RU"/>
        </w:rPr>
        <w:t>в трансграничном контексте для стран Центральной Азии</w:t>
      </w:r>
    </w:p>
    <w:p w14:paraId="34223AF4" w14:textId="05F67219" w:rsidR="004A566C" w:rsidRPr="00491F48" w:rsidRDefault="003601CC" w:rsidP="004A566C">
      <w:pPr>
        <w:pStyle w:val="SingleTxtG"/>
        <w:rPr>
          <w:lang w:val="ru-RU"/>
        </w:rPr>
      </w:pPr>
      <w:r>
        <w:rPr>
          <w:lang w:val="ru-RU"/>
        </w:rPr>
        <w:t>26</w:t>
      </w:r>
      <w:r w:rsidR="004A566C" w:rsidRPr="00E24FB8">
        <w:rPr>
          <w:lang w:val="ru-RU"/>
        </w:rPr>
        <w:t>.</w:t>
      </w:r>
      <w:r w:rsidR="004A566C" w:rsidRPr="00E24FB8">
        <w:rPr>
          <w:lang w:val="ru-RU"/>
        </w:rPr>
        <w:tab/>
      </w:r>
      <w:r w:rsidR="004A566C" w:rsidRPr="00491F48">
        <w:rPr>
          <w:lang w:val="ru-RU"/>
        </w:rPr>
        <w:t xml:space="preserve">Процедура трансграничной </w:t>
      </w:r>
      <w:r>
        <w:rPr>
          <w:lang w:val="ru-RU"/>
        </w:rPr>
        <w:t>оценки воздействия на окружающую среду проводится компетентным государственным органом в соответствии с национальным законодательством и практикой. Процедура включает: определение</w:t>
      </w:r>
      <w:r w:rsidR="005B19C6">
        <w:rPr>
          <w:lang w:val="ru-RU"/>
        </w:rPr>
        <w:t xml:space="preserve"> того,</w:t>
      </w:r>
      <w:r w:rsidR="00D40EE1" w:rsidRPr="00D40EE1">
        <w:rPr>
          <w:lang w:val="ru-RU"/>
        </w:rPr>
        <w:t xml:space="preserve"> </w:t>
      </w:r>
      <w:r>
        <w:rPr>
          <w:lang w:val="ru-RU"/>
        </w:rPr>
        <w:t>может ли планируемая деятельность</w:t>
      </w:r>
      <w:r w:rsidR="005B19C6">
        <w:rPr>
          <w:lang w:val="ru-RU"/>
        </w:rPr>
        <w:t xml:space="preserve">, указанная в перечне Добавления </w:t>
      </w:r>
      <w:r w:rsidR="005B19C6">
        <w:rPr>
          <w:lang w:val="en-US"/>
        </w:rPr>
        <w:t>I</w:t>
      </w:r>
      <w:r w:rsidR="005B19C6">
        <w:rPr>
          <w:lang w:val="ru-RU"/>
        </w:rPr>
        <w:t xml:space="preserve"> </w:t>
      </w:r>
      <w:r w:rsidR="00D143DF">
        <w:rPr>
          <w:lang w:val="ru-RU"/>
        </w:rPr>
        <w:t xml:space="preserve">к </w:t>
      </w:r>
      <w:r w:rsidR="005B19C6">
        <w:rPr>
          <w:lang w:val="ru-RU"/>
        </w:rPr>
        <w:t>Конвенции,</w:t>
      </w:r>
      <w:r>
        <w:rPr>
          <w:lang w:val="ru-RU"/>
        </w:rPr>
        <w:t xml:space="preserve"> оказывать значительное вредное трансграничное воздействие (</w:t>
      </w:r>
      <w:r w:rsidR="005B19C6">
        <w:rPr>
          <w:lang w:val="ru-RU"/>
        </w:rPr>
        <w:t xml:space="preserve">этот шаг обычно называется </w:t>
      </w:r>
      <w:r>
        <w:rPr>
          <w:lang w:val="ru-RU"/>
        </w:rPr>
        <w:t>«скрининг</w:t>
      </w:r>
      <w:r w:rsidR="005B19C6">
        <w:rPr>
          <w:lang w:val="ru-RU"/>
        </w:rPr>
        <w:t>ом</w:t>
      </w:r>
      <w:r>
        <w:rPr>
          <w:lang w:val="ru-RU"/>
        </w:rPr>
        <w:t>»)</w:t>
      </w:r>
      <w:r w:rsidR="00D40EE1">
        <w:rPr>
          <w:lang w:val="ru-RU"/>
        </w:rPr>
        <w:t>;</w:t>
      </w:r>
      <w:r w:rsidR="004A566C" w:rsidRPr="00491F48">
        <w:rPr>
          <w:lang w:val="ru-RU"/>
        </w:rPr>
        <w:t xml:space="preserve"> информирование затрагиваемых государств</w:t>
      </w:r>
      <w:r w:rsidR="004A566C">
        <w:rPr>
          <w:lang w:val="ru-RU"/>
        </w:rPr>
        <w:t xml:space="preserve"> о планируемой деятельности и ее вероятном воздействии</w:t>
      </w:r>
      <w:r w:rsidR="00D40EE1">
        <w:rPr>
          <w:lang w:val="ru-RU"/>
        </w:rPr>
        <w:t>;</w:t>
      </w:r>
      <w:r w:rsidR="00D40EE1" w:rsidRPr="00491F48">
        <w:rPr>
          <w:lang w:val="ru-RU"/>
        </w:rPr>
        <w:t xml:space="preserve"> </w:t>
      </w:r>
      <w:r w:rsidR="004A566C" w:rsidRPr="00491F48">
        <w:rPr>
          <w:lang w:val="ru-RU"/>
        </w:rPr>
        <w:t xml:space="preserve">проведение межгосударственных консультаций на основании документации по </w:t>
      </w:r>
      <w:r w:rsidR="00D40EE1">
        <w:rPr>
          <w:lang w:val="ru-RU"/>
        </w:rPr>
        <w:t>оценке воздействия на окружающую среду;</w:t>
      </w:r>
      <w:r w:rsidR="00D40EE1" w:rsidRPr="00491F48">
        <w:rPr>
          <w:lang w:val="ru-RU"/>
        </w:rPr>
        <w:t xml:space="preserve"> </w:t>
      </w:r>
      <w:r w:rsidR="004A566C" w:rsidRPr="00491F48">
        <w:rPr>
          <w:lang w:val="ru-RU"/>
        </w:rPr>
        <w:t>обеспечение участи</w:t>
      </w:r>
      <w:r w:rsidR="004A566C">
        <w:rPr>
          <w:lang w:val="ru-RU"/>
        </w:rPr>
        <w:t>я</w:t>
      </w:r>
      <w:r w:rsidR="004A566C" w:rsidRPr="00491F48">
        <w:rPr>
          <w:lang w:val="ru-RU"/>
        </w:rPr>
        <w:t xml:space="preserve"> общественности</w:t>
      </w:r>
      <w:r w:rsidR="00D40EE1">
        <w:rPr>
          <w:lang w:val="ru-RU"/>
        </w:rPr>
        <w:t>;</w:t>
      </w:r>
      <w:r w:rsidR="004A566C" w:rsidRPr="00491F48">
        <w:rPr>
          <w:lang w:val="ru-RU"/>
        </w:rPr>
        <w:t xml:space="preserve"> </w:t>
      </w:r>
      <w:r w:rsidR="004A566C">
        <w:rPr>
          <w:lang w:val="ru-RU"/>
        </w:rPr>
        <w:t xml:space="preserve">и </w:t>
      </w:r>
      <w:r w:rsidR="004A566C" w:rsidRPr="00491F48">
        <w:rPr>
          <w:lang w:val="ru-RU"/>
        </w:rPr>
        <w:t>принятие окончательного решения.</w:t>
      </w:r>
    </w:p>
    <w:p w14:paraId="203C6BD9" w14:textId="228FAABB" w:rsidR="004A566C" w:rsidRPr="00491F48" w:rsidRDefault="00D40EE1" w:rsidP="004A566C">
      <w:pPr>
        <w:pStyle w:val="SingleTxtG"/>
        <w:rPr>
          <w:lang w:val="ru-RU"/>
        </w:rPr>
      </w:pPr>
      <w:r>
        <w:rPr>
          <w:lang w:val="ru-RU"/>
        </w:rPr>
        <w:t>27</w:t>
      </w:r>
      <w:r w:rsidR="004A566C" w:rsidRPr="00E24FB8">
        <w:rPr>
          <w:lang w:val="ru-RU"/>
        </w:rPr>
        <w:t>.</w:t>
      </w:r>
      <w:r w:rsidR="004A566C" w:rsidRPr="00E24FB8">
        <w:rPr>
          <w:lang w:val="ru-RU"/>
        </w:rPr>
        <w:tab/>
      </w:r>
      <w:r w:rsidR="004A566C" w:rsidRPr="00491F48">
        <w:rPr>
          <w:lang w:val="ru-RU"/>
        </w:rPr>
        <w:t xml:space="preserve">Государственными </w:t>
      </w:r>
      <w:r w:rsidR="00A36E97">
        <w:rPr>
          <w:lang w:val="ru-RU"/>
        </w:rPr>
        <w:t xml:space="preserve">компетентными </w:t>
      </w:r>
      <w:r w:rsidR="004A566C" w:rsidRPr="00491F48">
        <w:rPr>
          <w:lang w:val="ru-RU"/>
        </w:rPr>
        <w:t xml:space="preserve">органами, </w:t>
      </w:r>
      <w:r>
        <w:rPr>
          <w:lang w:val="ru-RU"/>
        </w:rPr>
        <w:t>уполномоченными осуществлять</w:t>
      </w:r>
      <w:r w:rsidRPr="00491F48">
        <w:rPr>
          <w:lang w:val="ru-RU"/>
        </w:rPr>
        <w:t xml:space="preserve"> </w:t>
      </w:r>
      <w:r w:rsidR="004A566C" w:rsidRPr="00491F48">
        <w:rPr>
          <w:lang w:val="ru-RU"/>
        </w:rPr>
        <w:t xml:space="preserve">процедуру трансграничной </w:t>
      </w:r>
      <w:r>
        <w:rPr>
          <w:lang w:val="ru-RU"/>
        </w:rPr>
        <w:t>оценки воздействия на окружающую среду</w:t>
      </w:r>
      <w:r w:rsidRPr="00491F48">
        <w:rPr>
          <w:lang w:val="ru-RU"/>
        </w:rPr>
        <w:t xml:space="preserve"> </w:t>
      </w:r>
      <w:r w:rsidR="004A566C" w:rsidRPr="00491F48">
        <w:rPr>
          <w:lang w:val="ru-RU"/>
        </w:rPr>
        <w:t>в странах Центральной Азии, как правило являются природоохранные органы</w:t>
      </w:r>
      <w:r w:rsidR="004A566C">
        <w:rPr>
          <w:lang w:val="ru-RU"/>
        </w:rPr>
        <w:t xml:space="preserve">. Они осуществляют </w:t>
      </w:r>
      <w:r w:rsidR="004A566C" w:rsidRPr="00491F48">
        <w:rPr>
          <w:lang w:val="ru-RU"/>
        </w:rPr>
        <w:t>такие функции</w:t>
      </w:r>
      <w:r w:rsidR="00270E6D" w:rsidRPr="0077687D">
        <w:rPr>
          <w:lang w:val="ru-RU"/>
        </w:rPr>
        <w:t xml:space="preserve"> </w:t>
      </w:r>
      <w:r w:rsidR="00270E6D">
        <w:rPr>
          <w:lang w:val="ru-RU"/>
        </w:rPr>
        <w:t xml:space="preserve">под контролем </w:t>
      </w:r>
      <w:r w:rsidR="004A566C" w:rsidRPr="00A00806">
        <w:rPr>
          <w:lang w:val="ru-RU"/>
        </w:rPr>
        <w:t>министерства</w:t>
      </w:r>
      <w:r w:rsidR="004A566C" w:rsidRPr="00491F48">
        <w:rPr>
          <w:lang w:val="ru-RU"/>
        </w:rPr>
        <w:t xml:space="preserve"> иностранных дел в соответствии с национальным законодательством и практикой. Каждое государство самостоятельно определяет соответствующие функции государственных органов в трансграничной </w:t>
      </w:r>
      <w:r w:rsidRPr="00491F48">
        <w:rPr>
          <w:lang w:val="ru-RU"/>
        </w:rPr>
        <w:t>процедуре</w:t>
      </w:r>
      <w:r w:rsidR="004A566C" w:rsidRPr="00491F48">
        <w:rPr>
          <w:lang w:val="ru-RU"/>
        </w:rPr>
        <w:t xml:space="preserve"> и информирует об этом заинтересованные государства</w:t>
      </w:r>
      <w:r w:rsidR="004A566C" w:rsidRPr="00581C6E">
        <w:rPr>
          <w:lang w:val="ru-RU"/>
        </w:rPr>
        <w:t>.</w:t>
      </w:r>
      <w:r w:rsidR="004A566C" w:rsidRPr="00581C6E">
        <w:rPr>
          <w:vertAlign w:val="superscript"/>
          <w:lang w:val="ru-RU"/>
        </w:rPr>
        <w:footnoteReference w:id="13"/>
      </w:r>
    </w:p>
    <w:p w14:paraId="49022911" w14:textId="30A62C1C" w:rsidR="004A566C" w:rsidRPr="00340D85" w:rsidRDefault="00AE6E57" w:rsidP="00A04119">
      <w:pPr>
        <w:pStyle w:val="H1G"/>
        <w:tabs>
          <w:tab w:val="left" w:pos="1134"/>
        </w:tabs>
        <w:ind w:left="709"/>
        <w:rPr>
          <w:lang w:val="ru-RU"/>
        </w:rPr>
      </w:pPr>
      <w:bookmarkStart w:id="12" w:name="_Toc507852131"/>
      <w:r w:rsidRPr="00340D85">
        <w:rPr>
          <w:lang w:val="ru-RU"/>
        </w:rPr>
        <w:tab/>
      </w:r>
      <w:r w:rsidRPr="00340D85">
        <w:rPr>
          <w:lang w:val="ru-RU"/>
        </w:rPr>
        <w:tab/>
      </w:r>
      <w:r w:rsidRPr="00AE6E57">
        <w:t>A</w:t>
      </w:r>
      <w:r w:rsidR="004A566C" w:rsidRPr="00340D85">
        <w:rPr>
          <w:lang w:val="ru-RU"/>
        </w:rPr>
        <w:t>.</w:t>
      </w:r>
      <w:r w:rsidR="00A04119" w:rsidRPr="00340D85">
        <w:rPr>
          <w:lang w:val="ru-RU"/>
        </w:rPr>
        <w:tab/>
      </w:r>
      <w:r w:rsidR="004A566C" w:rsidRPr="00340D85">
        <w:rPr>
          <w:lang w:val="ru-RU"/>
        </w:rPr>
        <w:t xml:space="preserve"> Определение необходимости проведения трансграничной </w:t>
      </w:r>
      <w:r w:rsidR="00895143">
        <w:rPr>
          <w:lang w:val="ru-RU"/>
        </w:rPr>
        <w:t>оценки воздействия на окружающую среду</w:t>
      </w:r>
      <w:bookmarkEnd w:id="12"/>
    </w:p>
    <w:p w14:paraId="72EE44B8" w14:textId="2338F476" w:rsidR="004A566C" w:rsidRDefault="00D40EE1" w:rsidP="001719F9">
      <w:pPr>
        <w:pStyle w:val="SingleTxtG"/>
        <w:rPr>
          <w:lang w:val="ru-RU"/>
        </w:rPr>
      </w:pPr>
      <w:r>
        <w:rPr>
          <w:lang w:val="ru-RU"/>
        </w:rPr>
        <w:t>28</w:t>
      </w:r>
      <w:r w:rsidR="004A566C" w:rsidRPr="00E24FB8">
        <w:rPr>
          <w:lang w:val="ru-RU"/>
        </w:rPr>
        <w:t>.</w:t>
      </w:r>
      <w:r w:rsidR="004A566C" w:rsidRPr="00E24FB8">
        <w:rPr>
          <w:lang w:val="ru-RU"/>
        </w:rPr>
        <w:tab/>
      </w:r>
      <w:r>
        <w:rPr>
          <w:lang w:val="ru-RU"/>
        </w:rPr>
        <w:t>Принимая во внимание существующий механизм принятия решения в странах Центральной Азии, рекоменд</w:t>
      </w:r>
      <w:r w:rsidR="00A36E97">
        <w:rPr>
          <w:lang w:val="ru-RU"/>
        </w:rPr>
        <w:t>уется чтобы</w:t>
      </w:r>
      <w:r>
        <w:rPr>
          <w:lang w:val="ru-RU"/>
        </w:rPr>
        <w:t xml:space="preserve"> определ</w:t>
      </w:r>
      <w:r w:rsidR="00A36E97">
        <w:rPr>
          <w:lang w:val="ru-RU"/>
        </w:rPr>
        <w:t>ение того</w:t>
      </w:r>
      <w:r>
        <w:rPr>
          <w:lang w:val="ru-RU"/>
        </w:rPr>
        <w:t xml:space="preserve">, может ли планируемая деятельность оказывать значительное вредное трансграничное воздействие на окружающую среду, </w:t>
      </w:r>
      <w:r w:rsidR="00A36E97">
        <w:rPr>
          <w:lang w:val="ru-RU"/>
        </w:rPr>
        <w:t xml:space="preserve">проводилось компетентным </w:t>
      </w:r>
      <w:r w:rsidR="00F22D6B">
        <w:rPr>
          <w:lang w:val="ru-RU"/>
        </w:rPr>
        <w:t>государственн</w:t>
      </w:r>
      <w:r w:rsidR="00A36E97">
        <w:rPr>
          <w:lang w:val="ru-RU"/>
        </w:rPr>
        <w:t>ым</w:t>
      </w:r>
      <w:r w:rsidR="00F22D6B">
        <w:rPr>
          <w:lang w:val="ru-RU"/>
        </w:rPr>
        <w:t xml:space="preserve"> орган</w:t>
      </w:r>
      <w:r w:rsidR="00A36E97">
        <w:rPr>
          <w:lang w:val="ru-RU"/>
        </w:rPr>
        <w:t>ом</w:t>
      </w:r>
      <w:r w:rsidR="00F22D6B">
        <w:rPr>
          <w:lang w:val="ru-RU"/>
        </w:rPr>
        <w:t xml:space="preserve"> или ор</w:t>
      </w:r>
      <w:r>
        <w:rPr>
          <w:lang w:val="ru-RU"/>
        </w:rPr>
        <w:t>ган</w:t>
      </w:r>
      <w:r w:rsidR="00A36E97">
        <w:rPr>
          <w:lang w:val="ru-RU"/>
        </w:rPr>
        <w:t>ом</w:t>
      </w:r>
      <w:r>
        <w:rPr>
          <w:lang w:val="ru-RU"/>
        </w:rPr>
        <w:t>, ответственн</w:t>
      </w:r>
      <w:r w:rsidR="00A36E97">
        <w:rPr>
          <w:lang w:val="ru-RU"/>
        </w:rPr>
        <w:t>ым</w:t>
      </w:r>
      <w:r>
        <w:rPr>
          <w:lang w:val="ru-RU"/>
        </w:rPr>
        <w:t xml:space="preserve"> </w:t>
      </w:r>
      <w:r w:rsidR="004A566C" w:rsidRPr="00491F48">
        <w:rPr>
          <w:lang w:val="ru-RU"/>
        </w:rPr>
        <w:t xml:space="preserve">за принятие решения в отношении планируемой деятельности в стране происхождения, совместно с инициатором </w:t>
      </w:r>
      <w:r w:rsidR="004A566C">
        <w:rPr>
          <w:lang w:val="ru-RU"/>
        </w:rPr>
        <w:t xml:space="preserve">такой </w:t>
      </w:r>
      <w:r w:rsidR="004A566C" w:rsidRPr="00491F48">
        <w:rPr>
          <w:lang w:val="ru-RU"/>
        </w:rPr>
        <w:t>деятельности</w:t>
      </w:r>
      <w:r w:rsidR="00F22D6B">
        <w:rPr>
          <w:lang w:val="ru-RU"/>
        </w:rPr>
        <w:t xml:space="preserve">, на ранней стадии ее планирования. В странах Центральной Азии государственные органы, ответственные </w:t>
      </w:r>
      <w:r w:rsidR="00A36E97">
        <w:rPr>
          <w:lang w:val="ru-RU"/>
        </w:rPr>
        <w:t xml:space="preserve">принятие решения относительно планируемой деятельности включают государственные органы, ответственные </w:t>
      </w:r>
      <w:r w:rsidR="00F22D6B">
        <w:rPr>
          <w:lang w:val="ru-RU"/>
        </w:rPr>
        <w:t>за проведение оценки</w:t>
      </w:r>
      <w:r w:rsidR="00A36E97">
        <w:rPr>
          <w:lang w:val="ru-RU"/>
        </w:rPr>
        <w:t xml:space="preserve"> воздействия на окружающую среду</w:t>
      </w:r>
      <w:r w:rsidR="00F22D6B">
        <w:rPr>
          <w:lang w:val="ru-RU"/>
        </w:rPr>
        <w:t xml:space="preserve"> (</w:t>
      </w:r>
      <w:r w:rsidR="00A36E97">
        <w:rPr>
          <w:lang w:val="ru-RU"/>
        </w:rPr>
        <w:t xml:space="preserve">и </w:t>
      </w:r>
      <w:r w:rsidR="00F22D6B">
        <w:rPr>
          <w:lang w:val="ru-RU"/>
        </w:rPr>
        <w:t>государственн</w:t>
      </w:r>
      <w:r w:rsidR="00A36E97">
        <w:rPr>
          <w:lang w:val="ru-RU"/>
        </w:rPr>
        <w:t>ую</w:t>
      </w:r>
      <w:r w:rsidR="00F22D6B">
        <w:rPr>
          <w:lang w:val="ru-RU"/>
        </w:rPr>
        <w:t xml:space="preserve"> экологическ</w:t>
      </w:r>
      <w:r w:rsidR="00A36E97">
        <w:rPr>
          <w:lang w:val="ru-RU"/>
        </w:rPr>
        <w:t>ую</w:t>
      </w:r>
      <w:r w:rsidR="00F22D6B">
        <w:rPr>
          <w:lang w:val="ru-RU"/>
        </w:rPr>
        <w:t xml:space="preserve"> экспертиз</w:t>
      </w:r>
      <w:r w:rsidR="00A36E97">
        <w:rPr>
          <w:lang w:val="ru-RU"/>
        </w:rPr>
        <w:t>у</w:t>
      </w:r>
      <w:r w:rsidR="00F22D6B">
        <w:rPr>
          <w:lang w:val="ru-RU"/>
        </w:rPr>
        <w:t xml:space="preserve">). </w:t>
      </w:r>
    </w:p>
    <w:p w14:paraId="11211B12" w14:textId="77777777" w:rsidR="00D143DF" w:rsidRDefault="00F22D6B" w:rsidP="004A566C">
      <w:pPr>
        <w:pStyle w:val="SingleTxtG"/>
        <w:rPr>
          <w:lang w:val="ru-RU"/>
        </w:rPr>
      </w:pPr>
      <w:r>
        <w:rPr>
          <w:lang w:val="ru-RU"/>
        </w:rPr>
        <w:t>29</w:t>
      </w:r>
      <w:r w:rsidRPr="00E24FB8">
        <w:rPr>
          <w:lang w:val="ru-RU"/>
        </w:rPr>
        <w:t>.</w:t>
      </w:r>
      <w:r w:rsidRPr="00E24FB8">
        <w:rPr>
          <w:lang w:val="ru-RU"/>
        </w:rPr>
        <w:tab/>
      </w:r>
      <w:r w:rsidR="00F27DAA">
        <w:rPr>
          <w:lang w:val="ru-RU"/>
        </w:rPr>
        <w:t xml:space="preserve">Во время субрегиональных семинаров, страны Центральной Азии тщательно изучили перечень видов деятельности, являющийся Добавлением </w:t>
      </w:r>
      <w:r w:rsidR="00F27DAA">
        <w:rPr>
          <w:lang w:val="en-US"/>
        </w:rPr>
        <w:t>I</w:t>
      </w:r>
      <w:r w:rsidR="00F27DAA">
        <w:rPr>
          <w:lang w:val="ru-RU"/>
        </w:rPr>
        <w:t xml:space="preserve"> к Конвенции, и предложили некоторые уточнения в целях адаптирования к условиям субрегиона. Перечень видов деятельности, содержащийся в Добавлении </w:t>
      </w:r>
      <w:r w:rsidR="00F27DAA">
        <w:rPr>
          <w:lang w:val="en-US"/>
        </w:rPr>
        <w:t>I</w:t>
      </w:r>
      <w:r w:rsidR="00F27DAA">
        <w:rPr>
          <w:lang w:val="ru-RU"/>
        </w:rPr>
        <w:t>,</w:t>
      </w:r>
      <w:r w:rsidR="00F27DAA" w:rsidRPr="00FC0EE6">
        <w:rPr>
          <w:lang w:val="ru-RU"/>
        </w:rPr>
        <w:t xml:space="preserve"> </w:t>
      </w:r>
      <w:r w:rsidR="00F27DAA">
        <w:rPr>
          <w:lang w:val="ru-RU"/>
        </w:rPr>
        <w:t xml:space="preserve">прилагается в Приложении </w:t>
      </w:r>
      <w:r w:rsidR="00F27DAA">
        <w:rPr>
          <w:lang w:val="en-US"/>
        </w:rPr>
        <w:t>I</w:t>
      </w:r>
      <w:r w:rsidR="00F27DAA">
        <w:rPr>
          <w:lang w:val="ru-RU"/>
        </w:rPr>
        <w:t xml:space="preserve"> к настоящим Пересмотренным Руководящим принципам вместе с уточнениями, предложенными странами Центральной Азии. Осуществляя планирование предлагаемой деятельности, подпадающей под виды деятельности, указанные в перечне Приложения </w:t>
      </w:r>
      <w:r w:rsidR="00F27DAA">
        <w:rPr>
          <w:lang w:val="en-US"/>
        </w:rPr>
        <w:t>I</w:t>
      </w:r>
      <w:r w:rsidR="00F27DAA">
        <w:rPr>
          <w:lang w:val="ru-RU"/>
        </w:rPr>
        <w:t xml:space="preserve"> к настоящим Пересмотренным Руководящим принципам, страны должны обеспечить </w:t>
      </w:r>
      <w:r w:rsidR="001719F9">
        <w:rPr>
          <w:lang w:val="ru-RU"/>
        </w:rPr>
        <w:t>проведение анализа на предмет ее возможного значительного трансграничного воздействия.</w:t>
      </w:r>
    </w:p>
    <w:p w14:paraId="39CF34FD" w14:textId="1CB47AAE" w:rsidR="004A566C" w:rsidRPr="00491F48" w:rsidRDefault="001719F9" w:rsidP="004A566C">
      <w:pPr>
        <w:pStyle w:val="SingleTxtG"/>
        <w:rPr>
          <w:lang w:val="ru-RU"/>
        </w:rPr>
      </w:pPr>
      <w:r>
        <w:rPr>
          <w:lang w:val="ru-RU"/>
        </w:rPr>
        <w:t>30</w:t>
      </w:r>
      <w:r w:rsidR="004A566C" w:rsidRPr="002970FE">
        <w:rPr>
          <w:lang w:val="ru-RU"/>
        </w:rPr>
        <w:t>.</w:t>
      </w:r>
      <w:r w:rsidR="004A566C" w:rsidRPr="002970FE">
        <w:rPr>
          <w:lang w:val="ru-RU"/>
        </w:rPr>
        <w:tab/>
      </w:r>
      <w:r>
        <w:rPr>
          <w:lang w:val="ru-RU"/>
        </w:rPr>
        <w:t xml:space="preserve">В соответствии с надлежащей практикой и в целях обеспечения эффективности и результативности трансграничной процедуры, рекомендовано, </w:t>
      </w:r>
      <w:r w:rsidRPr="001719F9">
        <w:rPr>
          <w:lang w:val="ru-RU"/>
        </w:rPr>
        <w:t>что</w:t>
      </w:r>
      <w:r>
        <w:rPr>
          <w:lang w:val="ru-RU"/>
        </w:rPr>
        <w:t>бы</w:t>
      </w:r>
      <w:r w:rsidRPr="001719F9">
        <w:rPr>
          <w:lang w:val="ru-RU"/>
        </w:rPr>
        <w:t xml:space="preserve"> на ранней стадии </w:t>
      </w:r>
      <w:r>
        <w:rPr>
          <w:lang w:val="ru-RU"/>
        </w:rPr>
        <w:t xml:space="preserve">планирования </w:t>
      </w:r>
      <w:r w:rsidRPr="001719F9">
        <w:rPr>
          <w:lang w:val="ru-RU"/>
        </w:rPr>
        <w:t>инициатор деятельности</w:t>
      </w:r>
      <w:r>
        <w:rPr>
          <w:lang w:val="ru-RU"/>
        </w:rPr>
        <w:t xml:space="preserve">, попадающей под виды деятельности, содержащиеся в перечне, </w:t>
      </w:r>
      <w:r w:rsidRPr="001719F9">
        <w:rPr>
          <w:lang w:val="ru-RU"/>
        </w:rPr>
        <w:t>всегда проводи</w:t>
      </w:r>
      <w:r>
        <w:rPr>
          <w:lang w:val="ru-RU"/>
        </w:rPr>
        <w:t>л</w:t>
      </w:r>
      <w:r w:rsidRPr="001719F9">
        <w:rPr>
          <w:lang w:val="ru-RU"/>
        </w:rPr>
        <w:t xml:space="preserve"> анализ вероятности значительного неблагоприятного трансграничного воздействия и представля</w:t>
      </w:r>
      <w:r>
        <w:rPr>
          <w:lang w:val="ru-RU"/>
        </w:rPr>
        <w:t>л</w:t>
      </w:r>
      <w:r w:rsidRPr="001719F9">
        <w:rPr>
          <w:lang w:val="ru-RU"/>
        </w:rPr>
        <w:t xml:space="preserve"> результаты анализа </w:t>
      </w:r>
      <w:r>
        <w:rPr>
          <w:lang w:val="ru-RU"/>
        </w:rPr>
        <w:t xml:space="preserve">на рассмотрение </w:t>
      </w:r>
      <w:r w:rsidRPr="001719F9">
        <w:rPr>
          <w:lang w:val="ru-RU"/>
        </w:rPr>
        <w:t>государственно</w:t>
      </w:r>
      <w:r>
        <w:rPr>
          <w:lang w:val="ru-RU"/>
        </w:rPr>
        <w:t>го</w:t>
      </w:r>
      <w:r w:rsidRPr="001719F9">
        <w:rPr>
          <w:lang w:val="ru-RU"/>
        </w:rPr>
        <w:t xml:space="preserve"> орган</w:t>
      </w:r>
      <w:r>
        <w:rPr>
          <w:lang w:val="ru-RU"/>
        </w:rPr>
        <w:t>а</w:t>
      </w:r>
      <w:r w:rsidRPr="001719F9">
        <w:rPr>
          <w:lang w:val="ru-RU"/>
        </w:rPr>
        <w:t>, ответственно</w:t>
      </w:r>
      <w:r>
        <w:rPr>
          <w:lang w:val="ru-RU"/>
        </w:rPr>
        <w:t>го</w:t>
      </w:r>
      <w:r w:rsidRPr="001719F9">
        <w:rPr>
          <w:lang w:val="ru-RU"/>
        </w:rPr>
        <w:t xml:space="preserve"> за принятие решений в отношении </w:t>
      </w:r>
      <w:r>
        <w:rPr>
          <w:lang w:val="ru-RU"/>
        </w:rPr>
        <w:t>планируемой</w:t>
      </w:r>
      <w:r w:rsidRPr="001719F9">
        <w:rPr>
          <w:lang w:val="ru-RU"/>
        </w:rPr>
        <w:t xml:space="preserve"> деятельности.</w:t>
      </w:r>
      <w:r>
        <w:rPr>
          <w:lang w:val="ru-RU"/>
        </w:rPr>
        <w:t xml:space="preserve"> Т</w:t>
      </w:r>
      <w:r w:rsidR="004A566C">
        <w:rPr>
          <w:lang w:val="ru-RU"/>
        </w:rPr>
        <w:t>акой анализ</w:t>
      </w:r>
      <w:r>
        <w:rPr>
          <w:lang w:val="ru-RU"/>
        </w:rPr>
        <w:t>, среди прочего,</w:t>
      </w:r>
      <w:r w:rsidR="004A566C">
        <w:rPr>
          <w:lang w:val="ru-RU"/>
        </w:rPr>
        <w:t xml:space="preserve"> может предполагать </w:t>
      </w:r>
      <w:r w:rsidR="004A566C" w:rsidRPr="00491F48">
        <w:rPr>
          <w:lang w:val="ru-RU"/>
        </w:rPr>
        <w:t>предпроектные изыскания, пред-</w:t>
      </w:r>
      <w:r>
        <w:rPr>
          <w:lang w:val="ru-RU"/>
        </w:rPr>
        <w:t>оценку воздействия на окружающую среду</w:t>
      </w:r>
      <w:r w:rsidR="004A566C" w:rsidRPr="00491F48">
        <w:rPr>
          <w:lang w:val="ru-RU"/>
        </w:rPr>
        <w:t xml:space="preserve">, заявление (декларация) о намерениях </w:t>
      </w:r>
      <w:r w:rsidR="00176EF2">
        <w:rPr>
          <w:lang w:val="ru-RU"/>
        </w:rPr>
        <w:t xml:space="preserve">и </w:t>
      </w:r>
      <w:r w:rsidR="004A566C" w:rsidRPr="00A00806">
        <w:rPr>
          <w:lang w:val="ru-RU"/>
        </w:rPr>
        <w:t>на этапе</w:t>
      </w:r>
      <w:r w:rsidR="00A00806">
        <w:rPr>
          <w:lang w:val="ru-RU"/>
        </w:rPr>
        <w:t xml:space="preserve"> </w:t>
      </w:r>
      <w:r w:rsidR="00176EF2" w:rsidRPr="00A00806">
        <w:rPr>
          <w:lang w:val="ru-RU"/>
        </w:rPr>
        <w:t>разработ</w:t>
      </w:r>
      <w:r w:rsidR="00176EF2" w:rsidRPr="00166AD3">
        <w:rPr>
          <w:lang w:val="ru-RU"/>
        </w:rPr>
        <w:t>к</w:t>
      </w:r>
      <w:r w:rsidR="00A00806" w:rsidRPr="00166AD3">
        <w:rPr>
          <w:lang w:val="ru-RU"/>
        </w:rPr>
        <w:t>и</w:t>
      </w:r>
      <w:r w:rsidR="00176EF2" w:rsidRPr="00A00806">
        <w:rPr>
          <w:lang w:val="ru-RU"/>
        </w:rPr>
        <w:t xml:space="preserve"> концепции</w:t>
      </w:r>
      <w:r w:rsidR="00A00806">
        <w:rPr>
          <w:lang w:val="ru-RU"/>
        </w:rPr>
        <w:t>.</w:t>
      </w:r>
      <w:r w:rsidR="00176EF2">
        <w:rPr>
          <w:lang w:val="ru-RU"/>
        </w:rPr>
        <w:t xml:space="preserve"> </w:t>
      </w:r>
      <w:r w:rsidR="00916484">
        <w:rPr>
          <w:lang w:val="ru-RU"/>
        </w:rPr>
        <w:t xml:space="preserve">Это положение не указано в Конвенции </w:t>
      </w:r>
      <w:r w:rsidR="00A36E97">
        <w:rPr>
          <w:lang w:val="ru-RU"/>
        </w:rPr>
        <w:t>и</w:t>
      </w:r>
      <w:r w:rsidR="00916484">
        <w:rPr>
          <w:lang w:val="ru-RU"/>
        </w:rPr>
        <w:t xml:space="preserve"> зависит от национального законодательства и практики.</w:t>
      </w:r>
    </w:p>
    <w:p w14:paraId="5D30A859" w14:textId="395D17BE" w:rsidR="004A566C" w:rsidRPr="001C63BA" w:rsidRDefault="00916484" w:rsidP="004A566C">
      <w:pPr>
        <w:pStyle w:val="SingleTxtG"/>
        <w:rPr>
          <w:lang w:val="ru-RU"/>
        </w:rPr>
      </w:pPr>
      <w:r>
        <w:rPr>
          <w:lang w:val="ru-RU"/>
        </w:rPr>
        <w:t>31</w:t>
      </w:r>
      <w:r w:rsidR="004A566C" w:rsidRPr="002970FE">
        <w:rPr>
          <w:lang w:val="ru-RU"/>
        </w:rPr>
        <w:t>.</w:t>
      </w:r>
      <w:r w:rsidR="004A566C" w:rsidRPr="002970FE">
        <w:rPr>
          <w:lang w:val="ru-RU"/>
        </w:rPr>
        <w:tab/>
      </w:r>
      <w:r w:rsidR="004A566C" w:rsidRPr="001C63BA">
        <w:rPr>
          <w:lang w:val="ru-RU"/>
        </w:rPr>
        <w:t xml:space="preserve">При определении возможности значительного вредного трансграничного воздействия страны </w:t>
      </w:r>
      <w:r>
        <w:rPr>
          <w:lang w:val="ru-RU"/>
        </w:rPr>
        <w:t>могут выбрать</w:t>
      </w:r>
      <w:r w:rsidRPr="001C63BA">
        <w:rPr>
          <w:lang w:val="ru-RU"/>
        </w:rPr>
        <w:t xml:space="preserve"> </w:t>
      </w:r>
      <w:r w:rsidR="004A566C" w:rsidRPr="001C63BA">
        <w:rPr>
          <w:lang w:val="ru-RU"/>
        </w:rPr>
        <w:t>следующие критерии:</w:t>
      </w:r>
    </w:p>
    <w:p w14:paraId="2EB74163" w14:textId="77777777" w:rsidR="004A566C" w:rsidRPr="00491F48" w:rsidRDefault="00A7294D" w:rsidP="004A566C">
      <w:pPr>
        <w:pStyle w:val="SingleTxtG"/>
        <w:ind w:firstLine="567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4A566C" w:rsidRPr="00491F48">
        <w:rPr>
          <w:lang w:val="ru-RU"/>
        </w:rPr>
        <w:t>Значительность воздействия оценивается исходя из оценки</w:t>
      </w:r>
      <w:r w:rsidR="004A566C">
        <w:rPr>
          <w:lang w:val="ru-RU"/>
        </w:rPr>
        <w:t>:</w:t>
      </w:r>
    </w:p>
    <w:p w14:paraId="475451C0" w14:textId="726ED33D" w:rsidR="004A566C" w:rsidRPr="00491F48" w:rsidRDefault="004A566C" w:rsidP="004A566C">
      <w:pPr>
        <w:pStyle w:val="SingleTxtG"/>
        <w:ind w:left="2268"/>
        <w:rPr>
          <w:lang w:val="ru-RU"/>
        </w:rPr>
      </w:pPr>
      <w:r w:rsidRPr="002970FE">
        <w:rPr>
          <w:lang w:val="ru-RU"/>
        </w:rPr>
        <w:t>(</w:t>
      </w:r>
      <w:r>
        <w:rPr>
          <w:lang w:val="en-US"/>
        </w:rPr>
        <w:t>i</w:t>
      </w:r>
      <w:r w:rsidRPr="002970FE">
        <w:rPr>
          <w:lang w:val="ru-RU"/>
        </w:rPr>
        <w:t>)</w:t>
      </w:r>
      <w:r w:rsidRPr="002970FE">
        <w:rPr>
          <w:lang w:val="ru-RU"/>
        </w:rPr>
        <w:tab/>
      </w:r>
      <w:r w:rsidRPr="00491F48">
        <w:rPr>
          <w:lang w:val="ru-RU"/>
        </w:rPr>
        <w:t xml:space="preserve"> его интенсивности</w:t>
      </w:r>
      <w:r w:rsidR="00916484">
        <w:rPr>
          <w:lang w:val="ru-RU"/>
        </w:rPr>
        <w:t>, как установлено</w:t>
      </w:r>
      <w:r w:rsidRPr="00491F48">
        <w:rPr>
          <w:lang w:val="ru-RU"/>
        </w:rPr>
        <w:t xml:space="preserve"> </w:t>
      </w:r>
      <w:r w:rsidR="00916484">
        <w:rPr>
          <w:lang w:val="ru-RU"/>
        </w:rPr>
        <w:t xml:space="preserve">международными и национальными </w:t>
      </w:r>
      <w:r w:rsidR="00370ACF">
        <w:rPr>
          <w:lang w:val="ru-RU"/>
        </w:rPr>
        <w:t>нормативами</w:t>
      </w:r>
      <w:r w:rsidR="00916484">
        <w:rPr>
          <w:lang w:val="ru-RU"/>
        </w:rPr>
        <w:t xml:space="preserve"> и </w:t>
      </w:r>
      <w:r w:rsidR="00370ACF">
        <w:rPr>
          <w:lang w:val="ru-RU"/>
        </w:rPr>
        <w:t>пороговыми значениями</w:t>
      </w:r>
      <w:r w:rsidR="00916484">
        <w:rPr>
          <w:lang w:val="ru-RU"/>
        </w:rPr>
        <w:t>, в зависимости от то</w:t>
      </w:r>
      <w:r w:rsidR="00370ACF">
        <w:rPr>
          <w:lang w:val="ru-RU"/>
        </w:rPr>
        <w:t>го, какие являются более строги</w:t>
      </w:r>
      <w:r w:rsidR="00916484">
        <w:rPr>
          <w:lang w:val="ru-RU"/>
        </w:rPr>
        <w:t>ми,</w:t>
      </w:r>
      <w:r w:rsidR="000C6FC6" w:rsidRPr="000C6FC6">
        <w:rPr>
          <w:lang w:val="ru-RU"/>
        </w:rPr>
        <w:t xml:space="preserve"> </w:t>
      </w:r>
      <w:r w:rsidRPr="00491F48">
        <w:rPr>
          <w:lang w:val="ru-RU"/>
        </w:rPr>
        <w:t>и целям экологической и санитарно-гигиенической безопасности;</w:t>
      </w:r>
    </w:p>
    <w:p w14:paraId="08D103FA" w14:textId="20AAB496" w:rsidR="004A566C" w:rsidRPr="00491F48" w:rsidRDefault="004A566C" w:rsidP="004A566C">
      <w:pPr>
        <w:pStyle w:val="SingleTxtG"/>
        <w:ind w:left="2268"/>
        <w:rPr>
          <w:lang w:val="ru-RU"/>
        </w:rPr>
      </w:pPr>
      <w:r w:rsidRPr="002970FE">
        <w:rPr>
          <w:lang w:val="ru-RU"/>
        </w:rPr>
        <w:t>(</w:t>
      </w:r>
      <w:r>
        <w:rPr>
          <w:lang w:val="en-US"/>
        </w:rPr>
        <w:t>ii</w:t>
      </w:r>
      <w:r w:rsidRPr="002970FE">
        <w:rPr>
          <w:lang w:val="ru-RU"/>
        </w:rPr>
        <w:t>)</w:t>
      </w:r>
      <w:r w:rsidRPr="002970FE">
        <w:rPr>
          <w:lang w:val="ru-RU"/>
        </w:rPr>
        <w:tab/>
      </w:r>
      <w:r w:rsidRPr="00491F48">
        <w:rPr>
          <w:lang w:val="ru-RU"/>
        </w:rPr>
        <w:t>обратимости последствий в затрагиваемых районах других государств</w:t>
      </w:r>
      <w:r w:rsidR="00B7146F">
        <w:rPr>
          <w:lang w:val="ru-RU"/>
        </w:rPr>
        <w:t>,</w:t>
      </w:r>
      <w:r w:rsidR="00916484">
        <w:rPr>
          <w:rStyle w:val="FootnoteReference"/>
          <w:lang w:val="ru-RU"/>
        </w:rPr>
        <w:footnoteReference w:id="14"/>
      </w:r>
      <w:r w:rsidR="00B7146F">
        <w:rPr>
          <w:lang w:val="ru-RU"/>
        </w:rPr>
        <w:t xml:space="preserve"> например, через дополнительную нагрузку, которая превышает допустимые возможности окружающей среды</w:t>
      </w:r>
      <w:r w:rsidRPr="00491F48">
        <w:rPr>
          <w:lang w:val="ru-RU"/>
        </w:rPr>
        <w:t>;</w:t>
      </w:r>
    </w:p>
    <w:p w14:paraId="55923D66" w14:textId="77777777" w:rsidR="004A566C" w:rsidRPr="00027F76" w:rsidRDefault="004A566C" w:rsidP="004A566C">
      <w:pPr>
        <w:pStyle w:val="SingleTxtG"/>
        <w:ind w:left="2268"/>
        <w:rPr>
          <w:lang w:val="ru-RU"/>
        </w:rPr>
      </w:pPr>
      <w:r w:rsidRPr="002970FE">
        <w:rPr>
          <w:lang w:val="ru-RU"/>
        </w:rPr>
        <w:t>(</w:t>
      </w:r>
      <w:r>
        <w:rPr>
          <w:lang w:val="en-US"/>
        </w:rPr>
        <w:t>iii</w:t>
      </w:r>
      <w:r w:rsidRPr="002970FE">
        <w:rPr>
          <w:lang w:val="ru-RU"/>
        </w:rPr>
        <w:t>)</w:t>
      </w:r>
      <w:r w:rsidRPr="002970FE">
        <w:rPr>
          <w:lang w:val="ru-RU"/>
        </w:rPr>
        <w:tab/>
      </w:r>
      <w:r w:rsidRPr="00491F48">
        <w:rPr>
          <w:lang w:val="ru-RU"/>
        </w:rPr>
        <w:t>возможности вредных последствий для природоохранных объектов и территорий в затрагиваемом государстве</w:t>
      </w:r>
      <w:r w:rsidRPr="00027F76">
        <w:rPr>
          <w:lang w:val="ru-RU"/>
        </w:rPr>
        <w:t>.</w:t>
      </w:r>
    </w:p>
    <w:p w14:paraId="664A5901" w14:textId="29C95B94" w:rsidR="004A566C" w:rsidRPr="00491F48" w:rsidRDefault="00A7294D" w:rsidP="004A566C">
      <w:pPr>
        <w:pStyle w:val="SingleTxtG"/>
        <w:ind w:firstLine="567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176EF2" w:rsidRPr="00491F48">
        <w:rPr>
          <w:lang w:val="ru-RU"/>
        </w:rPr>
        <w:t>Трансграничн</w:t>
      </w:r>
      <w:r w:rsidR="00176EF2">
        <w:rPr>
          <w:lang w:val="ru-RU"/>
        </w:rPr>
        <w:t xml:space="preserve">ый характер </w:t>
      </w:r>
      <w:r w:rsidR="00176EF2" w:rsidRPr="00491F48">
        <w:rPr>
          <w:lang w:val="ru-RU"/>
        </w:rPr>
        <w:t>воздействи</w:t>
      </w:r>
      <w:r w:rsidR="00176EF2">
        <w:rPr>
          <w:lang w:val="ru-RU"/>
        </w:rPr>
        <w:t>я</w:t>
      </w:r>
      <w:r w:rsidR="00176EF2" w:rsidRPr="00491F48">
        <w:rPr>
          <w:lang w:val="ru-RU"/>
        </w:rPr>
        <w:t xml:space="preserve"> </w:t>
      </w:r>
      <w:r w:rsidR="004A566C" w:rsidRPr="00491F48">
        <w:rPr>
          <w:lang w:val="ru-RU"/>
        </w:rPr>
        <w:t xml:space="preserve">предполагается как минимум в </w:t>
      </w:r>
      <w:r w:rsidR="00176EF2">
        <w:rPr>
          <w:lang w:val="ru-RU"/>
        </w:rPr>
        <w:t>следующих</w:t>
      </w:r>
      <w:r w:rsidR="00176EF2" w:rsidRPr="00491F48">
        <w:rPr>
          <w:lang w:val="ru-RU"/>
        </w:rPr>
        <w:t xml:space="preserve"> </w:t>
      </w:r>
      <w:r w:rsidR="004A566C" w:rsidRPr="00491F48">
        <w:rPr>
          <w:lang w:val="ru-RU"/>
        </w:rPr>
        <w:t>случаях:</w:t>
      </w:r>
    </w:p>
    <w:p w14:paraId="4D456B3B" w14:textId="4B122DE2" w:rsidR="004A566C" w:rsidRPr="00491F48" w:rsidRDefault="004A566C" w:rsidP="004A566C">
      <w:pPr>
        <w:pStyle w:val="SingleTxtG"/>
        <w:ind w:left="2268"/>
        <w:rPr>
          <w:lang w:val="ru-RU"/>
        </w:rPr>
      </w:pPr>
      <w:r w:rsidRPr="002970FE">
        <w:rPr>
          <w:lang w:val="ru-RU"/>
        </w:rPr>
        <w:t>(</w:t>
      </w:r>
      <w:r>
        <w:rPr>
          <w:lang w:val="en-US"/>
        </w:rPr>
        <w:t>i</w:t>
      </w:r>
      <w:r w:rsidRPr="002970FE">
        <w:rPr>
          <w:lang w:val="ru-RU"/>
        </w:rPr>
        <w:t>)</w:t>
      </w:r>
      <w:r w:rsidRPr="002970FE">
        <w:rPr>
          <w:lang w:val="ru-RU"/>
        </w:rPr>
        <w:tab/>
      </w:r>
      <w:r w:rsidR="000F1617">
        <w:rPr>
          <w:lang w:val="ru-RU"/>
        </w:rPr>
        <w:t xml:space="preserve">близкое </w:t>
      </w:r>
      <w:r w:rsidRPr="00491F48">
        <w:rPr>
          <w:lang w:val="ru-RU"/>
        </w:rPr>
        <w:t>расположение планируемой деятельности к государственной границе</w:t>
      </w:r>
      <w:r w:rsidR="000F1617">
        <w:rPr>
          <w:lang w:val="ru-RU"/>
        </w:rPr>
        <w:t>.</w:t>
      </w:r>
      <w:r w:rsidR="000C6FC6" w:rsidRPr="000C6FC6">
        <w:rPr>
          <w:lang w:val="ru-RU"/>
        </w:rPr>
        <w:t xml:space="preserve"> </w:t>
      </w:r>
      <w:r w:rsidR="000F1617">
        <w:rPr>
          <w:lang w:val="ru-RU"/>
        </w:rPr>
        <w:t xml:space="preserve">При этом необходимо </w:t>
      </w:r>
      <w:r w:rsidR="001A3757">
        <w:rPr>
          <w:lang w:val="ru-RU"/>
        </w:rPr>
        <w:t>помнить, что</w:t>
      </w:r>
      <w:r w:rsidR="000F1617">
        <w:rPr>
          <w:lang w:val="ru-RU"/>
        </w:rPr>
        <w:t xml:space="preserve"> Конвенци</w:t>
      </w:r>
      <w:r w:rsidR="001A3757">
        <w:rPr>
          <w:lang w:val="ru-RU"/>
        </w:rPr>
        <w:t>я применяется</w:t>
      </w:r>
      <w:r w:rsidR="000F1617">
        <w:rPr>
          <w:lang w:val="ru-RU"/>
        </w:rPr>
        <w:t xml:space="preserve"> не только при трансграничном воздействии</w:t>
      </w:r>
      <w:r w:rsidR="001A3757">
        <w:rPr>
          <w:lang w:val="ru-RU"/>
        </w:rPr>
        <w:t xml:space="preserve"> между соседними государствами</w:t>
      </w:r>
      <w:r w:rsidR="000F1617">
        <w:rPr>
          <w:lang w:val="ru-RU"/>
        </w:rPr>
        <w:t>, но и при воздействи</w:t>
      </w:r>
      <w:r w:rsidR="001A3757">
        <w:rPr>
          <w:lang w:val="ru-RU"/>
        </w:rPr>
        <w:t>ях</w:t>
      </w:r>
      <w:r w:rsidR="000F1617">
        <w:rPr>
          <w:lang w:val="ru-RU"/>
        </w:rPr>
        <w:t xml:space="preserve"> на </w:t>
      </w:r>
      <w:r w:rsidR="00176EF2">
        <w:rPr>
          <w:lang w:val="ru-RU"/>
        </w:rPr>
        <w:t xml:space="preserve">большие </w:t>
      </w:r>
      <w:r w:rsidR="000F1617">
        <w:rPr>
          <w:lang w:val="ru-RU"/>
        </w:rPr>
        <w:t>расстояния</w:t>
      </w:r>
      <w:r w:rsidRPr="00491F48">
        <w:rPr>
          <w:lang w:val="ru-RU"/>
        </w:rPr>
        <w:t>;</w:t>
      </w:r>
    </w:p>
    <w:p w14:paraId="7B2F978A" w14:textId="77777777" w:rsidR="004A566C" w:rsidRPr="00491F48" w:rsidRDefault="004A566C" w:rsidP="004A566C">
      <w:pPr>
        <w:pStyle w:val="SingleTxtG"/>
        <w:ind w:left="2268"/>
        <w:rPr>
          <w:lang w:val="ru-RU"/>
        </w:rPr>
      </w:pPr>
      <w:r w:rsidRPr="002970FE">
        <w:rPr>
          <w:lang w:val="ru-RU"/>
        </w:rPr>
        <w:t>(</w:t>
      </w:r>
      <w:r>
        <w:rPr>
          <w:lang w:val="en-US"/>
        </w:rPr>
        <w:t>ii</w:t>
      </w:r>
      <w:r w:rsidRPr="002970FE">
        <w:rPr>
          <w:lang w:val="ru-RU"/>
        </w:rPr>
        <w:t>)</w:t>
      </w:r>
      <w:r w:rsidRPr="002970FE">
        <w:rPr>
          <w:lang w:val="ru-RU"/>
        </w:rPr>
        <w:tab/>
      </w:r>
      <w:r>
        <w:rPr>
          <w:lang w:val="ru-RU"/>
        </w:rPr>
        <w:t>выявление вероятных</w:t>
      </w:r>
      <w:r w:rsidRPr="00491F48">
        <w:rPr>
          <w:lang w:val="ru-RU"/>
        </w:rPr>
        <w:t xml:space="preserve"> вредных последствий для общих природных ресурсов, в частности</w:t>
      </w:r>
      <w:r>
        <w:rPr>
          <w:lang w:val="ru-RU"/>
        </w:rPr>
        <w:t>,</w:t>
      </w:r>
      <w:r w:rsidRPr="00491F48">
        <w:rPr>
          <w:lang w:val="ru-RU"/>
        </w:rPr>
        <w:t xml:space="preserve"> вследствие расположения планируемой деятельности на таких ресурсах или в непосредственной близости к ним;</w:t>
      </w:r>
    </w:p>
    <w:p w14:paraId="6BD5728E" w14:textId="77777777" w:rsidR="004A566C" w:rsidRPr="00491F48" w:rsidRDefault="004A566C" w:rsidP="004A566C">
      <w:pPr>
        <w:pStyle w:val="SingleTxtG"/>
        <w:ind w:left="1701" w:firstLine="567"/>
        <w:rPr>
          <w:lang w:val="ru-RU"/>
        </w:rPr>
      </w:pPr>
      <w:r w:rsidRPr="002970FE">
        <w:rPr>
          <w:lang w:val="ru-RU"/>
        </w:rPr>
        <w:t>(</w:t>
      </w:r>
      <w:r>
        <w:rPr>
          <w:lang w:val="en-US"/>
        </w:rPr>
        <w:t>iii</w:t>
      </w:r>
      <w:r w:rsidRPr="002970FE">
        <w:rPr>
          <w:lang w:val="ru-RU"/>
        </w:rPr>
        <w:t>)</w:t>
      </w:r>
      <w:r w:rsidRPr="002970FE">
        <w:rPr>
          <w:lang w:val="ru-RU"/>
        </w:rPr>
        <w:tab/>
      </w:r>
      <w:r w:rsidRPr="00491F48">
        <w:rPr>
          <w:lang w:val="ru-RU"/>
        </w:rPr>
        <w:t xml:space="preserve"> вероятность аварий с трансграничными последствиями;</w:t>
      </w:r>
    </w:p>
    <w:p w14:paraId="7698A14D" w14:textId="77777777" w:rsidR="004A566C" w:rsidRPr="00491F48" w:rsidRDefault="004A566C" w:rsidP="004A566C">
      <w:pPr>
        <w:pStyle w:val="SingleTxtG"/>
        <w:ind w:left="2268"/>
        <w:rPr>
          <w:lang w:val="ru-RU"/>
        </w:rPr>
      </w:pPr>
      <w:r w:rsidRPr="002970FE">
        <w:rPr>
          <w:lang w:val="ru-RU"/>
        </w:rPr>
        <w:t>(</w:t>
      </w:r>
      <w:r>
        <w:rPr>
          <w:lang w:val="en-US"/>
        </w:rPr>
        <w:t>iv</w:t>
      </w:r>
      <w:r w:rsidRPr="002970FE">
        <w:rPr>
          <w:lang w:val="ru-RU"/>
        </w:rPr>
        <w:t>)</w:t>
      </w:r>
      <w:r w:rsidRPr="002970FE">
        <w:rPr>
          <w:lang w:val="ru-RU"/>
        </w:rPr>
        <w:tab/>
      </w:r>
      <w:r w:rsidR="008245EE" w:rsidRPr="00340D85">
        <w:rPr>
          <w:lang w:val="ru-RU"/>
        </w:rPr>
        <w:t xml:space="preserve"> </w:t>
      </w:r>
      <w:r>
        <w:rPr>
          <w:lang w:val="ru-RU"/>
        </w:rPr>
        <w:t xml:space="preserve">вероятность </w:t>
      </w:r>
      <w:r w:rsidRPr="00491F48">
        <w:rPr>
          <w:lang w:val="ru-RU"/>
        </w:rPr>
        <w:t>нарушения действующих международных договоров в сфере охраны и устойчивого использования трансграничных природных ресурсов.</w:t>
      </w:r>
    </w:p>
    <w:p w14:paraId="58710095" w14:textId="70AE7F52" w:rsidR="004A566C" w:rsidRPr="00491F48" w:rsidRDefault="00370ACF" w:rsidP="004A566C">
      <w:pPr>
        <w:pStyle w:val="SingleTxtG"/>
        <w:rPr>
          <w:lang w:val="ru-RU"/>
        </w:rPr>
      </w:pPr>
      <w:r>
        <w:rPr>
          <w:lang w:val="ru-RU"/>
        </w:rPr>
        <w:t>32</w:t>
      </w:r>
      <w:r w:rsidRPr="002970FE">
        <w:rPr>
          <w:lang w:val="ru-RU"/>
        </w:rPr>
        <w:t>.</w:t>
      </w:r>
      <w:r w:rsidRPr="002970FE">
        <w:rPr>
          <w:lang w:val="ru-RU"/>
        </w:rPr>
        <w:tab/>
      </w:r>
      <w:r w:rsidR="004A566C" w:rsidRPr="00491F48">
        <w:rPr>
          <w:lang w:val="ru-RU"/>
        </w:rPr>
        <w:t>Страны могут разработать дополнительные национальные критерии, помогающие</w:t>
      </w:r>
      <w:r w:rsidR="004A566C">
        <w:rPr>
          <w:lang w:val="ru-RU"/>
        </w:rPr>
        <w:t xml:space="preserve"> им</w:t>
      </w:r>
      <w:r w:rsidR="004A566C" w:rsidRPr="00491F48">
        <w:rPr>
          <w:lang w:val="ru-RU"/>
        </w:rPr>
        <w:t xml:space="preserve"> в определении возможности значительного вредного трансграничного воздействия (</w:t>
      </w:r>
      <w:r w:rsidR="004E4089">
        <w:rPr>
          <w:lang w:val="ru-RU"/>
        </w:rPr>
        <w:t xml:space="preserve">т.е. </w:t>
      </w:r>
      <w:r w:rsidR="004A566C" w:rsidRPr="00491F48">
        <w:rPr>
          <w:lang w:val="ru-RU"/>
        </w:rPr>
        <w:t>масштабы, расположение, последствия для окружающей среды)</w:t>
      </w:r>
      <w:r>
        <w:rPr>
          <w:lang w:val="ru-RU"/>
        </w:rPr>
        <w:t>, также принимая во внимание общие критерии</w:t>
      </w:r>
      <w:r w:rsidR="004A566C">
        <w:rPr>
          <w:lang w:val="ru-RU"/>
        </w:rPr>
        <w:t xml:space="preserve"> в соответствии с Добавлением </w:t>
      </w:r>
      <w:r w:rsidR="004A566C" w:rsidRPr="00701486">
        <w:rPr>
          <w:lang w:val="ru-RU"/>
        </w:rPr>
        <w:t xml:space="preserve">III к </w:t>
      </w:r>
      <w:r w:rsidR="004A566C" w:rsidRPr="0014431A">
        <w:rPr>
          <w:lang w:val="ru-RU"/>
        </w:rPr>
        <w:t>Конвенции</w:t>
      </w:r>
      <w:r>
        <w:rPr>
          <w:lang w:val="ru-RU"/>
        </w:rPr>
        <w:t xml:space="preserve"> (применимы</w:t>
      </w:r>
      <w:r w:rsidR="001A3757">
        <w:rPr>
          <w:lang w:val="ru-RU"/>
        </w:rPr>
        <w:t>м</w:t>
      </w:r>
      <w:r>
        <w:rPr>
          <w:lang w:val="ru-RU"/>
        </w:rPr>
        <w:t xml:space="preserve"> к видам деятельности, не указанны</w:t>
      </w:r>
      <w:r w:rsidR="001A3757">
        <w:rPr>
          <w:lang w:val="ru-RU"/>
        </w:rPr>
        <w:t>м</w:t>
      </w:r>
      <w:r>
        <w:rPr>
          <w:lang w:val="ru-RU"/>
        </w:rPr>
        <w:t xml:space="preserve"> в Добавлении </w:t>
      </w:r>
      <w:r>
        <w:rPr>
          <w:lang w:val="en-US"/>
        </w:rPr>
        <w:t>I</w:t>
      </w:r>
      <w:r>
        <w:rPr>
          <w:lang w:val="ru-RU"/>
        </w:rPr>
        <w:t xml:space="preserve"> к Конвенции)</w:t>
      </w:r>
      <w:r w:rsidR="004A566C" w:rsidRPr="00491F48">
        <w:rPr>
          <w:lang w:val="ru-RU"/>
        </w:rPr>
        <w:t xml:space="preserve">. </w:t>
      </w:r>
    </w:p>
    <w:p w14:paraId="0230267B" w14:textId="5668360E" w:rsidR="004A566C" w:rsidRPr="00491F48" w:rsidRDefault="00370ACF" w:rsidP="004A566C">
      <w:pPr>
        <w:pStyle w:val="SingleTxtG"/>
        <w:rPr>
          <w:lang w:val="ru-RU"/>
        </w:rPr>
      </w:pPr>
      <w:r>
        <w:rPr>
          <w:lang w:val="ru-RU"/>
        </w:rPr>
        <w:t>33</w:t>
      </w:r>
      <w:r w:rsidR="004A566C" w:rsidRPr="002970FE">
        <w:rPr>
          <w:lang w:val="ru-RU"/>
        </w:rPr>
        <w:t>.</w:t>
      </w:r>
      <w:r w:rsidR="004A566C" w:rsidRPr="002970FE">
        <w:rPr>
          <w:lang w:val="ru-RU"/>
        </w:rPr>
        <w:tab/>
      </w:r>
      <w:r>
        <w:rPr>
          <w:lang w:val="ru-RU"/>
        </w:rPr>
        <w:t>В соответствии с надлежащей практикой и в</w:t>
      </w:r>
      <w:r w:rsidRPr="00491F48">
        <w:rPr>
          <w:lang w:val="ru-RU"/>
        </w:rPr>
        <w:t xml:space="preserve"> </w:t>
      </w:r>
      <w:r w:rsidR="004A566C" w:rsidRPr="00491F48">
        <w:rPr>
          <w:lang w:val="ru-RU"/>
        </w:rPr>
        <w:t>дополнение к указанным выше критериям страны либо индивидуально, либо в рамках двусторонних или многосторонних соглашений</w:t>
      </w:r>
      <w:r w:rsidR="004A566C">
        <w:rPr>
          <w:lang w:val="ru-RU"/>
        </w:rPr>
        <w:t>, либо</w:t>
      </w:r>
      <w:r w:rsidR="004A566C" w:rsidRPr="00491F48">
        <w:rPr>
          <w:lang w:val="ru-RU"/>
        </w:rPr>
        <w:t xml:space="preserve"> других договоренностей могут найти полезным утверждение перечня видов деятельности (при необходимости с пороговыми значениями), которые должны автоматически быть объектом для уведомления</w:t>
      </w:r>
      <w:r w:rsidR="004A566C">
        <w:rPr>
          <w:lang w:val="ru-RU"/>
        </w:rPr>
        <w:t>.</w:t>
      </w:r>
      <w:r w:rsidR="00541F43">
        <w:rPr>
          <w:rStyle w:val="FootnoteReference"/>
          <w:lang w:val="ru-RU"/>
        </w:rPr>
        <w:footnoteReference w:id="15"/>
      </w:r>
      <w:r w:rsidR="004A566C" w:rsidRPr="00491F48">
        <w:rPr>
          <w:lang w:val="ru-RU"/>
        </w:rPr>
        <w:t xml:space="preserve"> </w:t>
      </w:r>
    </w:p>
    <w:p w14:paraId="0C40E1B4" w14:textId="262A3D0A" w:rsidR="004A566C" w:rsidRPr="00491F48" w:rsidRDefault="00370ACF" w:rsidP="004A566C">
      <w:pPr>
        <w:pStyle w:val="SingleTxtG"/>
        <w:rPr>
          <w:lang w:val="ru-RU"/>
        </w:rPr>
      </w:pPr>
      <w:r>
        <w:rPr>
          <w:lang w:val="ru-RU"/>
        </w:rPr>
        <w:t>34</w:t>
      </w:r>
      <w:r w:rsidR="004A566C" w:rsidRPr="002970FE">
        <w:rPr>
          <w:lang w:val="ru-RU"/>
        </w:rPr>
        <w:t>.</w:t>
      </w:r>
      <w:r w:rsidR="004A566C" w:rsidRPr="002970FE">
        <w:rPr>
          <w:lang w:val="ru-RU"/>
        </w:rPr>
        <w:tab/>
      </w:r>
      <w:r w:rsidR="004A566C" w:rsidRPr="00491F48">
        <w:rPr>
          <w:lang w:val="ru-RU"/>
        </w:rPr>
        <w:t>По инициативе люб</w:t>
      </w:r>
      <w:r w:rsidR="004A566C">
        <w:rPr>
          <w:lang w:val="ru-RU"/>
        </w:rPr>
        <w:t xml:space="preserve">ой из сторон страны также могут </w:t>
      </w:r>
      <w:r w:rsidR="004A566C" w:rsidRPr="00491F48">
        <w:rPr>
          <w:lang w:val="ru-RU"/>
        </w:rPr>
        <w:t xml:space="preserve">в результате консультаций определить на основании </w:t>
      </w:r>
      <w:r w:rsidR="004A566C">
        <w:rPr>
          <w:lang w:val="ru-RU"/>
        </w:rPr>
        <w:t xml:space="preserve">критериев, указанных в пункте </w:t>
      </w:r>
      <w:r>
        <w:rPr>
          <w:lang w:val="ru-RU"/>
        </w:rPr>
        <w:t>31</w:t>
      </w:r>
      <w:r w:rsidR="004A566C" w:rsidRPr="00491F48">
        <w:rPr>
          <w:lang w:val="ru-RU"/>
        </w:rPr>
        <w:t>, что какой-либо вид или виды планируемой деятельности, которые не указаны в Приложении I</w:t>
      </w:r>
      <w:r w:rsidR="004A566C" w:rsidRPr="000B17E8">
        <w:rPr>
          <w:lang w:val="ru-RU"/>
        </w:rPr>
        <w:t xml:space="preserve"> </w:t>
      </w:r>
      <w:r w:rsidR="004A566C">
        <w:rPr>
          <w:lang w:val="ru-RU"/>
        </w:rPr>
        <w:t>к этим Руководящим принципам, буде</w:t>
      </w:r>
      <w:r w:rsidR="004A566C" w:rsidRPr="00491F48">
        <w:rPr>
          <w:lang w:val="ru-RU"/>
        </w:rPr>
        <w:t xml:space="preserve">т оказывать значительное вредное трансграничное воздействие и договориться о необходимости проведения трансграничной процедуры </w:t>
      </w:r>
      <w:r>
        <w:rPr>
          <w:lang w:val="ru-RU"/>
        </w:rPr>
        <w:t xml:space="preserve">оценки воздействия на окружающую среду </w:t>
      </w:r>
      <w:r w:rsidR="004A566C">
        <w:rPr>
          <w:lang w:val="ru-RU"/>
        </w:rPr>
        <w:t>для такого вида</w:t>
      </w:r>
      <w:r w:rsidR="004A566C" w:rsidRPr="00491F48">
        <w:rPr>
          <w:lang w:val="ru-RU"/>
        </w:rPr>
        <w:t xml:space="preserve"> деятельности индивидуально или в рамках двусторонних, многосторонних или других договоренностей.</w:t>
      </w:r>
    </w:p>
    <w:p w14:paraId="301F5F88" w14:textId="1AB7B483" w:rsidR="004A566C" w:rsidRPr="00491F48" w:rsidRDefault="00370ACF" w:rsidP="001A072A">
      <w:pPr>
        <w:pStyle w:val="SingleTxtG"/>
        <w:rPr>
          <w:lang w:val="ru-RU"/>
        </w:rPr>
      </w:pPr>
      <w:r>
        <w:rPr>
          <w:lang w:val="ru-RU"/>
        </w:rPr>
        <w:t>35</w:t>
      </w:r>
      <w:r w:rsidR="004A566C" w:rsidRPr="002970FE">
        <w:rPr>
          <w:lang w:val="ru-RU"/>
        </w:rPr>
        <w:t>.</w:t>
      </w:r>
      <w:r w:rsidR="004A566C" w:rsidRPr="002970FE">
        <w:rPr>
          <w:lang w:val="ru-RU"/>
        </w:rPr>
        <w:tab/>
      </w:r>
      <w:r w:rsidR="004A566C" w:rsidRPr="00491F48">
        <w:rPr>
          <w:lang w:val="ru-RU"/>
        </w:rPr>
        <w:t xml:space="preserve">При установлении возможности значительного вредного трансграничного воздействия компетентный орган принимает решение о начале процедуры уведомления. </w:t>
      </w:r>
    </w:p>
    <w:p w14:paraId="3EA0A429" w14:textId="77777777" w:rsidR="004A566C" w:rsidRPr="00340D85" w:rsidRDefault="00C335D9" w:rsidP="00C335D9">
      <w:pPr>
        <w:pStyle w:val="H1G"/>
        <w:rPr>
          <w:lang w:val="ru-RU"/>
        </w:rPr>
      </w:pPr>
      <w:bookmarkStart w:id="13" w:name="_Toc507852132"/>
      <w:r w:rsidRPr="00340D85">
        <w:rPr>
          <w:lang w:val="ru-RU"/>
        </w:rPr>
        <w:tab/>
      </w:r>
      <w:r w:rsidR="00A500D7" w:rsidRPr="00340D85">
        <w:rPr>
          <w:lang w:val="ru-RU"/>
        </w:rPr>
        <w:t>Б</w:t>
      </w:r>
      <w:r w:rsidR="004A566C" w:rsidRPr="00340D85">
        <w:rPr>
          <w:lang w:val="ru-RU"/>
        </w:rPr>
        <w:t>.</w:t>
      </w:r>
      <w:r w:rsidR="004A566C" w:rsidRPr="00340D85">
        <w:rPr>
          <w:lang w:val="ru-RU"/>
        </w:rPr>
        <w:tab/>
        <w:t>Уведомление</w:t>
      </w:r>
      <w:bookmarkEnd w:id="13"/>
    </w:p>
    <w:p w14:paraId="700B828E" w14:textId="2D215E16" w:rsidR="003C395C" w:rsidRDefault="00370ACF" w:rsidP="004A566C">
      <w:pPr>
        <w:pStyle w:val="SingleTxtG"/>
        <w:rPr>
          <w:lang w:val="ru-RU"/>
        </w:rPr>
      </w:pPr>
      <w:r w:rsidRPr="00AC3ED4">
        <w:rPr>
          <w:lang w:val="ru-RU"/>
        </w:rPr>
        <w:t>36</w:t>
      </w:r>
      <w:r w:rsidR="004A566C" w:rsidRPr="005A15A6">
        <w:rPr>
          <w:lang w:val="ru-RU"/>
        </w:rPr>
        <w:t>.</w:t>
      </w:r>
      <w:r w:rsidR="004A566C" w:rsidRPr="005A15A6">
        <w:rPr>
          <w:lang w:val="ru-RU"/>
        </w:rPr>
        <w:tab/>
        <w:t xml:space="preserve">Уведомление затрагиваемых государств - официальное и обязательное мероприятие для начала процедуры трансграничной </w:t>
      </w:r>
      <w:r w:rsidR="00A451F0" w:rsidRPr="00FC0EE6">
        <w:rPr>
          <w:lang w:val="ru-RU"/>
        </w:rPr>
        <w:t>оценки воздействия на окружающую среду</w:t>
      </w:r>
      <w:r w:rsidR="004A566C" w:rsidRPr="00FC0EE6">
        <w:rPr>
          <w:lang w:val="ru-RU"/>
        </w:rPr>
        <w:t xml:space="preserve">. </w:t>
      </w:r>
      <w:r w:rsidR="00A451F0" w:rsidRPr="00FC0EE6">
        <w:rPr>
          <w:lang w:val="ru-RU"/>
        </w:rPr>
        <w:t>Страна происхождения должна уведомить затрагиваемую страну или страны как можно скорее и не позднее, чем она проинформирует собственную общественность (</w:t>
      </w:r>
      <w:r w:rsidR="00A451F0" w:rsidRPr="00AC3ED4">
        <w:t>ECE</w:t>
      </w:r>
      <w:r w:rsidR="00A451F0" w:rsidRPr="00FC0EE6">
        <w:rPr>
          <w:lang w:val="ru-RU"/>
        </w:rPr>
        <w:t>/</w:t>
      </w:r>
      <w:r w:rsidR="00A451F0" w:rsidRPr="00AC3ED4">
        <w:t>MP</w:t>
      </w:r>
      <w:r w:rsidR="00A451F0" w:rsidRPr="00FC0EE6">
        <w:rPr>
          <w:lang w:val="ru-RU"/>
        </w:rPr>
        <w:t>.</w:t>
      </w:r>
      <w:r w:rsidR="00A451F0" w:rsidRPr="00AC3ED4">
        <w:t>EIA</w:t>
      </w:r>
      <w:r w:rsidR="00A451F0" w:rsidRPr="00FC0EE6">
        <w:rPr>
          <w:lang w:val="ru-RU"/>
        </w:rPr>
        <w:t xml:space="preserve">/8, </w:t>
      </w:r>
      <w:r w:rsidR="00A451F0" w:rsidRPr="00AC3ED4">
        <w:rPr>
          <w:lang w:val="ru-RU"/>
        </w:rPr>
        <w:t>пункт</w:t>
      </w:r>
      <w:r w:rsidR="00A451F0" w:rsidRPr="00FC0EE6">
        <w:rPr>
          <w:lang w:val="ru-RU"/>
        </w:rPr>
        <w:t xml:space="preserve"> 41)</w:t>
      </w:r>
      <w:r w:rsidR="00A451F0" w:rsidRPr="00AC3ED4">
        <w:rPr>
          <w:lang w:val="ru-RU"/>
        </w:rPr>
        <w:t xml:space="preserve">. </w:t>
      </w:r>
      <w:r w:rsidR="00A451F0" w:rsidRPr="005A15A6">
        <w:rPr>
          <w:lang w:val="ru-RU"/>
        </w:rPr>
        <w:t xml:space="preserve">Руководствуясь предупредительным подходом, </w:t>
      </w:r>
      <w:r w:rsidR="00A451F0" w:rsidRPr="00FC0EE6">
        <w:rPr>
          <w:lang w:val="ru-RU"/>
        </w:rPr>
        <w:t xml:space="preserve">неофициальное пред-уведомительное взаимодействие </w:t>
      </w:r>
      <w:r w:rsidR="003C395C" w:rsidRPr="00FC0EE6">
        <w:rPr>
          <w:lang w:val="ru-RU"/>
        </w:rPr>
        <w:t>особенно рекомендуется.</w:t>
      </w:r>
    </w:p>
    <w:p w14:paraId="728AB1E4" w14:textId="77777777" w:rsidR="005A15A6" w:rsidRPr="007615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37.</w:t>
      </w:r>
      <w:r w:rsidRPr="00761566">
        <w:rPr>
          <w:lang w:val="ru-RU"/>
        </w:rPr>
        <w:tab/>
        <w:t>Уведомление может передаваться официальными контактными лицами по вопросам Конвенции,</w:t>
      </w:r>
      <w:r w:rsidRPr="00761566">
        <w:rPr>
          <w:vertAlign w:val="superscript"/>
          <w:lang w:val="ru-RU"/>
        </w:rPr>
        <w:footnoteReference w:id="16"/>
      </w:r>
      <w:r w:rsidRPr="00761566">
        <w:rPr>
          <w:lang w:val="ru-RU"/>
        </w:rPr>
        <w:t xml:space="preserve"> назначенными компетентными органами заранее в целях проведения трансграничной оценки воздействия на окружающую среду или другими органами, которые ответственны за данный этап в соответствии с национальным законодательством или имеющимися двусторонними или многосторонними соглашениями (там же, пункт 40). </w:t>
      </w:r>
    </w:p>
    <w:p w14:paraId="4DD77927" w14:textId="77777777" w:rsidR="005A15A6" w:rsidRPr="007615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38.</w:t>
      </w:r>
      <w:r w:rsidRPr="00761566">
        <w:rPr>
          <w:lang w:val="ru-RU"/>
        </w:rPr>
        <w:tab/>
        <w:t>Уведомление направляется официальным письмом, нетехнического характера, как правило, дипломатическими каналами или по почте. Рекомендуется заранее направить электронную копию органу, ответственному за принятие решения в отношении планируемой деятельности, с целью его информирования о предстоящем уведомлении.</w:t>
      </w:r>
    </w:p>
    <w:p w14:paraId="5E4FBAC9" w14:textId="77777777" w:rsidR="005A15A6" w:rsidRPr="007615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39.</w:t>
      </w:r>
      <w:r w:rsidRPr="00761566">
        <w:rPr>
          <w:lang w:val="ru-RU"/>
        </w:rPr>
        <w:tab/>
        <w:t xml:space="preserve">Уведомление должно содержать: </w:t>
      </w:r>
    </w:p>
    <w:p w14:paraId="0DC65A95" w14:textId="77777777" w:rsidR="005A15A6" w:rsidRPr="00761566" w:rsidRDefault="005A15A6" w:rsidP="005A15A6">
      <w:pPr>
        <w:pStyle w:val="SingleTxtG"/>
        <w:ind w:firstLine="567"/>
        <w:rPr>
          <w:lang w:val="ru-RU"/>
        </w:rPr>
      </w:pPr>
      <w:r w:rsidRPr="00761566">
        <w:rPr>
          <w:lang w:val="ru-RU"/>
        </w:rPr>
        <w:t>а)</w:t>
      </w:r>
      <w:r w:rsidRPr="00761566">
        <w:rPr>
          <w:lang w:val="ru-RU"/>
        </w:rPr>
        <w:tab/>
        <w:t xml:space="preserve">информацию о планируемой деятельности, включая любую имеющуюся информацию о возможном трансграничном воздействии; </w:t>
      </w:r>
    </w:p>
    <w:p w14:paraId="0D8DC42C" w14:textId="77777777" w:rsidR="005A15A6" w:rsidRPr="00761566" w:rsidRDefault="005A15A6" w:rsidP="005A15A6">
      <w:pPr>
        <w:pStyle w:val="SingleTxtG"/>
        <w:ind w:firstLine="567"/>
        <w:rPr>
          <w:lang w:val="ru-RU"/>
        </w:rPr>
      </w:pPr>
      <w:r w:rsidRPr="00761566">
        <w:rPr>
          <w:lang w:val="ru-RU"/>
        </w:rPr>
        <w:t>б)</w:t>
      </w:r>
      <w:r w:rsidRPr="00761566">
        <w:rPr>
          <w:lang w:val="ru-RU"/>
        </w:rPr>
        <w:tab/>
        <w:t>информацию о характере возможного решения;</w:t>
      </w:r>
    </w:p>
    <w:p w14:paraId="12AB8EC0" w14:textId="77777777" w:rsidR="005A15A6" w:rsidRPr="00761566" w:rsidRDefault="005A15A6" w:rsidP="002A5207">
      <w:pPr>
        <w:pStyle w:val="SingleTxtG"/>
        <w:ind w:firstLine="567"/>
        <w:rPr>
          <w:lang w:val="ru-RU"/>
        </w:rPr>
      </w:pPr>
      <w:r w:rsidRPr="00761566">
        <w:rPr>
          <w:lang w:val="ru-RU"/>
        </w:rPr>
        <w:t>в)</w:t>
      </w:r>
      <w:r w:rsidRPr="00761566">
        <w:rPr>
          <w:lang w:val="ru-RU"/>
        </w:rPr>
        <w:tab/>
        <w:t>указание разумного срока, в течение которого ожидается получение ответа.</w:t>
      </w:r>
    </w:p>
    <w:p w14:paraId="33F29AC3" w14:textId="77777777" w:rsidR="00987B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40.</w:t>
      </w:r>
      <w:r w:rsidRPr="00761566">
        <w:rPr>
          <w:lang w:val="ru-RU"/>
        </w:rPr>
        <w:tab/>
        <w:t>В целях сокращения рисков просрочек и недопонимания, стране происхождения рекомендуется указать адрес, на который необходимо направить ответ</w:t>
      </w:r>
      <w:r w:rsidR="00987B66">
        <w:rPr>
          <w:lang w:val="ru-RU"/>
        </w:rPr>
        <w:t>.</w:t>
      </w:r>
    </w:p>
    <w:p w14:paraId="5A900928" w14:textId="31519EED" w:rsidR="005A15A6" w:rsidRPr="007615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ab/>
        <w:t>41.</w:t>
      </w:r>
      <w:r w:rsidRPr="00761566">
        <w:rPr>
          <w:lang w:val="ru-RU"/>
        </w:rPr>
        <w:tab/>
        <w:t xml:space="preserve">Более того, </w:t>
      </w:r>
      <w:r w:rsidRPr="00CB7423">
        <w:rPr>
          <w:lang w:val="ru-RU"/>
        </w:rPr>
        <w:t>с целью избе</w:t>
      </w:r>
      <w:r w:rsidR="00A00806" w:rsidRPr="00CB7423">
        <w:rPr>
          <w:lang w:val="ru-RU"/>
        </w:rPr>
        <w:t xml:space="preserve">жания </w:t>
      </w:r>
      <w:r w:rsidRPr="00CB7423">
        <w:rPr>
          <w:lang w:val="ru-RU"/>
        </w:rPr>
        <w:t xml:space="preserve">необходимости предоставления в будущем </w:t>
      </w:r>
      <w:r w:rsidR="00426A94" w:rsidRPr="00CB7423">
        <w:rPr>
          <w:lang w:val="ru-RU"/>
        </w:rPr>
        <w:t>дополнительн</w:t>
      </w:r>
      <w:r w:rsidR="00A00806" w:rsidRPr="00CB7423">
        <w:rPr>
          <w:lang w:val="ru-RU"/>
        </w:rPr>
        <w:t>ой информации</w:t>
      </w:r>
      <w:r w:rsidRPr="00CB7423">
        <w:rPr>
          <w:lang w:val="ru-RU"/>
        </w:rPr>
        <w:t>,</w:t>
      </w:r>
      <w:r w:rsidRPr="00761566">
        <w:rPr>
          <w:lang w:val="ru-RU"/>
        </w:rPr>
        <w:t xml:space="preserve"> Уведомление может содержать более подробную информацию по основным параметрам планируемой деятельности и ее возможном значительном воздействии, а также соответствующую информацию по процедуре оценки, включая указание на сроки предоставления замечаний в соответствии с пунктом 5 статьи 3 Конвенции.</w:t>
      </w:r>
    </w:p>
    <w:p w14:paraId="62BC2037" w14:textId="77777777" w:rsidR="005A15A6" w:rsidRPr="007615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42.</w:t>
      </w:r>
      <w:r w:rsidRPr="00761566">
        <w:rPr>
          <w:lang w:val="ru-RU"/>
        </w:rPr>
        <w:tab/>
        <w:t>Исходя из инженерно-технической практики проектирования в государствах Центральной Азии, странам рекомендовано использовать русский язык для целей уведомления и предоставления другой информации в процессе трансграничной оценки воздействия на окружающую среду, при отсутствии иных договоренностей между ними. Уведомление может быть направлено на другом языке, общепринятым в дипломатической корреспонденции между странами.</w:t>
      </w:r>
    </w:p>
    <w:p w14:paraId="662CD244" w14:textId="77777777" w:rsidR="005A15A6" w:rsidRPr="007615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43.</w:t>
      </w:r>
      <w:r w:rsidRPr="00761566">
        <w:rPr>
          <w:lang w:val="ru-RU"/>
        </w:rPr>
        <w:tab/>
        <w:t>Затрагиваемым странам следует прилагать усилия к тому, чтобы отвечать на уведомления относительно их намерения участвовать в трансграничной процедуре как можно быстрее, в установленные страной происхождения сроки, что позволит Стороне происхождения приступить к реализации следующих этапов (</w:t>
      </w:r>
      <w:r w:rsidRPr="00761566">
        <w:t>ECE</w:t>
      </w:r>
      <w:r w:rsidRPr="00761566">
        <w:rPr>
          <w:lang w:val="ru-RU"/>
        </w:rPr>
        <w:t>/</w:t>
      </w:r>
      <w:r w:rsidRPr="00761566">
        <w:t>MP</w:t>
      </w:r>
      <w:r w:rsidRPr="00761566">
        <w:rPr>
          <w:lang w:val="ru-RU"/>
        </w:rPr>
        <w:t>.</w:t>
      </w:r>
      <w:r w:rsidRPr="00761566">
        <w:t>EIA</w:t>
      </w:r>
      <w:r w:rsidRPr="00761566">
        <w:rPr>
          <w:lang w:val="ru-RU"/>
        </w:rPr>
        <w:t>/2017/10, пункт 32). Отсутствие своевременного ответа может быть рассмотрено как нежелание принимать участие в процедуре. В то же время, своевременный отрицательный ответ (об отказе принимать участие в трансграничной оценке) имеет важное значение для страны происхождения, так как это позволяет ей продолжать подготовку национальной оценки воздействия на окружающую среду без промедления (</w:t>
      </w:r>
      <w:r w:rsidRPr="00761566">
        <w:t>ECE</w:t>
      </w:r>
      <w:r w:rsidRPr="00761566">
        <w:rPr>
          <w:lang w:val="ru-RU"/>
        </w:rPr>
        <w:t>/</w:t>
      </w:r>
      <w:r w:rsidRPr="00761566">
        <w:t>MP</w:t>
      </w:r>
      <w:r w:rsidRPr="00761566">
        <w:rPr>
          <w:lang w:val="ru-RU"/>
        </w:rPr>
        <w:t>.</w:t>
      </w:r>
      <w:r w:rsidRPr="00761566">
        <w:t>EIA</w:t>
      </w:r>
      <w:r w:rsidRPr="00761566">
        <w:rPr>
          <w:lang w:val="ru-RU"/>
        </w:rPr>
        <w:t>/8, пункт 44).</w:t>
      </w:r>
    </w:p>
    <w:p w14:paraId="608B774F" w14:textId="0490F3C8" w:rsidR="005A15A6" w:rsidRPr="00761566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44.</w:t>
      </w:r>
      <w:r w:rsidRPr="00761566">
        <w:rPr>
          <w:lang w:val="ru-RU"/>
        </w:rPr>
        <w:tab/>
      </w:r>
      <w:r w:rsidR="00987B66">
        <w:rPr>
          <w:lang w:val="ru-RU"/>
        </w:rPr>
        <w:t>После получения</w:t>
      </w:r>
      <w:r w:rsidRPr="00761566">
        <w:rPr>
          <w:lang w:val="ru-RU"/>
        </w:rPr>
        <w:t xml:space="preserve"> </w:t>
      </w:r>
      <w:r w:rsidR="00987B66">
        <w:rPr>
          <w:lang w:val="ru-RU"/>
        </w:rPr>
        <w:t>положительного</w:t>
      </w:r>
      <w:r w:rsidR="00987B66" w:rsidRPr="00761566">
        <w:rPr>
          <w:lang w:val="ru-RU"/>
        </w:rPr>
        <w:t xml:space="preserve"> </w:t>
      </w:r>
      <w:r w:rsidRPr="00761566">
        <w:rPr>
          <w:lang w:val="ru-RU"/>
        </w:rPr>
        <w:t>ответа от затрагиваемого государства(-в), компетентный орган страны происхождения планируемой деятельности, как рекомендовано надлежащей практикой, может начинать предварительные консультации с странами, ответившими положительно, с целью планирования последующих шагов. Такие шаги могут включать сроки предоставления документации по оценке воздействия на окружающую среду; определение времени, формы и количества консультаций; определение ответственных лиц и их контактной информации. В случае достижения взаимного соглашения относительно последующих шагов, результаты предварительных консультации должны быть закреплены в форме протокола, включающего как минимум информацию о таких шагах, как указанно выше.</w:t>
      </w:r>
    </w:p>
    <w:p w14:paraId="616CEE29" w14:textId="603D0BE7" w:rsidR="005A15A6" w:rsidRPr="00491F48" w:rsidRDefault="005A15A6" w:rsidP="005A15A6">
      <w:pPr>
        <w:pStyle w:val="SingleTxtG"/>
        <w:rPr>
          <w:lang w:val="ru-RU"/>
        </w:rPr>
      </w:pPr>
      <w:r w:rsidRPr="00761566">
        <w:rPr>
          <w:lang w:val="ru-RU"/>
        </w:rPr>
        <w:t>45.</w:t>
      </w:r>
      <w:r w:rsidRPr="00761566">
        <w:rPr>
          <w:lang w:val="ru-RU"/>
        </w:rPr>
        <w:tab/>
        <w:t>После получения согласия затрагиваемого государства на участие в трансграничной оценке воздействия на окружающую среду компетентный орган страны проис</w:t>
      </w:r>
      <w:r w:rsidRPr="00CB7423">
        <w:rPr>
          <w:lang w:val="ru-RU"/>
        </w:rPr>
        <w:t>хождения может направить компетентному органу затрагиваемой страны запрос на предоставление разумно</w:t>
      </w:r>
      <w:r w:rsidRPr="00672B55">
        <w:rPr>
          <w:lang w:val="ru-RU"/>
        </w:rPr>
        <w:t xml:space="preserve"> доступной информации</w:t>
      </w:r>
      <w:r w:rsidRPr="00761566">
        <w:rPr>
          <w:lang w:val="ru-RU"/>
        </w:rPr>
        <w:t xml:space="preserve"> в отношении потенциального воздействия на окружающую среду, где такая информация необходима для подготовки документации об оценке воздействия на окружающую среду. Затрагиваемая страна должна предоставить данную информацию оперативно. Более того, в соответствии с запросом страны происхождения, и как рекомендовано надлежащей практикой, потенциально затрагиваемая страна может также предоставить информацию в отношении социально-экономической ситуации в районах, на которые может распространяться значительное вредное трансграничное воздействие.</w:t>
      </w:r>
    </w:p>
    <w:p w14:paraId="0E57809A" w14:textId="26CB3E73" w:rsidR="00C76E7F" w:rsidRPr="00340D85" w:rsidRDefault="00C76E7F" w:rsidP="00C76E7F">
      <w:pPr>
        <w:pStyle w:val="H1G"/>
        <w:rPr>
          <w:lang w:val="ru-RU"/>
        </w:rPr>
      </w:pPr>
      <w:r>
        <w:rPr>
          <w:lang w:val="ru-RU"/>
        </w:rPr>
        <w:tab/>
      </w:r>
      <w:r w:rsidRPr="00340D85">
        <w:rPr>
          <w:lang w:val="ru-RU"/>
        </w:rPr>
        <w:t>В.</w:t>
      </w:r>
      <w:r w:rsidRPr="00340D85">
        <w:rPr>
          <w:lang w:val="ru-RU"/>
        </w:rPr>
        <w:tab/>
        <w:t>Отсутствие уведомления</w:t>
      </w:r>
    </w:p>
    <w:p w14:paraId="4DED3EF4" w14:textId="47E4E126" w:rsidR="00C76E7F" w:rsidRPr="00491F48" w:rsidRDefault="00C76E7F" w:rsidP="00C76E7F">
      <w:pPr>
        <w:pStyle w:val="SingleTxtG"/>
        <w:rPr>
          <w:lang w:val="ru-RU"/>
        </w:rPr>
      </w:pPr>
      <w:r w:rsidRPr="00EA274D">
        <w:rPr>
          <w:lang w:val="ru-RU"/>
        </w:rPr>
        <w:t>46</w:t>
      </w:r>
      <w:r w:rsidRPr="00293921">
        <w:rPr>
          <w:lang w:val="ru-RU"/>
        </w:rPr>
        <w:t>.</w:t>
      </w:r>
      <w:r w:rsidRPr="00293921">
        <w:rPr>
          <w:lang w:val="ru-RU"/>
        </w:rPr>
        <w:tab/>
      </w:r>
      <w:r w:rsidRPr="00491F48">
        <w:rPr>
          <w:lang w:val="ru-RU"/>
        </w:rPr>
        <w:t>В случае отсутствия уведомления</w:t>
      </w:r>
      <w:r w:rsidR="008973D4">
        <w:rPr>
          <w:lang w:val="ru-RU"/>
        </w:rPr>
        <w:t>,</w:t>
      </w:r>
      <w:r w:rsidRPr="00491F48">
        <w:rPr>
          <w:lang w:val="ru-RU"/>
        </w:rPr>
        <w:t xml:space="preserve"> страна, имеющая основания считать себя затронутой вследствие трансграничного воздействия планируемой деятельности</w:t>
      </w:r>
      <w:r w:rsidR="008973D4">
        <w:rPr>
          <w:lang w:val="ru-RU"/>
        </w:rPr>
        <w:t>,</w:t>
      </w:r>
      <w:r w:rsidRPr="00491F48">
        <w:rPr>
          <w:lang w:val="ru-RU"/>
        </w:rPr>
        <w:t xml:space="preserve"> на основании имеющейся в ее </w:t>
      </w:r>
      <w:r w:rsidR="008973D4">
        <w:rPr>
          <w:lang w:val="ru-RU"/>
        </w:rPr>
        <w:t>распоряжении</w:t>
      </w:r>
      <w:r w:rsidR="008973D4" w:rsidRPr="00491F48">
        <w:rPr>
          <w:lang w:val="ru-RU"/>
        </w:rPr>
        <w:t xml:space="preserve"> </w:t>
      </w:r>
      <w:r w:rsidRPr="00491F48">
        <w:rPr>
          <w:lang w:val="ru-RU"/>
        </w:rPr>
        <w:t xml:space="preserve">информации, может обратиться к стране происхождения с целью начать консультации по вопросу необходимости проведения трансграничной </w:t>
      </w:r>
      <w:r>
        <w:rPr>
          <w:lang w:val="ru-RU"/>
        </w:rPr>
        <w:t>оценки</w:t>
      </w:r>
      <w:r w:rsidRPr="00491F48">
        <w:rPr>
          <w:lang w:val="ru-RU"/>
        </w:rPr>
        <w:t xml:space="preserve">. </w:t>
      </w:r>
    </w:p>
    <w:p w14:paraId="2194FA86" w14:textId="77777777" w:rsidR="00C76E7F" w:rsidRPr="00340D85" w:rsidRDefault="00C76E7F" w:rsidP="00C76E7F">
      <w:pPr>
        <w:pStyle w:val="H1G"/>
        <w:rPr>
          <w:lang w:val="ru-RU"/>
        </w:rPr>
      </w:pPr>
      <w:bookmarkStart w:id="14" w:name="_Toc507852134"/>
      <w:r w:rsidRPr="00340D85">
        <w:rPr>
          <w:lang w:val="ru-RU"/>
        </w:rPr>
        <w:tab/>
        <w:t xml:space="preserve">Г. </w:t>
      </w:r>
      <w:r w:rsidRPr="00340D85">
        <w:rPr>
          <w:lang w:val="ru-RU"/>
        </w:rPr>
        <w:tab/>
        <w:t>Документация по оценке воздействия на окружающую среду</w:t>
      </w:r>
      <w:bookmarkEnd w:id="14"/>
    </w:p>
    <w:p w14:paraId="6B5B9F06" w14:textId="6EB2E0B5" w:rsidR="00C76E7F" w:rsidRPr="00491F48" w:rsidRDefault="00C76E7F" w:rsidP="00C76E7F">
      <w:pPr>
        <w:pStyle w:val="SingleTxtG"/>
        <w:rPr>
          <w:lang w:val="ru-RU"/>
        </w:rPr>
      </w:pPr>
      <w:r w:rsidRPr="00EA274D">
        <w:rPr>
          <w:lang w:val="ru-RU"/>
        </w:rPr>
        <w:t>47</w:t>
      </w:r>
      <w:r w:rsidRPr="00293921">
        <w:rPr>
          <w:lang w:val="ru-RU"/>
        </w:rPr>
        <w:t>.</w:t>
      </w:r>
      <w:r w:rsidRPr="00293921">
        <w:rPr>
          <w:lang w:val="ru-RU"/>
        </w:rPr>
        <w:tab/>
      </w:r>
      <w:r>
        <w:rPr>
          <w:lang w:val="ru-RU"/>
        </w:rPr>
        <w:t xml:space="preserve">В соответствии с добавлением </w:t>
      </w:r>
      <w:r>
        <w:rPr>
          <w:lang w:val="en-US"/>
        </w:rPr>
        <w:t>II</w:t>
      </w:r>
      <w:r w:rsidRPr="00EA274D">
        <w:rPr>
          <w:lang w:val="ru-RU"/>
        </w:rPr>
        <w:t xml:space="preserve"> </w:t>
      </w:r>
      <w:r>
        <w:rPr>
          <w:lang w:val="ru-RU"/>
        </w:rPr>
        <w:t>Конвенции, с</w:t>
      </w:r>
      <w:r w:rsidRPr="00491F48">
        <w:rPr>
          <w:lang w:val="ru-RU"/>
        </w:rPr>
        <w:t xml:space="preserve">трана происхождения </w:t>
      </w:r>
      <w:r>
        <w:rPr>
          <w:lang w:val="ru-RU"/>
        </w:rPr>
        <w:t>обеспечивает</w:t>
      </w:r>
      <w:r w:rsidRPr="00491F48">
        <w:rPr>
          <w:lang w:val="ru-RU"/>
        </w:rPr>
        <w:t xml:space="preserve">, чтобы материалы </w:t>
      </w:r>
      <w:r>
        <w:rPr>
          <w:lang w:val="ru-RU"/>
        </w:rPr>
        <w:t>оценки воздействия на окружающую среду</w:t>
      </w:r>
      <w:r w:rsidRPr="00491F48">
        <w:rPr>
          <w:lang w:val="ru-RU"/>
        </w:rPr>
        <w:t xml:space="preserve"> содержали как минимум следующую информацию:</w:t>
      </w:r>
    </w:p>
    <w:p w14:paraId="34F099CC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 w:rsidRPr="00491F48">
        <w:rPr>
          <w:lang w:val="ru-RU"/>
        </w:rPr>
        <w:t>а)</w:t>
      </w:r>
      <w:r>
        <w:rPr>
          <w:lang w:val="ru-RU"/>
        </w:rPr>
        <w:tab/>
      </w:r>
      <w:r w:rsidRPr="00491F48">
        <w:rPr>
          <w:lang w:val="ru-RU"/>
        </w:rPr>
        <w:t>описание планируемой деятельности и её цели;</w:t>
      </w:r>
    </w:p>
    <w:p w14:paraId="0D490140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Pr="00C249D7">
        <w:rPr>
          <w:lang w:val="ru-RU"/>
        </w:rPr>
        <w:t>описание, при необходимости, разумных</w:t>
      </w:r>
      <w:r>
        <w:rPr>
          <w:lang w:val="ru-RU"/>
        </w:rPr>
        <w:t xml:space="preserve"> </w:t>
      </w:r>
      <w:r w:rsidRPr="00C249D7">
        <w:rPr>
          <w:lang w:val="ru-RU"/>
        </w:rPr>
        <w:t>альтернатив (например, географического или</w:t>
      </w:r>
      <w:r>
        <w:rPr>
          <w:lang w:val="ru-RU"/>
        </w:rPr>
        <w:t xml:space="preserve"> </w:t>
      </w:r>
      <w:r w:rsidRPr="00C249D7">
        <w:rPr>
          <w:lang w:val="ru-RU"/>
        </w:rPr>
        <w:t>технологического характера) планируемой деятельности,</w:t>
      </w:r>
      <w:r>
        <w:rPr>
          <w:lang w:val="ru-RU"/>
        </w:rPr>
        <w:t xml:space="preserve"> </w:t>
      </w:r>
      <w:r w:rsidRPr="00C249D7">
        <w:rPr>
          <w:lang w:val="ru-RU"/>
        </w:rPr>
        <w:t>в том числе варианта отказа от деятельности;</w:t>
      </w:r>
    </w:p>
    <w:p w14:paraId="44C1BB6F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Pr="00491F48">
        <w:rPr>
          <w:lang w:val="ru-RU"/>
        </w:rPr>
        <w:t xml:space="preserve">описание тех элементов окружающей среды, которые </w:t>
      </w:r>
      <w:r>
        <w:rPr>
          <w:lang w:val="ru-RU"/>
        </w:rPr>
        <w:t xml:space="preserve">вероятно </w:t>
      </w:r>
      <w:r w:rsidRPr="00491F48">
        <w:rPr>
          <w:lang w:val="ru-RU"/>
        </w:rPr>
        <w:t>будут значительно затронуты планируемой деятельностью</w:t>
      </w:r>
      <w:r>
        <w:rPr>
          <w:lang w:val="ru-RU"/>
        </w:rPr>
        <w:t xml:space="preserve"> или ее альтернативными вариантами</w:t>
      </w:r>
      <w:r w:rsidRPr="00491F48">
        <w:rPr>
          <w:lang w:val="ru-RU"/>
        </w:rPr>
        <w:t>;</w:t>
      </w:r>
    </w:p>
    <w:p w14:paraId="57405A3A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г)</w:t>
      </w:r>
      <w:r>
        <w:rPr>
          <w:lang w:val="ru-RU"/>
        </w:rPr>
        <w:tab/>
      </w:r>
      <w:r w:rsidRPr="00C249D7">
        <w:rPr>
          <w:lang w:val="ru-RU"/>
        </w:rPr>
        <w:t>описание возможного воздействия на</w:t>
      </w:r>
      <w:r>
        <w:rPr>
          <w:lang w:val="ru-RU"/>
        </w:rPr>
        <w:t xml:space="preserve"> </w:t>
      </w:r>
      <w:r w:rsidRPr="00C249D7">
        <w:rPr>
          <w:lang w:val="ru-RU"/>
        </w:rPr>
        <w:t>окружающую среду планируемой деятельности</w:t>
      </w:r>
      <w:r>
        <w:rPr>
          <w:lang w:val="ru-RU"/>
        </w:rPr>
        <w:t xml:space="preserve"> </w:t>
      </w:r>
      <w:r w:rsidRPr="00C249D7">
        <w:rPr>
          <w:lang w:val="ru-RU"/>
        </w:rPr>
        <w:t>и ее альтернативных вариантов и оценка его</w:t>
      </w:r>
      <w:r>
        <w:rPr>
          <w:lang w:val="ru-RU"/>
        </w:rPr>
        <w:t xml:space="preserve"> </w:t>
      </w:r>
      <w:r w:rsidRPr="00C249D7">
        <w:rPr>
          <w:lang w:val="ru-RU"/>
        </w:rPr>
        <w:t>значительности</w:t>
      </w:r>
      <w:r w:rsidRPr="00491F48">
        <w:rPr>
          <w:lang w:val="ru-RU"/>
        </w:rPr>
        <w:t>;</w:t>
      </w:r>
    </w:p>
    <w:p w14:paraId="5AD25928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д</w:t>
      </w:r>
      <w:r w:rsidRPr="006808C1">
        <w:rPr>
          <w:lang w:val="ru-RU"/>
        </w:rPr>
        <w:t>)</w:t>
      </w:r>
      <w:r>
        <w:rPr>
          <w:lang w:val="ru-RU"/>
        </w:rPr>
        <w:tab/>
      </w:r>
      <w:r w:rsidRPr="00843DB0">
        <w:rPr>
          <w:lang w:val="ru-RU"/>
        </w:rPr>
        <w:t>описание мер по уменьшению воздействия,</w:t>
      </w:r>
      <w:r>
        <w:rPr>
          <w:lang w:val="ru-RU"/>
        </w:rPr>
        <w:t xml:space="preserve"> </w:t>
      </w:r>
      <w:r w:rsidRPr="00843DB0">
        <w:rPr>
          <w:lang w:val="ru-RU"/>
        </w:rPr>
        <w:t>направленных на то, чтобы свести к минимуму</w:t>
      </w:r>
      <w:r>
        <w:rPr>
          <w:lang w:val="ru-RU"/>
        </w:rPr>
        <w:t xml:space="preserve"> </w:t>
      </w:r>
      <w:r w:rsidRPr="00843DB0">
        <w:rPr>
          <w:lang w:val="ru-RU"/>
        </w:rPr>
        <w:t>вредное воздействие на окружающую</w:t>
      </w:r>
      <w:r>
        <w:rPr>
          <w:lang w:val="ru-RU"/>
        </w:rPr>
        <w:t xml:space="preserve"> </w:t>
      </w:r>
      <w:r w:rsidRPr="00843DB0">
        <w:rPr>
          <w:lang w:val="ru-RU"/>
        </w:rPr>
        <w:t>сред</w:t>
      </w:r>
      <w:r>
        <w:rPr>
          <w:lang w:val="ru-RU"/>
        </w:rPr>
        <w:t>у;</w:t>
      </w:r>
    </w:p>
    <w:p w14:paraId="52B3378F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Pr="00EB16A9">
        <w:rPr>
          <w:lang w:val="ru-RU"/>
        </w:rPr>
        <w:t>конкретное указание на методы прогнозирования</w:t>
      </w:r>
      <w:r>
        <w:rPr>
          <w:lang w:val="ru-RU"/>
        </w:rPr>
        <w:t xml:space="preserve"> </w:t>
      </w:r>
      <w:r w:rsidRPr="00EB16A9">
        <w:rPr>
          <w:lang w:val="ru-RU"/>
        </w:rPr>
        <w:t>и лежащие в их основе исходные положения,</w:t>
      </w:r>
      <w:r>
        <w:rPr>
          <w:lang w:val="ru-RU"/>
        </w:rPr>
        <w:t xml:space="preserve"> </w:t>
      </w:r>
      <w:r w:rsidRPr="00EB16A9">
        <w:rPr>
          <w:lang w:val="ru-RU"/>
        </w:rPr>
        <w:t>а также соответствующие используемые</w:t>
      </w:r>
      <w:r>
        <w:rPr>
          <w:lang w:val="ru-RU"/>
        </w:rPr>
        <w:t xml:space="preserve"> </w:t>
      </w:r>
      <w:r w:rsidRPr="00EB16A9">
        <w:rPr>
          <w:lang w:val="ru-RU"/>
        </w:rPr>
        <w:t>данные об окружающей среде;</w:t>
      </w:r>
    </w:p>
    <w:p w14:paraId="40675598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ж)</w:t>
      </w:r>
      <w:r>
        <w:rPr>
          <w:lang w:val="ru-RU"/>
        </w:rPr>
        <w:tab/>
      </w:r>
      <w:r w:rsidRPr="005C3FD2">
        <w:rPr>
          <w:lang w:val="ru-RU"/>
        </w:rPr>
        <w:t>выявление пробелов в знаниях и неопределенностей,</w:t>
      </w:r>
      <w:r>
        <w:rPr>
          <w:lang w:val="ru-RU"/>
        </w:rPr>
        <w:t xml:space="preserve"> </w:t>
      </w:r>
      <w:r w:rsidRPr="005C3FD2">
        <w:rPr>
          <w:lang w:val="ru-RU"/>
        </w:rPr>
        <w:t>которые были обнаружены</w:t>
      </w:r>
      <w:r>
        <w:rPr>
          <w:lang w:val="ru-RU"/>
        </w:rPr>
        <w:t xml:space="preserve"> </w:t>
      </w:r>
      <w:r w:rsidRPr="005C3FD2">
        <w:rPr>
          <w:lang w:val="ru-RU"/>
        </w:rPr>
        <w:t>при подготовке требуемой информации;</w:t>
      </w:r>
    </w:p>
    <w:p w14:paraId="574B9098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з)</w:t>
      </w:r>
      <w:r>
        <w:rPr>
          <w:lang w:val="ru-RU"/>
        </w:rPr>
        <w:tab/>
      </w:r>
      <w:r w:rsidRPr="005C3FD2">
        <w:rPr>
          <w:lang w:val="ru-RU"/>
        </w:rPr>
        <w:t>при необходимости, краткое содержание</w:t>
      </w:r>
      <w:r>
        <w:rPr>
          <w:lang w:val="ru-RU"/>
        </w:rPr>
        <w:t xml:space="preserve"> </w:t>
      </w:r>
      <w:r w:rsidRPr="005C3FD2">
        <w:rPr>
          <w:lang w:val="ru-RU"/>
        </w:rPr>
        <w:t>программ мониторинга и управления и</w:t>
      </w:r>
      <w:r>
        <w:rPr>
          <w:lang w:val="ru-RU"/>
        </w:rPr>
        <w:t xml:space="preserve"> </w:t>
      </w:r>
      <w:r w:rsidRPr="005C3FD2">
        <w:rPr>
          <w:lang w:val="ru-RU"/>
        </w:rPr>
        <w:t xml:space="preserve">всех </w:t>
      </w:r>
      <w:r>
        <w:rPr>
          <w:lang w:val="ru-RU"/>
        </w:rPr>
        <w:t>планов послепроектного анализа;</w:t>
      </w:r>
    </w:p>
    <w:p w14:paraId="08F6F209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и)</w:t>
      </w:r>
      <w:r>
        <w:rPr>
          <w:lang w:val="ru-RU"/>
        </w:rPr>
        <w:tab/>
      </w:r>
      <w:r w:rsidRPr="005C3FD2">
        <w:rPr>
          <w:lang w:val="ru-RU"/>
        </w:rPr>
        <w:t>резюме нетехнического характера, при</w:t>
      </w:r>
      <w:r>
        <w:rPr>
          <w:lang w:val="ru-RU"/>
        </w:rPr>
        <w:t xml:space="preserve"> </w:t>
      </w:r>
      <w:r w:rsidRPr="005C3FD2">
        <w:rPr>
          <w:lang w:val="ru-RU"/>
        </w:rPr>
        <w:t>необходимости, с использованием визуальных</w:t>
      </w:r>
      <w:r>
        <w:rPr>
          <w:lang w:val="ru-RU"/>
        </w:rPr>
        <w:t xml:space="preserve"> </w:t>
      </w:r>
      <w:r w:rsidRPr="005C3FD2">
        <w:rPr>
          <w:lang w:val="ru-RU"/>
        </w:rPr>
        <w:t>средств представления материала (карт, графиков</w:t>
      </w:r>
      <w:r>
        <w:rPr>
          <w:lang w:val="ru-RU"/>
        </w:rPr>
        <w:t xml:space="preserve"> </w:t>
      </w:r>
      <w:r w:rsidRPr="005C3FD2">
        <w:rPr>
          <w:lang w:val="ru-RU"/>
        </w:rPr>
        <w:t>и т.д.).</w:t>
      </w:r>
    </w:p>
    <w:p w14:paraId="04AFFC72" w14:textId="7E7246CE" w:rsidR="00C76E7F" w:rsidRPr="00491F48" w:rsidRDefault="00C76E7F" w:rsidP="00C76E7F">
      <w:pPr>
        <w:pStyle w:val="SingleTxtG"/>
        <w:rPr>
          <w:lang w:val="ru-RU"/>
        </w:rPr>
      </w:pPr>
      <w:r w:rsidRPr="00EA274D">
        <w:rPr>
          <w:lang w:val="ru-RU"/>
        </w:rPr>
        <w:t>48</w:t>
      </w:r>
      <w:r w:rsidRPr="006A30A0">
        <w:rPr>
          <w:lang w:val="ru-RU"/>
        </w:rPr>
        <w:t>.</w:t>
      </w:r>
      <w:r w:rsidRPr="006A30A0">
        <w:rPr>
          <w:lang w:val="ru-RU"/>
        </w:rPr>
        <w:tab/>
      </w:r>
      <w:r>
        <w:rPr>
          <w:lang w:val="ru-RU"/>
        </w:rPr>
        <w:t xml:space="preserve">Страны, которые </w:t>
      </w:r>
      <w:r w:rsidRPr="00491F48">
        <w:rPr>
          <w:lang w:val="ru-RU"/>
        </w:rPr>
        <w:t xml:space="preserve">в </w:t>
      </w:r>
      <w:r>
        <w:rPr>
          <w:lang w:val="ru-RU"/>
        </w:rPr>
        <w:t xml:space="preserve">своем </w:t>
      </w:r>
      <w:r w:rsidRPr="00491F48">
        <w:rPr>
          <w:lang w:val="ru-RU"/>
        </w:rPr>
        <w:t xml:space="preserve">национальном законодательстве </w:t>
      </w:r>
      <w:r>
        <w:rPr>
          <w:lang w:val="ru-RU"/>
        </w:rPr>
        <w:t xml:space="preserve">предусматривают </w:t>
      </w:r>
      <w:r w:rsidRPr="00491F48">
        <w:rPr>
          <w:lang w:val="ru-RU"/>
        </w:rPr>
        <w:t xml:space="preserve">возможность индивидуального определения объема информации, которая должна быть включена в содержание материалов </w:t>
      </w:r>
      <w:r>
        <w:rPr>
          <w:lang w:val="ru-RU"/>
        </w:rPr>
        <w:t xml:space="preserve">оценки воздействия на окружающую среду </w:t>
      </w:r>
      <w:r w:rsidRPr="00491F48">
        <w:rPr>
          <w:lang w:val="ru-RU"/>
        </w:rPr>
        <w:t>планируемой деятельности</w:t>
      </w:r>
      <w:r>
        <w:rPr>
          <w:lang w:val="ru-RU"/>
        </w:rPr>
        <w:t xml:space="preserve"> «</w:t>
      </w:r>
      <w:r w:rsidR="005C2147">
        <w:rPr>
          <w:lang w:val="ru-RU"/>
        </w:rPr>
        <w:t>скоупинг</w:t>
      </w:r>
      <w:r>
        <w:rPr>
          <w:lang w:val="ru-RU"/>
        </w:rPr>
        <w:t>»</w:t>
      </w:r>
      <w:r w:rsidRPr="00491F48">
        <w:rPr>
          <w:lang w:val="ru-RU"/>
        </w:rPr>
        <w:t>,</w:t>
      </w:r>
      <w:r w:rsidRPr="00491F48" w:rsidDel="005C3FD2">
        <w:rPr>
          <w:lang w:val="ru-RU"/>
        </w:rPr>
        <w:t xml:space="preserve"> </w:t>
      </w:r>
      <w:r>
        <w:rPr>
          <w:lang w:val="ru-RU"/>
        </w:rPr>
        <w:t>предоставляют возможность затрагиваемому государству принять участие в таком определении,</w:t>
      </w:r>
      <w:r w:rsidRPr="005C3FD2">
        <w:rPr>
          <w:lang w:val="ru-RU"/>
        </w:rPr>
        <w:t xml:space="preserve"> </w:t>
      </w:r>
      <w:r>
        <w:rPr>
          <w:lang w:val="ru-RU"/>
        </w:rPr>
        <w:t>по мере целесообразности</w:t>
      </w:r>
      <w:r w:rsidRPr="00491F48">
        <w:rPr>
          <w:lang w:val="ru-RU"/>
        </w:rPr>
        <w:t>.</w:t>
      </w:r>
    </w:p>
    <w:p w14:paraId="6E74453A" w14:textId="5E8792E5" w:rsidR="00C76E7F" w:rsidRPr="00491F48" w:rsidRDefault="00145243" w:rsidP="00C76E7F">
      <w:pPr>
        <w:pStyle w:val="SingleTxtG"/>
        <w:rPr>
          <w:lang w:val="ru-RU"/>
        </w:rPr>
      </w:pPr>
      <w:r>
        <w:rPr>
          <w:lang w:val="ru-RU"/>
        </w:rPr>
        <w:t>49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Материалы </w:t>
      </w:r>
      <w:r w:rsidR="00C76E7F">
        <w:rPr>
          <w:lang w:val="ru-RU"/>
        </w:rPr>
        <w:t>оценки воздействия на окружающую среду</w:t>
      </w:r>
      <w:r w:rsidR="00C76E7F" w:rsidRPr="00491F48">
        <w:rPr>
          <w:lang w:val="ru-RU"/>
        </w:rPr>
        <w:t xml:space="preserve"> передаются компетентными органами страны происхождения соответствующим компетентным органам затрагиваемой страны для ознакомления и предоставления замечаний.  В зависимости от сложности проекта страна происхождения предлагает разумные сроки для рассмотрения </w:t>
      </w:r>
      <w:r w:rsidR="00C76E7F">
        <w:rPr>
          <w:lang w:val="ru-RU"/>
        </w:rPr>
        <w:t xml:space="preserve">данной </w:t>
      </w:r>
      <w:r w:rsidR="00C76E7F" w:rsidRPr="00491F48">
        <w:rPr>
          <w:lang w:val="ru-RU"/>
        </w:rPr>
        <w:t>документации, участия общественности и получения замечаний от затрагиваемой страны.</w:t>
      </w:r>
    </w:p>
    <w:p w14:paraId="7D90BB87" w14:textId="77777777" w:rsidR="00C76E7F" w:rsidRPr="00340D85" w:rsidRDefault="00C76E7F" w:rsidP="00C76E7F">
      <w:pPr>
        <w:pStyle w:val="H1G"/>
        <w:rPr>
          <w:lang w:val="ru-RU"/>
        </w:rPr>
      </w:pPr>
      <w:bookmarkStart w:id="15" w:name="_Toc507852135"/>
      <w:r w:rsidRPr="00340D85">
        <w:rPr>
          <w:lang w:val="ru-RU"/>
        </w:rPr>
        <w:tab/>
        <w:t>Д.</w:t>
      </w:r>
      <w:r w:rsidRPr="00340D85">
        <w:rPr>
          <w:lang w:val="ru-RU"/>
        </w:rPr>
        <w:tab/>
        <w:t>Участие общественности</w:t>
      </w:r>
      <w:bookmarkEnd w:id="15"/>
    </w:p>
    <w:p w14:paraId="347714D1" w14:textId="3BF04CF6" w:rsidR="00C76E7F" w:rsidRPr="00491F48" w:rsidRDefault="00145243" w:rsidP="00C76E7F">
      <w:pPr>
        <w:pStyle w:val="SingleTxtG"/>
        <w:rPr>
          <w:lang w:val="ru-RU"/>
        </w:rPr>
      </w:pPr>
      <w:r>
        <w:rPr>
          <w:lang w:val="ru-RU"/>
        </w:rPr>
        <w:t>50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Страны, принимающие участие в трансграничной </w:t>
      </w:r>
      <w:r w:rsidR="005C2147">
        <w:rPr>
          <w:lang w:val="ru-RU"/>
        </w:rPr>
        <w:t xml:space="preserve">оценке </w:t>
      </w:r>
      <w:r w:rsidR="00C76E7F">
        <w:rPr>
          <w:lang w:val="ru-RU"/>
        </w:rPr>
        <w:t>воздействия на окружающую среду</w:t>
      </w:r>
      <w:r w:rsidR="00C76E7F" w:rsidRPr="00491F48">
        <w:rPr>
          <w:lang w:val="ru-RU"/>
        </w:rPr>
        <w:t xml:space="preserve">, совместно через свои компетентные органы обеспечивают возможность эффективного участия в этом процессе </w:t>
      </w:r>
      <w:r w:rsidR="00C76E7F">
        <w:rPr>
          <w:lang w:val="ru-RU"/>
        </w:rPr>
        <w:t>соответствующих</w:t>
      </w:r>
      <w:r w:rsidR="00C76E7F" w:rsidRPr="00491F48">
        <w:rPr>
          <w:lang w:val="ru-RU"/>
        </w:rPr>
        <w:t xml:space="preserve"> органов </w:t>
      </w:r>
      <w:r w:rsidR="00C76E7F">
        <w:rPr>
          <w:lang w:val="ru-RU"/>
        </w:rPr>
        <w:t>и общественности.</w:t>
      </w:r>
    </w:p>
    <w:p w14:paraId="5766699F" w14:textId="07FC369A" w:rsidR="00C76E7F" w:rsidRPr="00491F48" w:rsidRDefault="00145243" w:rsidP="00C76E7F">
      <w:pPr>
        <w:pStyle w:val="SingleTxtG"/>
        <w:rPr>
          <w:lang w:val="ru-RU"/>
        </w:rPr>
      </w:pPr>
      <w:r>
        <w:rPr>
          <w:lang w:val="ru-RU"/>
        </w:rPr>
        <w:t>51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>Для проведения процедуры участия общественности страны определяют меры, направленные на</w:t>
      </w:r>
      <w:r w:rsidR="00C76E7F">
        <w:rPr>
          <w:lang w:val="ru-RU"/>
        </w:rPr>
        <w:t xml:space="preserve"> обеспечение того, чтобы общественность в районах, которые, по всей вероятности, будут подвергнуты воздействию, была </w:t>
      </w:r>
      <w:r w:rsidR="00C76E7F" w:rsidRPr="00491F48">
        <w:rPr>
          <w:lang w:val="ru-RU"/>
        </w:rPr>
        <w:t>своевременно</w:t>
      </w:r>
      <w:r w:rsidR="00C76E7F" w:rsidRPr="00672B55">
        <w:rPr>
          <w:lang w:val="ru-RU"/>
        </w:rPr>
        <w:t>, адекватно и эффективно</w:t>
      </w:r>
      <w:r w:rsidR="00C76E7F" w:rsidRPr="00CB7423">
        <w:rPr>
          <w:lang w:val="ru-RU"/>
        </w:rPr>
        <w:t xml:space="preserve"> проинформирована, чтобы ей был обеспечен доступ к материалам </w:t>
      </w:r>
      <w:r w:rsidR="00C76E7F" w:rsidRPr="00581C6E">
        <w:rPr>
          <w:lang w:val="ru-RU"/>
        </w:rPr>
        <w:t>оценки</w:t>
      </w:r>
      <w:r w:rsidR="00C76E7F">
        <w:rPr>
          <w:lang w:val="ru-RU"/>
        </w:rPr>
        <w:t xml:space="preserve"> воздействия на окружающую среду</w:t>
      </w:r>
      <w:r w:rsidR="00C76E7F" w:rsidRPr="00491F48">
        <w:rPr>
          <w:lang w:val="ru-RU"/>
        </w:rPr>
        <w:t xml:space="preserve"> и </w:t>
      </w:r>
      <w:r w:rsidR="00C76E7F">
        <w:rPr>
          <w:lang w:val="ru-RU"/>
        </w:rPr>
        <w:t xml:space="preserve">предоставлена </w:t>
      </w:r>
      <w:r w:rsidR="00C76E7F" w:rsidRPr="00491F48">
        <w:rPr>
          <w:lang w:val="ru-RU"/>
        </w:rPr>
        <w:t>возможност</w:t>
      </w:r>
      <w:r w:rsidR="00C76E7F">
        <w:rPr>
          <w:lang w:val="ru-RU"/>
        </w:rPr>
        <w:t>ь</w:t>
      </w:r>
      <w:r w:rsidR="00C76E7F" w:rsidRPr="00491F48">
        <w:rPr>
          <w:lang w:val="ru-RU"/>
        </w:rPr>
        <w:t xml:space="preserve"> представить в письменном виде, или во время общественных слушаний, любые комментарии без необходимости того, чтобы эти комментарии были обоснованными. По взаимной договоренности между компетентными органами заинтересованных стран комментарии и предложения, полученные от представителей общественности, могут предоставляться стране происхождения через компетентный орган затрагиваемой страны или непосредственно компетентному органу и/или органу, ответственному за принятие решение относительно планируемой деятельности, страны происхождения. С этой целью страны </w:t>
      </w:r>
      <w:r w:rsidR="00C76E7F">
        <w:rPr>
          <w:lang w:val="ru-RU"/>
        </w:rPr>
        <w:t xml:space="preserve">могут </w:t>
      </w:r>
      <w:r w:rsidR="00C76E7F" w:rsidRPr="00491F48">
        <w:rPr>
          <w:lang w:val="ru-RU"/>
        </w:rPr>
        <w:t>учитыва</w:t>
      </w:r>
      <w:r w:rsidR="00C76E7F">
        <w:rPr>
          <w:lang w:val="ru-RU"/>
        </w:rPr>
        <w:t>ть</w:t>
      </w:r>
      <w:r w:rsidR="00C76E7F" w:rsidRPr="00491F48">
        <w:rPr>
          <w:lang w:val="ru-RU"/>
        </w:rPr>
        <w:t xml:space="preserve"> требования национального законодательства и</w:t>
      </w:r>
      <w:r w:rsidR="00C76E7F">
        <w:rPr>
          <w:lang w:val="ru-RU"/>
        </w:rPr>
        <w:t xml:space="preserve"> ссылаться на</w:t>
      </w:r>
      <w:r w:rsidR="00C76E7F" w:rsidRPr="00491F48">
        <w:rPr>
          <w:lang w:val="ru-RU"/>
        </w:rPr>
        <w:t xml:space="preserve"> международные </w:t>
      </w:r>
      <w:r w:rsidR="00C76E7F">
        <w:rPr>
          <w:lang w:val="ru-RU"/>
        </w:rPr>
        <w:t>законодательные инструменты</w:t>
      </w:r>
      <w:r w:rsidR="00C76E7F" w:rsidRPr="00491F48">
        <w:rPr>
          <w:lang w:val="ru-RU"/>
        </w:rPr>
        <w:t xml:space="preserve">, </w:t>
      </w:r>
      <w:r w:rsidR="00C76E7F">
        <w:rPr>
          <w:lang w:val="ru-RU"/>
        </w:rPr>
        <w:t>в</w:t>
      </w:r>
      <w:r w:rsidR="00C76E7F" w:rsidRPr="00491F48">
        <w:rPr>
          <w:lang w:val="ru-RU"/>
        </w:rPr>
        <w:t xml:space="preserve"> частности</w:t>
      </w:r>
      <w:r w:rsidR="00C76E7F">
        <w:rPr>
          <w:lang w:val="ru-RU"/>
        </w:rPr>
        <w:t xml:space="preserve"> на</w:t>
      </w:r>
      <w:r w:rsidR="00C76E7F" w:rsidRPr="00491F48">
        <w:rPr>
          <w:lang w:val="ru-RU"/>
        </w:rPr>
        <w:t xml:space="preserve"> соответствующие положения Орхусской Конвенции</w:t>
      </w:r>
      <w:r w:rsidR="00C76E7F">
        <w:rPr>
          <w:lang w:val="ru-RU"/>
        </w:rPr>
        <w:t>, сторонами которой являются четыре страны Центральной Азии.</w:t>
      </w:r>
    </w:p>
    <w:p w14:paraId="0EEECE7C" w14:textId="0C818FC5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2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>
        <w:rPr>
          <w:lang w:val="ru-RU"/>
        </w:rPr>
        <w:t>Хотя обязанность обеспечить участие</w:t>
      </w:r>
      <w:r w:rsidR="00C76E7F" w:rsidRPr="00491F48">
        <w:rPr>
          <w:lang w:val="ru-RU"/>
        </w:rPr>
        <w:t xml:space="preserve"> общественности</w:t>
      </w:r>
      <w:r w:rsidR="00C76E7F">
        <w:rPr>
          <w:lang w:val="ru-RU"/>
        </w:rPr>
        <w:t xml:space="preserve"> лежит на компетентных органах заинтересованных стран</w:t>
      </w:r>
      <w:r w:rsidR="00C76E7F" w:rsidRPr="00491F48">
        <w:rPr>
          <w:lang w:val="ru-RU"/>
        </w:rPr>
        <w:t xml:space="preserve">, </w:t>
      </w:r>
      <w:r w:rsidR="00C76E7F">
        <w:rPr>
          <w:lang w:val="ru-RU"/>
        </w:rPr>
        <w:t xml:space="preserve">с целью обеспечения проведения надлежащей процедуры, </w:t>
      </w:r>
      <w:r w:rsidR="00C76E7F" w:rsidRPr="00491F48">
        <w:rPr>
          <w:lang w:val="ru-RU"/>
        </w:rPr>
        <w:t xml:space="preserve">административные функции, связанные </w:t>
      </w:r>
      <w:r w:rsidR="00C76E7F">
        <w:rPr>
          <w:lang w:val="ru-RU"/>
        </w:rPr>
        <w:t>с её</w:t>
      </w:r>
      <w:r w:rsidR="00C76E7F" w:rsidRPr="00491F48">
        <w:rPr>
          <w:lang w:val="ru-RU"/>
        </w:rPr>
        <w:t xml:space="preserve"> организацией, могут быть делегированы органам или лицам, специализирующимся на участии общественности или медиации, которые являются беспристрастными и не представляют интересы, связанные с планируемой деятельностью, являющейся предметом принятия решения.</w:t>
      </w:r>
    </w:p>
    <w:p w14:paraId="7A7416BA" w14:textId="277513E0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3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Страна происхождения обеспечивает, чтобы в окончательном решении </w:t>
      </w:r>
      <w:r w:rsidR="00C76E7F">
        <w:rPr>
          <w:lang w:val="ru-RU"/>
        </w:rPr>
        <w:t xml:space="preserve">относительно </w:t>
      </w:r>
      <w:r w:rsidR="00C76E7F" w:rsidRPr="005A0B32">
        <w:rPr>
          <w:lang w:val="ru-RU"/>
        </w:rPr>
        <w:t xml:space="preserve">планируемой деятельности </w:t>
      </w:r>
      <w:r w:rsidR="00C76E7F" w:rsidRPr="00491F48">
        <w:rPr>
          <w:lang w:val="ru-RU"/>
        </w:rPr>
        <w:t xml:space="preserve">надлежащим образом </w:t>
      </w:r>
      <w:r w:rsidR="00C76E7F">
        <w:rPr>
          <w:lang w:val="ru-RU"/>
        </w:rPr>
        <w:t xml:space="preserve">были </w:t>
      </w:r>
      <w:r w:rsidR="00C76E7F" w:rsidRPr="00477DD8">
        <w:rPr>
          <w:lang w:val="ru-RU"/>
        </w:rPr>
        <w:t xml:space="preserve">учтены результаты оценки воздействия на окружающую среду, включая документацию об оценке воздействия на окружающую среду, </w:t>
      </w:r>
      <w:r w:rsidR="00C76E7F" w:rsidRPr="008D20DE">
        <w:rPr>
          <w:lang w:val="ru-RU"/>
        </w:rPr>
        <w:t>а также замечания по</w:t>
      </w:r>
      <w:r w:rsidR="00C76E7F">
        <w:rPr>
          <w:lang w:val="ru-RU"/>
        </w:rPr>
        <w:t xml:space="preserve"> </w:t>
      </w:r>
      <w:r w:rsidR="00C76E7F" w:rsidRPr="008D20DE">
        <w:rPr>
          <w:lang w:val="ru-RU"/>
        </w:rPr>
        <w:t xml:space="preserve">этой документации, полученные </w:t>
      </w:r>
      <w:r w:rsidR="00C76E7F">
        <w:rPr>
          <w:lang w:val="ru-RU"/>
        </w:rPr>
        <w:t>от общественности</w:t>
      </w:r>
      <w:r w:rsidR="005C2147">
        <w:rPr>
          <w:lang w:val="ru-RU"/>
        </w:rPr>
        <w:t>,</w:t>
      </w:r>
      <w:r w:rsidR="00C76E7F">
        <w:rPr>
          <w:lang w:val="ru-RU"/>
        </w:rPr>
        <w:t xml:space="preserve"> и итоги консультаций между соответствующими государственными органами</w:t>
      </w:r>
      <w:r w:rsidR="00C76E7F" w:rsidRPr="00491F48">
        <w:rPr>
          <w:lang w:val="ru-RU"/>
        </w:rPr>
        <w:t xml:space="preserve">. </w:t>
      </w:r>
      <w:r w:rsidR="00C76E7F">
        <w:rPr>
          <w:lang w:val="ru-RU"/>
        </w:rPr>
        <w:t>Д</w:t>
      </w:r>
      <w:r w:rsidR="00C76E7F" w:rsidRPr="00491F48">
        <w:rPr>
          <w:lang w:val="ru-RU"/>
        </w:rPr>
        <w:t>ля ознакомления с методами учета результатов участия общественности см</w:t>
      </w:r>
      <w:r w:rsidR="00C76E7F">
        <w:rPr>
          <w:lang w:val="ru-RU"/>
        </w:rPr>
        <w:t>.</w:t>
      </w:r>
      <w:r w:rsidR="00C76E7F" w:rsidRPr="00491F48">
        <w:rPr>
          <w:lang w:val="ru-RU"/>
        </w:rPr>
        <w:t xml:space="preserve"> «</w:t>
      </w:r>
      <w:r>
        <w:rPr>
          <w:lang w:val="ru-RU"/>
        </w:rPr>
        <w:t xml:space="preserve">Общее руководство </w:t>
      </w:r>
      <w:r w:rsidRPr="00672B55">
        <w:rPr>
          <w:lang w:val="ru-RU"/>
        </w:rPr>
        <w:t>по улучшению соответствия между Конвенцией Эспо и экологической оценкой в рамках государственной экологической экспертизы в странах Восточной Европы, Кавказа и Центральной Азии</w:t>
      </w:r>
      <w:r w:rsidR="00C76E7F" w:rsidRPr="00491F48">
        <w:rPr>
          <w:lang w:val="ru-RU"/>
        </w:rPr>
        <w:t>»</w:t>
      </w:r>
      <w:r w:rsidR="00C76E7F">
        <w:rPr>
          <w:lang w:val="ru-RU"/>
        </w:rPr>
        <w:t xml:space="preserve"> </w:t>
      </w:r>
      <w:r w:rsidR="00C76E7F" w:rsidRPr="00477DD8">
        <w:rPr>
          <w:lang w:val="ru-RU"/>
        </w:rPr>
        <w:t xml:space="preserve">(ECE/MP.EIA/2014/2, </w:t>
      </w:r>
      <w:r w:rsidR="00C76E7F">
        <w:rPr>
          <w:lang w:val="ru-RU"/>
        </w:rPr>
        <w:t>пункт</w:t>
      </w:r>
      <w:r w:rsidR="00C76E7F" w:rsidRPr="00477DD8">
        <w:rPr>
          <w:lang w:val="ru-RU"/>
        </w:rPr>
        <w:t xml:space="preserve"> 70 (c) </w:t>
      </w:r>
      <w:r w:rsidR="00C76E7F">
        <w:rPr>
          <w:lang w:val="ru-RU"/>
        </w:rPr>
        <w:t xml:space="preserve">и приложение </w:t>
      </w:r>
      <w:r w:rsidR="00C76E7F" w:rsidRPr="00477DD8">
        <w:rPr>
          <w:lang w:val="ru-RU"/>
        </w:rPr>
        <w:t>I)</w:t>
      </w:r>
      <w:r w:rsidR="00C76E7F">
        <w:rPr>
          <w:lang w:val="ru-RU"/>
        </w:rPr>
        <w:t xml:space="preserve"> и «</w:t>
      </w:r>
      <w:r w:rsidR="00C76E7F" w:rsidRPr="000E5484">
        <w:rPr>
          <w:lang w:val="ru-RU"/>
        </w:rPr>
        <w:t>Руководство по участию общественности в</w:t>
      </w:r>
      <w:r w:rsidR="00C76E7F">
        <w:rPr>
          <w:lang w:val="ru-RU"/>
        </w:rPr>
        <w:t xml:space="preserve"> </w:t>
      </w:r>
      <w:r w:rsidR="00C76E7F" w:rsidRPr="000E5484">
        <w:rPr>
          <w:lang w:val="ru-RU"/>
        </w:rPr>
        <w:t>оценке воздействия на окружающую среду в</w:t>
      </w:r>
      <w:r w:rsidR="00C76E7F">
        <w:rPr>
          <w:lang w:val="ru-RU"/>
        </w:rPr>
        <w:t xml:space="preserve"> </w:t>
      </w:r>
      <w:r w:rsidR="00C76E7F" w:rsidRPr="000E5484">
        <w:rPr>
          <w:lang w:val="ru-RU"/>
        </w:rPr>
        <w:t>трансграничном контексте</w:t>
      </w:r>
      <w:r w:rsidR="00C76E7F">
        <w:rPr>
          <w:lang w:val="ru-RU"/>
        </w:rPr>
        <w:t>»</w:t>
      </w:r>
      <w:r w:rsidR="00C76E7F" w:rsidRPr="00EA274D">
        <w:rPr>
          <w:lang w:val="ru-RU"/>
        </w:rPr>
        <w:t xml:space="preserve"> (</w:t>
      </w:r>
      <w:r w:rsidR="00C76E7F" w:rsidRPr="001A6437">
        <w:t>ECE</w:t>
      </w:r>
      <w:r w:rsidR="00C76E7F" w:rsidRPr="00EA274D">
        <w:rPr>
          <w:lang w:val="ru-RU"/>
        </w:rPr>
        <w:t>/</w:t>
      </w:r>
      <w:r w:rsidR="00C76E7F" w:rsidRPr="001A6437">
        <w:t>MP</w:t>
      </w:r>
      <w:r w:rsidR="00C76E7F" w:rsidRPr="00EA274D">
        <w:rPr>
          <w:lang w:val="ru-RU"/>
        </w:rPr>
        <w:t>.</w:t>
      </w:r>
      <w:r w:rsidR="00C76E7F" w:rsidRPr="001A6437">
        <w:t>EIA</w:t>
      </w:r>
      <w:r w:rsidR="00C76E7F" w:rsidRPr="00EA274D">
        <w:rPr>
          <w:lang w:val="ru-RU"/>
        </w:rPr>
        <w:t xml:space="preserve">/7, </w:t>
      </w:r>
      <w:r w:rsidR="00C76E7F">
        <w:rPr>
          <w:lang w:val="ru-RU"/>
        </w:rPr>
        <w:t>пункты</w:t>
      </w:r>
      <w:r w:rsidR="00C76E7F" w:rsidRPr="00EA274D">
        <w:rPr>
          <w:lang w:val="ru-RU"/>
        </w:rPr>
        <w:t xml:space="preserve"> 79–87 </w:t>
      </w:r>
      <w:r w:rsidR="005C2147">
        <w:rPr>
          <w:lang w:val="ru-RU"/>
        </w:rPr>
        <w:t>и</w:t>
      </w:r>
      <w:r w:rsidR="005C2147" w:rsidRPr="00EA274D">
        <w:rPr>
          <w:lang w:val="ru-RU"/>
        </w:rPr>
        <w:t xml:space="preserve"> </w:t>
      </w:r>
      <w:r w:rsidR="00CB7423">
        <w:rPr>
          <w:lang w:val="ru-RU"/>
        </w:rPr>
        <w:t>вставок</w:t>
      </w:r>
      <w:r w:rsidR="00CB7423" w:rsidRPr="00EA274D">
        <w:rPr>
          <w:lang w:val="ru-RU"/>
        </w:rPr>
        <w:t xml:space="preserve"> </w:t>
      </w:r>
      <w:r w:rsidR="00C76E7F" w:rsidRPr="00EA274D">
        <w:rPr>
          <w:lang w:val="ru-RU"/>
        </w:rPr>
        <w:t xml:space="preserve">7 </w:t>
      </w:r>
      <w:r w:rsidR="005C2147">
        <w:rPr>
          <w:lang w:val="ru-RU"/>
        </w:rPr>
        <w:t>и</w:t>
      </w:r>
      <w:r w:rsidR="005C2147" w:rsidRPr="00EA274D">
        <w:rPr>
          <w:lang w:val="ru-RU"/>
        </w:rPr>
        <w:t xml:space="preserve"> </w:t>
      </w:r>
      <w:r w:rsidR="00C76E7F" w:rsidRPr="00EA274D">
        <w:rPr>
          <w:lang w:val="ru-RU"/>
        </w:rPr>
        <w:t>8)</w:t>
      </w:r>
      <w:r w:rsidR="005C2147">
        <w:rPr>
          <w:lang w:val="ru-RU"/>
        </w:rPr>
        <w:t>.</w:t>
      </w:r>
    </w:p>
    <w:p w14:paraId="5298D9CD" w14:textId="77777777" w:rsidR="00C76E7F" w:rsidRPr="00340D85" w:rsidRDefault="00C76E7F" w:rsidP="00C76E7F">
      <w:pPr>
        <w:pStyle w:val="H1G"/>
        <w:rPr>
          <w:lang w:val="ru-RU"/>
        </w:rPr>
      </w:pPr>
      <w:bookmarkStart w:id="16" w:name="_Toc507852136"/>
      <w:r w:rsidRPr="00340D85">
        <w:rPr>
          <w:lang w:val="ru-RU"/>
        </w:rPr>
        <w:tab/>
        <w:t>Е.</w:t>
      </w:r>
      <w:r w:rsidRPr="00340D85">
        <w:rPr>
          <w:lang w:val="ru-RU"/>
        </w:rPr>
        <w:tab/>
        <w:t>Консультации</w:t>
      </w:r>
      <w:bookmarkEnd w:id="16"/>
    </w:p>
    <w:p w14:paraId="4CE86D9B" w14:textId="75737D66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4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После подготовки материалов </w:t>
      </w:r>
      <w:r w:rsidR="00C76E7F">
        <w:rPr>
          <w:lang w:val="ru-RU"/>
        </w:rPr>
        <w:t>оценки воздействия на окружающую среду,</w:t>
      </w:r>
      <w:r w:rsidR="00C76E7F" w:rsidRPr="00491F48">
        <w:rPr>
          <w:lang w:val="ru-RU"/>
        </w:rPr>
        <w:t xml:space="preserve"> страна происхождения проводит консультации с затронутыми странами </w:t>
      </w:r>
      <w:r w:rsidR="00C76E7F">
        <w:rPr>
          <w:lang w:val="ru-RU"/>
        </w:rPr>
        <w:t>на основании документации по возможному трансграничному воздействию</w:t>
      </w:r>
      <w:r w:rsidR="00C76E7F" w:rsidRPr="00491F48">
        <w:rPr>
          <w:lang w:val="ru-RU"/>
        </w:rPr>
        <w:t xml:space="preserve"> планируемой деятельности и мер по уменьшению или устранению её воздействия. В частности, консультации могут касаться возможных альтернатив выполнения планируемой деятельности, других форм взаимного сотрудничества по </w:t>
      </w:r>
      <w:r w:rsidR="00C76E7F">
        <w:rPr>
          <w:lang w:val="ru-RU"/>
        </w:rPr>
        <w:t>сокращению</w:t>
      </w:r>
      <w:r w:rsidR="00C76E7F" w:rsidRPr="00491F48">
        <w:rPr>
          <w:lang w:val="ru-RU"/>
        </w:rPr>
        <w:t xml:space="preserve"> любого значительного вредного трансграничного воздействия планируемой деятельности и любы</w:t>
      </w:r>
      <w:r w:rsidR="00C76E7F">
        <w:rPr>
          <w:lang w:val="ru-RU"/>
        </w:rPr>
        <w:t>х</w:t>
      </w:r>
      <w:r w:rsidR="00C76E7F" w:rsidRPr="00491F48">
        <w:rPr>
          <w:lang w:val="ru-RU"/>
        </w:rPr>
        <w:t xml:space="preserve"> други</w:t>
      </w:r>
      <w:r w:rsidR="00C76E7F">
        <w:rPr>
          <w:lang w:val="ru-RU"/>
        </w:rPr>
        <w:t>х</w:t>
      </w:r>
      <w:r w:rsidR="00C76E7F" w:rsidRPr="00491F48">
        <w:rPr>
          <w:lang w:val="ru-RU"/>
        </w:rPr>
        <w:t xml:space="preserve"> </w:t>
      </w:r>
      <w:r w:rsidR="00C76E7F">
        <w:rPr>
          <w:lang w:val="ru-RU"/>
        </w:rPr>
        <w:t xml:space="preserve">соответствующих </w:t>
      </w:r>
      <w:r w:rsidR="00C76E7F" w:rsidRPr="00491F48">
        <w:rPr>
          <w:lang w:val="ru-RU"/>
        </w:rPr>
        <w:t>вопрос</w:t>
      </w:r>
      <w:r w:rsidR="00C76E7F">
        <w:rPr>
          <w:lang w:val="ru-RU"/>
        </w:rPr>
        <w:t>ов</w:t>
      </w:r>
      <w:r w:rsidR="00C76E7F" w:rsidRPr="00491F48">
        <w:rPr>
          <w:lang w:val="ru-RU"/>
        </w:rPr>
        <w:t>, связанны</w:t>
      </w:r>
      <w:r w:rsidR="00C76E7F">
        <w:rPr>
          <w:lang w:val="ru-RU"/>
        </w:rPr>
        <w:t>х</w:t>
      </w:r>
      <w:r w:rsidR="00C76E7F" w:rsidRPr="00491F48">
        <w:rPr>
          <w:lang w:val="ru-RU"/>
        </w:rPr>
        <w:t xml:space="preserve"> с планируемой деятельностью. </w:t>
      </w:r>
    </w:p>
    <w:p w14:paraId="0BC1AEE0" w14:textId="65C1B8CB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5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Консультации представляют собой переговоры между двумя </w:t>
      </w:r>
      <w:r w:rsidR="00C76E7F">
        <w:rPr>
          <w:lang w:val="ru-RU"/>
        </w:rPr>
        <w:t xml:space="preserve">или более </w:t>
      </w:r>
      <w:r w:rsidR="00C76E7F" w:rsidRPr="00672B55">
        <w:rPr>
          <w:lang w:val="ru-RU"/>
        </w:rPr>
        <w:t>национальными</w:t>
      </w:r>
      <w:r w:rsidR="00C76E7F" w:rsidRPr="00491F48">
        <w:rPr>
          <w:lang w:val="ru-RU"/>
        </w:rPr>
        <w:t xml:space="preserve"> государствами. Страны могут </w:t>
      </w:r>
      <w:r w:rsidR="00C76E7F">
        <w:rPr>
          <w:lang w:val="ru-RU"/>
        </w:rPr>
        <w:t xml:space="preserve">также </w:t>
      </w:r>
      <w:r w:rsidR="00C76E7F" w:rsidRPr="00491F48">
        <w:rPr>
          <w:lang w:val="ru-RU"/>
        </w:rPr>
        <w:t xml:space="preserve">привлекать к консультациям представителей заказчиков (исполнителей) </w:t>
      </w:r>
      <w:r w:rsidR="00C76E7F" w:rsidRPr="00672B55">
        <w:rPr>
          <w:lang w:val="ru-RU"/>
        </w:rPr>
        <w:t>материалов</w:t>
      </w:r>
      <w:r w:rsidR="00C76E7F" w:rsidRPr="00491F48">
        <w:rPr>
          <w:lang w:val="ru-RU"/>
        </w:rPr>
        <w:t xml:space="preserve"> </w:t>
      </w:r>
      <w:r w:rsidR="00C76E7F">
        <w:rPr>
          <w:lang w:val="ru-RU"/>
        </w:rPr>
        <w:t>оценки воздействия на окружающую среду</w:t>
      </w:r>
      <w:r w:rsidR="00C76E7F" w:rsidRPr="00491F48">
        <w:rPr>
          <w:lang w:val="ru-RU"/>
        </w:rPr>
        <w:t xml:space="preserve"> планируемой деятельности, в том числе их экспертов, представителей </w:t>
      </w:r>
      <w:r w:rsidR="00C76E7F">
        <w:rPr>
          <w:lang w:val="ru-RU"/>
        </w:rPr>
        <w:t xml:space="preserve">компетентных </w:t>
      </w:r>
      <w:r w:rsidR="00C76E7F" w:rsidRPr="00491F48">
        <w:rPr>
          <w:lang w:val="ru-RU"/>
        </w:rPr>
        <w:t>органов, а также представителей органов местного самоуправления.</w:t>
      </w:r>
    </w:p>
    <w:p w14:paraId="205E7981" w14:textId="05374E27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6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>Консультации могут проводиться в различных формах с целью обеспечения эффективного обмена информацией на разных этапах консультаций с учетом культурных различий в практике переговоров. Такими формами могут быть совместные</w:t>
      </w:r>
      <w:r w:rsidR="00C76E7F" w:rsidRPr="00AC1B92">
        <w:rPr>
          <w:lang w:val="ru-RU"/>
        </w:rPr>
        <w:t xml:space="preserve"> </w:t>
      </w:r>
      <w:r w:rsidR="00C76E7F">
        <w:rPr>
          <w:lang w:val="ru-RU"/>
        </w:rPr>
        <w:t>межгосударственные</w:t>
      </w:r>
      <w:r w:rsidR="00C76E7F" w:rsidRPr="00491F48">
        <w:rPr>
          <w:lang w:val="ru-RU"/>
        </w:rPr>
        <w:t xml:space="preserve"> органы, экспертные совещания, обмен в письменной и электронной форме, встречи на уровне должностных лиц среднего и высшего звена. </w:t>
      </w:r>
      <w:r w:rsidR="00C76E7F">
        <w:rPr>
          <w:lang w:val="ru-RU"/>
        </w:rPr>
        <w:t xml:space="preserve">Страны согласуют на начальном этапе таких консультаций вопрос об их продолжительности в пределах приемлемых временных рамок. В </w:t>
      </w:r>
      <w:r>
        <w:rPr>
          <w:lang w:val="ru-RU"/>
        </w:rPr>
        <w:t>целом</w:t>
      </w:r>
      <w:r w:rsidR="00C76E7F">
        <w:rPr>
          <w:lang w:val="ru-RU"/>
        </w:rPr>
        <w:t xml:space="preserve">, для содействия проведению консультаций, рекомендуется </w:t>
      </w:r>
      <w:r w:rsidR="00C76E7F" w:rsidRPr="00491F48">
        <w:rPr>
          <w:lang w:val="ru-RU"/>
        </w:rPr>
        <w:t>согласов</w:t>
      </w:r>
      <w:r w:rsidR="00C76E7F">
        <w:rPr>
          <w:lang w:val="ru-RU"/>
        </w:rPr>
        <w:t>ать заранее ф</w:t>
      </w:r>
      <w:r w:rsidR="00C76E7F" w:rsidRPr="00491F48">
        <w:rPr>
          <w:lang w:val="ru-RU"/>
        </w:rPr>
        <w:t>орм</w:t>
      </w:r>
      <w:r w:rsidR="00C76E7F">
        <w:rPr>
          <w:lang w:val="ru-RU"/>
        </w:rPr>
        <w:t>у</w:t>
      </w:r>
      <w:r w:rsidR="00C76E7F" w:rsidRPr="00491F48">
        <w:rPr>
          <w:lang w:val="ru-RU"/>
        </w:rPr>
        <w:t xml:space="preserve"> и время </w:t>
      </w:r>
      <w:r w:rsidR="00CB7423">
        <w:rPr>
          <w:lang w:val="ru-RU"/>
        </w:rPr>
        <w:t>их проведения</w:t>
      </w:r>
      <w:r w:rsidR="00C76E7F" w:rsidRPr="00491F48">
        <w:rPr>
          <w:lang w:val="ru-RU"/>
        </w:rPr>
        <w:t xml:space="preserve"> </w:t>
      </w:r>
      <w:r w:rsidR="00C76E7F" w:rsidRPr="00FA130D">
        <w:rPr>
          <w:lang w:val="ru-RU"/>
        </w:rPr>
        <w:t xml:space="preserve">(см.  </w:t>
      </w:r>
      <w:r w:rsidR="00C76E7F" w:rsidRPr="002C224B">
        <w:rPr>
          <w:lang w:val="ru-RU"/>
        </w:rPr>
        <w:t>пункт</w:t>
      </w:r>
      <w:r w:rsidR="00C76E7F">
        <w:rPr>
          <w:lang w:val="ru-RU"/>
        </w:rPr>
        <w:t xml:space="preserve"> 44</w:t>
      </w:r>
      <w:r w:rsidR="00C76E7F" w:rsidRPr="002C224B">
        <w:rPr>
          <w:lang w:val="ru-RU"/>
        </w:rPr>
        <w:t xml:space="preserve"> выше).</w:t>
      </w:r>
    </w:p>
    <w:p w14:paraId="63681131" w14:textId="4F38D79D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7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>Результаты консультаций, в том числе предоставленные устно и письменно замечания и взаимные договоренности, должны быть задокументированы соответствующим образом с целью их учета при принятии окончательного решения страной происхождения, например, путем составления протоколов, обмена пис</w:t>
      </w:r>
      <w:r w:rsidR="00C76E7F">
        <w:rPr>
          <w:lang w:val="ru-RU"/>
        </w:rPr>
        <w:t>ьмами</w:t>
      </w:r>
      <w:r w:rsidR="00C76E7F" w:rsidRPr="00491F48">
        <w:rPr>
          <w:lang w:val="ru-RU"/>
        </w:rPr>
        <w:t xml:space="preserve"> и прочими методами.</w:t>
      </w:r>
    </w:p>
    <w:p w14:paraId="2A688202" w14:textId="77777777" w:rsidR="00C76E7F" w:rsidRPr="00340D85" w:rsidRDefault="00C76E7F" w:rsidP="00C76E7F">
      <w:pPr>
        <w:pStyle w:val="H1G"/>
        <w:rPr>
          <w:lang w:val="ru-RU"/>
        </w:rPr>
      </w:pPr>
      <w:bookmarkStart w:id="17" w:name="_Toc507852137"/>
      <w:r w:rsidRPr="00340D85">
        <w:rPr>
          <w:lang w:val="ru-RU"/>
        </w:rPr>
        <w:tab/>
        <w:t>Ж.</w:t>
      </w:r>
      <w:r w:rsidRPr="00340D85">
        <w:rPr>
          <w:lang w:val="ru-RU"/>
        </w:rPr>
        <w:tab/>
        <w:t>Окончательное решение</w:t>
      </w:r>
      <w:bookmarkEnd w:id="17"/>
    </w:p>
    <w:p w14:paraId="06504E36" w14:textId="04AAB5B1" w:rsidR="00C76E7F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8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8D20DE">
        <w:rPr>
          <w:lang w:val="ru-RU"/>
        </w:rPr>
        <w:t>Страна происхождения планируемой деятельности должна обеспечит</w:t>
      </w:r>
      <w:r w:rsidR="00C76E7F">
        <w:rPr>
          <w:lang w:val="ru-RU"/>
        </w:rPr>
        <w:t>ь</w:t>
      </w:r>
      <w:r w:rsidR="00C76E7F" w:rsidRPr="008D20DE">
        <w:rPr>
          <w:lang w:val="ru-RU"/>
        </w:rPr>
        <w:t>, чтобы в окончательном</w:t>
      </w:r>
      <w:r w:rsidR="00C76E7F">
        <w:rPr>
          <w:lang w:val="ru-RU"/>
        </w:rPr>
        <w:t xml:space="preserve"> </w:t>
      </w:r>
      <w:r w:rsidR="00C76E7F" w:rsidRPr="008D20DE">
        <w:rPr>
          <w:lang w:val="ru-RU"/>
        </w:rPr>
        <w:t>решении по планируемой деятельности</w:t>
      </w:r>
      <w:r w:rsidR="00C76E7F">
        <w:rPr>
          <w:lang w:val="ru-RU"/>
        </w:rPr>
        <w:t xml:space="preserve"> </w:t>
      </w:r>
      <w:r w:rsidR="00C76E7F" w:rsidRPr="008D20DE">
        <w:rPr>
          <w:lang w:val="ru-RU"/>
        </w:rPr>
        <w:t>были должным образом учтены результаты</w:t>
      </w:r>
      <w:r w:rsidR="00C76E7F">
        <w:rPr>
          <w:lang w:val="ru-RU"/>
        </w:rPr>
        <w:t xml:space="preserve"> </w:t>
      </w:r>
      <w:r w:rsidR="00C76E7F" w:rsidRPr="008D20DE">
        <w:rPr>
          <w:lang w:val="ru-RU"/>
        </w:rPr>
        <w:t>оценки воздействия на окружающую среду,</w:t>
      </w:r>
      <w:r w:rsidR="00C76E7F">
        <w:rPr>
          <w:lang w:val="ru-RU"/>
        </w:rPr>
        <w:t xml:space="preserve"> </w:t>
      </w:r>
      <w:r w:rsidR="00C76E7F" w:rsidRPr="008D20DE">
        <w:rPr>
          <w:lang w:val="ru-RU"/>
        </w:rPr>
        <w:t>включая документацию об оценке воздействия</w:t>
      </w:r>
      <w:r w:rsidR="00C76E7F">
        <w:rPr>
          <w:lang w:val="ru-RU"/>
        </w:rPr>
        <w:t xml:space="preserve"> </w:t>
      </w:r>
      <w:r w:rsidR="00C76E7F" w:rsidRPr="008D20DE">
        <w:rPr>
          <w:lang w:val="ru-RU"/>
        </w:rPr>
        <w:t>на окружающую среду, а также замечания по</w:t>
      </w:r>
      <w:r w:rsidR="00C76E7F">
        <w:rPr>
          <w:lang w:val="ru-RU"/>
        </w:rPr>
        <w:t xml:space="preserve"> </w:t>
      </w:r>
      <w:r w:rsidR="00C76E7F" w:rsidRPr="008D20DE">
        <w:rPr>
          <w:lang w:val="ru-RU"/>
        </w:rPr>
        <w:t xml:space="preserve">этой документации, полученные </w:t>
      </w:r>
      <w:r w:rsidR="00C76E7F">
        <w:rPr>
          <w:lang w:val="ru-RU"/>
        </w:rPr>
        <w:t xml:space="preserve">от общественности и итоги консультаций между соответствующими государственными органами. </w:t>
      </w:r>
      <w:r w:rsidR="00C76E7F" w:rsidRPr="00491F48">
        <w:rPr>
          <w:lang w:val="ru-RU"/>
        </w:rPr>
        <w:t>Страна происхождения планируемой деятельности должна предоставить затрагиваемой стране окончательное решение с обоснованиями его принятия</w:t>
      </w:r>
      <w:r w:rsidR="00C76E7F">
        <w:rPr>
          <w:lang w:val="ru-RU"/>
        </w:rPr>
        <w:t xml:space="preserve">. В качестве </w:t>
      </w:r>
      <w:r w:rsidR="00654560">
        <w:rPr>
          <w:lang w:val="ru-RU"/>
        </w:rPr>
        <w:t xml:space="preserve">надлежащей </w:t>
      </w:r>
      <w:r w:rsidR="00C76E7F">
        <w:rPr>
          <w:lang w:val="ru-RU"/>
        </w:rPr>
        <w:t>практики</w:t>
      </w:r>
      <w:r w:rsidR="00C76E7F" w:rsidRPr="00491F48">
        <w:rPr>
          <w:lang w:val="ru-RU"/>
        </w:rPr>
        <w:t>,</w:t>
      </w:r>
      <w:r w:rsidR="00C76E7F">
        <w:rPr>
          <w:lang w:val="ru-RU"/>
        </w:rPr>
        <w:t xml:space="preserve"> рекомендуется чтобы страна происхождения предоставила окончательное решение затрагиваемой стране незамедлительно. Также рекомендуется</w:t>
      </w:r>
      <w:r w:rsidR="00654560">
        <w:rPr>
          <w:lang w:val="ru-RU"/>
        </w:rPr>
        <w:t>,</w:t>
      </w:r>
      <w:r w:rsidR="00C76E7F">
        <w:rPr>
          <w:lang w:val="ru-RU"/>
        </w:rPr>
        <w:t xml:space="preserve"> чтобы страна происхождения предоставила затрагиваемой стране по запросу материалы обсуждения и </w:t>
      </w:r>
      <w:r w:rsidR="00C76E7F" w:rsidRPr="00491F48">
        <w:rPr>
          <w:lang w:val="ru-RU"/>
        </w:rPr>
        <w:t xml:space="preserve">перевод </w:t>
      </w:r>
      <w:r w:rsidR="00C76E7F">
        <w:rPr>
          <w:lang w:val="ru-RU"/>
        </w:rPr>
        <w:t xml:space="preserve">окончательного решения </w:t>
      </w:r>
      <w:r w:rsidR="00C76E7F" w:rsidRPr="00491F48">
        <w:rPr>
          <w:lang w:val="ru-RU"/>
        </w:rPr>
        <w:t>на язык, который использовался для уведомления и/или консультаций.</w:t>
      </w:r>
    </w:p>
    <w:p w14:paraId="51D52C08" w14:textId="05D1A9C1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5</w:t>
      </w:r>
      <w:r>
        <w:rPr>
          <w:lang w:val="ru-RU"/>
        </w:rPr>
        <w:t>9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>
        <w:rPr>
          <w:lang w:val="ru-RU"/>
        </w:rPr>
        <w:t xml:space="preserve">На протяжении нескольких лет </w:t>
      </w:r>
      <w:r w:rsidR="00C76E7F" w:rsidRPr="00B84188">
        <w:rPr>
          <w:lang w:val="ru-RU"/>
        </w:rPr>
        <w:t xml:space="preserve">Комитет </w:t>
      </w:r>
      <w:r w:rsidR="00C76E7F" w:rsidRPr="00CB7423">
        <w:rPr>
          <w:lang w:val="ru-RU"/>
        </w:rPr>
        <w:t>по осуществлению</w:t>
      </w:r>
      <w:r w:rsidR="00C76E7F">
        <w:rPr>
          <w:lang w:val="ru-RU"/>
        </w:rPr>
        <w:t>, действующий в рамках</w:t>
      </w:r>
      <w:r w:rsidR="00C76E7F" w:rsidRPr="00EA274D">
        <w:rPr>
          <w:lang w:val="ru-RU"/>
        </w:rPr>
        <w:t xml:space="preserve"> </w:t>
      </w:r>
      <w:r w:rsidR="00C76E7F">
        <w:rPr>
          <w:lang w:val="ru-RU"/>
        </w:rPr>
        <w:t>Конвенции, и Стороны Конвенции уделяли внимание определению окончательного решения, рассматривая то, что в</w:t>
      </w:r>
      <w:r w:rsidR="00C76E7F" w:rsidRPr="00E1678D">
        <w:rPr>
          <w:lang w:val="ru-RU"/>
        </w:rPr>
        <w:t xml:space="preserve"> то время как стороны вправе решать, какое из множества решений,</w:t>
      </w:r>
      <w:r w:rsidR="00C76E7F">
        <w:rPr>
          <w:lang w:val="ru-RU"/>
        </w:rPr>
        <w:t xml:space="preserve"> </w:t>
      </w:r>
      <w:r w:rsidR="00C76E7F" w:rsidRPr="00E1678D">
        <w:rPr>
          <w:lang w:val="ru-RU"/>
        </w:rPr>
        <w:t>предусмотренных в их правовой системе, следует считать окончательным для целей</w:t>
      </w:r>
      <w:r w:rsidR="00C76E7F">
        <w:rPr>
          <w:lang w:val="ru-RU"/>
        </w:rPr>
        <w:t xml:space="preserve"> трансграничной оценки воздействия на окружающую среду</w:t>
      </w:r>
      <w:r w:rsidR="00C76E7F" w:rsidRPr="00E1678D">
        <w:rPr>
          <w:lang w:val="ru-RU"/>
        </w:rPr>
        <w:t>, их усмотрение в этом отношении ограничивается теми решениями,</w:t>
      </w:r>
      <w:r w:rsidR="00C76E7F">
        <w:rPr>
          <w:lang w:val="ru-RU"/>
        </w:rPr>
        <w:t xml:space="preserve"> </w:t>
      </w:r>
      <w:r w:rsidR="00C76E7F" w:rsidRPr="00E1678D">
        <w:rPr>
          <w:lang w:val="ru-RU"/>
        </w:rPr>
        <w:t>которые в реальном выражении устанавливают экологические условия</w:t>
      </w:r>
      <w:r w:rsidR="00C76E7F">
        <w:rPr>
          <w:lang w:val="ru-RU"/>
        </w:rPr>
        <w:t xml:space="preserve"> </w:t>
      </w:r>
      <w:r w:rsidR="00C76E7F" w:rsidRPr="00E1678D">
        <w:rPr>
          <w:lang w:val="ru-RU"/>
        </w:rPr>
        <w:t xml:space="preserve">осуществления деятельности (ECE/MP.EIA/10, </w:t>
      </w:r>
      <w:r w:rsidR="00C76E7F">
        <w:rPr>
          <w:lang w:val="ru-RU"/>
        </w:rPr>
        <w:t xml:space="preserve">решение </w:t>
      </w:r>
      <w:r w:rsidR="00C76E7F" w:rsidRPr="00E1678D">
        <w:rPr>
          <w:lang w:val="ru-RU"/>
        </w:rPr>
        <w:t xml:space="preserve">IV/2, </w:t>
      </w:r>
      <w:r w:rsidR="00C76E7F">
        <w:rPr>
          <w:lang w:val="ru-RU"/>
        </w:rPr>
        <w:t>приложение,</w:t>
      </w:r>
      <w:r w:rsidR="00C76E7F" w:rsidRPr="00E1678D">
        <w:rPr>
          <w:lang w:val="ru-RU"/>
        </w:rPr>
        <w:t xml:space="preserve"> пункт 61).</w:t>
      </w:r>
      <w:r w:rsidR="00C76E7F">
        <w:rPr>
          <w:lang w:val="ru-RU"/>
        </w:rPr>
        <w:t xml:space="preserve"> В контексте стран Центральной Азии, е</w:t>
      </w:r>
      <w:r w:rsidR="00C76E7F" w:rsidRPr="00491F48">
        <w:rPr>
          <w:lang w:val="ru-RU"/>
        </w:rPr>
        <w:t xml:space="preserve">сли государство происхождения не информировало </w:t>
      </w:r>
      <w:r w:rsidR="00C76E7F">
        <w:rPr>
          <w:lang w:val="ru-RU"/>
        </w:rPr>
        <w:t xml:space="preserve">потенциально затрагиваемые государства </w:t>
      </w:r>
      <w:r w:rsidR="00C76E7F" w:rsidRPr="00491F48">
        <w:rPr>
          <w:lang w:val="ru-RU"/>
        </w:rPr>
        <w:t xml:space="preserve">об ином, таким решением является заключение государственной экологической экспертизы вместе с окончательным отчетом по </w:t>
      </w:r>
      <w:r w:rsidR="00C76E7F">
        <w:rPr>
          <w:lang w:val="ru-RU"/>
        </w:rPr>
        <w:t>оценке воздействия на окружающую среду</w:t>
      </w:r>
      <w:r w:rsidR="00C76E7F" w:rsidRPr="00491F48">
        <w:rPr>
          <w:lang w:val="ru-RU"/>
        </w:rPr>
        <w:t xml:space="preserve"> и соответствующим разрешением на строительство, если таковое </w:t>
      </w:r>
      <w:r w:rsidR="00C76E7F">
        <w:rPr>
          <w:lang w:val="ru-RU"/>
        </w:rPr>
        <w:t xml:space="preserve">требуется в соответствии с </w:t>
      </w:r>
      <w:r w:rsidR="00C76E7F" w:rsidRPr="00491F48">
        <w:rPr>
          <w:lang w:val="ru-RU"/>
        </w:rPr>
        <w:t>национальным законодательством страны происхождения.</w:t>
      </w:r>
    </w:p>
    <w:p w14:paraId="7A071481" w14:textId="16CE64B6" w:rsidR="00C76E7F" w:rsidRPr="00491F48" w:rsidRDefault="00145243" w:rsidP="00C76E7F">
      <w:pPr>
        <w:pStyle w:val="SingleTxtG"/>
        <w:rPr>
          <w:lang w:val="ru-RU"/>
        </w:rPr>
      </w:pPr>
      <w:r>
        <w:rPr>
          <w:lang w:val="ru-RU"/>
        </w:rPr>
        <w:t>60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>
        <w:rPr>
          <w:lang w:val="ru-RU"/>
        </w:rPr>
        <w:t xml:space="preserve">В качестве </w:t>
      </w:r>
      <w:r w:rsidR="00654560">
        <w:rPr>
          <w:lang w:val="ru-RU"/>
        </w:rPr>
        <w:t xml:space="preserve">надлежащей </w:t>
      </w:r>
      <w:r w:rsidR="00C76E7F">
        <w:rPr>
          <w:lang w:val="ru-RU"/>
        </w:rPr>
        <w:t>практики, рекомендуется чтобы о</w:t>
      </w:r>
      <w:r w:rsidR="00C76E7F" w:rsidRPr="00491F48">
        <w:rPr>
          <w:lang w:val="ru-RU"/>
        </w:rPr>
        <w:t>кончательное решение содержа</w:t>
      </w:r>
      <w:r w:rsidR="00C76E7F">
        <w:rPr>
          <w:lang w:val="ru-RU"/>
        </w:rPr>
        <w:t>ло</w:t>
      </w:r>
      <w:r w:rsidR="00C76E7F" w:rsidRPr="00491F48">
        <w:rPr>
          <w:lang w:val="ru-RU"/>
        </w:rPr>
        <w:t xml:space="preserve"> резюме замечаний, полученных в результате консультаций и участия общественности</w:t>
      </w:r>
      <w:r w:rsidR="00C76E7F">
        <w:rPr>
          <w:lang w:val="ru-RU"/>
        </w:rPr>
        <w:t>,</w:t>
      </w:r>
      <w:r w:rsidR="00C76E7F" w:rsidRPr="00491F48">
        <w:rPr>
          <w:lang w:val="ru-RU"/>
        </w:rPr>
        <w:t xml:space="preserve"> и как они, а также результаты оценки трансграничного воздействия на окружающую среду, были включены или иным образом учтены в окончательном решении, в свете рассмотрения разумных альтернатив, описанных в оценке воздействия на окружающую среду. </w:t>
      </w:r>
      <w:r w:rsidR="00C76E7F" w:rsidRPr="00E66E60">
        <w:rPr>
          <w:lang w:val="ru-RU"/>
        </w:rPr>
        <w:t xml:space="preserve">Окончательное решение </w:t>
      </w:r>
      <w:r w:rsidR="00C76E7F">
        <w:rPr>
          <w:lang w:val="ru-RU"/>
        </w:rPr>
        <w:t xml:space="preserve">должно также содержать информацию о процедуре обжалования решения в соответствии с национальным законодательством. </w:t>
      </w:r>
      <w:r w:rsidR="00C76E7F" w:rsidRPr="00491F48">
        <w:rPr>
          <w:lang w:val="ru-RU"/>
        </w:rPr>
        <w:t>Окончательное решение мож</w:t>
      </w:r>
      <w:r w:rsidR="00C76E7F">
        <w:rPr>
          <w:lang w:val="ru-RU"/>
        </w:rPr>
        <w:t>ет также содержать положения о мониторинге</w:t>
      </w:r>
      <w:r w:rsidR="00C76E7F" w:rsidRPr="00491F48">
        <w:rPr>
          <w:lang w:val="ru-RU"/>
        </w:rPr>
        <w:t xml:space="preserve"> (послепроектного анализа) при реализации планируемой деятельности</w:t>
      </w:r>
      <w:r w:rsidR="00C76E7F">
        <w:rPr>
          <w:lang w:val="ru-RU"/>
        </w:rPr>
        <w:t>.</w:t>
      </w:r>
    </w:p>
    <w:p w14:paraId="7CAAA4C0" w14:textId="4A715E0C" w:rsidR="00C76E7F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6</w:t>
      </w:r>
      <w:r>
        <w:rPr>
          <w:lang w:val="ru-RU"/>
        </w:rPr>
        <w:t>1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>
        <w:rPr>
          <w:lang w:val="ru-RU"/>
        </w:rPr>
        <w:t>В дополнение, д</w:t>
      </w:r>
      <w:r w:rsidR="00C76E7F" w:rsidRPr="00491F48">
        <w:rPr>
          <w:lang w:val="ru-RU"/>
        </w:rPr>
        <w:t xml:space="preserve">ля окончания </w:t>
      </w:r>
      <w:r w:rsidR="00C76E7F">
        <w:rPr>
          <w:lang w:val="ru-RU"/>
        </w:rPr>
        <w:t xml:space="preserve">процедуры </w:t>
      </w:r>
      <w:r w:rsidR="00C76E7F" w:rsidRPr="00491F48">
        <w:rPr>
          <w:lang w:val="ru-RU"/>
        </w:rPr>
        <w:t xml:space="preserve">трансграничной </w:t>
      </w:r>
      <w:r w:rsidR="00C76E7F">
        <w:rPr>
          <w:lang w:val="ru-RU"/>
        </w:rPr>
        <w:t>оценки</w:t>
      </w:r>
      <w:r w:rsidR="00C76E7F" w:rsidRPr="00491F48">
        <w:rPr>
          <w:lang w:val="ru-RU"/>
        </w:rPr>
        <w:t xml:space="preserve"> ини</w:t>
      </w:r>
      <w:r w:rsidR="00C76E7F">
        <w:rPr>
          <w:lang w:val="ru-RU"/>
        </w:rPr>
        <w:t>циатор планируемой деятельности</w:t>
      </w:r>
      <w:r w:rsidR="00C76E7F" w:rsidRPr="00491F48">
        <w:rPr>
          <w:lang w:val="ru-RU"/>
        </w:rPr>
        <w:t xml:space="preserve"> предоставляет компетентному органу и органу, ответственному за принятие решения в отношении планируемой деятельности, следующие документы на установленном языке дипломатической коммуникации на бумажных или электронных носителях: </w:t>
      </w:r>
    </w:p>
    <w:p w14:paraId="397F5EC0" w14:textId="77777777" w:rsidR="00C76E7F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</w:r>
      <w:r w:rsidRPr="00491F48">
        <w:rPr>
          <w:lang w:val="ru-RU"/>
        </w:rPr>
        <w:t xml:space="preserve">утвержденный отчет об </w:t>
      </w:r>
      <w:r>
        <w:rPr>
          <w:lang w:val="ru-RU"/>
        </w:rPr>
        <w:t>оценке воздействия на окружающую среду</w:t>
      </w:r>
      <w:r w:rsidRPr="00491F48">
        <w:rPr>
          <w:lang w:val="ru-RU"/>
        </w:rPr>
        <w:t xml:space="preserve">; </w:t>
      </w:r>
    </w:p>
    <w:p w14:paraId="6662AF1C" w14:textId="77777777" w:rsidR="00C76E7F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(б)</w:t>
      </w:r>
      <w:r>
        <w:rPr>
          <w:lang w:val="ru-RU"/>
        </w:rPr>
        <w:tab/>
      </w:r>
      <w:r w:rsidRPr="00491F48">
        <w:rPr>
          <w:lang w:val="ru-RU"/>
        </w:rPr>
        <w:t>положительное заключение государственной экологической экспертизы, содержащее в том числе анализ выполнения условий для проектирования объекта в целях обеспечения экологической безопасности планируемой деятельности, определенных при проведении</w:t>
      </w:r>
      <w:r>
        <w:rPr>
          <w:lang w:val="ru-RU"/>
        </w:rPr>
        <w:t xml:space="preserve"> оценки воздействия на окружающую среду</w:t>
      </w:r>
      <w:r w:rsidRPr="00491F48">
        <w:rPr>
          <w:lang w:val="ru-RU"/>
        </w:rPr>
        <w:t xml:space="preserve">, в течение 10 рабочих дней со дня утверждения проектной документации; </w:t>
      </w:r>
    </w:p>
    <w:p w14:paraId="72E4AA53" w14:textId="77777777" w:rsidR="00C76E7F" w:rsidRPr="00491F48" w:rsidRDefault="00C76E7F" w:rsidP="00C76E7F">
      <w:pPr>
        <w:pStyle w:val="SingleTxtG"/>
        <w:ind w:firstLine="567"/>
        <w:rPr>
          <w:lang w:val="ru-RU"/>
        </w:rPr>
      </w:pPr>
      <w:r>
        <w:rPr>
          <w:lang w:val="ru-RU"/>
        </w:rPr>
        <w:t>(в)</w:t>
      </w:r>
      <w:r>
        <w:rPr>
          <w:lang w:val="ru-RU"/>
        </w:rPr>
        <w:tab/>
      </w:r>
      <w:r w:rsidRPr="00491F48">
        <w:rPr>
          <w:lang w:val="ru-RU"/>
        </w:rPr>
        <w:t>информацию о принятом решении о разрешении строительства объекта с обоснованием его принятия в течение 10 рабочих дней со дня принятия такого решения.</w:t>
      </w:r>
    </w:p>
    <w:p w14:paraId="4967143C" w14:textId="63F20C82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6</w:t>
      </w:r>
      <w:r>
        <w:rPr>
          <w:lang w:val="ru-RU"/>
        </w:rPr>
        <w:t>2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>
        <w:rPr>
          <w:lang w:val="ru-RU"/>
        </w:rPr>
        <w:t>Рекомендуется, чтобы к</w:t>
      </w:r>
      <w:r w:rsidR="00C76E7F" w:rsidRPr="00491F48">
        <w:rPr>
          <w:lang w:val="ru-RU"/>
        </w:rPr>
        <w:t>омпетентный орган или орган, ответственный за принятие решения в отношении планируемой деятельности, направ</w:t>
      </w:r>
      <w:r w:rsidR="00C76E7F">
        <w:rPr>
          <w:lang w:val="ru-RU"/>
        </w:rPr>
        <w:t xml:space="preserve">ил </w:t>
      </w:r>
      <w:r w:rsidR="00C76E7F" w:rsidRPr="00491F48">
        <w:rPr>
          <w:lang w:val="ru-RU"/>
        </w:rPr>
        <w:t>затрагиваемым странам</w:t>
      </w:r>
      <w:r w:rsidR="00C76E7F">
        <w:rPr>
          <w:lang w:val="ru-RU"/>
        </w:rPr>
        <w:t xml:space="preserve"> без промедления</w:t>
      </w:r>
      <w:r w:rsidR="00C76E7F" w:rsidRPr="00491F48">
        <w:rPr>
          <w:lang w:val="ru-RU"/>
        </w:rPr>
        <w:t xml:space="preserve"> по дипломатическим каналам полученные от заказчика материалы, указанные в пункте </w:t>
      </w:r>
      <w:r w:rsidR="00C76E7F">
        <w:rPr>
          <w:lang w:val="ru-RU"/>
        </w:rPr>
        <w:t>61 выше</w:t>
      </w:r>
      <w:r w:rsidR="00C76E7F" w:rsidRPr="00491F48">
        <w:rPr>
          <w:lang w:val="ru-RU"/>
        </w:rPr>
        <w:t xml:space="preserve">. </w:t>
      </w:r>
      <w:r w:rsidR="00C76E7F">
        <w:rPr>
          <w:lang w:val="ru-RU"/>
        </w:rPr>
        <w:t>В дополнение, о</w:t>
      </w:r>
      <w:r w:rsidR="00C76E7F" w:rsidRPr="00491F48">
        <w:rPr>
          <w:lang w:val="ru-RU"/>
        </w:rPr>
        <w:t xml:space="preserve">рган, ответственный за принятие решения в отношении планируемой деятельности, </w:t>
      </w:r>
      <w:r w:rsidR="00C76E7F">
        <w:rPr>
          <w:lang w:val="ru-RU"/>
        </w:rPr>
        <w:t xml:space="preserve">может разместить </w:t>
      </w:r>
      <w:r w:rsidR="00C76E7F" w:rsidRPr="00491F48">
        <w:rPr>
          <w:lang w:val="ru-RU"/>
        </w:rPr>
        <w:t>данные материалы на своем сайте в Интернет</w:t>
      </w:r>
      <w:r w:rsidR="00C76E7F">
        <w:rPr>
          <w:lang w:val="ru-RU"/>
        </w:rPr>
        <w:t xml:space="preserve"> и уведомить об этом общественность и местные органы самоуправления, которые принимали участие в трансграничной оценке воздействия на окружающую среду</w:t>
      </w:r>
      <w:r w:rsidR="00C76E7F" w:rsidRPr="00491F48">
        <w:rPr>
          <w:lang w:val="ru-RU"/>
        </w:rPr>
        <w:t>.</w:t>
      </w:r>
    </w:p>
    <w:p w14:paraId="128012CC" w14:textId="63DA9942" w:rsidR="00C76E7F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6</w:t>
      </w:r>
      <w:r>
        <w:rPr>
          <w:lang w:val="ru-RU"/>
        </w:rPr>
        <w:t>3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В случае выявления новых обстоятельств или </w:t>
      </w:r>
      <w:r w:rsidR="00C76E7F">
        <w:rPr>
          <w:lang w:val="ru-RU"/>
        </w:rPr>
        <w:t xml:space="preserve">дополнительной </w:t>
      </w:r>
      <w:r w:rsidR="00C76E7F" w:rsidRPr="00491F48">
        <w:rPr>
          <w:lang w:val="ru-RU"/>
        </w:rPr>
        <w:t>информации, касающейся возможности значительного вредного трансграничного воздействия</w:t>
      </w:r>
      <w:r w:rsidR="00C76E7F">
        <w:rPr>
          <w:lang w:val="ru-RU"/>
        </w:rPr>
        <w:t xml:space="preserve"> панируемой деятельности</w:t>
      </w:r>
      <w:r w:rsidR="00C76E7F" w:rsidRPr="00491F48">
        <w:rPr>
          <w:lang w:val="ru-RU"/>
        </w:rPr>
        <w:t xml:space="preserve">, </w:t>
      </w:r>
      <w:r w:rsidR="00C76E7F">
        <w:rPr>
          <w:lang w:val="ru-RU"/>
        </w:rPr>
        <w:t xml:space="preserve">до начала осуществления такой деятельности, </w:t>
      </w:r>
      <w:r w:rsidR="00C76E7F" w:rsidRPr="00491F48">
        <w:rPr>
          <w:lang w:val="ru-RU"/>
        </w:rPr>
        <w:t>страны незамедлительно информируют друг друга</w:t>
      </w:r>
      <w:r w:rsidR="00C76E7F">
        <w:rPr>
          <w:lang w:val="ru-RU"/>
        </w:rPr>
        <w:t>. П</w:t>
      </w:r>
      <w:r w:rsidR="00C76E7F" w:rsidRPr="00491F48">
        <w:rPr>
          <w:lang w:val="ru-RU"/>
        </w:rPr>
        <w:t xml:space="preserve">о просьбе любой </w:t>
      </w:r>
      <w:r w:rsidR="00C76E7F">
        <w:rPr>
          <w:lang w:val="ru-RU"/>
        </w:rPr>
        <w:t xml:space="preserve">заинтересованной страны, проводятся </w:t>
      </w:r>
      <w:r w:rsidR="00C76E7F" w:rsidRPr="00491F48">
        <w:rPr>
          <w:lang w:val="ru-RU"/>
        </w:rPr>
        <w:t xml:space="preserve">консультации по </w:t>
      </w:r>
      <w:r w:rsidR="00C76E7F">
        <w:rPr>
          <w:lang w:val="ru-RU"/>
        </w:rPr>
        <w:t xml:space="preserve">вопросу о необходимости пересмотра </w:t>
      </w:r>
      <w:r w:rsidR="00C76E7F" w:rsidRPr="00491F48">
        <w:rPr>
          <w:lang w:val="ru-RU"/>
        </w:rPr>
        <w:t>окончательного решения</w:t>
      </w:r>
      <w:r w:rsidR="00C76E7F">
        <w:rPr>
          <w:lang w:val="ru-RU"/>
        </w:rPr>
        <w:t>.</w:t>
      </w:r>
    </w:p>
    <w:p w14:paraId="565DDD25" w14:textId="77777777" w:rsidR="00C76E7F" w:rsidRPr="00EC2DA1" w:rsidRDefault="00C76E7F" w:rsidP="00C76E7F">
      <w:pPr>
        <w:pStyle w:val="H1G"/>
        <w:rPr>
          <w:lang w:val="ru-RU"/>
        </w:rPr>
      </w:pPr>
      <w:bookmarkStart w:id="18" w:name="_Toc507852138"/>
      <w:r>
        <w:rPr>
          <w:lang w:val="ru-RU"/>
        </w:rPr>
        <w:tab/>
      </w:r>
      <w:r w:rsidRPr="00EC2DA1">
        <w:rPr>
          <w:lang w:val="ru-RU"/>
        </w:rPr>
        <w:t xml:space="preserve">З. </w:t>
      </w:r>
      <w:r w:rsidRPr="00EC2DA1">
        <w:rPr>
          <w:lang w:val="ru-RU"/>
        </w:rPr>
        <w:tab/>
        <w:t>Другие вопросы</w:t>
      </w:r>
      <w:bookmarkEnd w:id="18"/>
    </w:p>
    <w:p w14:paraId="69F9C7C1" w14:textId="45419482" w:rsidR="00C76E7F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6</w:t>
      </w:r>
      <w:r>
        <w:rPr>
          <w:lang w:val="ru-RU"/>
        </w:rPr>
        <w:t>4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По просьбе одной из стран, заинтересованные страны </w:t>
      </w:r>
      <w:r w:rsidR="00C76E7F">
        <w:rPr>
          <w:lang w:val="ru-RU"/>
        </w:rPr>
        <w:t xml:space="preserve">определяют будет ли проводиться </w:t>
      </w:r>
      <w:r w:rsidR="00C76E7F" w:rsidRPr="00491F48">
        <w:rPr>
          <w:lang w:val="ru-RU"/>
        </w:rPr>
        <w:t>послепроектн</w:t>
      </w:r>
      <w:r w:rsidR="00C76E7F">
        <w:rPr>
          <w:lang w:val="ru-RU"/>
        </w:rPr>
        <w:t>ый</w:t>
      </w:r>
      <w:r w:rsidR="00C76E7F" w:rsidRPr="00491F48">
        <w:rPr>
          <w:lang w:val="ru-RU"/>
        </w:rPr>
        <w:t xml:space="preserve"> анализ</w:t>
      </w:r>
      <w:r w:rsidR="00C76E7F">
        <w:rPr>
          <w:lang w:val="ru-RU"/>
        </w:rPr>
        <w:t>, и если будет проводиться, то в какой мере</w:t>
      </w:r>
      <w:r w:rsidR="00C76E7F" w:rsidRPr="00491F48">
        <w:rPr>
          <w:lang w:val="ru-RU"/>
        </w:rPr>
        <w:t xml:space="preserve">. Такой анализ должен охватывать, как минимум, деятельность, которая являлась предметом </w:t>
      </w:r>
      <w:r w:rsidR="00C76E7F">
        <w:rPr>
          <w:lang w:val="ru-RU"/>
        </w:rPr>
        <w:t>оценки воздействия на окружающую среду</w:t>
      </w:r>
      <w:r w:rsidR="00C76E7F" w:rsidRPr="00491F48">
        <w:rPr>
          <w:lang w:val="ru-RU"/>
        </w:rPr>
        <w:t>, и ее возможное значительное вредное трансграничное воздействие.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>Если в результате проведения послепроектного</w:t>
      </w:r>
      <w:r w:rsidR="00C76E7F">
        <w:rPr>
          <w:lang w:val="ru-RU"/>
        </w:rPr>
        <w:t xml:space="preserve"> анализа страна</w:t>
      </w:r>
      <w:r w:rsidR="00C76E7F" w:rsidRPr="00B96585">
        <w:rPr>
          <w:lang w:val="ru-RU"/>
        </w:rPr>
        <w:t xml:space="preserve"> происхождения или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 xml:space="preserve">затрагиваемая </w:t>
      </w:r>
      <w:r w:rsidR="00C76E7F">
        <w:rPr>
          <w:lang w:val="ru-RU"/>
        </w:rPr>
        <w:t>страна</w:t>
      </w:r>
      <w:r w:rsidR="00C76E7F" w:rsidRPr="00B96585">
        <w:rPr>
          <w:lang w:val="ru-RU"/>
        </w:rPr>
        <w:t xml:space="preserve"> имеет достаточное основание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>считать, что значительное вредное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>трансграничное воздействие имеет место или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>обнаружены факторы, которые могут привести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>к такому воздействию, она немедленно информирует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 xml:space="preserve">об этом другую </w:t>
      </w:r>
      <w:r w:rsidR="00C76E7F">
        <w:rPr>
          <w:lang w:val="ru-RU"/>
        </w:rPr>
        <w:t>страну</w:t>
      </w:r>
      <w:r w:rsidR="00C76E7F" w:rsidRPr="00B96585">
        <w:rPr>
          <w:lang w:val="ru-RU"/>
        </w:rPr>
        <w:t>. Заинтересованные</w:t>
      </w:r>
      <w:r w:rsidR="00C76E7F">
        <w:rPr>
          <w:lang w:val="ru-RU"/>
        </w:rPr>
        <w:t xml:space="preserve"> страны</w:t>
      </w:r>
      <w:r w:rsidR="00C76E7F" w:rsidRPr="00B96585">
        <w:rPr>
          <w:lang w:val="ru-RU"/>
        </w:rPr>
        <w:t xml:space="preserve"> затем проводят консультации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>по мерам, которые необходимо предпринять</w:t>
      </w:r>
      <w:r w:rsidR="00C76E7F">
        <w:rPr>
          <w:lang w:val="ru-RU"/>
        </w:rPr>
        <w:t xml:space="preserve"> </w:t>
      </w:r>
      <w:r w:rsidR="00C76E7F" w:rsidRPr="00B96585">
        <w:rPr>
          <w:lang w:val="ru-RU"/>
        </w:rPr>
        <w:t>с целью уменьшения или устранения воздействия.</w:t>
      </w:r>
    </w:p>
    <w:p w14:paraId="2E7125DC" w14:textId="7A07E904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6</w:t>
      </w:r>
      <w:r>
        <w:rPr>
          <w:lang w:val="ru-RU"/>
        </w:rPr>
        <w:t>5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 w:rsidRPr="00491F48">
        <w:rPr>
          <w:lang w:val="ru-RU"/>
        </w:rPr>
        <w:t xml:space="preserve">Страны стремятся применять настоящие принципы трансграничной </w:t>
      </w:r>
      <w:r w:rsidR="00C76E7F">
        <w:rPr>
          <w:lang w:val="ru-RU"/>
        </w:rPr>
        <w:t>оценки воздействия на окружающую среду</w:t>
      </w:r>
      <w:r w:rsidR="00C76E7F" w:rsidRPr="00491F48">
        <w:rPr>
          <w:lang w:val="ru-RU"/>
        </w:rPr>
        <w:t xml:space="preserve"> в отношении стратегий, планов и программ</w:t>
      </w:r>
      <w:r w:rsidR="00C76E7F">
        <w:rPr>
          <w:lang w:val="ru-RU"/>
        </w:rPr>
        <w:t xml:space="preserve"> и поощряются к разработке национального законодательства и практики в области стратегической экологической оценки</w:t>
      </w:r>
      <w:r w:rsidR="00C76E7F" w:rsidRPr="00491F48">
        <w:rPr>
          <w:lang w:val="ru-RU"/>
        </w:rPr>
        <w:t xml:space="preserve">. Если оценка стратегий, планов и программ предусмотрена двусторонними или многосторонними соглашениями, то важно достигнуть договоренности в отношении того, какого рода политика, планы и программы подлежат анализу в рамках трансграничной </w:t>
      </w:r>
      <w:r w:rsidR="00C76E7F">
        <w:rPr>
          <w:lang w:val="ru-RU"/>
        </w:rPr>
        <w:t>оценки воздействия на окружающую среду</w:t>
      </w:r>
      <w:r w:rsidR="00C76E7F" w:rsidRPr="00491F48">
        <w:rPr>
          <w:lang w:val="ru-RU"/>
        </w:rPr>
        <w:t>.</w:t>
      </w:r>
    </w:p>
    <w:p w14:paraId="45C62E3B" w14:textId="3D494046" w:rsidR="00C76E7F" w:rsidRPr="00491F48" w:rsidRDefault="00145243" w:rsidP="00C76E7F">
      <w:pPr>
        <w:pStyle w:val="SingleTxtG"/>
        <w:rPr>
          <w:lang w:val="ru-RU"/>
        </w:rPr>
      </w:pPr>
      <w:r w:rsidRPr="00EA274D">
        <w:rPr>
          <w:lang w:val="ru-RU"/>
        </w:rPr>
        <w:t>6</w:t>
      </w:r>
      <w:r>
        <w:rPr>
          <w:lang w:val="ru-RU"/>
        </w:rPr>
        <w:t>6</w:t>
      </w:r>
      <w:r w:rsidR="00C76E7F" w:rsidRPr="006A30A0">
        <w:rPr>
          <w:lang w:val="ru-RU"/>
        </w:rPr>
        <w:t>.</w:t>
      </w:r>
      <w:r w:rsidR="00C76E7F" w:rsidRPr="006A30A0">
        <w:rPr>
          <w:lang w:val="ru-RU"/>
        </w:rPr>
        <w:tab/>
      </w:r>
      <w:r w:rsidR="00C76E7F">
        <w:rPr>
          <w:lang w:val="ru-RU"/>
        </w:rPr>
        <w:t>В соответствии с установленной практикой и руководством по применению Конвенции (</w:t>
      </w:r>
      <w:r w:rsidR="00C76E7F" w:rsidRPr="00715308">
        <w:t>ECE</w:t>
      </w:r>
      <w:r w:rsidR="00C76E7F" w:rsidRPr="00DE75CB">
        <w:rPr>
          <w:lang w:val="ru-RU"/>
        </w:rPr>
        <w:t>/</w:t>
      </w:r>
      <w:r w:rsidR="00C76E7F" w:rsidRPr="00715308">
        <w:t>MP</w:t>
      </w:r>
      <w:r w:rsidR="00C76E7F" w:rsidRPr="00DE75CB">
        <w:rPr>
          <w:lang w:val="ru-RU"/>
        </w:rPr>
        <w:t>.</w:t>
      </w:r>
      <w:r w:rsidR="00C76E7F" w:rsidRPr="00715308">
        <w:t>EIA</w:t>
      </w:r>
      <w:r w:rsidR="00C76E7F" w:rsidRPr="00DE75CB">
        <w:rPr>
          <w:lang w:val="ru-RU"/>
        </w:rPr>
        <w:t xml:space="preserve">/8, </w:t>
      </w:r>
      <w:r w:rsidR="00C76E7F">
        <w:rPr>
          <w:lang w:val="ru-RU"/>
        </w:rPr>
        <w:t>пункт</w:t>
      </w:r>
      <w:r w:rsidR="00C76E7F" w:rsidRPr="00DE75CB">
        <w:rPr>
          <w:lang w:val="ru-RU"/>
        </w:rPr>
        <w:t xml:space="preserve">. </w:t>
      </w:r>
      <w:r w:rsidR="00C76E7F" w:rsidRPr="00EA274D">
        <w:rPr>
          <w:lang w:val="ru-RU"/>
        </w:rPr>
        <w:t>33</w:t>
      </w:r>
      <w:r w:rsidR="00C76E7F">
        <w:rPr>
          <w:lang w:val="ru-RU"/>
        </w:rPr>
        <w:t>), и</w:t>
      </w:r>
      <w:r w:rsidR="00CB7423">
        <w:rPr>
          <w:lang w:val="ru-RU"/>
        </w:rPr>
        <w:t xml:space="preserve"> следуя</w:t>
      </w:r>
      <w:r w:rsidR="00C76E7F">
        <w:rPr>
          <w:lang w:val="ru-RU"/>
        </w:rPr>
        <w:t xml:space="preserve"> принципу </w:t>
      </w:r>
      <w:r w:rsidR="00EC30E6">
        <w:rPr>
          <w:lang w:val="ru-RU"/>
        </w:rPr>
        <w:t>«</w:t>
      </w:r>
      <w:r w:rsidR="00C76E7F">
        <w:rPr>
          <w:lang w:val="ru-RU"/>
        </w:rPr>
        <w:t>загрязнитель платит</w:t>
      </w:r>
      <w:r w:rsidR="00EC30E6">
        <w:rPr>
          <w:lang w:val="ru-RU"/>
        </w:rPr>
        <w:t>»</w:t>
      </w:r>
      <w:r w:rsidR="00C76E7F">
        <w:rPr>
          <w:lang w:val="ru-RU"/>
        </w:rPr>
        <w:t>, р</w:t>
      </w:r>
      <w:r w:rsidR="00C76E7F" w:rsidRPr="00491F48">
        <w:rPr>
          <w:lang w:val="ru-RU"/>
        </w:rPr>
        <w:t xml:space="preserve">асходы, необходимые для проведения трансграничной </w:t>
      </w:r>
      <w:r w:rsidR="00C76E7F">
        <w:rPr>
          <w:lang w:val="ru-RU"/>
        </w:rPr>
        <w:t>оценки воздействия на окружающую среду</w:t>
      </w:r>
      <w:r w:rsidR="00C76E7F" w:rsidRPr="00491F48">
        <w:rPr>
          <w:lang w:val="ru-RU"/>
        </w:rPr>
        <w:t xml:space="preserve"> (в том числе на подготовку </w:t>
      </w:r>
      <w:r w:rsidR="00C76E7F">
        <w:rPr>
          <w:lang w:val="ru-RU"/>
        </w:rPr>
        <w:t>соответствующей документации</w:t>
      </w:r>
      <w:r w:rsidR="00C76E7F" w:rsidRPr="00491F48">
        <w:rPr>
          <w:lang w:val="ru-RU"/>
        </w:rPr>
        <w:t>)</w:t>
      </w:r>
      <w:r w:rsidR="00C76E7F">
        <w:rPr>
          <w:lang w:val="ru-RU"/>
        </w:rPr>
        <w:t>,</w:t>
      </w:r>
      <w:r w:rsidR="00C76E7F" w:rsidRPr="00491F48">
        <w:rPr>
          <w:lang w:val="ru-RU"/>
        </w:rPr>
        <w:t xml:space="preserve"> как правило</w:t>
      </w:r>
      <w:r w:rsidR="00C76E7F">
        <w:rPr>
          <w:lang w:val="ru-RU"/>
        </w:rPr>
        <w:t>,</w:t>
      </w:r>
      <w:r w:rsidR="00C76E7F" w:rsidRPr="00491F48">
        <w:rPr>
          <w:lang w:val="ru-RU"/>
        </w:rPr>
        <w:t xml:space="preserve"> несёт инициатор планируемой деятельности.</w:t>
      </w:r>
    </w:p>
    <w:p w14:paraId="5EE867F2" w14:textId="77777777" w:rsidR="00C76E7F" w:rsidRPr="00491F48" w:rsidRDefault="00C76E7F" w:rsidP="00C76E7F">
      <w:r w:rsidRPr="00491F48">
        <w:br w:type="page"/>
      </w:r>
    </w:p>
    <w:p w14:paraId="14E898F1" w14:textId="77777777" w:rsidR="00C76E7F" w:rsidRDefault="00C76E7F" w:rsidP="00C76E7F">
      <w:pPr>
        <w:pStyle w:val="HChG"/>
        <w:rPr>
          <w:lang w:val="ru-RU"/>
        </w:rPr>
      </w:pPr>
      <w:bookmarkStart w:id="19" w:name="_Toc507852139"/>
      <w:r w:rsidRPr="006808C1">
        <w:rPr>
          <w:lang w:val="ru-RU"/>
        </w:rPr>
        <w:t xml:space="preserve">Приложение </w:t>
      </w:r>
      <w:r w:rsidRPr="00EF1229">
        <w:t>I</w:t>
      </w:r>
    </w:p>
    <w:p w14:paraId="3A4009DA" w14:textId="77777777" w:rsidR="00C76E7F" w:rsidRDefault="00C76E7F" w:rsidP="00C76E7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6808C1">
        <w:rPr>
          <w:lang w:val="ru-RU"/>
        </w:rPr>
        <w:t xml:space="preserve">Перечень видов деятельности, которые подлежат трансграничной </w:t>
      </w:r>
      <w:r>
        <w:rPr>
          <w:lang w:val="ru-RU"/>
        </w:rPr>
        <w:t>оценки воздействия на окружающую среду</w:t>
      </w:r>
      <w:bookmarkEnd w:id="19"/>
    </w:p>
    <w:tbl>
      <w:tblPr>
        <w:tblStyle w:val="TableGrid"/>
        <w:tblW w:w="850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3424"/>
      </w:tblGrid>
      <w:tr w:rsidR="00C76E7F" w:rsidRPr="001A6437" w14:paraId="698752F7" w14:textId="77777777" w:rsidTr="006744C4">
        <w:trPr>
          <w:tblHeader/>
        </w:trPr>
        <w:tc>
          <w:tcPr>
            <w:tcW w:w="50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6C1CB" w14:textId="77777777" w:rsidR="00C76E7F" w:rsidRPr="001A6437" w:rsidRDefault="00C76E7F" w:rsidP="006744C4">
            <w:pPr>
              <w:tabs>
                <w:tab w:val="left" w:pos="369"/>
              </w:tabs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5226F">
              <w:rPr>
                <w:i/>
                <w:sz w:val="16"/>
              </w:rPr>
              <w:t>Перечень видов деятельности</w:t>
            </w:r>
            <w:r>
              <w:rPr>
                <w:i/>
                <w:sz w:val="16"/>
              </w:rPr>
              <w:t xml:space="preserve">, включенных в Добавление </w:t>
            </w:r>
            <w:r w:rsidRPr="001A6437">
              <w:rPr>
                <w:i/>
                <w:sz w:val="16"/>
              </w:rPr>
              <w:t xml:space="preserve">I </w:t>
            </w:r>
            <w:r>
              <w:rPr>
                <w:i/>
                <w:sz w:val="16"/>
              </w:rPr>
              <w:t>Конвенции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055B2A" w14:textId="77777777" w:rsidR="00C76E7F" w:rsidRPr="001A6437" w:rsidRDefault="00C76E7F" w:rsidP="006744C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Незначительные поправки, предложенные странами Центральной Азии для отражения их национального контекста</w:t>
            </w:r>
          </w:p>
        </w:tc>
      </w:tr>
      <w:tr w:rsidR="00C76E7F" w:rsidRPr="001A6437" w14:paraId="60374584" w14:textId="77777777" w:rsidTr="006744C4">
        <w:trPr>
          <w:tblHeader/>
        </w:trPr>
        <w:tc>
          <w:tcPr>
            <w:tcW w:w="508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786BF8D" w14:textId="77777777" w:rsidR="00C76E7F" w:rsidRPr="001A6437" w:rsidRDefault="00C76E7F" w:rsidP="006744C4">
            <w:pPr>
              <w:tabs>
                <w:tab w:val="left" w:pos="369"/>
              </w:tabs>
              <w:spacing w:line="100" w:lineRule="exact"/>
              <w:ind w:right="113"/>
            </w:pPr>
          </w:p>
        </w:tc>
        <w:tc>
          <w:tcPr>
            <w:tcW w:w="342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76F3453" w14:textId="77777777" w:rsidR="00C76E7F" w:rsidRPr="001A6437" w:rsidRDefault="00C76E7F" w:rsidP="006744C4">
            <w:pPr>
              <w:spacing w:line="100" w:lineRule="exact"/>
              <w:ind w:right="113"/>
            </w:pPr>
          </w:p>
        </w:tc>
      </w:tr>
      <w:tr w:rsidR="00C76E7F" w:rsidRPr="001A6437" w14:paraId="2F23F13B" w14:textId="77777777" w:rsidTr="006744C4">
        <w:tc>
          <w:tcPr>
            <w:tcW w:w="5081" w:type="dxa"/>
            <w:tcBorders>
              <w:top w:val="nil"/>
            </w:tcBorders>
            <w:shd w:val="clear" w:color="auto" w:fill="auto"/>
          </w:tcPr>
          <w:p w14:paraId="4372D256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Нефтеочистительные заводы (за исключением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предприятий, производящих только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смазочные материалы из сырой нефти) и установки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для газификации и сжижения угля или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битуминозных сланцев производительностью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500 метрич. т или более в день.</w:t>
            </w:r>
          </w:p>
        </w:tc>
        <w:tc>
          <w:tcPr>
            <w:tcW w:w="3424" w:type="dxa"/>
            <w:tcBorders>
              <w:top w:val="nil"/>
            </w:tcBorders>
            <w:shd w:val="clear" w:color="auto" w:fill="auto"/>
          </w:tcPr>
          <w:p w14:paraId="26FC10F9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03E26F1A" w14:textId="77777777" w:rsidTr="006744C4">
        <w:tc>
          <w:tcPr>
            <w:tcW w:w="5081" w:type="dxa"/>
            <w:shd w:val="clear" w:color="auto" w:fill="auto"/>
          </w:tcPr>
          <w:p w14:paraId="10EA36EF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2.</w:t>
            </w:r>
            <w:r w:rsidRPr="0030420C">
              <w:rPr>
                <w:rFonts w:asciiTheme="majorBidi" w:hAnsiTheme="majorBidi" w:cstheme="majorBidi"/>
              </w:rPr>
              <w:tab/>
              <w:t>(a)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Тепловые электростанции и другие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установки для сжигания тепловой мощностью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300 мегаватт или более, а также</w:t>
            </w:r>
          </w:p>
          <w:p w14:paraId="044A21C8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>(b)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атомные электростанции</w:t>
            </w:r>
            <w:r w:rsidRPr="0030420C">
              <w:rPr>
                <w:rFonts w:asciiTheme="majorBidi" w:hAnsiTheme="majorBidi" w:cstheme="majorBidi"/>
                <w:i/>
                <w:iCs/>
                <w:vertAlign w:val="superscript"/>
              </w:rPr>
              <w:t>a</w:t>
            </w:r>
            <w:r w:rsidRPr="00EA534A">
              <w:rPr>
                <w:rFonts w:asciiTheme="majorBidi" w:hAnsiTheme="majorBidi" w:cstheme="majorBidi"/>
              </w:rPr>
              <w:t xml:space="preserve"> и другие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атомные реакторы, включая демонтаж или вывод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из эксплуатации таких электростанций или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реакторов1/ (за исключением исследовательских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установок для производства и конверсии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расщепляющихся и воспроизводящих материалов,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максимальная мощность которых не превышает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1 кВт постоянной тепловой нагрузки).</w:t>
            </w:r>
          </w:p>
        </w:tc>
        <w:tc>
          <w:tcPr>
            <w:tcW w:w="3424" w:type="dxa"/>
            <w:shd w:val="clear" w:color="auto" w:fill="auto"/>
          </w:tcPr>
          <w:p w14:paraId="2AFE968D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45EC7176" w14:textId="77777777" w:rsidTr="006744C4">
        <w:tc>
          <w:tcPr>
            <w:tcW w:w="5081" w:type="dxa"/>
            <w:shd w:val="clear" w:color="auto" w:fill="auto"/>
          </w:tcPr>
          <w:p w14:paraId="20CCDDB0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3.</w:t>
            </w:r>
            <w:r w:rsidRPr="0030420C">
              <w:rPr>
                <w:rFonts w:asciiTheme="majorBidi" w:hAnsiTheme="majorBidi" w:cstheme="majorBidi"/>
              </w:rPr>
              <w:tab/>
              <w:t>(a)</w:t>
            </w:r>
            <w:r w:rsidRPr="0030420C">
              <w:rPr>
                <w:rFonts w:asciiTheme="majorBidi" w:hAnsiTheme="majorBidi" w:cstheme="majorBidi"/>
              </w:rPr>
              <w:tab/>
            </w:r>
            <w:r>
              <w:t>Установки для переработки облученного ядерного топлива;</w:t>
            </w:r>
          </w:p>
          <w:p w14:paraId="6E6166FA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>(b)</w:t>
            </w:r>
            <w:r w:rsidRPr="0030420C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>У</w:t>
            </w:r>
            <w:r w:rsidRPr="00EA534A">
              <w:rPr>
                <w:rFonts w:asciiTheme="majorBidi" w:hAnsiTheme="majorBidi" w:cstheme="majorBidi"/>
              </w:rPr>
              <w:t>становки, предназначенные:</w:t>
            </w:r>
          </w:p>
          <w:p w14:paraId="29B86DF2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left="510" w:right="113" w:hanging="510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</w:r>
            <w:r w:rsidRPr="0030420C">
              <w:rPr>
                <w:rFonts w:asciiTheme="majorBidi" w:hAnsiTheme="majorBidi" w:cstheme="majorBidi"/>
              </w:rPr>
              <w:tab/>
              <w:t>-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для производства или обогащения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ядерного топлива;</w:t>
            </w:r>
          </w:p>
          <w:p w14:paraId="235EB0C3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left="510" w:right="113" w:hanging="510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</w:r>
            <w:r w:rsidRPr="0030420C">
              <w:rPr>
                <w:rFonts w:asciiTheme="majorBidi" w:hAnsiTheme="majorBidi" w:cstheme="majorBidi"/>
              </w:rPr>
              <w:tab/>
              <w:t>-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для обработки облученного ядерного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топлива или высокорадиоактивных отходов;</w:t>
            </w:r>
          </w:p>
          <w:p w14:paraId="02AFE623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left="510" w:right="113" w:hanging="510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</w:r>
            <w:r w:rsidRPr="0030420C">
              <w:rPr>
                <w:rFonts w:asciiTheme="majorBidi" w:hAnsiTheme="majorBidi" w:cstheme="majorBidi"/>
              </w:rPr>
              <w:tab/>
              <w:t>-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для окончательного удаления облученного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ядерного топлива;</w:t>
            </w:r>
          </w:p>
          <w:p w14:paraId="311C7028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left="510" w:right="113" w:hanging="510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</w:r>
            <w:r w:rsidRPr="0030420C">
              <w:rPr>
                <w:rFonts w:asciiTheme="majorBidi" w:hAnsiTheme="majorBidi" w:cstheme="majorBidi"/>
              </w:rPr>
              <w:tab/>
              <w:t>-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исключительно для окончательного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удаления радиоактивных отходов; или</w:t>
            </w:r>
          </w:p>
          <w:p w14:paraId="2B078527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left="510" w:right="113" w:hanging="510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</w:r>
            <w:r w:rsidRPr="0030420C">
              <w:rPr>
                <w:rFonts w:asciiTheme="majorBidi" w:hAnsiTheme="majorBidi" w:cstheme="majorBidi"/>
              </w:rPr>
              <w:tab/>
              <w:t>-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исключительно для хранения (запланированного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на период более чем 10 лет) облученного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ядерного топлива или радиоактивных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отходов в других местах за пределами территории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производственного объекта</w:t>
            </w:r>
            <w:r w:rsidRPr="0030420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14:paraId="5A8BF2BF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Принимая во внимание текущий статус и планируемое состояние </w:t>
            </w:r>
            <w:r w:rsidRPr="00B2229E">
              <w:rPr>
                <w:rFonts w:asciiTheme="majorBidi" w:hAnsiTheme="majorBidi" w:cstheme="majorBidi"/>
              </w:rPr>
              <w:t>деятельности, связанной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29E">
              <w:rPr>
                <w:rFonts w:asciiTheme="majorBidi" w:hAnsiTheme="majorBidi" w:cstheme="majorBidi"/>
              </w:rPr>
              <w:t>с атомной энергетикой</w:t>
            </w:r>
            <w:r>
              <w:rPr>
                <w:rFonts w:asciiTheme="majorBidi" w:hAnsiTheme="majorBidi" w:cstheme="majorBidi"/>
              </w:rPr>
              <w:t xml:space="preserve">, страны Центральной Азии полагают, что, в контексте данного субрегиона, текст Добавления 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>
              <w:rPr>
                <w:rFonts w:asciiTheme="majorBidi" w:hAnsiTheme="majorBidi" w:cstheme="majorBidi"/>
              </w:rPr>
              <w:t xml:space="preserve">, до приятия второй Поправки, представленный ниже является более приемлемым: </w:t>
            </w:r>
            <w:r w:rsidRPr="0030420C">
              <w:rPr>
                <w:rFonts w:asciiTheme="majorBidi" w:hAnsiTheme="majorBidi" w:cstheme="majorBidi"/>
              </w:rPr>
              <w:t>“</w:t>
            </w:r>
            <w:r w:rsidRPr="00B2229E">
              <w:rPr>
                <w:rFonts w:asciiTheme="majorBidi" w:hAnsiTheme="majorBidi" w:cstheme="majorBidi"/>
              </w:rPr>
              <w:t>Установки, предназначенные исключительно для производства или обогащения ядерного топлива, регенерации отработанного ядерного топлива или сбора, удаления и пе</w:t>
            </w:r>
            <w:r>
              <w:rPr>
                <w:rFonts w:asciiTheme="majorBidi" w:hAnsiTheme="majorBidi" w:cstheme="majorBidi"/>
              </w:rPr>
              <w:t>реработки радиоактивных отходов</w:t>
            </w:r>
            <w:r w:rsidRPr="0030420C">
              <w:rPr>
                <w:rFonts w:asciiTheme="majorBidi" w:hAnsiTheme="majorBidi" w:cstheme="majorBidi"/>
              </w:rPr>
              <w:t>.”</w:t>
            </w:r>
          </w:p>
        </w:tc>
      </w:tr>
      <w:tr w:rsidR="00C76E7F" w:rsidRPr="001A6437" w14:paraId="54C20242" w14:textId="77777777" w:rsidTr="006744C4">
        <w:tc>
          <w:tcPr>
            <w:tcW w:w="5081" w:type="dxa"/>
            <w:shd w:val="clear" w:color="auto" w:fill="auto"/>
          </w:tcPr>
          <w:p w14:paraId="1AC9A12C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4.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Крупные установки для доменного и сталеплавильного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производства и выплавки цветных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металлов.</w:t>
            </w:r>
          </w:p>
        </w:tc>
        <w:tc>
          <w:tcPr>
            <w:tcW w:w="3424" w:type="dxa"/>
            <w:shd w:val="clear" w:color="auto" w:fill="auto"/>
          </w:tcPr>
          <w:p w14:paraId="4438DEA4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2F107642" w14:textId="77777777" w:rsidTr="006744C4">
        <w:tc>
          <w:tcPr>
            <w:tcW w:w="5081" w:type="dxa"/>
            <w:shd w:val="clear" w:color="auto" w:fill="auto"/>
          </w:tcPr>
          <w:p w14:paraId="31DD7F29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5.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Установки для извлечения асбеста и переработки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и преобразования асбеста и асбестосодержащих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продуктов: в отношении асбестоцементных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продуктов - с годовым производством более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20 000 метрич. т готовой продукции; в отношении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фрикционных материалов - с годовым производством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более 50 метрич. т готовой продукции; и в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 xml:space="preserve">отношении других видов применения асбеста </w:t>
            </w:r>
            <w:r>
              <w:rPr>
                <w:rFonts w:asciiTheme="majorBidi" w:hAnsiTheme="majorBidi" w:cstheme="majorBidi"/>
              </w:rPr>
              <w:t>–</w:t>
            </w:r>
            <w:r w:rsidRPr="00EA534A">
              <w:rPr>
                <w:rFonts w:asciiTheme="majorBidi" w:hAnsiTheme="majorBidi" w:cstheme="majorBidi"/>
              </w:rPr>
              <w:t xml:space="preserve"> с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использованием более 200 метрич. т в год.</w:t>
            </w:r>
          </w:p>
        </w:tc>
        <w:tc>
          <w:tcPr>
            <w:tcW w:w="3424" w:type="dxa"/>
            <w:shd w:val="clear" w:color="auto" w:fill="auto"/>
          </w:tcPr>
          <w:p w14:paraId="196411ED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6394FA52" w14:textId="77777777" w:rsidTr="006744C4">
        <w:tc>
          <w:tcPr>
            <w:tcW w:w="5081" w:type="dxa"/>
            <w:tcBorders>
              <w:bottom w:val="nil"/>
            </w:tcBorders>
            <w:shd w:val="clear" w:color="auto" w:fill="auto"/>
          </w:tcPr>
          <w:p w14:paraId="25958E8E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6.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Химические комбинаты.</w:t>
            </w:r>
          </w:p>
        </w:tc>
        <w:tc>
          <w:tcPr>
            <w:tcW w:w="3424" w:type="dxa"/>
            <w:tcBorders>
              <w:bottom w:val="nil"/>
            </w:tcBorders>
            <w:shd w:val="clear" w:color="auto" w:fill="auto"/>
          </w:tcPr>
          <w:p w14:paraId="758AA97C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71A46F0D" w14:textId="77777777" w:rsidTr="006744C4">
        <w:tc>
          <w:tcPr>
            <w:tcW w:w="5081" w:type="dxa"/>
            <w:tcBorders>
              <w:top w:val="nil"/>
              <w:bottom w:val="nil"/>
            </w:tcBorders>
            <w:shd w:val="clear" w:color="auto" w:fill="auto"/>
          </w:tcPr>
          <w:p w14:paraId="65541ACA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7.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EA534A">
              <w:rPr>
                <w:rFonts w:asciiTheme="majorBidi" w:hAnsiTheme="majorBidi" w:cstheme="majorBidi"/>
              </w:rPr>
              <w:t>Строительство автомагистралей, скоростных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дорог</w:t>
            </w:r>
            <w:r w:rsidRPr="0030420C">
              <w:rPr>
                <w:rFonts w:asciiTheme="majorBidi" w:hAnsiTheme="majorBidi" w:cstheme="majorBidi"/>
                <w:i/>
                <w:iCs/>
                <w:vertAlign w:val="superscript"/>
              </w:rPr>
              <w:t>b</w:t>
            </w:r>
            <w:r w:rsidRPr="0030420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и</w:t>
            </w:r>
            <w:r w:rsidRPr="00EA534A">
              <w:rPr>
                <w:rFonts w:asciiTheme="majorBidi" w:hAnsiTheme="majorBidi" w:cstheme="majorBidi"/>
              </w:rPr>
              <w:t>, трасс для железных дорог дальнего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сообщения и аэропортов</w:t>
            </w:r>
            <w:r w:rsidRPr="0030420C">
              <w:rPr>
                <w:rFonts w:asciiTheme="majorBidi" w:hAnsiTheme="majorBidi" w:cstheme="majorBidi"/>
                <w:i/>
                <w:iCs/>
                <w:vertAlign w:val="superscript"/>
              </w:rPr>
              <w:t>c</w:t>
            </w:r>
            <w:r w:rsidRPr="0030420C"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длиной основной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взлетно-посадочной полосы в 2  100  м или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более;</w:t>
            </w:r>
            <w:r w:rsidRPr="0030420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и с</w:t>
            </w:r>
            <w:r w:rsidRPr="00EA534A">
              <w:rPr>
                <w:rFonts w:asciiTheme="majorBidi" w:hAnsiTheme="majorBidi" w:cstheme="majorBidi"/>
              </w:rPr>
              <w:t>троительство новых дорог, имеющих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четыре или более полос движения, или реконструкция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и/или расширение существующих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дорог, имеющих две или менее полос движения,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с целью создания четырех или более полос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для движения там, где такая новая дорога или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реконструированный и/или расширенный участок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дороги будут иметь непрерывную протяженность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534A">
              <w:rPr>
                <w:rFonts w:asciiTheme="majorBidi" w:hAnsiTheme="majorBidi" w:cstheme="majorBidi"/>
              </w:rPr>
              <w:t>в 10 км или более</w:t>
            </w:r>
            <w:r w:rsidRPr="0030420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424" w:type="dxa"/>
            <w:tcBorders>
              <w:top w:val="nil"/>
              <w:bottom w:val="nil"/>
            </w:tcBorders>
            <w:shd w:val="clear" w:color="auto" w:fill="auto"/>
          </w:tcPr>
          <w:p w14:paraId="6694B303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6F0838A6" w14:textId="77777777" w:rsidTr="006744C4">
        <w:tc>
          <w:tcPr>
            <w:tcW w:w="5081" w:type="dxa"/>
            <w:tcBorders>
              <w:top w:val="nil"/>
            </w:tcBorders>
            <w:shd w:val="clear" w:color="auto" w:fill="auto"/>
          </w:tcPr>
          <w:p w14:paraId="4C453451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8.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186BF0">
              <w:rPr>
                <w:rFonts w:asciiTheme="majorBidi" w:hAnsiTheme="majorBidi" w:cstheme="majorBidi"/>
              </w:rPr>
              <w:t>Трубопроводы большого диаметра для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86BF0">
              <w:rPr>
                <w:rFonts w:asciiTheme="majorBidi" w:hAnsiTheme="majorBidi" w:cstheme="majorBidi"/>
              </w:rPr>
              <w:t>транспортировки нефти, газа или химических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86BF0">
              <w:rPr>
                <w:rFonts w:asciiTheme="majorBidi" w:hAnsiTheme="majorBidi" w:cstheme="majorBidi"/>
              </w:rPr>
              <w:t>веществ.</w:t>
            </w:r>
          </w:p>
        </w:tc>
        <w:tc>
          <w:tcPr>
            <w:tcW w:w="3424" w:type="dxa"/>
            <w:tcBorders>
              <w:top w:val="nil"/>
            </w:tcBorders>
            <w:shd w:val="clear" w:color="auto" w:fill="auto"/>
          </w:tcPr>
          <w:p w14:paraId="15F4E52A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17113246" w14:textId="77777777" w:rsidTr="006744C4">
        <w:tc>
          <w:tcPr>
            <w:tcW w:w="5081" w:type="dxa"/>
            <w:shd w:val="clear" w:color="auto" w:fill="auto"/>
          </w:tcPr>
          <w:p w14:paraId="29722195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9.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3B132E">
              <w:rPr>
                <w:rFonts w:asciiTheme="majorBidi" w:hAnsiTheme="majorBidi" w:cstheme="majorBidi"/>
              </w:rPr>
              <w:t>Торговые порты, а также внутренние водные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B132E">
              <w:rPr>
                <w:rFonts w:asciiTheme="majorBidi" w:hAnsiTheme="majorBidi" w:cstheme="majorBidi"/>
              </w:rPr>
              <w:t>пути и порты для внутреннего судоходства,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B132E">
              <w:rPr>
                <w:rFonts w:asciiTheme="majorBidi" w:hAnsiTheme="majorBidi" w:cstheme="majorBidi"/>
              </w:rPr>
              <w:t>допускающие проход судов, водоизмещением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B132E">
              <w:rPr>
                <w:rFonts w:asciiTheme="majorBidi" w:hAnsiTheme="majorBidi" w:cstheme="majorBidi"/>
              </w:rPr>
              <w:t>более 1 350 метрич. т.</w:t>
            </w:r>
          </w:p>
        </w:tc>
        <w:tc>
          <w:tcPr>
            <w:tcW w:w="3424" w:type="dxa"/>
            <w:shd w:val="clear" w:color="auto" w:fill="auto"/>
          </w:tcPr>
          <w:p w14:paraId="1A7F0C8D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2306C096" w14:textId="77777777" w:rsidTr="006744C4">
        <w:tc>
          <w:tcPr>
            <w:tcW w:w="5081" w:type="dxa"/>
            <w:shd w:val="clear" w:color="auto" w:fill="auto"/>
          </w:tcPr>
          <w:p w14:paraId="09C271FD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10.</w:t>
            </w:r>
            <w:r w:rsidRPr="0030420C">
              <w:rPr>
                <w:rFonts w:asciiTheme="majorBidi" w:hAnsiTheme="majorBidi" w:cstheme="majorBidi"/>
              </w:rPr>
              <w:tab/>
              <w:t>(a)</w:t>
            </w:r>
            <w:r>
              <w:rPr>
                <w:rFonts w:asciiTheme="majorBidi" w:hAnsiTheme="majorBidi" w:cstheme="majorBidi"/>
              </w:rPr>
              <w:tab/>
            </w:r>
            <w:r w:rsidRPr="00C358AC">
              <w:rPr>
                <w:rFonts w:asciiTheme="majorBidi" w:hAnsiTheme="majorBidi" w:cstheme="majorBidi"/>
              </w:rPr>
              <w:t>Установки по удалению отходов для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сжигания, химической переработки или захоронения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токсичных и опасных отходов;</w:t>
            </w:r>
            <w:r>
              <w:rPr>
                <w:rFonts w:asciiTheme="majorBidi" w:hAnsiTheme="majorBidi" w:cstheme="majorBidi"/>
              </w:rPr>
              <w:t xml:space="preserve"> и</w:t>
            </w:r>
          </w:p>
          <w:p w14:paraId="039BA020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>(b)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C358AC">
              <w:rPr>
                <w:rFonts w:asciiTheme="majorBidi" w:hAnsiTheme="majorBidi" w:cstheme="majorBidi"/>
              </w:rPr>
              <w:t>установки по удалению отходов для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сжигания или химической переработки неопас</w:t>
            </w:r>
            <w:r>
              <w:t>ных отходов производительностью, превышающей 100 метрич. т в день.</w:t>
            </w:r>
          </w:p>
        </w:tc>
        <w:tc>
          <w:tcPr>
            <w:tcW w:w="3424" w:type="dxa"/>
            <w:shd w:val="clear" w:color="auto" w:fill="auto"/>
          </w:tcPr>
          <w:p w14:paraId="045A9B5C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3929987A" w14:textId="77777777" w:rsidTr="006744C4">
        <w:tc>
          <w:tcPr>
            <w:tcW w:w="5081" w:type="dxa"/>
            <w:shd w:val="clear" w:color="auto" w:fill="auto"/>
          </w:tcPr>
          <w:p w14:paraId="5516FBC1" w14:textId="77777777" w:rsidR="00C76E7F" w:rsidRPr="0030420C" w:rsidRDefault="00C76E7F" w:rsidP="006744C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11.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C358AC">
              <w:rPr>
                <w:rFonts w:asciiTheme="majorBidi" w:hAnsiTheme="majorBidi" w:cstheme="majorBidi"/>
              </w:rPr>
              <w:t>Крупные плотины и водохранилища.</w:t>
            </w:r>
          </w:p>
        </w:tc>
        <w:tc>
          <w:tcPr>
            <w:tcW w:w="3424" w:type="dxa"/>
            <w:shd w:val="clear" w:color="auto" w:fill="auto"/>
          </w:tcPr>
          <w:p w14:paraId="6DC4FCF8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28AEE447" w14:textId="77777777" w:rsidTr="006744C4">
        <w:tc>
          <w:tcPr>
            <w:tcW w:w="5081" w:type="dxa"/>
            <w:shd w:val="clear" w:color="auto" w:fill="auto"/>
          </w:tcPr>
          <w:p w14:paraId="0BCB46D5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12.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C358AC">
              <w:rPr>
                <w:rFonts w:asciiTheme="majorBidi" w:hAnsiTheme="majorBidi" w:cstheme="majorBidi"/>
              </w:rPr>
              <w:t>Деятельность по забору подземных вод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или системы искусственного пополнения подземных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вод, если годовой объем забираемой или пополняемой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воды достигает 10 м3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 xml:space="preserve"> или более.</w:t>
            </w:r>
          </w:p>
        </w:tc>
        <w:tc>
          <w:tcPr>
            <w:tcW w:w="3424" w:type="dxa"/>
            <w:shd w:val="clear" w:color="auto" w:fill="auto"/>
          </w:tcPr>
          <w:p w14:paraId="106909F0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58A31B19" w14:textId="77777777" w:rsidTr="006744C4">
        <w:tc>
          <w:tcPr>
            <w:tcW w:w="5081" w:type="dxa"/>
            <w:shd w:val="clear" w:color="auto" w:fill="auto"/>
          </w:tcPr>
          <w:p w14:paraId="58783216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13.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C358AC">
              <w:rPr>
                <w:rFonts w:asciiTheme="majorBidi" w:hAnsiTheme="majorBidi" w:cstheme="majorBidi"/>
              </w:rPr>
              <w:t>Производство целлюлозы, бумаги и картона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с получением в день 200 или более метрич.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58AC">
              <w:rPr>
                <w:rFonts w:asciiTheme="majorBidi" w:hAnsiTheme="majorBidi" w:cstheme="majorBidi"/>
              </w:rPr>
              <w:t>т продукции, прошедшей воздушную сушку.</w:t>
            </w:r>
          </w:p>
        </w:tc>
        <w:tc>
          <w:tcPr>
            <w:tcW w:w="3424" w:type="dxa"/>
            <w:shd w:val="clear" w:color="auto" w:fill="auto"/>
          </w:tcPr>
          <w:p w14:paraId="16265BF9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2EA2785F" w14:textId="77777777" w:rsidTr="006744C4">
        <w:tc>
          <w:tcPr>
            <w:tcW w:w="5081" w:type="dxa"/>
            <w:shd w:val="clear" w:color="auto" w:fill="auto"/>
          </w:tcPr>
          <w:p w14:paraId="04537E67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14.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2E1228">
              <w:rPr>
                <w:rFonts w:asciiTheme="majorBidi" w:hAnsiTheme="majorBidi" w:cstheme="majorBidi"/>
              </w:rPr>
              <w:t>Крупные карьеры и крупномасштабная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E1228">
              <w:rPr>
                <w:rFonts w:asciiTheme="majorBidi" w:hAnsiTheme="majorBidi" w:cstheme="majorBidi"/>
              </w:rPr>
              <w:t>открытая добыча, извлечение и обогащение на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E1228">
              <w:rPr>
                <w:rFonts w:asciiTheme="majorBidi" w:hAnsiTheme="majorBidi" w:cstheme="majorBidi"/>
              </w:rPr>
              <w:t>месте металлических руд или угля.</w:t>
            </w:r>
          </w:p>
        </w:tc>
        <w:tc>
          <w:tcPr>
            <w:tcW w:w="3424" w:type="dxa"/>
            <w:shd w:val="clear" w:color="auto" w:fill="auto"/>
          </w:tcPr>
          <w:p w14:paraId="1224F39D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0522E26D" w14:textId="77777777" w:rsidTr="006744C4">
        <w:tc>
          <w:tcPr>
            <w:tcW w:w="5081" w:type="dxa"/>
            <w:shd w:val="clear" w:color="auto" w:fill="auto"/>
          </w:tcPr>
          <w:p w14:paraId="29F0A00B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15.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0F1A0D">
              <w:rPr>
                <w:rFonts w:asciiTheme="majorBidi" w:hAnsiTheme="majorBidi" w:cstheme="majorBidi"/>
              </w:rPr>
              <w:t>Добыча углеводородов на континентальном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шельфе. Добыча нефти и природного газа в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коммерческих целях, при которой извлекаемое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количество превышает 500 метрич.  т в день в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случае нефти и 500 000 м3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в день в случае газа.</w:t>
            </w:r>
          </w:p>
        </w:tc>
        <w:tc>
          <w:tcPr>
            <w:tcW w:w="3424" w:type="dxa"/>
            <w:shd w:val="clear" w:color="auto" w:fill="auto"/>
          </w:tcPr>
          <w:p w14:paraId="0F387D12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48178B32" w14:textId="77777777" w:rsidTr="006744C4">
        <w:tc>
          <w:tcPr>
            <w:tcW w:w="5081" w:type="dxa"/>
            <w:shd w:val="clear" w:color="auto" w:fill="auto"/>
          </w:tcPr>
          <w:p w14:paraId="26551CA2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16.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0F1A0D">
              <w:rPr>
                <w:rFonts w:asciiTheme="majorBidi" w:hAnsiTheme="majorBidi" w:cstheme="majorBidi"/>
              </w:rPr>
              <w:t>Крупные хранилища для нефтяных, нефтехимических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и химических продуктов.</w:t>
            </w:r>
          </w:p>
        </w:tc>
        <w:tc>
          <w:tcPr>
            <w:tcW w:w="3424" w:type="dxa"/>
            <w:shd w:val="clear" w:color="auto" w:fill="auto"/>
          </w:tcPr>
          <w:p w14:paraId="2A382CB3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377EE7A4" w14:textId="77777777" w:rsidTr="006744C4">
        <w:tc>
          <w:tcPr>
            <w:tcW w:w="5081" w:type="dxa"/>
            <w:tcBorders>
              <w:bottom w:val="nil"/>
            </w:tcBorders>
            <w:shd w:val="clear" w:color="auto" w:fill="auto"/>
          </w:tcPr>
          <w:p w14:paraId="4A43D188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17.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0F1A0D">
              <w:rPr>
                <w:rFonts w:asciiTheme="majorBidi" w:hAnsiTheme="majorBidi" w:cstheme="majorBidi"/>
              </w:rPr>
              <w:t>Вырубка лесов на больших площадях.</w:t>
            </w:r>
          </w:p>
        </w:tc>
        <w:tc>
          <w:tcPr>
            <w:tcW w:w="3424" w:type="dxa"/>
            <w:tcBorders>
              <w:bottom w:val="nil"/>
            </w:tcBorders>
            <w:shd w:val="clear" w:color="auto" w:fill="auto"/>
          </w:tcPr>
          <w:p w14:paraId="26CA3C7A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71BE0C11" w14:textId="77777777" w:rsidTr="006744C4">
        <w:tc>
          <w:tcPr>
            <w:tcW w:w="5081" w:type="dxa"/>
            <w:tcBorders>
              <w:top w:val="nil"/>
              <w:bottom w:val="nil"/>
            </w:tcBorders>
            <w:shd w:val="clear" w:color="auto" w:fill="auto"/>
          </w:tcPr>
          <w:p w14:paraId="1A8957D2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18.</w:t>
            </w:r>
            <w:r w:rsidRPr="0030420C">
              <w:rPr>
                <w:rFonts w:asciiTheme="majorBidi" w:hAnsiTheme="majorBidi" w:cstheme="majorBidi"/>
              </w:rPr>
              <w:tab/>
              <w:t xml:space="preserve">(a) </w:t>
            </w:r>
            <w:r w:rsidRPr="000F1A0D">
              <w:rPr>
                <w:rFonts w:asciiTheme="majorBidi" w:hAnsiTheme="majorBidi" w:cstheme="majorBidi"/>
              </w:rPr>
              <w:t>Работы по переброске водных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ресурсов между речными бассейнами, при которых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такая переброска направлена на предотвращение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возможной нехватки воды и объем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перемещаемой воды превышает 100 млн. м3</w:t>
            </w:r>
            <w:r>
              <w:rPr>
                <w:rFonts w:asciiTheme="majorBidi" w:hAnsiTheme="majorBidi" w:cstheme="majorBidi"/>
              </w:rPr>
              <w:t xml:space="preserve"> в </w:t>
            </w:r>
            <w:r w:rsidRPr="000F1A0D">
              <w:rPr>
                <w:rFonts w:asciiTheme="majorBidi" w:hAnsiTheme="majorBidi" w:cstheme="majorBidi"/>
              </w:rPr>
              <w:t>год; и</w:t>
            </w:r>
          </w:p>
          <w:p w14:paraId="21FAD394" w14:textId="77777777" w:rsidR="00C76E7F" w:rsidRPr="0030420C" w:rsidRDefault="00C76E7F" w:rsidP="006744C4">
            <w:pPr>
              <w:tabs>
                <w:tab w:val="left" w:pos="369"/>
                <w:tab w:val="left" w:pos="710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>(b)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0F1A0D">
              <w:rPr>
                <w:rFonts w:asciiTheme="majorBidi" w:hAnsiTheme="majorBidi" w:cstheme="majorBidi"/>
              </w:rPr>
              <w:t>о всех других случаях работы по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переброске водных ресурсов между речными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бассейнами с многолетним средним потоком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забора воды из бассейна, превышающим 2 000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млн. м</w:t>
            </w:r>
            <w:r w:rsidRPr="00CB7423">
              <w:rPr>
                <w:rFonts w:asciiTheme="majorBidi" w:hAnsiTheme="majorBidi" w:cstheme="majorBidi"/>
                <w:i/>
                <w:iCs/>
                <w:vertAlign w:val="superscript"/>
              </w:rPr>
              <w:t>3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 xml:space="preserve"> в год, при которых объем перебрасываемых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вод превышает 5% этого потока. В обоих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случаях исключается переброска водопроводной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F1A0D">
              <w:rPr>
                <w:rFonts w:asciiTheme="majorBidi" w:hAnsiTheme="majorBidi" w:cstheme="majorBidi"/>
              </w:rPr>
              <w:t>питьевой воды.</w:t>
            </w:r>
          </w:p>
        </w:tc>
        <w:tc>
          <w:tcPr>
            <w:tcW w:w="3424" w:type="dxa"/>
            <w:tcBorders>
              <w:top w:val="nil"/>
              <w:bottom w:val="nil"/>
            </w:tcBorders>
            <w:shd w:val="clear" w:color="auto" w:fill="auto"/>
          </w:tcPr>
          <w:p w14:paraId="2E93A8C3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36077955" w14:textId="77777777" w:rsidTr="006744C4">
        <w:tc>
          <w:tcPr>
            <w:tcW w:w="5081" w:type="dxa"/>
            <w:tcBorders>
              <w:top w:val="nil"/>
            </w:tcBorders>
            <w:shd w:val="clear" w:color="auto" w:fill="auto"/>
          </w:tcPr>
          <w:p w14:paraId="22E1D01A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19.</w:t>
            </w:r>
            <w:r w:rsidRPr="0030420C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>У</w:t>
            </w:r>
            <w:r w:rsidRPr="00F52DE2">
              <w:rPr>
                <w:rFonts w:asciiTheme="majorBidi" w:hAnsiTheme="majorBidi" w:cstheme="majorBidi"/>
              </w:rPr>
              <w:t>становки для очистки сточных вод производительностью,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52DE2">
              <w:rPr>
                <w:rFonts w:asciiTheme="majorBidi" w:hAnsiTheme="majorBidi" w:cstheme="majorBidi"/>
              </w:rPr>
              <w:t>превышающей эквивалент численности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52DE2">
              <w:rPr>
                <w:rFonts w:asciiTheme="majorBidi" w:hAnsiTheme="majorBidi" w:cstheme="majorBidi"/>
              </w:rPr>
              <w:t>населения в размере 150 000 человек.</w:t>
            </w:r>
          </w:p>
        </w:tc>
        <w:tc>
          <w:tcPr>
            <w:tcW w:w="3424" w:type="dxa"/>
            <w:tcBorders>
              <w:top w:val="nil"/>
            </w:tcBorders>
            <w:shd w:val="clear" w:color="auto" w:fill="auto"/>
          </w:tcPr>
          <w:p w14:paraId="4BF94CE3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6FCBD001" w14:textId="77777777" w:rsidTr="006744C4">
        <w:tc>
          <w:tcPr>
            <w:tcW w:w="5081" w:type="dxa"/>
            <w:shd w:val="clear" w:color="auto" w:fill="auto"/>
          </w:tcPr>
          <w:p w14:paraId="57C675B0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20.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F52DE2">
              <w:rPr>
                <w:rFonts w:asciiTheme="majorBidi" w:hAnsiTheme="majorBidi" w:cstheme="majorBidi"/>
              </w:rPr>
              <w:t>Установки для интенсивного выращивания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52DE2">
              <w:rPr>
                <w:rFonts w:asciiTheme="majorBidi" w:hAnsiTheme="majorBidi" w:cstheme="majorBidi"/>
              </w:rPr>
              <w:t>птицы или свиней, рассчитанные на более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52DE2">
              <w:rPr>
                <w:rFonts w:asciiTheme="majorBidi" w:hAnsiTheme="majorBidi" w:cstheme="majorBidi"/>
              </w:rPr>
              <w:t>чем:</w:t>
            </w:r>
          </w:p>
          <w:p w14:paraId="739DC989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 xml:space="preserve">85,000 </w:t>
            </w:r>
            <w:r w:rsidRPr="00F52DE2">
              <w:rPr>
                <w:rFonts w:asciiTheme="majorBidi" w:hAnsiTheme="majorBidi" w:cstheme="majorBidi"/>
              </w:rPr>
              <w:t>мест для бройлеров;</w:t>
            </w:r>
          </w:p>
          <w:p w14:paraId="07497C7E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 xml:space="preserve">60,000 </w:t>
            </w:r>
            <w:r w:rsidRPr="00F52DE2">
              <w:rPr>
                <w:rFonts w:asciiTheme="majorBidi" w:hAnsiTheme="majorBidi" w:cstheme="majorBidi"/>
              </w:rPr>
              <w:t>мест для кур-несушек;</w:t>
            </w:r>
          </w:p>
          <w:p w14:paraId="29399AA8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 xml:space="preserve">3,000 </w:t>
            </w:r>
            <w:r w:rsidRPr="00F52DE2">
              <w:rPr>
                <w:rFonts w:asciiTheme="majorBidi" w:hAnsiTheme="majorBidi" w:cstheme="majorBidi"/>
              </w:rPr>
              <w:t>мест для откормочных свиней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52DE2">
              <w:rPr>
                <w:rFonts w:asciiTheme="majorBidi" w:hAnsiTheme="majorBidi" w:cstheme="majorBidi"/>
              </w:rPr>
              <w:t>(весом более 30 кг); или</w:t>
            </w:r>
          </w:p>
          <w:p w14:paraId="21EEF14E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ab/>
              <w:t xml:space="preserve">900 </w:t>
            </w:r>
            <w:r>
              <w:rPr>
                <w:rFonts w:asciiTheme="majorBidi" w:hAnsiTheme="majorBidi" w:cstheme="majorBidi"/>
              </w:rPr>
              <w:t>мест для свиноматок</w:t>
            </w:r>
            <w:r w:rsidRPr="0030420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14:paraId="66AC01BE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7C9899D8" w14:textId="77777777" w:rsidTr="006744C4">
        <w:tc>
          <w:tcPr>
            <w:tcW w:w="5081" w:type="dxa"/>
            <w:shd w:val="clear" w:color="auto" w:fill="auto"/>
          </w:tcPr>
          <w:p w14:paraId="78F7AB79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21.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F52DE2">
              <w:rPr>
                <w:rFonts w:asciiTheme="majorBidi" w:hAnsiTheme="majorBidi" w:cstheme="majorBidi"/>
              </w:rPr>
              <w:t>Строительство воздушных линий электропередачи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52DE2">
              <w:rPr>
                <w:rFonts w:asciiTheme="majorBidi" w:hAnsiTheme="majorBidi" w:cstheme="majorBidi"/>
              </w:rPr>
              <w:t>напряжением 220 кВ или более 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52DE2">
              <w:rPr>
                <w:rFonts w:asciiTheme="majorBidi" w:hAnsiTheme="majorBidi" w:cstheme="majorBidi"/>
              </w:rPr>
              <w:t>протяженностью более 15 км.</w:t>
            </w:r>
          </w:p>
        </w:tc>
        <w:tc>
          <w:tcPr>
            <w:tcW w:w="3424" w:type="dxa"/>
            <w:shd w:val="clear" w:color="auto" w:fill="auto"/>
          </w:tcPr>
          <w:p w14:paraId="507A3D90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C76E7F" w:rsidRPr="001A6437" w14:paraId="5B24AE67" w14:textId="77777777" w:rsidTr="006744C4">
        <w:tc>
          <w:tcPr>
            <w:tcW w:w="5081" w:type="dxa"/>
            <w:shd w:val="clear" w:color="auto" w:fill="auto"/>
          </w:tcPr>
          <w:p w14:paraId="05530030" w14:textId="77777777" w:rsidR="00C76E7F" w:rsidRPr="0030420C" w:rsidRDefault="00C76E7F" w:rsidP="006744C4">
            <w:pPr>
              <w:tabs>
                <w:tab w:val="left" w:pos="369"/>
              </w:tabs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0420C">
              <w:rPr>
                <w:rFonts w:asciiTheme="majorBidi" w:hAnsiTheme="majorBidi" w:cstheme="majorBidi"/>
              </w:rPr>
              <w:t>22.</w:t>
            </w:r>
            <w:r w:rsidRPr="0030420C">
              <w:rPr>
                <w:rFonts w:asciiTheme="majorBidi" w:hAnsiTheme="majorBidi" w:cstheme="majorBidi"/>
              </w:rPr>
              <w:tab/>
            </w:r>
            <w:r w:rsidRPr="00AF7114">
              <w:rPr>
                <w:rFonts w:asciiTheme="majorBidi" w:hAnsiTheme="majorBidi" w:cstheme="majorBidi"/>
              </w:rPr>
              <w:t>Крупные установки, предназначенные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F7114">
              <w:rPr>
                <w:rFonts w:asciiTheme="majorBidi" w:hAnsiTheme="majorBidi" w:cstheme="majorBidi"/>
              </w:rPr>
              <w:t>для использования энергии ветра с целью производства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F7114">
              <w:rPr>
                <w:rFonts w:asciiTheme="majorBidi" w:hAnsiTheme="majorBidi" w:cstheme="majorBidi"/>
              </w:rPr>
              <w:t>электроэнергии (ветровые электростанции).</w:t>
            </w:r>
          </w:p>
        </w:tc>
        <w:tc>
          <w:tcPr>
            <w:tcW w:w="3424" w:type="dxa"/>
            <w:shd w:val="clear" w:color="auto" w:fill="auto"/>
          </w:tcPr>
          <w:p w14:paraId="5C3AE9B5" w14:textId="77777777" w:rsidR="00C76E7F" w:rsidRPr="0030420C" w:rsidRDefault="00C76E7F" w:rsidP="006744C4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Страны Центральной Азии считают целесообразным установить пределы для определения </w:t>
            </w:r>
            <w:r w:rsidRPr="007D265C">
              <w:rPr>
                <w:rFonts w:asciiTheme="majorBidi" w:hAnsiTheme="majorBidi" w:cstheme="majorBidi"/>
              </w:rPr>
              <w:t>ветровы</w:t>
            </w:r>
            <w:r>
              <w:rPr>
                <w:rFonts w:asciiTheme="majorBidi" w:hAnsiTheme="majorBidi" w:cstheme="majorBidi"/>
              </w:rPr>
              <w:t>х</w:t>
            </w:r>
            <w:r w:rsidRPr="007D265C">
              <w:rPr>
                <w:rFonts w:asciiTheme="majorBidi" w:hAnsiTheme="majorBidi" w:cstheme="majorBidi"/>
              </w:rPr>
              <w:t xml:space="preserve"> электростанци</w:t>
            </w:r>
            <w:r>
              <w:rPr>
                <w:rFonts w:asciiTheme="majorBidi" w:hAnsiTheme="majorBidi" w:cstheme="majorBidi"/>
              </w:rPr>
              <w:t>й, такие как 20 установок высотой 50 метров</w:t>
            </w:r>
            <w:r w:rsidRPr="0030420C">
              <w:rPr>
                <w:rFonts w:asciiTheme="majorBidi" w:hAnsiTheme="majorBidi" w:cstheme="majorBidi"/>
              </w:rPr>
              <w:t>.</w:t>
            </w:r>
          </w:p>
        </w:tc>
      </w:tr>
    </w:tbl>
    <w:p w14:paraId="2943839B" w14:textId="77777777" w:rsidR="00C76E7F" w:rsidRDefault="00C76E7F" w:rsidP="00C76E7F">
      <w:pPr>
        <w:pStyle w:val="SingleTxtG"/>
        <w:spacing w:before="120" w:after="0" w:line="240" w:lineRule="auto"/>
        <w:ind w:right="567" w:firstLine="142"/>
        <w:jc w:val="left"/>
        <w:rPr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Примечания</w:t>
      </w:r>
      <w:r w:rsidRPr="00EA274D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 xml:space="preserve">Данный перечень </w:t>
      </w:r>
      <w:r w:rsidRPr="000B09CE">
        <w:rPr>
          <w:sz w:val="18"/>
          <w:szCs w:val="18"/>
          <w:lang w:val="ru-RU"/>
        </w:rPr>
        <w:t>видов деятельности</w:t>
      </w:r>
      <w:r>
        <w:rPr>
          <w:sz w:val="18"/>
          <w:szCs w:val="18"/>
          <w:lang w:val="ru-RU"/>
        </w:rPr>
        <w:t xml:space="preserve"> был подготовлен на основе Добавления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  <w:lang w:val="ru-RU"/>
        </w:rPr>
        <w:t xml:space="preserve"> Конвенции, измененного на основе второй Поправки к Конвенции </w:t>
      </w:r>
      <w:r w:rsidRPr="00EA274D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см.</w:t>
      </w:r>
      <w:r w:rsidRPr="00EA274D">
        <w:rPr>
          <w:sz w:val="18"/>
          <w:szCs w:val="18"/>
          <w:lang w:val="ru-RU"/>
        </w:rPr>
        <w:t xml:space="preserve"> </w:t>
      </w:r>
      <w:r w:rsidRPr="0030420C">
        <w:rPr>
          <w:sz w:val="18"/>
          <w:szCs w:val="18"/>
        </w:rPr>
        <w:t>ECE</w:t>
      </w:r>
      <w:r w:rsidRPr="00EA274D">
        <w:rPr>
          <w:sz w:val="18"/>
          <w:szCs w:val="18"/>
          <w:lang w:val="ru-RU"/>
        </w:rPr>
        <w:t>/</w:t>
      </w:r>
      <w:r w:rsidRPr="0030420C">
        <w:rPr>
          <w:sz w:val="18"/>
          <w:szCs w:val="18"/>
        </w:rPr>
        <w:t>MP</w:t>
      </w:r>
      <w:r w:rsidRPr="00EA274D">
        <w:rPr>
          <w:sz w:val="18"/>
          <w:szCs w:val="18"/>
          <w:lang w:val="ru-RU"/>
        </w:rPr>
        <w:t>.</w:t>
      </w:r>
      <w:r w:rsidRPr="0030420C">
        <w:rPr>
          <w:sz w:val="18"/>
          <w:szCs w:val="18"/>
        </w:rPr>
        <w:t>EIA</w:t>
      </w:r>
      <w:r w:rsidRPr="00EA274D">
        <w:rPr>
          <w:sz w:val="18"/>
          <w:szCs w:val="18"/>
          <w:lang w:val="ru-RU"/>
        </w:rPr>
        <w:t xml:space="preserve">/6, </w:t>
      </w:r>
      <w:r>
        <w:rPr>
          <w:sz w:val="18"/>
          <w:szCs w:val="18"/>
          <w:lang w:val="ru-RU"/>
        </w:rPr>
        <w:t>решение</w:t>
      </w:r>
      <w:r w:rsidRPr="00EA274D">
        <w:rPr>
          <w:sz w:val="18"/>
          <w:szCs w:val="18"/>
          <w:lang w:val="ru-RU"/>
        </w:rPr>
        <w:t xml:space="preserve"> </w:t>
      </w:r>
      <w:r w:rsidRPr="0030420C">
        <w:rPr>
          <w:sz w:val="18"/>
          <w:szCs w:val="18"/>
        </w:rPr>
        <w:t>III</w:t>
      </w:r>
      <w:r w:rsidRPr="00EA274D">
        <w:rPr>
          <w:sz w:val="18"/>
          <w:szCs w:val="18"/>
          <w:lang w:val="ru-RU"/>
        </w:rPr>
        <w:t>/7),</w:t>
      </w:r>
      <w:r>
        <w:rPr>
          <w:sz w:val="18"/>
          <w:szCs w:val="18"/>
          <w:lang w:val="ru-RU"/>
        </w:rPr>
        <w:t xml:space="preserve"> которая вступила в силу 23 октября 2017 </w:t>
      </w:r>
      <w:r w:rsidRPr="00C76E7F">
        <w:rPr>
          <w:sz w:val="18"/>
          <w:szCs w:val="18"/>
          <w:lang w:val="ru-RU"/>
        </w:rPr>
        <w:t xml:space="preserve">года (см. колонку слева). Казахстан и Кыргызстан как стороны Конвенции поощряются к ратификации второй Поправки. Другие станы Центральной Азии поощряются к принятию во внимание перечня видов на основе изменений, внесенных второй Поправкой. В дополнение, для отражения контекста субрегиона перечень включает взгляды и предложенные поправки к Добавлению </w:t>
      </w:r>
      <w:r w:rsidRPr="00C76E7F">
        <w:rPr>
          <w:sz w:val="18"/>
          <w:szCs w:val="18"/>
          <w:lang w:val="en-US"/>
        </w:rPr>
        <w:t>I</w:t>
      </w:r>
      <w:r w:rsidRPr="004E5FCA">
        <w:rPr>
          <w:sz w:val="18"/>
          <w:szCs w:val="18"/>
          <w:lang w:val="ru-RU"/>
        </w:rPr>
        <w:t xml:space="preserve"> </w:t>
      </w:r>
      <w:r w:rsidRPr="00C76E7F">
        <w:rPr>
          <w:sz w:val="18"/>
          <w:szCs w:val="18"/>
          <w:lang w:val="ru-RU"/>
        </w:rPr>
        <w:t>от стран Центральной Азии (см. колонку справа).</w:t>
      </w:r>
    </w:p>
    <w:p w14:paraId="1E1C9126" w14:textId="77777777" w:rsidR="00C76E7F" w:rsidRPr="00435B44" w:rsidRDefault="00C76E7F" w:rsidP="00C76E7F">
      <w:pPr>
        <w:pStyle w:val="SingleTxtG"/>
        <w:spacing w:after="0" w:line="220" w:lineRule="exact"/>
        <w:ind w:right="567" w:firstLine="142"/>
        <w:jc w:val="left"/>
        <w:rPr>
          <w:sz w:val="18"/>
          <w:szCs w:val="18"/>
          <w:lang w:val="ru-RU"/>
        </w:rPr>
      </w:pPr>
      <w:r w:rsidRPr="00435B44">
        <w:rPr>
          <w:sz w:val="18"/>
          <w:szCs w:val="18"/>
          <w:lang w:val="ru-RU"/>
        </w:rPr>
        <w:t xml:space="preserve">a  Для целей Конвенции </w:t>
      </w:r>
      <w:r>
        <w:rPr>
          <w:sz w:val="18"/>
          <w:szCs w:val="18"/>
          <w:lang w:val="ru-RU"/>
        </w:rPr>
        <w:t xml:space="preserve">Эспо </w:t>
      </w:r>
      <w:r w:rsidRPr="00435B44">
        <w:rPr>
          <w:sz w:val="18"/>
          <w:szCs w:val="18"/>
          <w:lang w:val="ru-RU"/>
        </w:rPr>
        <w:t>атомные электростанции и другие атомные реакторы перестают быть такими</w:t>
      </w:r>
      <w:r>
        <w:rPr>
          <w:sz w:val="18"/>
          <w:szCs w:val="18"/>
          <w:lang w:val="ru-RU"/>
        </w:rPr>
        <w:t xml:space="preserve"> </w:t>
      </w:r>
      <w:r w:rsidRPr="00435B44">
        <w:rPr>
          <w:sz w:val="18"/>
          <w:szCs w:val="18"/>
          <w:lang w:val="ru-RU"/>
        </w:rPr>
        <w:t>установками, когда все ядерное топливо и другие радиоактивно загрязненные элементы окончательно удалены</w:t>
      </w:r>
      <w:r>
        <w:rPr>
          <w:sz w:val="18"/>
          <w:szCs w:val="18"/>
          <w:lang w:val="ru-RU"/>
        </w:rPr>
        <w:t xml:space="preserve"> </w:t>
      </w:r>
      <w:r w:rsidRPr="00435B44">
        <w:rPr>
          <w:sz w:val="18"/>
          <w:szCs w:val="18"/>
          <w:lang w:val="ru-RU"/>
        </w:rPr>
        <w:t>с промышленной площадки установки.</w:t>
      </w:r>
    </w:p>
    <w:p w14:paraId="48F92F5A" w14:textId="77777777" w:rsidR="00C76E7F" w:rsidRPr="00435B44" w:rsidRDefault="00C76E7F" w:rsidP="00C76E7F">
      <w:pPr>
        <w:pStyle w:val="SingleTxtG"/>
        <w:spacing w:after="0" w:line="220" w:lineRule="exact"/>
        <w:ind w:right="567" w:firstLine="142"/>
        <w:jc w:val="left"/>
        <w:rPr>
          <w:sz w:val="18"/>
          <w:szCs w:val="18"/>
          <w:lang w:val="ru-RU"/>
        </w:rPr>
      </w:pPr>
      <w:r w:rsidRPr="00435B44">
        <w:rPr>
          <w:sz w:val="18"/>
          <w:szCs w:val="18"/>
          <w:lang w:val="ru-RU"/>
        </w:rPr>
        <w:t>b  Для целей Конвенции</w:t>
      </w:r>
      <w:r>
        <w:rPr>
          <w:sz w:val="18"/>
          <w:szCs w:val="18"/>
          <w:lang w:val="ru-RU"/>
        </w:rPr>
        <w:t xml:space="preserve"> Эспо</w:t>
      </w:r>
      <w:r w:rsidRPr="00435B44">
        <w:rPr>
          <w:sz w:val="18"/>
          <w:szCs w:val="18"/>
          <w:lang w:val="ru-RU"/>
        </w:rPr>
        <w:t>, термин «автомагистраль» означает дорогу, которая специально построена и предназначена для движения автотранспортных средств, которая не обслуживает придорожных владений и которая: а) за исключением отдельных мест или временных ограничений имеет для обоих направлений движения отдельные проезжие части, отделенные друг от друга разделительной полосой, не предназначенной для движения или, в исключительных случаях, другими средствами; b) не имеет пересечения на одном уровне ни с дорогами, ни с железнодорожными или трамвайными путями, ни с пешеходными дорожками; и с) специально обозначена в качестве автомагистрали. – Термин «скоростная дорога» означает дорогу, которая предназначена для движения автотранспортных средств, въезд на которую возможен только через развязки или регулируемые перекрестки и на которой, в частности, запрещены остановка и стоянка на проезжей части (проезжих частях).</w:t>
      </w:r>
    </w:p>
    <w:p w14:paraId="1A9A73A7" w14:textId="77777777" w:rsidR="00C76E7F" w:rsidRPr="00435B44" w:rsidRDefault="00C76E7F" w:rsidP="00C76E7F">
      <w:pPr>
        <w:pStyle w:val="SingleTxtG"/>
        <w:spacing w:after="0" w:line="220" w:lineRule="exact"/>
        <w:ind w:right="567" w:firstLine="142"/>
        <w:jc w:val="left"/>
        <w:rPr>
          <w:sz w:val="18"/>
          <w:szCs w:val="18"/>
          <w:lang w:val="ru-RU"/>
        </w:rPr>
      </w:pPr>
      <w:r w:rsidRPr="00435B44">
        <w:rPr>
          <w:sz w:val="18"/>
          <w:szCs w:val="18"/>
          <w:lang w:val="ru-RU"/>
        </w:rPr>
        <w:t xml:space="preserve">c  Для целей Конвенции </w:t>
      </w:r>
      <w:r>
        <w:rPr>
          <w:sz w:val="18"/>
          <w:szCs w:val="18"/>
          <w:lang w:val="ru-RU"/>
        </w:rPr>
        <w:t xml:space="preserve">Эспо </w:t>
      </w:r>
      <w:r w:rsidRPr="00435B44">
        <w:rPr>
          <w:sz w:val="18"/>
          <w:szCs w:val="18"/>
          <w:lang w:val="ru-RU"/>
        </w:rPr>
        <w:t>термин «аэропорт» означает аэропорт, который соответствует определению, содержащемуся в Чикагской конвенции 1944 года, учреждающей Международную организацию гражданской авиации (приложение 14).</w:t>
      </w:r>
    </w:p>
    <w:p w14:paraId="32538CFC" w14:textId="77777777" w:rsidR="00C76E7F" w:rsidRPr="00EA274D" w:rsidRDefault="00C76E7F" w:rsidP="00C76E7F">
      <w:pPr>
        <w:pStyle w:val="SingleTxtG"/>
        <w:jc w:val="left"/>
        <w:rPr>
          <w:lang w:val="ru-RU"/>
        </w:rPr>
      </w:pPr>
    </w:p>
    <w:p w14:paraId="4A5465AE" w14:textId="77777777" w:rsidR="00C76E7F" w:rsidRPr="00435B44" w:rsidRDefault="00C76E7F" w:rsidP="00C76E7F"/>
    <w:p w14:paraId="22CD9EA7" w14:textId="77777777" w:rsidR="00C76E7F" w:rsidRPr="00491F48" w:rsidRDefault="00C76E7F" w:rsidP="00C76E7F">
      <w:pPr>
        <w:pStyle w:val="SingleTxtG"/>
        <w:rPr>
          <w:lang w:val="ru-RU"/>
        </w:rPr>
      </w:pPr>
      <w:r w:rsidRPr="00491F48">
        <w:rPr>
          <w:lang w:val="ru-RU"/>
        </w:rPr>
        <w:br w:type="page"/>
      </w:r>
    </w:p>
    <w:p w14:paraId="454C295C" w14:textId="77777777" w:rsidR="00C76E7F" w:rsidRDefault="00C76E7F" w:rsidP="00C76E7F">
      <w:pPr>
        <w:pStyle w:val="HChG"/>
        <w:rPr>
          <w:lang w:val="ru-RU"/>
        </w:rPr>
      </w:pPr>
      <w:bookmarkStart w:id="20" w:name="_Toc507852140"/>
      <w:r w:rsidRPr="006808C1">
        <w:rPr>
          <w:lang w:val="ru-RU"/>
        </w:rPr>
        <w:t xml:space="preserve">Приложение </w:t>
      </w:r>
      <w:r w:rsidRPr="00187B2B">
        <w:t>II</w:t>
      </w:r>
    </w:p>
    <w:p w14:paraId="15DB8D36" w14:textId="77777777" w:rsidR="00C76E7F" w:rsidRDefault="00C76E7F" w:rsidP="00C76E7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340D85">
        <w:rPr>
          <w:lang w:val="ru-RU"/>
        </w:rPr>
        <w:t>Термины</w:t>
      </w:r>
      <w:r w:rsidRPr="006808C1">
        <w:rPr>
          <w:lang w:val="ru-RU"/>
        </w:rPr>
        <w:t xml:space="preserve"> и определения</w:t>
      </w:r>
      <w:bookmarkEnd w:id="20"/>
    </w:p>
    <w:p w14:paraId="22C4FB7A" w14:textId="77777777" w:rsidR="00C76E7F" w:rsidRPr="00435B44" w:rsidRDefault="00C76E7F" w:rsidP="00C76E7F">
      <w:pPr>
        <w:pStyle w:val="ListParagraph"/>
        <w:numPr>
          <w:ilvl w:val="0"/>
          <w:numId w:val="41"/>
        </w:numPr>
        <w:rPr>
          <w:b/>
          <w:spacing w:val="0"/>
          <w:w w:val="100"/>
          <w:kern w:val="0"/>
          <w:sz w:val="24"/>
          <w:szCs w:val="20"/>
          <w:lang w:val="en-GB"/>
        </w:rPr>
      </w:pPr>
      <w:r>
        <w:rPr>
          <w:b/>
          <w:spacing w:val="0"/>
          <w:w w:val="100"/>
          <w:kern w:val="0"/>
          <w:sz w:val="24"/>
          <w:szCs w:val="20"/>
        </w:rPr>
        <w:t>Определения, основанные на определениях Конвенции</w:t>
      </w:r>
    </w:p>
    <w:p w14:paraId="79F04D43" w14:textId="77777777" w:rsidR="00C76E7F" w:rsidRPr="00937468" w:rsidRDefault="00C76E7F" w:rsidP="00C76E7F">
      <w:pPr>
        <w:pStyle w:val="ListParagraph"/>
        <w:ind w:left="1080"/>
      </w:pPr>
    </w:p>
    <w:p w14:paraId="12D0EA4B" w14:textId="5AB81553" w:rsidR="00C76E7F" w:rsidRDefault="00C76E7F" w:rsidP="00C76E7F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EC30E6">
        <w:rPr>
          <w:lang w:val="ru-RU"/>
        </w:rPr>
        <w:t>«</w:t>
      </w:r>
      <w:r w:rsidRPr="006808C1">
        <w:rPr>
          <w:lang w:val="ru-RU"/>
        </w:rPr>
        <w:t>Воздействие</w:t>
      </w:r>
      <w:r w:rsidR="00EC30E6">
        <w:rPr>
          <w:lang w:val="ru-RU"/>
        </w:rPr>
        <w:t>»</w:t>
      </w:r>
      <w:r w:rsidR="00EC30E6" w:rsidRPr="006808C1">
        <w:rPr>
          <w:lang w:val="ru-RU"/>
        </w:rPr>
        <w:t xml:space="preserve"> </w:t>
      </w:r>
      <w:r w:rsidRPr="006808C1">
        <w:rPr>
          <w:lang w:val="ru-RU"/>
        </w:rPr>
        <w:t>- любые последствия планируемой деятельности для окружающей среды, включая здоровье и безопасность людей, флору, фауну, почву, воздух, воду, климат, ландшафт, исторические памятники и другие материальные объекты или взаимосвязь между этими факторами; а также последствия для культурного наследия или социально-экономических</w:t>
      </w:r>
      <w:r w:rsidRPr="00361304">
        <w:rPr>
          <w:lang w:val="ru-RU"/>
        </w:rPr>
        <w:t xml:space="preserve"> и иных условий, являющихся результатом изменения этих факторов</w:t>
      </w:r>
      <w:r>
        <w:rPr>
          <w:lang w:val="ru-RU"/>
        </w:rPr>
        <w:t>.</w:t>
      </w:r>
    </w:p>
    <w:p w14:paraId="73B908E6" w14:textId="04B17C60" w:rsidR="00C76E7F" w:rsidRDefault="00C76E7F" w:rsidP="00C76E7F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EC30E6">
        <w:rPr>
          <w:lang w:val="ru-RU"/>
        </w:rPr>
        <w:t>«</w:t>
      </w:r>
      <w:r w:rsidRPr="00361304">
        <w:rPr>
          <w:lang w:val="ru-RU"/>
        </w:rPr>
        <w:t>Трансграничное воздействие</w:t>
      </w:r>
      <w:r w:rsidR="00EC30E6">
        <w:rPr>
          <w:lang w:val="ru-RU"/>
        </w:rPr>
        <w:t>»</w:t>
      </w:r>
      <w:r w:rsidR="00EC30E6" w:rsidRPr="00361304">
        <w:rPr>
          <w:lang w:val="ru-RU"/>
        </w:rPr>
        <w:t xml:space="preserve"> </w:t>
      </w:r>
      <w:r w:rsidRPr="00361304">
        <w:rPr>
          <w:lang w:val="ru-RU"/>
        </w:rPr>
        <w:t>означает любое воздействие, не только глобального характера, в районе, находящемся под юрисдикцией той или иной страны, вызываемое планируемой деятельностью, физический источник которой расположен полностью или частично в пределах района, подпадающего под юрисдикцию другой страны</w:t>
      </w:r>
      <w:r w:rsidRPr="00EE11E9">
        <w:rPr>
          <w:lang w:val="ru-RU"/>
        </w:rPr>
        <w:t>.</w:t>
      </w:r>
    </w:p>
    <w:p w14:paraId="1C974E9A" w14:textId="77777777" w:rsidR="00C76E7F" w:rsidRDefault="00C76E7F" w:rsidP="00C76E7F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361304">
        <w:rPr>
          <w:lang w:val="ru-RU"/>
        </w:rPr>
        <w:t>«Страна происхождения» означает страну, под чьей юрисдикцией намечается осуществление планируемой деятельности</w:t>
      </w:r>
      <w:r>
        <w:rPr>
          <w:lang w:val="ru-RU"/>
        </w:rPr>
        <w:t>.</w:t>
      </w:r>
    </w:p>
    <w:p w14:paraId="73AF24E9" w14:textId="77777777" w:rsidR="00C76E7F" w:rsidRPr="00361304" w:rsidRDefault="00C76E7F" w:rsidP="00C76E7F">
      <w:pPr>
        <w:pStyle w:val="SingleTxtG"/>
        <w:rPr>
          <w:lang w:val="ru-RU"/>
        </w:rPr>
      </w:pPr>
      <w:r w:rsidRPr="00725A2D">
        <w:rPr>
          <w:lang w:val="ru-RU"/>
        </w:rPr>
        <w:t>4.</w:t>
      </w:r>
      <w:r>
        <w:rPr>
          <w:lang w:val="ru-RU"/>
        </w:rPr>
        <w:tab/>
      </w:r>
      <w:r w:rsidRPr="00361304">
        <w:rPr>
          <w:lang w:val="ru-RU"/>
        </w:rPr>
        <w:t>«Затрагиваемая страна»</w:t>
      </w:r>
      <w:r w:rsidRPr="000B5F30">
        <w:rPr>
          <w:lang w:val="ru-RU"/>
        </w:rPr>
        <w:t xml:space="preserve"> </w:t>
      </w:r>
      <w:r w:rsidRPr="00361304">
        <w:rPr>
          <w:lang w:val="ru-RU"/>
        </w:rPr>
        <w:t>означает</w:t>
      </w:r>
      <w:r w:rsidRPr="00361304" w:rsidDel="0067466B">
        <w:rPr>
          <w:lang w:val="ru-RU"/>
        </w:rPr>
        <w:t xml:space="preserve"> </w:t>
      </w:r>
      <w:r w:rsidRPr="00361304">
        <w:rPr>
          <w:lang w:val="ru-RU"/>
        </w:rPr>
        <w:t>стран</w:t>
      </w:r>
      <w:r>
        <w:rPr>
          <w:lang w:val="ru-RU"/>
        </w:rPr>
        <w:t>у или страны</w:t>
      </w:r>
      <w:r w:rsidRPr="00361304">
        <w:rPr>
          <w:lang w:val="ru-RU"/>
        </w:rPr>
        <w:t>, которая может быть затронута трансграничным воздействием планируемой деятельности, инициированной вне ее юрисдикции, намечаемой на территории страны происхождения</w:t>
      </w:r>
      <w:r>
        <w:rPr>
          <w:lang w:val="ru-RU"/>
        </w:rPr>
        <w:t>.</w:t>
      </w:r>
    </w:p>
    <w:p w14:paraId="2127FCFA" w14:textId="27FD26D9" w:rsidR="00C76E7F" w:rsidRDefault="00C76E7F" w:rsidP="00C76E7F">
      <w:pPr>
        <w:pStyle w:val="SingleTxtG"/>
        <w:rPr>
          <w:lang w:val="ru-RU"/>
        </w:rPr>
      </w:pPr>
      <w:r w:rsidRPr="00725A2D">
        <w:rPr>
          <w:lang w:val="ru-RU"/>
        </w:rPr>
        <w:t>5.</w:t>
      </w:r>
      <w:r>
        <w:rPr>
          <w:lang w:val="ru-RU"/>
        </w:rPr>
        <w:tab/>
      </w:r>
      <w:r w:rsidRPr="00361304">
        <w:rPr>
          <w:lang w:val="ru-RU"/>
        </w:rPr>
        <w:t>«Заинтересованные стороны» означает</w:t>
      </w:r>
      <w:r w:rsidRPr="00361304" w:rsidDel="0067466B">
        <w:rPr>
          <w:lang w:val="ru-RU"/>
        </w:rPr>
        <w:t xml:space="preserve"> </w:t>
      </w:r>
      <w:r w:rsidRPr="00361304">
        <w:rPr>
          <w:lang w:val="ru-RU"/>
        </w:rPr>
        <w:t>стран</w:t>
      </w:r>
      <w:r>
        <w:rPr>
          <w:lang w:val="ru-RU"/>
        </w:rPr>
        <w:t>у</w:t>
      </w:r>
      <w:r w:rsidRPr="00361304">
        <w:rPr>
          <w:lang w:val="ru-RU"/>
        </w:rPr>
        <w:t xml:space="preserve"> происхождения и затрагиваем</w:t>
      </w:r>
      <w:r>
        <w:rPr>
          <w:lang w:val="ru-RU"/>
        </w:rPr>
        <w:t>ую</w:t>
      </w:r>
      <w:r w:rsidRPr="00361304">
        <w:rPr>
          <w:lang w:val="ru-RU"/>
        </w:rPr>
        <w:t xml:space="preserve"> стран</w:t>
      </w:r>
      <w:r>
        <w:rPr>
          <w:lang w:val="ru-RU"/>
        </w:rPr>
        <w:t>у</w:t>
      </w:r>
      <w:r w:rsidRPr="00361304">
        <w:rPr>
          <w:lang w:val="ru-RU"/>
        </w:rPr>
        <w:t xml:space="preserve">, которые участвуют в процедуре трансграничной </w:t>
      </w:r>
      <w:r w:rsidR="00EC30E6">
        <w:rPr>
          <w:lang w:val="ru-RU"/>
        </w:rPr>
        <w:t xml:space="preserve">оценки </w:t>
      </w:r>
      <w:r>
        <w:rPr>
          <w:lang w:val="ru-RU"/>
        </w:rPr>
        <w:t>воздействия на окружающую среду.</w:t>
      </w:r>
    </w:p>
    <w:p w14:paraId="1620BFE4" w14:textId="77777777" w:rsidR="00C76E7F" w:rsidRPr="00361304" w:rsidRDefault="00C76E7F" w:rsidP="00C76E7F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D067C4">
        <w:rPr>
          <w:lang w:val="ru-RU"/>
        </w:rPr>
        <w:t>«Стороны», если в тексте не содержится иного указания, означает Договаривающиеся Стороны настоящей Конвенции</w:t>
      </w:r>
      <w:r>
        <w:rPr>
          <w:lang w:val="ru-RU"/>
        </w:rPr>
        <w:t>.</w:t>
      </w:r>
    </w:p>
    <w:p w14:paraId="016E42BB" w14:textId="5997C8FA" w:rsidR="00C76E7F" w:rsidRPr="00361304" w:rsidRDefault="00C76E7F" w:rsidP="00C76E7F">
      <w:pPr>
        <w:pStyle w:val="SingleTxtG"/>
        <w:rPr>
          <w:lang w:val="ru-RU"/>
        </w:rPr>
      </w:pPr>
      <w:r>
        <w:rPr>
          <w:lang w:val="ru-RU"/>
        </w:rPr>
        <w:t>7</w:t>
      </w:r>
      <w:r w:rsidRPr="00725A2D">
        <w:rPr>
          <w:lang w:val="ru-RU"/>
        </w:rPr>
        <w:t>.</w:t>
      </w:r>
      <w:r>
        <w:rPr>
          <w:lang w:val="ru-RU"/>
        </w:rPr>
        <w:tab/>
      </w:r>
      <w:r w:rsidR="00EC30E6">
        <w:rPr>
          <w:lang w:val="ru-RU"/>
        </w:rPr>
        <w:t>«</w:t>
      </w:r>
      <w:r w:rsidRPr="00361304">
        <w:rPr>
          <w:lang w:val="ru-RU"/>
        </w:rPr>
        <w:t>Компетентный орган</w:t>
      </w:r>
      <w:r w:rsidR="00EC30E6">
        <w:rPr>
          <w:lang w:val="ru-RU"/>
        </w:rPr>
        <w:t>»</w:t>
      </w:r>
      <w:r w:rsidR="00EC30E6" w:rsidRPr="00361304">
        <w:rPr>
          <w:lang w:val="ru-RU"/>
        </w:rPr>
        <w:t xml:space="preserve"> </w:t>
      </w:r>
      <w:r>
        <w:rPr>
          <w:lang w:val="ru-RU"/>
        </w:rPr>
        <w:t xml:space="preserve">в контексте стран Центральной Азии </w:t>
      </w:r>
      <w:r w:rsidRPr="00361304">
        <w:rPr>
          <w:lang w:val="ru-RU"/>
        </w:rPr>
        <w:t>означает</w:t>
      </w:r>
      <w:r w:rsidRPr="00361304" w:rsidDel="00C1294E">
        <w:rPr>
          <w:lang w:val="ru-RU"/>
        </w:rPr>
        <w:t xml:space="preserve"> </w:t>
      </w:r>
      <w:r w:rsidRPr="00361304">
        <w:rPr>
          <w:lang w:val="ru-RU"/>
        </w:rPr>
        <w:t xml:space="preserve">государственный орган или органы, назначаемые в стране происхождения и затрагиваемой стране, для выполнения функций, охватываемых процедурой трансграничной </w:t>
      </w:r>
      <w:r>
        <w:rPr>
          <w:lang w:val="ru-RU"/>
        </w:rPr>
        <w:t>оценки воздействия на окружающую среду в соответствии с Конвенцией.</w:t>
      </w:r>
    </w:p>
    <w:p w14:paraId="7E02BC8C" w14:textId="77777777" w:rsidR="00C76E7F" w:rsidRPr="00361304" w:rsidRDefault="00C76E7F" w:rsidP="00C76E7F">
      <w:pPr>
        <w:pStyle w:val="SingleTxtG"/>
        <w:rPr>
          <w:lang w:val="ru-RU"/>
        </w:rPr>
      </w:pPr>
      <w:r>
        <w:rPr>
          <w:lang w:val="ru-RU"/>
        </w:rPr>
        <w:t>8</w:t>
      </w:r>
      <w:r w:rsidRPr="00725A2D">
        <w:rPr>
          <w:lang w:val="ru-RU"/>
        </w:rPr>
        <w:t>.</w:t>
      </w:r>
      <w:r>
        <w:rPr>
          <w:lang w:val="ru-RU"/>
        </w:rPr>
        <w:tab/>
      </w:r>
      <w:r w:rsidRPr="00361304">
        <w:rPr>
          <w:lang w:val="ru-RU"/>
        </w:rPr>
        <w:t>«Оценка воздействия на окружающую среду» означает национальн</w:t>
      </w:r>
      <w:r>
        <w:rPr>
          <w:lang w:val="ru-RU"/>
        </w:rPr>
        <w:t>ую</w:t>
      </w:r>
      <w:r w:rsidRPr="00361304">
        <w:rPr>
          <w:lang w:val="ru-RU"/>
        </w:rPr>
        <w:t xml:space="preserve"> процедур</w:t>
      </w:r>
      <w:r>
        <w:rPr>
          <w:lang w:val="ru-RU"/>
        </w:rPr>
        <w:t>у</w:t>
      </w:r>
      <w:r w:rsidRPr="00361304">
        <w:rPr>
          <w:lang w:val="ru-RU"/>
        </w:rPr>
        <w:t xml:space="preserve"> оценки возможного воздействия планируемой деятельности на окружающую среду</w:t>
      </w:r>
      <w:r>
        <w:rPr>
          <w:lang w:val="ru-RU"/>
        </w:rPr>
        <w:t>. В контексте стран Центральной Азии</w:t>
      </w:r>
      <w:r w:rsidRPr="00361304">
        <w:rPr>
          <w:lang w:val="ru-RU"/>
        </w:rPr>
        <w:t>,</w:t>
      </w:r>
      <w:r>
        <w:rPr>
          <w:lang w:val="ru-RU"/>
        </w:rPr>
        <w:t xml:space="preserve"> эта процедура</w:t>
      </w:r>
      <w:r w:rsidRPr="00361304">
        <w:rPr>
          <w:lang w:val="ru-RU"/>
        </w:rPr>
        <w:t xml:space="preserve"> предшеству</w:t>
      </w:r>
      <w:r>
        <w:rPr>
          <w:lang w:val="ru-RU"/>
        </w:rPr>
        <w:t>ет</w:t>
      </w:r>
      <w:r w:rsidRPr="00361304">
        <w:rPr>
          <w:lang w:val="ru-RU"/>
        </w:rPr>
        <w:t xml:space="preserve"> принятию </w:t>
      </w:r>
      <w:r w:rsidRPr="00CB7423">
        <w:rPr>
          <w:lang w:val="ru-RU"/>
        </w:rPr>
        <w:t>разрешительного решения</w:t>
      </w:r>
      <w:r w:rsidRPr="00361304">
        <w:rPr>
          <w:lang w:val="ru-RU"/>
        </w:rPr>
        <w:t xml:space="preserve"> в отношении планируемой деятельности</w:t>
      </w:r>
      <w:r>
        <w:rPr>
          <w:lang w:val="ru-RU"/>
        </w:rPr>
        <w:t>.</w:t>
      </w:r>
    </w:p>
    <w:p w14:paraId="4A08450A" w14:textId="14C20A51" w:rsidR="00C76E7F" w:rsidRPr="00361304" w:rsidRDefault="00C76E7F" w:rsidP="00C76E7F">
      <w:pPr>
        <w:pStyle w:val="SingleTxtG"/>
        <w:rPr>
          <w:lang w:val="ru-RU"/>
        </w:rPr>
      </w:pPr>
      <w:r w:rsidRPr="00725A2D">
        <w:rPr>
          <w:lang w:val="ru-RU"/>
        </w:rPr>
        <w:t>9.</w:t>
      </w:r>
      <w:r>
        <w:rPr>
          <w:lang w:val="ru-RU"/>
        </w:rPr>
        <w:tab/>
      </w:r>
      <w:r w:rsidR="00EC30E6">
        <w:rPr>
          <w:lang w:val="ru-RU"/>
        </w:rPr>
        <w:t>«</w:t>
      </w:r>
      <w:r w:rsidRPr="00361304">
        <w:rPr>
          <w:lang w:val="ru-RU"/>
        </w:rPr>
        <w:t>Общественность</w:t>
      </w:r>
      <w:r w:rsidR="00EC30E6">
        <w:rPr>
          <w:lang w:val="ru-RU"/>
        </w:rPr>
        <w:t>»</w:t>
      </w:r>
      <w:r w:rsidR="00EC30E6" w:rsidRPr="00361304">
        <w:rPr>
          <w:lang w:val="ru-RU"/>
        </w:rPr>
        <w:t xml:space="preserve"> </w:t>
      </w:r>
      <w:r w:rsidRPr="00361304">
        <w:rPr>
          <w:lang w:val="ru-RU"/>
        </w:rPr>
        <w:t>означает одно или несколько физических или юридических лиц и, в соответствии с национальным законодательством или практикой, их ассоциации, организации или группы</w:t>
      </w:r>
      <w:r>
        <w:rPr>
          <w:lang w:val="ru-RU"/>
        </w:rPr>
        <w:t>.</w:t>
      </w:r>
    </w:p>
    <w:p w14:paraId="3A4D7184" w14:textId="731288B5" w:rsidR="00C76E7F" w:rsidRDefault="00C76E7F" w:rsidP="00C76E7F">
      <w:pPr>
        <w:pStyle w:val="SingleTxtG"/>
        <w:rPr>
          <w:lang w:val="ru-RU"/>
        </w:rPr>
      </w:pPr>
      <w:r w:rsidRPr="00725A2D">
        <w:rPr>
          <w:lang w:val="ru-RU"/>
        </w:rPr>
        <w:t>10.</w:t>
      </w:r>
      <w:r>
        <w:rPr>
          <w:lang w:val="ru-RU"/>
        </w:rPr>
        <w:tab/>
      </w:r>
      <w:r w:rsidRPr="00361304">
        <w:rPr>
          <w:lang w:val="ru-RU"/>
        </w:rPr>
        <w:t>«</w:t>
      </w:r>
      <w:bookmarkStart w:id="21" w:name="_Hlk531081979"/>
      <w:r w:rsidRPr="00361304">
        <w:rPr>
          <w:lang w:val="ru-RU"/>
        </w:rPr>
        <w:t>Планируемая деятельность</w:t>
      </w:r>
      <w:bookmarkEnd w:id="21"/>
      <w:r w:rsidRPr="00361304">
        <w:rPr>
          <w:lang w:val="ru-RU"/>
        </w:rPr>
        <w:t xml:space="preserve">» означает любую деятельность или </w:t>
      </w:r>
      <w:r w:rsidRPr="00C1294E">
        <w:rPr>
          <w:lang w:val="ru-RU"/>
        </w:rPr>
        <w:t xml:space="preserve">любое </w:t>
      </w:r>
      <w:r w:rsidRPr="00361304">
        <w:rPr>
          <w:lang w:val="ru-RU"/>
        </w:rPr>
        <w:t xml:space="preserve">существенное изменение в той или иной деятельности, </w:t>
      </w:r>
      <w:r w:rsidRPr="00C1294E">
        <w:rPr>
          <w:lang w:val="ru-RU"/>
        </w:rPr>
        <w:t>требующее принятия решения компетентным органом в соответствии с применимой национальной процедурой</w:t>
      </w:r>
      <w:r>
        <w:rPr>
          <w:lang w:val="ru-RU"/>
        </w:rPr>
        <w:t>. На практике, в контексте стран Центральной Азии, это означает п</w:t>
      </w:r>
      <w:r w:rsidRPr="00C1294E">
        <w:rPr>
          <w:lang w:val="ru-RU"/>
        </w:rPr>
        <w:t>ланируем</w:t>
      </w:r>
      <w:r>
        <w:rPr>
          <w:lang w:val="ru-RU"/>
        </w:rPr>
        <w:t>ую</w:t>
      </w:r>
      <w:r w:rsidRPr="00C1294E">
        <w:rPr>
          <w:lang w:val="ru-RU"/>
        </w:rPr>
        <w:t xml:space="preserve"> деятельность</w:t>
      </w:r>
      <w:r>
        <w:rPr>
          <w:lang w:val="ru-RU"/>
        </w:rPr>
        <w:t>,</w:t>
      </w:r>
      <w:r w:rsidRPr="00C1294E">
        <w:rPr>
          <w:lang w:val="ru-RU"/>
        </w:rPr>
        <w:t xml:space="preserve"> </w:t>
      </w:r>
      <w:r w:rsidRPr="00361304">
        <w:rPr>
          <w:lang w:val="ru-RU"/>
        </w:rPr>
        <w:t xml:space="preserve">которая требует принятия </w:t>
      </w:r>
      <w:r w:rsidRPr="00CB7423">
        <w:rPr>
          <w:lang w:val="ru-RU"/>
        </w:rPr>
        <w:t>разрешительного решения</w:t>
      </w:r>
      <w:r w:rsidRPr="00361304">
        <w:rPr>
          <w:lang w:val="ru-RU"/>
        </w:rPr>
        <w:t xml:space="preserve"> органом, ответственным за принятие </w:t>
      </w:r>
      <w:r w:rsidRPr="00CB7423">
        <w:rPr>
          <w:lang w:val="ru-RU"/>
        </w:rPr>
        <w:t>решения</w:t>
      </w:r>
      <w:r w:rsidRPr="00361304">
        <w:rPr>
          <w:lang w:val="ru-RU"/>
        </w:rPr>
        <w:t xml:space="preserve"> в отношении планируемой деятельности</w:t>
      </w:r>
      <w:r>
        <w:rPr>
          <w:lang w:val="ru-RU"/>
        </w:rPr>
        <w:t>.</w:t>
      </w:r>
    </w:p>
    <w:p w14:paraId="4808A979" w14:textId="6DFA4C3F" w:rsidR="00C76E7F" w:rsidRPr="00EA274D" w:rsidRDefault="00C76E7F" w:rsidP="00C76E7F">
      <w:pPr>
        <w:pStyle w:val="H1G"/>
        <w:rPr>
          <w:lang w:val="ru-RU"/>
        </w:rPr>
      </w:pPr>
      <w:r w:rsidRPr="00EA274D">
        <w:rPr>
          <w:lang w:val="ru-RU"/>
        </w:rPr>
        <w:tab/>
      </w:r>
      <w:r w:rsidRPr="001A6437">
        <w:t>II</w:t>
      </w:r>
      <w:r w:rsidRPr="00EA274D">
        <w:rPr>
          <w:lang w:val="ru-RU"/>
        </w:rPr>
        <w:t>.</w:t>
      </w:r>
      <w:r w:rsidRPr="00EA274D">
        <w:rPr>
          <w:lang w:val="ru-RU"/>
        </w:rPr>
        <w:tab/>
      </w:r>
      <w:r w:rsidR="00EC30E6">
        <w:rPr>
          <w:lang w:val="ru-RU"/>
        </w:rPr>
        <w:t>Дополнительные</w:t>
      </w:r>
      <w:r>
        <w:rPr>
          <w:lang w:val="ru-RU"/>
        </w:rPr>
        <w:t xml:space="preserve"> </w:t>
      </w:r>
      <w:r w:rsidRPr="00C76E7F">
        <w:rPr>
          <w:lang w:val="ru-RU"/>
        </w:rPr>
        <w:t>определения, не включенные</w:t>
      </w:r>
      <w:r>
        <w:rPr>
          <w:lang w:val="ru-RU"/>
        </w:rPr>
        <w:t xml:space="preserve"> в Конвенцию</w:t>
      </w:r>
    </w:p>
    <w:p w14:paraId="0F5A5C9A" w14:textId="77777777" w:rsidR="00C76E7F" w:rsidRDefault="00C76E7F" w:rsidP="00C76E7F">
      <w:pPr>
        <w:pStyle w:val="SingleTxtG"/>
        <w:rPr>
          <w:lang w:val="ru-RU"/>
        </w:rPr>
      </w:pPr>
      <w:r w:rsidRPr="00725A2D">
        <w:rPr>
          <w:lang w:val="ru-RU"/>
        </w:rPr>
        <w:t>11.</w:t>
      </w:r>
      <w:r>
        <w:rPr>
          <w:lang w:val="ru-RU"/>
        </w:rPr>
        <w:tab/>
        <w:t>Определения ниже разработаны с целью предоставления разъяснений относительно практического применения трансграничной процедуры оценки воздействия на окружающую среду в контексте стран Центральной Азии.</w:t>
      </w:r>
    </w:p>
    <w:p w14:paraId="189F4B07" w14:textId="77777777" w:rsidR="00C76E7F" w:rsidRPr="00361304" w:rsidRDefault="00C76E7F" w:rsidP="00C76E7F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Pr="00361304">
        <w:rPr>
          <w:lang w:val="ru-RU"/>
        </w:rPr>
        <w:t>«Послепроектный анализ»</w:t>
      </w:r>
      <w:r>
        <w:rPr>
          <w:lang w:val="ru-RU"/>
        </w:rPr>
        <w:t>,</w:t>
      </w:r>
      <w:r w:rsidRPr="00361304">
        <w:rPr>
          <w:lang w:val="ru-RU"/>
        </w:rPr>
        <w:t xml:space="preserve"> осуществляемый на стадии реализации деятельности – наблюдение за реализуемой деятельностью на стадии строительства и эксплуатации объектов, контроль за соблюдением условий, изложенных в разрешительной документации и эффективностью мер по уменьшению воздействия, сопоставление выводов, сделанны</w:t>
      </w:r>
      <w:r>
        <w:rPr>
          <w:lang w:val="ru-RU"/>
        </w:rPr>
        <w:t>х</w:t>
      </w:r>
      <w:r w:rsidRPr="00361304">
        <w:rPr>
          <w:lang w:val="ru-RU"/>
        </w:rPr>
        <w:t xml:space="preserve"> в результате выполнения оценки воздействия на окружающую среду, с реальным воздействием, т.е. сравнение расчетных результатов деятельности с реальным воздействием и разработка при необходимости дополнительных мер по уменьшению воздействия</w:t>
      </w:r>
      <w:r>
        <w:rPr>
          <w:lang w:val="ru-RU"/>
        </w:rPr>
        <w:t>.</w:t>
      </w:r>
    </w:p>
    <w:p w14:paraId="320DFF2B" w14:textId="77777777" w:rsidR="00C76E7F" w:rsidRPr="00361304" w:rsidRDefault="00C76E7F" w:rsidP="00C76E7F">
      <w:pPr>
        <w:pStyle w:val="SingleTxtG"/>
        <w:rPr>
          <w:lang w:val="ru-RU"/>
        </w:rPr>
      </w:pPr>
      <w:r>
        <w:rPr>
          <w:lang w:val="ru-RU"/>
        </w:rPr>
        <w:t>1</w:t>
      </w:r>
      <w:r w:rsidRPr="00725A2D">
        <w:rPr>
          <w:lang w:val="ru-RU"/>
        </w:rPr>
        <w:t>3.</w:t>
      </w:r>
      <w:r>
        <w:rPr>
          <w:lang w:val="ru-RU"/>
        </w:rPr>
        <w:tab/>
      </w:r>
      <w:r w:rsidRPr="00361304">
        <w:rPr>
          <w:lang w:val="ru-RU"/>
        </w:rPr>
        <w:t xml:space="preserve">«Инициатор деятельности» (заказчик, разработчик, инвестор, заявитель) </w:t>
      </w:r>
      <w:r>
        <w:rPr>
          <w:lang w:val="ru-RU"/>
        </w:rPr>
        <w:t xml:space="preserve">означает </w:t>
      </w:r>
      <w:r w:rsidRPr="00361304">
        <w:rPr>
          <w:lang w:val="ru-RU"/>
        </w:rPr>
        <w:t xml:space="preserve">юридическое или физическое лицо, которое имеет намерение осуществлять планируемую деятельность и отвечающее за </w:t>
      </w:r>
      <w:r>
        <w:rPr>
          <w:lang w:val="ru-RU"/>
        </w:rPr>
        <w:t xml:space="preserve">подготовку </w:t>
      </w:r>
      <w:r w:rsidRPr="00361304">
        <w:rPr>
          <w:lang w:val="ru-RU"/>
        </w:rPr>
        <w:t>документации по планируемой деятельности в соответствии с нормативными требованиями, предъявляемыми к данному виду деятельности, с целью получения соответствующих разрешений</w:t>
      </w:r>
      <w:r>
        <w:rPr>
          <w:lang w:val="ru-RU"/>
        </w:rPr>
        <w:t>.</w:t>
      </w:r>
    </w:p>
    <w:p w14:paraId="5E02F43A" w14:textId="77777777" w:rsidR="00C76E7F" w:rsidRPr="00AA1F27" w:rsidRDefault="00C76E7F" w:rsidP="00C76E7F">
      <w:pPr>
        <w:spacing w:before="240"/>
        <w:jc w:val="center"/>
        <w:rPr>
          <w:u w:val="single"/>
        </w:rPr>
      </w:pPr>
      <w:r w:rsidRPr="00AA1F27">
        <w:rPr>
          <w:u w:val="single"/>
        </w:rPr>
        <w:tab/>
      </w:r>
      <w:r w:rsidRPr="00AA1F27">
        <w:rPr>
          <w:u w:val="single"/>
        </w:rPr>
        <w:tab/>
      </w:r>
    </w:p>
    <w:sectPr w:rsidR="00C76E7F" w:rsidRPr="00AA1F27" w:rsidSect="000E497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1EB1" w14:textId="77777777" w:rsidR="0073183B" w:rsidRDefault="0073183B">
      <w:r>
        <w:rPr>
          <w:lang w:val="en-US"/>
        </w:rPr>
        <w:tab/>
      </w:r>
      <w:r>
        <w:separator/>
      </w:r>
    </w:p>
  </w:endnote>
  <w:endnote w:type="continuationSeparator" w:id="0">
    <w:p w14:paraId="2B342316" w14:textId="77777777" w:rsidR="0073183B" w:rsidRDefault="007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B3BD" w14:textId="48851886" w:rsidR="004A511A" w:rsidRPr="000E4973" w:rsidRDefault="004A511A">
    <w:pPr>
      <w:pStyle w:val="Footer"/>
      <w:rPr>
        <w:sz w:val="18"/>
      </w:rPr>
    </w:pPr>
    <w:r w:rsidRPr="000E4973">
      <w:rPr>
        <w:b/>
        <w:sz w:val="18"/>
      </w:rPr>
      <w:fldChar w:fldCharType="begin"/>
    </w:r>
    <w:r w:rsidRPr="000E4973">
      <w:rPr>
        <w:b/>
        <w:sz w:val="18"/>
      </w:rPr>
      <w:instrText xml:space="preserve"> PAGE  \* MERGEFORMAT </w:instrText>
    </w:r>
    <w:r w:rsidRPr="000E4973">
      <w:rPr>
        <w:b/>
        <w:sz w:val="18"/>
      </w:rPr>
      <w:fldChar w:fldCharType="separate"/>
    </w:r>
    <w:r w:rsidR="004E5FCA">
      <w:rPr>
        <w:b/>
        <w:noProof/>
        <w:sz w:val="18"/>
      </w:rPr>
      <w:t>22</w:t>
    </w:r>
    <w:r w:rsidRPr="000E497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217F" w14:textId="68EC0717" w:rsidR="004A511A" w:rsidRPr="000E4973" w:rsidRDefault="004A511A">
    <w:pPr>
      <w:pStyle w:val="Footer"/>
      <w:rPr>
        <w:b/>
        <w:sz w:val="18"/>
      </w:rPr>
    </w:pPr>
    <w:r>
      <w:tab/>
    </w:r>
    <w:r w:rsidRPr="000E4973">
      <w:rPr>
        <w:b/>
        <w:sz w:val="18"/>
      </w:rPr>
      <w:fldChar w:fldCharType="begin"/>
    </w:r>
    <w:r w:rsidRPr="000E4973">
      <w:rPr>
        <w:b/>
        <w:sz w:val="18"/>
      </w:rPr>
      <w:instrText xml:space="preserve"> PAGE  \* MERGEFORMAT </w:instrText>
    </w:r>
    <w:r w:rsidRPr="000E4973">
      <w:rPr>
        <w:b/>
        <w:sz w:val="18"/>
      </w:rPr>
      <w:fldChar w:fldCharType="separate"/>
    </w:r>
    <w:r w:rsidR="004E5FCA">
      <w:rPr>
        <w:b/>
        <w:noProof/>
        <w:sz w:val="18"/>
      </w:rPr>
      <w:t>13</w:t>
    </w:r>
    <w:r w:rsidRPr="000E49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CD3" w14:textId="6EBA14E4" w:rsidR="009E7126" w:rsidRPr="009E7126" w:rsidRDefault="009E7126">
    <w:pPr>
      <w:pStyle w:val="Footer"/>
      <w:rPr>
        <w:sz w:val="20"/>
        <w:szCs w:val="20"/>
        <w:lang w:val="en-US"/>
      </w:rPr>
    </w:pPr>
    <w:r>
      <w:rPr>
        <w:rFonts w:ascii="C39T30Lfz" w:hAnsi="C39T30Lfz"/>
        <w:noProof/>
        <w:spacing w:val="0"/>
        <w:w w:val="100"/>
        <w:sz w:val="56"/>
        <w:lang w:val="en-US" w:eastAsia="en-US"/>
      </w:rPr>
      <w:drawing>
        <wp:anchor distT="0" distB="0" distL="114300" distR="114300" simplePos="0" relativeHeight="251658240" behindDoc="0" locked="0" layoutInCell="1" allowOverlap="1" wp14:anchorId="7034BE7A" wp14:editId="72291C89">
          <wp:simplePos x="0" y="0"/>
          <wp:positionH relativeFrom="column">
            <wp:posOffset>5576570</wp:posOffset>
          </wp:positionH>
          <wp:positionV relativeFrom="paragraph">
            <wp:posOffset>-119561</wp:posOffset>
          </wp:positionV>
          <wp:extent cx="628650" cy="628650"/>
          <wp:effectExtent l="0" t="0" r="0" b="0"/>
          <wp:wrapNone/>
          <wp:docPr id="3" name="Рисунок 1" descr="https://api.qrserver.com/v1/create-qr-code/?size=66x66&amp;data=https://undocs.org/ru/ECE/MP.EIA/2019/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MP.EIA/2019/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126">
      <w:rPr>
        <w:sz w:val="20"/>
        <w:szCs w:val="20"/>
        <w:lang w:val="en-US"/>
      </w:rPr>
      <w:t>GE.18-20233 (R)</w:t>
    </w:r>
  </w:p>
  <w:p w14:paraId="0A17C907" w14:textId="1D5CEB60" w:rsidR="009E7126" w:rsidRPr="009E7126" w:rsidRDefault="009E7126" w:rsidP="009E7126">
    <w:pPr>
      <w:pStyle w:val="Footer"/>
      <w:rPr>
        <w:rFonts w:ascii="C39T30Lfz" w:hAnsi="C39T30Lfz"/>
        <w:spacing w:val="0"/>
        <w:w w:val="100"/>
        <w:sz w:val="56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61D95E7" wp14:editId="698823DD">
          <wp:simplePos x="0" y="0"/>
          <wp:positionH relativeFrom="column">
            <wp:posOffset>2752816</wp:posOffset>
          </wp:positionH>
          <wp:positionV relativeFrom="paragraph">
            <wp:posOffset>30390</wp:posOffset>
          </wp:positionV>
          <wp:extent cx="2655481" cy="277586"/>
          <wp:effectExtent l="0" t="0" r="0" b="8255"/>
          <wp:wrapNone/>
          <wp:docPr id="9" name="Рисунок 9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5481" cy="277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7126">
      <w:rPr>
        <w:rFonts w:ascii="C39T30Lfz" w:hAnsi="C39T30Lfz"/>
        <w:spacing w:val="0"/>
        <w:w w:val="100"/>
        <w:sz w:val="56"/>
      </w:rPr>
      <w:t></w:t>
    </w:r>
    <w:r w:rsidRPr="009E7126">
      <w:rPr>
        <w:rFonts w:ascii="C39T30Lfz" w:hAnsi="C39T30Lfz"/>
        <w:spacing w:val="0"/>
        <w:w w:val="100"/>
        <w:sz w:val="56"/>
      </w:rPr>
      <w:t></w:t>
    </w:r>
    <w:r w:rsidRPr="009E7126">
      <w:rPr>
        <w:rFonts w:ascii="C39T30Lfz" w:hAnsi="C39T30Lfz"/>
        <w:spacing w:val="0"/>
        <w:w w:val="100"/>
        <w:sz w:val="56"/>
      </w:rPr>
      <w:t></w:t>
    </w:r>
    <w:r w:rsidRPr="009E7126">
      <w:rPr>
        <w:rFonts w:ascii="C39T30Lfz" w:hAnsi="C39T30Lfz"/>
        <w:spacing w:val="0"/>
        <w:w w:val="100"/>
        <w:sz w:val="56"/>
      </w:rPr>
      <w:t></w:t>
    </w:r>
    <w:r w:rsidRPr="009E7126">
      <w:rPr>
        <w:rFonts w:ascii="C39T30Lfz" w:hAnsi="C39T30Lfz"/>
        <w:spacing w:val="0"/>
        <w:w w:val="100"/>
        <w:sz w:val="56"/>
      </w:rPr>
      <w:t></w:t>
    </w:r>
    <w:r w:rsidRPr="009E7126">
      <w:rPr>
        <w:rFonts w:ascii="C39T30Lfz" w:hAnsi="C39T30Lfz"/>
        <w:spacing w:val="0"/>
        <w:w w:val="100"/>
        <w:sz w:val="56"/>
      </w:rPr>
      <w:t></w:t>
    </w:r>
    <w:r w:rsidRPr="009E7126">
      <w:rPr>
        <w:rFonts w:ascii="C39T30Lfz" w:hAnsi="C39T30Lfz"/>
        <w:spacing w:val="0"/>
        <w:w w:val="100"/>
        <w:sz w:val="56"/>
      </w:rPr>
      <w:t></w:t>
    </w:r>
    <w:r w:rsidRPr="009E7126">
      <w:rPr>
        <w:rFonts w:ascii="C39T30Lfz" w:hAnsi="C39T30Lfz"/>
        <w:spacing w:val="0"/>
        <w:w w:val="100"/>
        <w:sz w:val="56"/>
      </w:rPr>
      <w:t></w:t>
    </w:r>
    <w:r w:rsidRPr="009E7126">
      <w:rPr>
        <w:rFonts w:ascii="C39T30Lfz" w:hAnsi="C39T30Lfz"/>
        <w:spacing w:val="0"/>
        <w:w w:val="100"/>
        <w:sz w:val="56"/>
      </w:rPr>
      <w:t></w:t>
    </w:r>
    <w:r>
      <w:rPr>
        <w:rFonts w:ascii="C39T30Lfz" w:hAnsi="C39T30Lfz"/>
        <w:spacing w:val="0"/>
        <w:w w:val="100"/>
        <w:sz w:val="5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338F" w14:textId="77777777" w:rsidR="0073183B" w:rsidRPr="00F5542C" w:rsidRDefault="0073183B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14:paraId="53D4E5C1" w14:textId="77777777" w:rsidR="0073183B" w:rsidRPr="00C960A3" w:rsidRDefault="0073183B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14:paraId="5AAB67F6" w14:textId="79D6FC52" w:rsidR="004A511A" w:rsidRPr="00160971" w:rsidRDefault="004A511A" w:rsidP="00FC0EE6">
      <w:pPr>
        <w:pStyle w:val="FootnoteText"/>
        <w:ind w:left="1080" w:right="1074"/>
        <w:rPr>
          <w:spacing w:val="0"/>
          <w:w w:val="100"/>
          <w:kern w:val="0"/>
          <w:szCs w:val="18"/>
          <w:lang w:eastAsia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1A2BC2">
        <w:rPr>
          <w:szCs w:val="18"/>
          <w:lang w:eastAsia="en-US"/>
        </w:rPr>
        <w:t>На п</w:t>
      </w:r>
      <w:r w:rsidRPr="00832FE1">
        <w:rPr>
          <w:szCs w:val="18"/>
          <w:lang w:eastAsia="en-US"/>
        </w:rPr>
        <w:t>ервом субрегиональном семинаре представители стран</w:t>
      </w:r>
      <w:r w:rsidRPr="003D297F">
        <w:rPr>
          <w:szCs w:val="18"/>
          <w:lang w:eastAsia="en-US"/>
        </w:rPr>
        <w:t>-</w:t>
      </w:r>
      <w:r>
        <w:rPr>
          <w:szCs w:val="18"/>
          <w:lang w:eastAsia="en-US"/>
        </w:rPr>
        <w:t>бенефициаров</w:t>
      </w:r>
      <w:r w:rsidRPr="00832FE1">
        <w:rPr>
          <w:szCs w:val="18"/>
          <w:lang w:eastAsia="en-US"/>
        </w:rPr>
        <w:t xml:space="preserve"> согласовали концепцию усовершенствования Руководящих принципов</w:t>
      </w:r>
      <w:r>
        <w:rPr>
          <w:szCs w:val="18"/>
          <w:lang w:eastAsia="en-US"/>
        </w:rPr>
        <w:t xml:space="preserve"> 2007 года</w:t>
      </w:r>
      <w:r w:rsidRPr="00832FE1">
        <w:rPr>
          <w:szCs w:val="18"/>
          <w:lang w:eastAsia="en-US"/>
        </w:rPr>
        <w:t xml:space="preserve">, отметив, что </w:t>
      </w:r>
      <w:r>
        <w:rPr>
          <w:szCs w:val="18"/>
          <w:lang w:eastAsia="en-US"/>
        </w:rPr>
        <w:t>Пересмотренные</w:t>
      </w:r>
      <w:r w:rsidRPr="00832FE1">
        <w:rPr>
          <w:szCs w:val="18"/>
          <w:lang w:eastAsia="en-US"/>
        </w:rPr>
        <w:t xml:space="preserve"> Руководящие принципы должны основываться на </w:t>
      </w:r>
      <w:r>
        <w:rPr>
          <w:szCs w:val="18"/>
          <w:lang w:eastAsia="en-US"/>
        </w:rPr>
        <w:t xml:space="preserve">положениях </w:t>
      </w:r>
      <w:r w:rsidRPr="00832FE1">
        <w:rPr>
          <w:szCs w:val="18"/>
          <w:lang w:eastAsia="en-US"/>
        </w:rPr>
        <w:t xml:space="preserve">Конвенции, но при этом учитывать общие </w:t>
      </w:r>
      <w:r>
        <w:rPr>
          <w:szCs w:val="18"/>
          <w:lang w:eastAsia="en-US"/>
        </w:rPr>
        <w:t>характеристики</w:t>
      </w:r>
      <w:r w:rsidRPr="00832FE1">
        <w:rPr>
          <w:szCs w:val="18"/>
          <w:lang w:eastAsia="en-US"/>
        </w:rPr>
        <w:t xml:space="preserve"> национальных систем оценки воздействия на окружающую среду стран Центральной Азии и отра</w:t>
      </w:r>
      <w:r>
        <w:rPr>
          <w:szCs w:val="18"/>
          <w:lang w:eastAsia="en-US"/>
        </w:rPr>
        <w:t>жать</w:t>
      </w:r>
      <w:r w:rsidRPr="00832FE1">
        <w:rPr>
          <w:szCs w:val="18"/>
          <w:lang w:eastAsia="en-US"/>
        </w:rPr>
        <w:t xml:space="preserve"> вопрос применения Руководящих принципов во всех странах Центральной Азии. </w:t>
      </w:r>
      <w:r w:rsidRPr="00B76C04">
        <w:rPr>
          <w:szCs w:val="18"/>
          <w:lang w:eastAsia="en-US"/>
        </w:rPr>
        <w:t xml:space="preserve">Оценивая объем ожидаемых изменений в Руководящих принципах, представители </w:t>
      </w:r>
      <w:r w:rsidRPr="00832FE1">
        <w:rPr>
          <w:szCs w:val="18"/>
          <w:lang w:eastAsia="en-US"/>
        </w:rPr>
        <w:t>стран</w:t>
      </w:r>
      <w:r w:rsidRPr="003D297F">
        <w:rPr>
          <w:szCs w:val="18"/>
          <w:lang w:eastAsia="en-US"/>
        </w:rPr>
        <w:t>-</w:t>
      </w:r>
      <w:r>
        <w:rPr>
          <w:szCs w:val="18"/>
          <w:lang w:eastAsia="en-US"/>
        </w:rPr>
        <w:t>бенефициаров</w:t>
      </w:r>
      <w:r w:rsidRPr="00B76C04">
        <w:rPr>
          <w:szCs w:val="18"/>
          <w:lang w:eastAsia="en-US"/>
        </w:rPr>
        <w:t xml:space="preserve"> рекомендовали главным образом сосредоточиться на процессуальных аспектах </w:t>
      </w:r>
      <w:r>
        <w:rPr>
          <w:szCs w:val="18"/>
          <w:lang w:eastAsia="en-US"/>
        </w:rPr>
        <w:t xml:space="preserve">проведения </w:t>
      </w:r>
      <w:r w:rsidRPr="00B76C04">
        <w:rPr>
          <w:szCs w:val="18"/>
          <w:lang w:eastAsia="en-US"/>
        </w:rPr>
        <w:t xml:space="preserve">трансграничной </w:t>
      </w:r>
      <w:r>
        <w:rPr>
          <w:szCs w:val="18"/>
          <w:lang w:eastAsia="en-US"/>
        </w:rPr>
        <w:t>оценки воздействия</w:t>
      </w:r>
      <w:r w:rsidRPr="00B76C04">
        <w:rPr>
          <w:szCs w:val="18"/>
          <w:lang w:eastAsia="en-US"/>
        </w:rPr>
        <w:t xml:space="preserve"> </w:t>
      </w:r>
      <w:r>
        <w:rPr>
          <w:szCs w:val="18"/>
          <w:lang w:eastAsia="en-US"/>
        </w:rPr>
        <w:t xml:space="preserve">на окружающую среду </w:t>
      </w:r>
      <w:r w:rsidRPr="00B76C04">
        <w:rPr>
          <w:szCs w:val="18"/>
          <w:lang w:eastAsia="en-US"/>
        </w:rPr>
        <w:t>и подготовке</w:t>
      </w:r>
      <w:r w:rsidRPr="00B76C04">
        <w:rPr>
          <w:spacing w:val="0"/>
          <w:w w:val="100"/>
          <w:kern w:val="0"/>
          <w:szCs w:val="18"/>
          <w:lang w:eastAsia="en-US"/>
        </w:rPr>
        <w:t xml:space="preserve"> предварительного</w:t>
      </w:r>
      <w:r>
        <w:rPr>
          <w:spacing w:val="0"/>
          <w:w w:val="100"/>
          <w:kern w:val="0"/>
          <w:szCs w:val="18"/>
          <w:lang w:eastAsia="en-US"/>
        </w:rPr>
        <w:t xml:space="preserve"> </w:t>
      </w:r>
      <w:r w:rsidRPr="00B76C04">
        <w:rPr>
          <w:spacing w:val="0"/>
          <w:w w:val="100"/>
          <w:kern w:val="0"/>
          <w:szCs w:val="18"/>
          <w:lang w:eastAsia="en-US"/>
        </w:rPr>
        <w:t xml:space="preserve">обзора действующего национального экологического законодательства в каждой стране. 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Участники также отметили наличие документа «Процедура проведения трансграничной оценки воздействия на окружающую среду для стран Центральной Азии», подготовленного группой экспертов в 2009 г. при финансовой поддержке Правительства Норвегии и </w:t>
      </w:r>
      <w:r>
        <w:rPr>
          <w:spacing w:val="0"/>
          <w:w w:val="100"/>
          <w:kern w:val="0"/>
          <w:szCs w:val="18"/>
          <w:lang w:eastAsia="en-US"/>
        </w:rPr>
        <w:t xml:space="preserve">Организации </w:t>
      </w:r>
      <w:r w:rsidRPr="0099209C">
        <w:rPr>
          <w:spacing w:val="0"/>
          <w:w w:val="100"/>
          <w:kern w:val="0"/>
          <w:szCs w:val="18"/>
          <w:lang w:eastAsia="en-US"/>
        </w:rPr>
        <w:t>по безопасности и сотрудничеству в Европе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(Процедура по </w:t>
      </w:r>
      <w:r>
        <w:rPr>
          <w:spacing w:val="0"/>
          <w:w w:val="100"/>
          <w:kern w:val="0"/>
          <w:szCs w:val="18"/>
          <w:lang w:eastAsia="en-US"/>
        </w:rPr>
        <w:t>оценке воздействия на окружающую среду,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2009 г.). Они рекомендовали приглашенным международным экспертам рассмотреть вопрос использования данного документа при </w:t>
      </w:r>
      <w:r>
        <w:rPr>
          <w:spacing w:val="0"/>
          <w:w w:val="100"/>
          <w:kern w:val="0"/>
          <w:szCs w:val="18"/>
          <w:lang w:eastAsia="en-US"/>
        </w:rPr>
        <w:t>подготовку Пересмотренных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Руководящих принципов, например, путем его сокращения и включения дополнительных примеров практического применения процедуры трансграничной </w:t>
      </w:r>
      <w:r>
        <w:rPr>
          <w:spacing w:val="0"/>
          <w:w w:val="100"/>
          <w:kern w:val="0"/>
          <w:szCs w:val="18"/>
          <w:lang w:eastAsia="en-US"/>
        </w:rPr>
        <w:t>оценки воздействия на окружающую среду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странами</w:t>
      </w:r>
      <w:r>
        <w:rPr>
          <w:spacing w:val="0"/>
          <w:w w:val="100"/>
          <w:kern w:val="0"/>
          <w:szCs w:val="18"/>
          <w:lang w:eastAsia="en-US"/>
        </w:rPr>
        <w:t>-Сторонами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Конвенции. </w:t>
      </w:r>
      <w:r w:rsidRPr="00D445FC">
        <w:rPr>
          <w:spacing w:val="0"/>
          <w:w w:val="100"/>
          <w:kern w:val="0"/>
          <w:szCs w:val="18"/>
          <w:lang w:eastAsia="en-US"/>
        </w:rPr>
        <w:t xml:space="preserve">Участники также пришли к соглашению, что структура </w:t>
      </w:r>
      <w:r>
        <w:rPr>
          <w:spacing w:val="0"/>
          <w:w w:val="100"/>
          <w:kern w:val="0"/>
          <w:szCs w:val="18"/>
          <w:lang w:eastAsia="en-US"/>
        </w:rPr>
        <w:t>Пересмотренных</w:t>
      </w:r>
      <w:r w:rsidRPr="00D445FC">
        <w:rPr>
          <w:spacing w:val="0"/>
          <w:w w:val="100"/>
          <w:kern w:val="0"/>
          <w:szCs w:val="18"/>
          <w:lang w:eastAsia="en-US"/>
        </w:rPr>
        <w:t xml:space="preserve"> Руководящих принципов </w:t>
      </w:r>
      <w:r>
        <w:rPr>
          <w:spacing w:val="0"/>
          <w:w w:val="100"/>
          <w:kern w:val="0"/>
          <w:szCs w:val="18"/>
          <w:lang w:eastAsia="en-US"/>
        </w:rPr>
        <w:t>может</w:t>
      </w:r>
      <w:r w:rsidRPr="00D445FC">
        <w:rPr>
          <w:spacing w:val="0"/>
          <w:w w:val="100"/>
          <w:kern w:val="0"/>
          <w:szCs w:val="18"/>
          <w:lang w:eastAsia="en-US"/>
        </w:rPr>
        <w:t xml:space="preserve"> отличаться от редакции 2007 г.</w:t>
      </w:r>
    </w:p>
  </w:footnote>
  <w:footnote w:id="2">
    <w:p w14:paraId="0A4F67AE" w14:textId="6D1DB8F4" w:rsidR="004A511A" w:rsidRPr="005B1FE1" w:rsidRDefault="004A511A" w:rsidP="005043DB">
      <w:pPr>
        <w:pStyle w:val="FootnoteText"/>
        <w:tabs>
          <w:tab w:val="clear" w:pos="1021"/>
        </w:tabs>
        <w:ind w:left="993" w:hanging="993"/>
        <w:rPr>
          <w:spacing w:val="0"/>
          <w:w w:val="100"/>
          <w:kern w:val="0"/>
          <w:szCs w:val="18"/>
          <w:lang w:eastAsia="en-US"/>
        </w:rPr>
      </w:pPr>
      <w:r>
        <w:tab/>
      </w:r>
      <w:r>
        <w:rPr>
          <w:rStyle w:val="FootnoteReference"/>
        </w:rPr>
        <w:footnoteRef/>
      </w:r>
      <w:r w:rsidRPr="00C66F29">
        <w:t xml:space="preserve"> 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Второй субрегиональный семинар предоставил участникам возможность познакомиться с опытом применения трансграничной </w:t>
      </w:r>
      <w:r>
        <w:rPr>
          <w:spacing w:val="0"/>
          <w:w w:val="100"/>
          <w:kern w:val="0"/>
          <w:szCs w:val="18"/>
          <w:lang w:eastAsia="en-US"/>
        </w:rPr>
        <w:t>оценки воздействия на окружающую среду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в Европейском Союзе, обсудить первый проект </w:t>
      </w:r>
      <w:r>
        <w:rPr>
          <w:spacing w:val="0"/>
          <w:w w:val="100"/>
          <w:kern w:val="0"/>
          <w:szCs w:val="18"/>
          <w:lang w:eastAsia="en-US"/>
        </w:rPr>
        <w:t>Пересмотренных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Руководящих принципов и определить последующие шаги для завершения работы над усовершенствованием Руководящих принципов, в частности</w:t>
      </w:r>
      <w:r>
        <w:rPr>
          <w:spacing w:val="0"/>
          <w:w w:val="100"/>
          <w:kern w:val="0"/>
          <w:szCs w:val="18"/>
          <w:lang w:eastAsia="en-US"/>
        </w:rPr>
        <w:t>,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текста, представленного в этом документе. Участники семинара пригласили международных консультантов отразить некоторые замечания</w:t>
      </w:r>
      <w:r w:rsidR="007B776D">
        <w:rPr>
          <w:spacing w:val="0"/>
          <w:w w:val="100"/>
          <w:kern w:val="0"/>
          <w:szCs w:val="18"/>
          <w:lang w:eastAsia="en-US"/>
        </w:rPr>
        <w:t xml:space="preserve"> по структуре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и </w:t>
      </w:r>
      <w:r w:rsidR="007B776D">
        <w:rPr>
          <w:spacing w:val="0"/>
          <w:w w:val="100"/>
          <w:kern w:val="0"/>
          <w:szCs w:val="18"/>
          <w:lang w:eastAsia="en-US"/>
        </w:rPr>
        <w:t xml:space="preserve"> 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тексту в </w:t>
      </w:r>
      <w:r>
        <w:rPr>
          <w:spacing w:val="0"/>
          <w:w w:val="100"/>
          <w:kern w:val="0"/>
          <w:szCs w:val="18"/>
          <w:lang w:eastAsia="en-US"/>
        </w:rPr>
        <w:tab/>
      </w:r>
      <w:r w:rsidR="007B776D" w:rsidRPr="00E354B7">
        <w:rPr>
          <w:spacing w:val="0"/>
          <w:w w:val="100"/>
          <w:kern w:val="0"/>
          <w:szCs w:val="18"/>
          <w:lang w:eastAsia="en-US"/>
        </w:rPr>
        <w:t>последующ</w:t>
      </w:r>
      <w:r w:rsidR="007B776D">
        <w:rPr>
          <w:spacing w:val="0"/>
          <w:w w:val="100"/>
          <w:kern w:val="0"/>
          <w:szCs w:val="18"/>
          <w:lang w:eastAsia="en-US"/>
        </w:rPr>
        <w:t xml:space="preserve">ей </w:t>
      </w:r>
      <w:r w:rsidR="007B776D" w:rsidRPr="00E354B7">
        <w:rPr>
          <w:spacing w:val="0"/>
          <w:w w:val="100"/>
          <w:kern w:val="0"/>
          <w:szCs w:val="18"/>
          <w:lang w:eastAsia="en-US"/>
        </w:rPr>
        <w:t>редакци</w:t>
      </w:r>
      <w:r w:rsidR="007B776D">
        <w:rPr>
          <w:spacing w:val="0"/>
          <w:w w:val="100"/>
          <w:kern w:val="0"/>
          <w:szCs w:val="18"/>
          <w:lang w:eastAsia="en-US"/>
        </w:rPr>
        <w:t>и</w:t>
      </w:r>
      <w:r w:rsidR="007B776D" w:rsidRPr="00E354B7">
        <w:rPr>
          <w:spacing w:val="0"/>
          <w:w w:val="100"/>
          <w:kern w:val="0"/>
          <w:szCs w:val="18"/>
          <w:lang w:eastAsia="en-US"/>
        </w:rPr>
        <w:t xml:space="preserve"> 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документа, а также пришли к согласию, что, в связи с частыми </w:t>
      </w:r>
      <w:r>
        <w:rPr>
          <w:spacing w:val="0"/>
          <w:w w:val="100"/>
          <w:kern w:val="0"/>
          <w:szCs w:val="18"/>
          <w:lang w:eastAsia="en-US"/>
        </w:rPr>
        <w:tab/>
      </w:r>
      <w:r w:rsidRPr="00E354B7">
        <w:rPr>
          <w:spacing w:val="0"/>
          <w:w w:val="100"/>
          <w:kern w:val="0"/>
          <w:szCs w:val="18"/>
          <w:lang w:eastAsia="en-US"/>
        </w:rPr>
        <w:t xml:space="preserve">изменениями в национальном экологическом законодательстве предварительный обзор национального законодательства по каждой стране не следует включать в основной текст руководящих принципов. Такой обзор, при необходимости, может содержаться в приложении. Участники также отметили, что Процедура по </w:t>
      </w:r>
      <w:r>
        <w:rPr>
          <w:spacing w:val="0"/>
          <w:w w:val="100"/>
          <w:kern w:val="0"/>
          <w:szCs w:val="18"/>
          <w:lang w:eastAsia="en-US"/>
        </w:rPr>
        <w:t>оценке воздействия на окружающую среду</w:t>
      </w:r>
      <w:r w:rsidRPr="00E354B7">
        <w:rPr>
          <w:spacing w:val="0"/>
          <w:w w:val="100"/>
          <w:kern w:val="0"/>
          <w:szCs w:val="18"/>
          <w:lang w:eastAsia="en-US"/>
        </w:rPr>
        <w:t xml:space="preserve"> 2009 г. требует значительной доработки для включения в текст </w:t>
      </w:r>
      <w:r>
        <w:rPr>
          <w:spacing w:val="0"/>
          <w:w w:val="100"/>
          <w:kern w:val="0"/>
          <w:szCs w:val="18"/>
          <w:lang w:eastAsia="en-US"/>
        </w:rPr>
        <w:t xml:space="preserve">Пересмотренных </w:t>
      </w:r>
      <w:r w:rsidRPr="00E354B7">
        <w:rPr>
          <w:spacing w:val="0"/>
          <w:w w:val="100"/>
          <w:kern w:val="0"/>
          <w:szCs w:val="18"/>
          <w:lang w:eastAsia="en-US"/>
        </w:rPr>
        <w:t>Руководящих принципов (возможно, в качестве приложения) и что такая работа может потребовать дополнительных финансовых и человеч</w:t>
      </w:r>
      <w:r>
        <w:rPr>
          <w:spacing w:val="0"/>
          <w:w w:val="100"/>
          <w:kern w:val="0"/>
          <w:szCs w:val="18"/>
          <w:lang w:eastAsia="en-US"/>
        </w:rPr>
        <w:t>еских ресурсов</w:t>
      </w:r>
      <w:r w:rsidRPr="00340D85">
        <w:rPr>
          <w:spacing w:val="0"/>
          <w:w w:val="100"/>
          <w:kern w:val="0"/>
          <w:szCs w:val="18"/>
          <w:lang w:eastAsia="en-US"/>
        </w:rPr>
        <w:t>.</w:t>
      </w:r>
    </w:p>
  </w:footnote>
  <w:footnote w:id="3">
    <w:p w14:paraId="6324101D" w14:textId="2950EB9F" w:rsidR="004A511A" w:rsidRPr="002814E7" w:rsidRDefault="004A511A" w:rsidP="007965FD">
      <w:pPr>
        <w:pStyle w:val="FootnoteText"/>
        <w:tabs>
          <w:tab w:val="clear" w:pos="1021"/>
          <w:tab w:val="right" w:pos="990"/>
        </w:tabs>
        <w:ind w:left="1080" w:right="1074"/>
        <w:rPr>
          <w:szCs w:val="18"/>
          <w:lang w:eastAsia="en-US"/>
        </w:rPr>
      </w:pPr>
      <w:r>
        <w:tab/>
      </w:r>
      <w:r>
        <w:rPr>
          <w:rStyle w:val="FootnoteReference"/>
        </w:rPr>
        <w:footnoteRef/>
      </w:r>
      <w:r>
        <w:tab/>
        <w:t xml:space="preserve"> </w:t>
      </w:r>
      <w:r w:rsidRPr="00E8767C">
        <w:rPr>
          <w:spacing w:val="0"/>
          <w:w w:val="100"/>
          <w:kern w:val="0"/>
          <w:szCs w:val="18"/>
          <w:lang w:eastAsia="en-US"/>
        </w:rPr>
        <w:t xml:space="preserve">Во время третьего субрегионального семинара участники, среди прочего, рассмотрели вопрос согласованности между Конвенцией и процедурами </w:t>
      </w:r>
      <w:r>
        <w:rPr>
          <w:spacing w:val="0"/>
          <w:w w:val="100"/>
          <w:kern w:val="0"/>
          <w:szCs w:val="18"/>
          <w:lang w:eastAsia="en-US"/>
        </w:rPr>
        <w:t>оценки воздействия на окружающую среду</w:t>
      </w:r>
      <w:r w:rsidRPr="00E8767C">
        <w:rPr>
          <w:spacing w:val="0"/>
          <w:w w:val="100"/>
          <w:kern w:val="0"/>
          <w:szCs w:val="18"/>
          <w:lang w:eastAsia="en-US"/>
        </w:rPr>
        <w:t xml:space="preserve"> в рамках государственной экологической экспертизы в странах Центральной Азии. Участники также указали на существующие препятствия на пути применения процедуры трансграничной </w:t>
      </w:r>
      <w:r>
        <w:rPr>
          <w:spacing w:val="0"/>
          <w:w w:val="100"/>
          <w:kern w:val="0"/>
          <w:szCs w:val="18"/>
          <w:lang w:eastAsia="en-US"/>
        </w:rPr>
        <w:t>оценки воздействия на окружающую среду</w:t>
      </w:r>
      <w:r w:rsidRPr="00E8767C">
        <w:rPr>
          <w:spacing w:val="0"/>
          <w:w w:val="100"/>
          <w:kern w:val="0"/>
          <w:szCs w:val="18"/>
          <w:lang w:eastAsia="en-US"/>
        </w:rPr>
        <w:t xml:space="preserve"> на национальном и субрегиональном уровне, включая отсутствие соответствующих положений в национальном законодательстве в большинстве стран субрегиона. Кроме этого, они обсудили мероприятия, которые можно внедрить для устранения таких препятствий, включая </w:t>
      </w:r>
      <w:r w:rsidRPr="004B6062">
        <w:rPr>
          <w:spacing w:val="0"/>
          <w:w w:val="100"/>
          <w:kern w:val="0"/>
          <w:szCs w:val="18"/>
          <w:lang w:eastAsia="en-US"/>
        </w:rPr>
        <w:t>законодательные реформы</w:t>
      </w:r>
      <w:r w:rsidRPr="00E8767C">
        <w:rPr>
          <w:spacing w:val="0"/>
          <w:w w:val="100"/>
          <w:kern w:val="0"/>
          <w:szCs w:val="18"/>
          <w:lang w:eastAsia="en-US"/>
        </w:rPr>
        <w:t xml:space="preserve"> и широкое информирование о преимуществах трансграничной </w:t>
      </w:r>
      <w:r>
        <w:rPr>
          <w:spacing w:val="0"/>
          <w:w w:val="100"/>
          <w:kern w:val="0"/>
          <w:szCs w:val="18"/>
          <w:lang w:eastAsia="en-US"/>
        </w:rPr>
        <w:t>оценки воздействия на окружающую среду</w:t>
      </w:r>
      <w:r w:rsidRPr="00E8767C">
        <w:rPr>
          <w:spacing w:val="0"/>
          <w:w w:val="100"/>
          <w:kern w:val="0"/>
          <w:szCs w:val="18"/>
          <w:lang w:eastAsia="en-US"/>
        </w:rPr>
        <w:t xml:space="preserve"> на национальном и субрегиональном уровнях. В итоге, они пришли к согласию о будущих шагах, представленных в </w:t>
      </w:r>
      <w:r>
        <w:rPr>
          <w:spacing w:val="0"/>
          <w:w w:val="100"/>
          <w:kern w:val="0"/>
          <w:szCs w:val="18"/>
          <w:lang w:eastAsia="en-US"/>
        </w:rPr>
        <w:t>пункте 5 данного документа</w:t>
      </w:r>
      <w:r w:rsidRPr="00E8767C">
        <w:rPr>
          <w:spacing w:val="0"/>
          <w:w w:val="100"/>
          <w:kern w:val="0"/>
          <w:szCs w:val="18"/>
          <w:lang w:eastAsia="en-US"/>
        </w:rPr>
        <w:t>.</w:t>
      </w:r>
    </w:p>
  </w:footnote>
  <w:footnote w:id="4">
    <w:p w14:paraId="67A16F1E" w14:textId="6A680D40" w:rsidR="004A511A" w:rsidRPr="00BD64FE" w:rsidRDefault="004A511A" w:rsidP="00BD64FE">
      <w:pPr>
        <w:pStyle w:val="FootnoteText"/>
        <w:tabs>
          <w:tab w:val="left" w:pos="1134"/>
        </w:tabs>
        <w:rPr>
          <w:szCs w:val="18"/>
        </w:rPr>
      </w:pPr>
      <w:r>
        <w:tab/>
      </w:r>
      <w:r>
        <w:rPr>
          <w:rStyle w:val="FootnoteReference"/>
        </w:rPr>
        <w:footnoteRef/>
      </w:r>
      <w:r>
        <w:tab/>
      </w:r>
      <w:r w:rsidRPr="009076C1">
        <w:rPr>
          <w:szCs w:val="18"/>
        </w:rPr>
        <w:t>Декларация Конференции Организации Объединенных Наций по проблемам окр</w:t>
      </w:r>
      <w:r w:rsidRPr="007B0CE0">
        <w:rPr>
          <w:szCs w:val="18"/>
        </w:rPr>
        <w:t xml:space="preserve">ужающей человека среды, </w:t>
      </w:r>
      <w:r w:rsidRPr="002F1DE9">
        <w:rPr>
          <w:i/>
          <w:iCs/>
          <w:szCs w:val="18"/>
        </w:rPr>
        <w:t>Отчет о Конференции Организации Объединенных Наций по проблемам окружающей человека среды, Стокгольм, 5–16 июня 1972 (A/CONF.48/14/Rev.1), часть один, глава I, Принцип 21.</w:t>
      </w:r>
    </w:p>
  </w:footnote>
  <w:footnote w:id="5">
    <w:p w14:paraId="5060263E" w14:textId="76FFBB96" w:rsidR="004A511A" w:rsidRPr="007B0CE0" w:rsidRDefault="004A511A" w:rsidP="002E4E82">
      <w:pPr>
        <w:pStyle w:val="FootnoteText"/>
        <w:ind w:right="1164"/>
        <w:rPr>
          <w:szCs w:val="18"/>
        </w:rPr>
      </w:pPr>
      <w:r w:rsidRPr="006D7345">
        <w:rPr>
          <w:szCs w:val="18"/>
        </w:rPr>
        <w:tab/>
      </w:r>
      <w:r w:rsidRPr="006D7345">
        <w:rPr>
          <w:rStyle w:val="FootnoteReference"/>
          <w:szCs w:val="18"/>
        </w:rPr>
        <w:footnoteRef/>
      </w:r>
      <w:r w:rsidRPr="006D7345">
        <w:rPr>
          <w:szCs w:val="18"/>
        </w:rPr>
        <w:tab/>
        <w:t>Международный</w:t>
      </w:r>
      <w:r w:rsidRPr="007B0CE0">
        <w:rPr>
          <w:szCs w:val="18"/>
        </w:rPr>
        <w:t xml:space="preserve"> Суд ООН признал, что практика проведения оценки воздействия на окружающую среду в случаях, когда есть риск того, что предполагаемая деятельность может привести к значительному трансграничному воздействию, стала обязательством по общему международному праву </w:t>
      </w:r>
      <w:r w:rsidRPr="00DD357D">
        <w:t>(</w:t>
      </w:r>
      <w:r w:rsidRPr="00C47C98">
        <w:rPr>
          <w:i/>
          <w:iCs/>
          <w:lang w:val="en-US"/>
        </w:rPr>
        <w:t>Pulp</w:t>
      </w:r>
      <w:r w:rsidRPr="00DD357D">
        <w:rPr>
          <w:i/>
          <w:iCs/>
        </w:rPr>
        <w:t xml:space="preserve"> </w:t>
      </w:r>
      <w:r w:rsidRPr="00C47C98">
        <w:rPr>
          <w:i/>
          <w:iCs/>
          <w:lang w:val="en-US"/>
        </w:rPr>
        <w:t>Mills</w:t>
      </w:r>
      <w:r w:rsidRPr="00DD357D">
        <w:rPr>
          <w:i/>
          <w:iCs/>
        </w:rPr>
        <w:t xml:space="preserve"> </w:t>
      </w:r>
      <w:r w:rsidRPr="00C47C98">
        <w:rPr>
          <w:i/>
          <w:iCs/>
          <w:lang w:val="en-US"/>
        </w:rPr>
        <w:t>on</w:t>
      </w:r>
      <w:r w:rsidRPr="00DD357D">
        <w:rPr>
          <w:i/>
          <w:iCs/>
        </w:rPr>
        <w:t xml:space="preserve"> </w:t>
      </w:r>
      <w:r w:rsidRPr="00C47C98">
        <w:rPr>
          <w:i/>
          <w:iCs/>
          <w:lang w:val="en-US"/>
        </w:rPr>
        <w:t>the</w:t>
      </w:r>
      <w:r w:rsidRPr="00DD357D">
        <w:rPr>
          <w:i/>
          <w:iCs/>
        </w:rPr>
        <w:t xml:space="preserve"> </w:t>
      </w:r>
      <w:r w:rsidRPr="00C47C98">
        <w:rPr>
          <w:i/>
          <w:iCs/>
          <w:lang w:val="en-US"/>
        </w:rPr>
        <w:t>River</w:t>
      </w:r>
      <w:r w:rsidRPr="00DD357D">
        <w:rPr>
          <w:i/>
          <w:iCs/>
        </w:rPr>
        <w:t xml:space="preserve"> </w:t>
      </w:r>
      <w:r w:rsidRPr="00C47C98">
        <w:rPr>
          <w:i/>
          <w:iCs/>
          <w:lang w:val="en-US"/>
        </w:rPr>
        <w:t>Uruguay</w:t>
      </w:r>
      <w:r w:rsidRPr="00DD357D">
        <w:rPr>
          <w:i/>
          <w:iCs/>
        </w:rPr>
        <w:t xml:space="preserve"> (</w:t>
      </w:r>
      <w:r w:rsidRPr="00C47C98">
        <w:rPr>
          <w:i/>
          <w:iCs/>
          <w:lang w:val="en-US"/>
        </w:rPr>
        <w:t>Argentina</w:t>
      </w:r>
      <w:r w:rsidRPr="00DD357D">
        <w:rPr>
          <w:i/>
          <w:iCs/>
        </w:rPr>
        <w:t xml:space="preserve"> </w:t>
      </w:r>
      <w:r w:rsidRPr="00C47C98">
        <w:rPr>
          <w:i/>
          <w:iCs/>
          <w:lang w:val="en-US"/>
        </w:rPr>
        <w:t>v</w:t>
      </w:r>
      <w:r w:rsidRPr="00DD357D">
        <w:rPr>
          <w:i/>
          <w:iCs/>
        </w:rPr>
        <w:t xml:space="preserve">. </w:t>
      </w:r>
      <w:r w:rsidRPr="00C47C98">
        <w:rPr>
          <w:i/>
          <w:iCs/>
          <w:lang w:val="en-US"/>
        </w:rPr>
        <w:t>Uruguay</w:t>
      </w:r>
      <w:r w:rsidRPr="00DD357D">
        <w:rPr>
          <w:i/>
          <w:iCs/>
        </w:rPr>
        <w:t xml:space="preserve">), </w:t>
      </w:r>
      <w:r w:rsidRPr="00C47C98">
        <w:rPr>
          <w:i/>
          <w:iCs/>
          <w:lang w:val="en-US"/>
        </w:rPr>
        <w:t>Judgment</w:t>
      </w:r>
      <w:r w:rsidRPr="00DD357D">
        <w:rPr>
          <w:i/>
          <w:iCs/>
        </w:rPr>
        <w:t xml:space="preserve">, </w:t>
      </w:r>
      <w:r w:rsidRPr="00C47C98">
        <w:rPr>
          <w:i/>
          <w:iCs/>
          <w:lang w:val="en-US"/>
        </w:rPr>
        <w:t>I</w:t>
      </w:r>
      <w:r w:rsidRPr="00DD357D">
        <w:rPr>
          <w:i/>
          <w:iCs/>
        </w:rPr>
        <w:t>.</w:t>
      </w:r>
      <w:r w:rsidRPr="00C47C98">
        <w:rPr>
          <w:i/>
          <w:iCs/>
          <w:lang w:val="en-US"/>
        </w:rPr>
        <w:t>C</w:t>
      </w:r>
      <w:r w:rsidRPr="00DD357D">
        <w:rPr>
          <w:i/>
          <w:iCs/>
        </w:rPr>
        <w:t>.</w:t>
      </w:r>
      <w:r w:rsidRPr="00C47C98">
        <w:rPr>
          <w:i/>
          <w:iCs/>
          <w:lang w:val="en-US"/>
        </w:rPr>
        <w:t>J</w:t>
      </w:r>
      <w:r w:rsidRPr="00DD357D">
        <w:rPr>
          <w:i/>
          <w:iCs/>
        </w:rPr>
        <w:t xml:space="preserve">. </w:t>
      </w:r>
      <w:r w:rsidRPr="00C47C98">
        <w:rPr>
          <w:i/>
          <w:iCs/>
          <w:lang w:val="en-US"/>
        </w:rPr>
        <w:t>Reports</w:t>
      </w:r>
      <w:r w:rsidRPr="00DD357D">
        <w:rPr>
          <w:i/>
          <w:iCs/>
        </w:rPr>
        <w:t xml:space="preserve"> 2010</w:t>
      </w:r>
      <w:r w:rsidRPr="00DD357D">
        <w:t xml:space="preserve">, </w:t>
      </w:r>
      <w:r>
        <w:rPr>
          <w:lang w:val="en-US"/>
        </w:rPr>
        <w:t>p</w:t>
      </w:r>
      <w:r w:rsidRPr="00DD357D">
        <w:t>. 14)</w:t>
      </w:r>
      <w:r w:rsidRPr="007B0CE0">
        <w:rPr>
          <w:szCs w:val="18"/>
        </w:rPr>
        <w:t>.</w:t>
      </w:r>
    </w:p>
  </w:footnote>
  <w:footnote w:id="6">
    <w:p w14:paraId="13A7F79C" w14:textId="365C1133" w:rsidR="004A511A" w:rsidRPr="007B0CE0" w:rsidRDefault="004A511A" w:rsidP="002E4E82">
      <w:pPr>
        <w:pStyle w:val="FootnoteText"/>
        <w:ind w:right="1164"/>
        <w:rPr>
          <w:szCs w:val="18"/>
        </w:rPr>
      </w:pPr>
      <w:r>
        <w:rPr>
          <w:szCs w:val="18"/>
        </w:rPr>
        <w:tab/>
      </w:r>
      <w:r w:rsidRPr="007B0CE0">
        <w:rPr>
          <w:rStyle w:val="FootnoteReference"/>
          <w:szCs w:val="18"/>
        </w:rPr>
        <w:footnoteRef/>
      </w:r>
      <w:r>
        <w:rPr>
          <w:szCs w:val="18"/>
        </w:rPr>
        <w:tab/>
      </w:r>
      <w:r w:rsidRPr="007B776D">
        <w:rPr>
          <w:szCs w:val="18"/>
        </w:rPr>
        <w:t>На уровне Европейского Союза, статья 7 Директивы 2001/92/ЕС Европейского Парламента и Совета по оценке воздействия на окружающую среду определенных публичных и частных проектов (Директива по оценке воздействия на окружающую), принятой 13 декабря 2011 г., также содержит конкретные положение для случаев, когда проект, реализуемый в одном государстве-члене может иметь значительное воздействие на окружающую среду в другом государстве-члене</w:t>
      </w:r>
      <w:r w:rsidRPr="007B0CE0">
        <w:rPr>
          <w:szCs w:val="18"/>
        </w:rPr>
        <w:t>. Эти положени</w:t>
      </w:r>
      <w:r>
        <w:rPr>
          <w:szCs w:val="18"/>
        </w:rPr>
        <w:t>я</w:t>
      </w:r>
      <w:r w:rsidRPr="007B0CE0">
        <w:rPr>
          <w:szCs w:val="18"/>
        </w:rPr>
        <w:t xml:space="preserve"> соответствуют Конвенции. </w:t>
      </w:r>
      <w:r>
        <w:rPr>
          <w:szCs w:val="18"/>
        </w:rPr>
        <w:t>20 июля 2018 г. в Москве, после 15 лет переговоров, с</w:t>
      </w:r>
      <w:r w:rsidRPr="00AE1046">
        <w:rPr>
          <w:szCs w:val="18"/>
        </w:rPr>
        <w:t xml:space="preserve">тороны </w:t>
      </w:r>
      <w:r w:rsidRPr="00DD357D">
        <w:rPr>
          <w:szCs w:val="18"/>
        </w:rPr>
        <w:t>Рамочной</w:t>
      </w:r>
      <w:r w:rsidRPr="00AE1046">
        <w:rPr>
          <w:szCs w:val="18"/>
        </w:rPr>
        <w:t xml:space="preserve"> конвенции</w:t>
      </w:r>
      <w:r w:rsidRPr="007B0CE0">
        <w:rPr>
          <w:szCs w:val="18"/>
        </w:rPr>
        <w:t xml:space="preserve"> по защите морской среды Каспийского моря (Тегеранская конвенция), включая Казахстан и Туркменистан, </w:t>
      </w:r>
      <w:r>
        <w:rPr>
          <w:szCs w:val="18"/>
        </w:rPr>
        <w:t>приняли</w:t>
      </w:r>
      <w:r w:rsidRPr="007B0CE0">
        <w:rPr>
          <w:szCs w:val="18"/>
        </w:rPr>
        <w:t xml:space="preserve"> Протокол о трансграничной оценке воздействия на окружающую среду к этой конвенции. Кроме этого, важно отметить, что Казахстан, Кыргызстан, Таджикистан и Туркменистан являются сторонам Конвенции ЕЭК ООН о доступе к экологической информации, участии общественности в процессе принятия решений и доступе к правосудию по вопросам, касающимся окружающей среды (Орхусская конвенция) и несут по ней обязательства. </w:t>
      </w:r>
    </w:p>
  </w:footnote>
  <w:footnote w:id="7">
    <w:p w14:paraId="2DD2E268" w14:textId="5514792C" w:rsidR="004A511A" w:rsidRPr="002C224B" w:rsidRDefault="004A511A" w:rsidP="002E4E82">
      <w:pPr>
        <w:pStyle w:val="FootnoteText"/>
        <w:rPr>
          <w:szCs w:val="18"/>
        </w:rPr>
      </w:pPr>
      <w:r w:rsidRPr="00E354B7">
        <w:rPr>
          <w:szCs w:val="18"/>
        </w:rPr>
        <w:tab/>
      </w:r>
      <w:r w:rsidRPr="007B0CE0">
        <w:rPr>
          <w:rStyle w:val="FootnoteReference"/>
          <w:szCs w:val="18"/>
        </w:rPr>
        <w:footnoteRef/>
      </w:r>
      <w:r w:rsidRPr="002C224B">
        <w:rPr>
          <w:szCs w:val="18"/>
        </w:rPr>
        <w:t xml:space="preserve"> </w:t>
      </w:r>
      <w:r w:rsidRPr="002C224B">
        <w:rPr>
          <w:szCs w:val="18"/>
        </w:rPr>
        <w:tab/>
      </w:r>
      <w:r>
        <w:rPr>
          <w:szCs w:val="18"/>
        </w:rPr>
        <w:t>Б</w:t>
      </w:r>
      <w:r w:rsidRPr="007B0CE0">
        <w:rPr>
          <w:szCs w:val="18"/>
        </w:rPr>
        <w:t>олее</w:t>
      </w:r>
      <w:r w:rsidRPr="0057233F">
        <w:rPr>
          <w:szCs w:val="18"/>
        </w:rPr>
        <w:t xml:space="preserve"> </w:t>
      </w:r>
      <w:r w:rsidRPr="007B0CE0">
        <w:rPr>
          <w:szCs w:val="18"/>
        </w:rPr>
        <w:t>подробн</w:t>
      </w:r>
      <w:r>
        <w:rPr>
          <w:szCs w:val="18"/>
        </w:rPr>
        <w:t>ая</w:t>
      </w:r>
      <w:r w:rsidRPr="0057233F">
        <w:rPr>
          <w:szCs w:val="18"/>
        </w:rPr>
        <w:t xml:space="preserve"> </w:t>
      </w:r>
      <w:r w:rsidRPr="007B0CE0">
        <w:rPr>
          <w:szCs w:val="18"/>
        </w:rPr>
        <w:t>информаци</w:t>
      </w:r>
      <w:r>
        <w:rPr>
          <w:szCs w:val="18"/>
        </w:rPr>
        <w:t>я</w:t>
      </w:r>
      <w:r w:rsidRPr="0057233F">
        <w:rPr>
          <w:szCs w:val="18"/>
        </w:rPr>
        <w:t xml:space="preserve"> </w:t>
      </w:r>
      <w:r>
        <w:rPr>
          <w:szCs w:val="18"/>
        </w:rPr>
        <w:t>представлена в</w:t>
      </w:r>
      <w:r w:rsidRPr="0057233F">
        <w:rPr>
          <w:szCs w:val="18"/>
        </w:rPr>
        <w:t xml:space="preserve"> </w:t>
      </w:r>
      <w:r>
        <w:rPr>
          <w:szCs w:val="18"/>
        </w:rPr>
        <w:t xml:space="preserve">неофициальном </w:t>
      </w:r>
      <w:r w:rsidRPr="007B0CE0">
        <w:rPr>
          <w:szCs w:val="18"/>
        </w:rPr>
        <w:t>документ</w:t>
      </w:r>
      <w:r>
        <w:rPr>
          <w:szCs w:val="18"/>
        </w:rPr>
        <w:t>е</w:t>
      </w:r>
      <w:r w:rsidRPr="0057233F">
        <w:rPr>
          <w:szCs w:val="18"/>
        </w:rPr>
        <w:t xml:space="preserve"> «</w:t>
      </w:r>
      <w:r w:rsidRPr="00AD3D3E">
        <w:rPr>
          <w:szCs w:val="18"/>
          <w:lang w:val="en-US"/>
        </w:rPr>
        <w:t>Mapping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of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the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Convention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and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the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Protocol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activities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that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support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countries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in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achieving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the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Sustainable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Development</w:t>
      </w:r>
      <w:r w:rsidRPr="0057233F">
        <w:rPr>
          <w:szCs w:val="18"/>
        </w:rPr>
        <w:t xml:space="preserve"> </w:t>
      </w:r>
      <w:r w:rsidRPr="00AD3D3E">
        <w:rPr>
          <w:szCs w:val="18"/>
          <w:lang w:val="en-US"/>
        </w:rPr>
        <w:t>Goals</w:t>
      </w:r>
      <w:r w:rsidRPr="0057233F">
        <w:rPr>
          <w:szCs w:val="18"/>
        </w:rPr>
        <w:t>» (</w:t>
      </w:r>
      <w:r w:rsidRPr="00AD3D3E">
        <w:rPr>
          <w:szCs w:val="18"/>
          <w:lang w:val="en-US"/>
        </w:rPr>
        <w:t>ECE</w:t>
      </w:r>
      <w:r w:rsidRPr="0057233F">
        <w:rPr>
          <w:szCs w:val="18"/>
        </w:rPr>
        <w:t>/</w:t>
      </w:r>
      <w:r w:rsidRPr="00AD3D3E">
        <w:rPr>
          <w:szCs w:val="18"/>
          <w:lang w:val="en-US"/>
        </w:rPr>
        <w:t>MP</w:t>
      </w:r>
      <w:r w:rsidRPr="0057233F">
        <w:rPr>
          <w:szCs w:val="18"/>
        </w:rPr>
        <w:t>.</w:t>
      </w:r>
      <w:r w:rsidRPr="00AD3D3E">
        <w:rPr>
          <w:szCs w:val="18"/>
          <w:lang w:val="en-US"/>
        </w:rPr>
        <w:t>EIA</w:t>
      </w:r>
      <w:r w:rsidRPr="0057233F">
        <w:rPr>
          <w:szCs w:val="18"/>
        </w:rPr>
        <w:t>/</w:t>
      </w:r>
      <w:r w:rsidRPr="00AD3D3E">
        <w:rPr>
          <w:szCs w:val="18"/>
          <w:lang w:val="en-US"/>
        </w:rPr>
        <w:t>WG</w:t>
      </w:r>
      <w:r w:rsidRPr="0057233F">
        <w:rPr>
          <w:szCs w:val="18"/>
        </w:rPr>
        <w:t>.2/2016/5/</w:t>
      </w:r>
      <w:r w:rsidRPr="00AD3D3E">
        <w:rPr>
          <w:szCs w:val="18"/>
          <w:lang w:val="en-US"/>
        </w:rPr>
        <w:t>INF</w:t>
      </w:r>
      <w:r w:rsidRPr="0057233F">
        <w:rPr>
          <w:szCs w:val="18"/>
        </w:rPr>
        <w:t>.16)</w:t>
      </w:r>
      <w:r>
        <w:rPr>
          <w:szCs w:val="18"/>
        </w:rPr>
        <w:t>,</w:t>
      </w:r>
      <w:r w:rsidRPr="0057233F">
        <w:rPr>
          <w:szCs w:val="18"/>
        </w:rPr>
        <w:t xml:space="preserve"> </w:t>
      </w:r>
      <w:r>
        <w:rPr>
          <w:szCs w:val="18"/>
        </w:rPr>
        <w:t xml:space="preserve">представленном на пятой встрече Рабочей группы. Электронная версия доступна по ссылке: </w:t>
      </w:r>
      <w:hyperlink r:id="rId1" w:history="1">
        <w:r w:rsidRPr="00A7012E">
          <w:rPr>
            <w:rStyle w:val="Hyperlink"/>
            <w:szCs w:val="18"/>
            <w:lang w:val="en-US"/>
          </w:rPr>
          <w:t>www</w:t>
        </w:r>
        <w:r w:rsidRPr="002C224B">
          <w:rPr>
            <w:rStyle w:val="Hyperlink"/>
          </w:rPr>
          <w:t>.</w:t>
        </w:r>
        <w:r w:rsidRPr="00A7012E">
          <w:rPr>
            <w:rStyle w:val="Hyperlink"/>
            <w:szCs w:val="18"/>
            <w:lang w:val="en-US"/>
          </w:rPr>
          <w:t>unece</w:t>
        </w:r>
        <w:r w:rsidRPr="002C224B">
          <w:rPr>
            <w:rStyle w:val="Hyperlink"/>
          </w:rPr>
          <w:t>.</w:t>
        </w:r>
        <w:r w:rsidRPr="00A7012E">
          <w:rPr>
            <w:rStyle w:val="Hyperlink"/>
            <w:szCs w:val="18"/>
            <w:lang w:val="en-US"/>
          </w:rPr>
          <w:t>org</w:t>
        </w:r>
        <w:r w:rsidRPr="002C224B">
          <w:rPr>
            <w:rStyle w:val="Hyperlink"/>
          </w:rPr>
          <w:t>/</w:t>
        </w:r>
        <w:r w:rsidRPr="00A7012E">
          <w:rPr>
            <w:rStyle w:val="Hyperlink"/>
            <w:szCs w:val="18"/>
            <w:lang w:val="en-US"/>
          </w:rPr>
          <w:t>fileadmin</w:t>
        </w:r>
        <w:r w:rsidRPr="002C224B">
          <w:rPr>
            <w:rStyle w:val="Hyperlink"/>
          </w:rPr>
          <w:t>/</w:t>
        </w:r>
        <w:r w:rsidRPr="00A7012E">
          <w:rPr>
            <w:rStyle w:val="Hyperlink"/>
            <w:szCs w:val="18"/>
            <w:lang w:val="en-US"/>
          </w:rPr>
          <w:t>DAM</w:t>
        </w:r>
        <w:r w:rsidRPr="002C224B">
          <w:rPr>
            <w:rStyle w:val="Hyperlink"/>
          </w:rPr>
          <w:t>/</w:t>
        </w:r>
        <w:r w:rsidRPr="00A7012E">
          <w:rPr>
            <w:rStyle w:val="Hyperlink"/>
            <w:szCs w:val="18"/>
            <w:lang w:val="en-US"/>
          </w:rPr>
          <w:t>env</w:t>
        </w:r>
        <w:r w:rsidRPr="002C224B">
          <w:rPr>
            <w:rStyle w:val="Hyperlink"/>
          </w:rPr>
          <w:t>/</w:t>
        </w:r>
        <w:r w:rsidRPr="00A7012E">
          <w:rPr>
            <w:rStyle w:val="Hyperlink"/>
            <w:szCs w:val="18"/>
            <w:lang w:val="en-US"/>
          </w:rPr>
          <w:t>eia</w:t>
        </w:r>
        <w:r w:rsidRPr="002C224B">
          <w:rPr>
            <w:rStyle w:val="Hyperlink"/>
          </w:rPr>
          <w:t>/</w:t>
        </w:r>
        <w:r w:rsidRPr="00A7012E">
          <w:rPr>
            <w:rStyle w:val="Hyperlink"/>
            <w:szCs w:val="18"/>
            <w:lang w:val="en-US"/>
          </w:rPr>
          <w:t>documents</w:t>
        </w:r>
        <w:r w:rsidRPr="002C224B">
          <w:rPr>
            <w:rStyle w:val="Hyperlink"/>
          </w:rPr>
          <w:t>/</w:t>
        </w:r>
        <w:r w:rsidRPr="00A7012E">
          <w:rPr>
            <w:rStyle w:val="Hyperlink"/>
            <w:szCs w:val="18"/>
            <w:lang w:val="en-US"/>
          </w:rPr>
          <w:t>WG</w:t>
        </w:r>
        <w:r w:rsidRPr="002C224B">
          <w:rPr>
            <w:rStyle w:val="Hyperlink"/>
          </w:rPr>
          <w:t>2.5_</w:t>
        </w:r>
        <w:r w:rsidRPr="00A7012E">
          <w:rPr>
            <w:rStyle w:val="Hyperlink"/>
            <w:szCs w:val="18"/>
            <w:lang w:val="en-US"/>
          </w:rPr>
          <w:t>April</w:t>
        </w:r>
        <w:r w:rsidRPr="002C224B">
          <w:rPr>
            <w:rStyle w:val="Hyperlink"/>
          </w:rPr>
          <w:t>2016/</w:t>
        </w:r>
        <w:r w:rsidRPr="00A7012E">
          <w:rPr>
            <w:rStyle w:val="Hyperlink"/>
            <w:szCs w:val="18"/>
            <w:lang w:val="en-US"/>
          </w:rPr>
          <w:t>Informal</w:t>
        </w:r>
        <w:r w:rsidRPr="002C224B">
          <w:rPr>
            <w:rStyle w:val="Hyperlink"/>
          </w:rPr>
          <w:t>_</w:t>
        </w:r>
        <w:r w:rsidRPr="00A7012E">
          <w:rPr>
            <w:rStyle w:val="Hyperlink"/>
            <w:szCs w:val="18"/>
            <w:lang w:val="en-US"/>
          </w:rPr>
          <w:t>document</w:t>
        </w:r>
        <w:r w:rsidRPr="002C224B">
          <w:rPr>
            <w:rStyle w:val="Hyperlink"/>
          </w:rPr>
          <w:t>_16_</w:t>
        </w:r>
        <w:r w:rsidRPr="00A7012E">
          <w:rPr>
            <w:rStyle w:val="Hyperlink"/>
            <w:szCs w:val="18"/>
            <w:lang w:val="en-US"/>
          </w:rPr>
          <w:t>ece</w:t>
        </w:r>
        <w:r w:rsidRPr="002C224B">
          <w:rPr>
            <w:rStyle w:val="Hyperlink"/>
          </w:rPr>
          <w:t>.</w:t>
        </w:r>
        <w:r w:rsidRPr="00A7012E">
          <w:rPr>
            <w:rStyle w:val="Hyperlink"/>
            <w:szCs w:val="18"/>
            <w:lang w:val="en-US"/>
          </w:rPr>
          <w:t>mp</w:t>
        </w:r>
        <w:r w:rsidRPr="002C224B">
          <w:rPr>
            <w:rStyle w:val="Hyperlink"/>
          </w:rPr>
          <w:t>.</w:t>
        </w:r>
        <w:r w:rsidRPr="00A7012E">
          <w:rPr>
            <w:rStyle w:val="Hyperlink"/>
            <w:szCs w:val="18"/>
            <w:lang w:val="en-US"/>
          </w:rPr>
          <w:t>eia</w:t>
        </w:r>
        <w:r w:rsidRPr="002C224B">
          <w:rPr>
            <w:rStyle w:val="Hyperlink"/>
          </w:rPr>
          <w:t>.</w:t>
        </w:r>
        <w:r w:rsidRPr="00A7012E">
          <w:rPr>
            <w:rStyle w:val="Hyperlink"/>
            <w:szCs w:val="18"/>
            <w:lang w:val="en-US"/>
          </w:rPr>
          <w:t>wg</w:t>
        </w:r>
        <w:r w:rsidRPr="002C224B">
          <w:rPr>
            <w:rStyle w:val="Hyperlink"/>
          </w:rPr>
          <w:t>.2.2016.</w:t>
        </w:r>
        <w:r w:rsidRPr="00A7012E">
          <w:rPr>
            <w:rStyle w:val="Hyperlink"/>
            <w:szCs w:val="18"/>
            <w:lang w:val="en-US"/>
          </w:rPr>
          <w:t>INF</w:t>
        </w:r>
        <w:r w:rsidRPr="002C224B">
          <w:rPr>
            <w:rStyle w:val="Hyperlink"/>
          </w:rPr>
          <w:t>.16__</w:t>
        </w:r>
        <w:r w:rsidRPr="00A7012E">
          <w:rPr>
            <w:rStyle w:val="Hyperlink"/>
            <w:szCs w:val="18"/>
            <w:lang w:val="en-US"/>
          </w:rPr>
          <w:t>SDG</w:t>
        </w:r>
        <w:r w:rsidRPr="002C224B">
          <w:rPr>
            <w:rStyle w:val="Hyperlink"/>
          </w:rPr>
          <w:t>_</w:t>
        </w:r>
        <w:r w:rsidRPr="00A7012E">
          <w:rPr>
            <w:rStyle w:val="Hyperlink"/>
            <w:szCs w:val="18"/>
            <w:lang w:val="en-US"/>
          </w:rPr>
          <w:t>Mapping</w:t>
        </w:r>
        <w:r w:rsidRPr="002C224B">
          <w:rPr>
            <w:rStyle w:val="Hyperlink"/>
          </w:rPr>
          <w:t>.</w:t>
        </w:r>
        <w:r w:rsidRPr="00A7012E">
          <w:rPr>
            <w:rStyle w:val="Hyperlink"/>
            <w:szCs w:val="18"/>
            <w:lang w:val="en-US"/>
          </w:rPr>
          <w:t>pdf</w:t>
        </w:r>
      </w:hyperlink>
      <w:r>
        <w:rPr>
          <w:szCs w:val="18"/>
        </w:rPr>
        <w:t xml:space="preserve"> (Раздел неофициальных документов).</w:t>
      </w:r>
    </w:p>
  </w:footnote>
  <w:footnote w:id="8">
    <w:p w14:paraId="0E44753E" w14:textId="14FA9FEC" w:rsidR="004A511A" w:rsidRPr="00340D85" w:rsidRDefault="004A511A" w:rsidP="009C04E3">
      <w:pPr>
        <w:pStyle w:val="FootnoteText"/>
        <w:widowControl w:val="0"/>
        <w:tabs>
          <w:tab w:val="clear" w:pos="1021"/>
          <w:tab w:val="right" w:pos="1020"/>
        </w:tabs>
        <w:suppressAutoHyphens/>
      </w:pPr>
      <w:r w:rsidRPr="002C224B">
        <w:tab/>
      </w:r>
      <w:r>
        <w:rPr>
          <w:rStyle w:val="FootnoteReference"/>
        </w:rPr>
        <w:footnoteRef/>
      </w:r>
      <w:r>
        <w:tab/>
        <w:t xml:space="preserve"> </w:t>
      </w:r>
      <w:r w:rsidRPr="0045328C">
        <w:rPr>
          <w:spacing w:val="5"/>
          <w:w w:val="104"/>
          <w:szCs w:val="18"/>
        </w:rPr>
        <w:t>ОВОС – это аббревиатура, означающая «оценка воздействия на окружающую среду» - термин, используемый в странах Центральной Азии, а также некоторых</w:t>
      </w:r>
      <w:r>
        <w:rPr>
          <w:spacing w:val="5"/>
          <w:w w:val="104"/>
          <w:szCs w:val="18"/>
        </w:rPr>
        <w:t xml:space="preserve"> </w:t>
      </w:r>
      <w:r w:rsidRPr="00B0645C">
        <w:rPr>
          <w:spacing w:val="5"/>
          <w:w w:val="104"/>
          <w:szCs w:val="18"/>
        </w:rPr>
        <w:t xml:space="preserve">странах Восточной Европы и Кавказа. Система ОВОС концептуально и процедурно отличается от системы ОВОС в рамках Конвенции </w:t>
      </w:r>
      <w:r>
        <w:rPr>
          <w:spacing w:val="5"/>
          <w:w w:val="104"/>
          <w:szCs w:val="18"/>
        </w:rPr>
        <w:t>Э</w:t>
      </w:r>
      <w:r w:rsidRPr="00B0645C">
        <w:rPr>
          <w:spacing w:val="5"/>
          <w:w w:val="104"/>
          <w:szCs w:val="18"/>
        </w:rPr>
        <w:t>спо и Протокола по С</w:t>
      </w:r>
      <w:r>
        <w:rPr>
          <w:spacing w:val="5"/>
          <w:w w:val="104"/>
          <w:szCs w:val="18"/>
        </w:rPr>
        <w:t>Э</w:t>
      </w:r>
      <w:r w:rsidRPr="00B0645C">
        <w:rPr>
          <w:spacing w:val="5"/>
          <w:w w:val="104"/>
          <w:szCs w:val="18"/>
        </w:rPr>
        <w:t xml:space="preserve">О. Более детально см. </w:t>
      </w:r>
      <w:r>
        <w:rPr>
          <w:spacing w:val="5"/>
          <w:w w:val="104"/>
          <w:szCs w:val="18"/>
        </w:rPr>
        <w:t>«</w:t>
      </w:r>
      <w:r w:rsidRPr="00B0645C">
        <w:rPr>
          <w:spacing w:val="5"/>
          <w:w w:val="104"/>
          <w:szCs w:val="18"/>
        </w:rPr>
        <w:t>Общие руководящие указания относительно повышения согласованности между Конвенцией и воздействия на окружающую среду оценкой в рамках государственной экологической экспертизы в странах Восточной Европы, Кавказа и Центральной Азии</w:t>
      </w:r>
      <w:r>
        <w:rPr>
          <w:spacing w:val="5"/>
          <w:w w:val="104"/>
          <w:szCs w:val="18"/>
        </w:rPr>
        <w:t>»(</w:t>
      </w:r>
      <w:r w:rsidRPr="00B0645C">
        <w:rPr>
          <w:spacing w:val="5"/>
          <w:w w:val="104"/>
          <w:szCs w:val="18"/>
        </w:rPr>
        <w:t xml:space="preserve"> ECE/MP.EIA/2014/2</w:t>
      </w:r>
      <w:r>
        <w:rPr>
          <w:spacing w:val="5"/>
          <w:w w:val="104"/>
          <w:szCs w:val="18"/>
        </w:rPr>
        <w:t>)</w:t>
      </w:r>
      <w:r w:rsidRPr="00B0645C">
        <w:rPr>
          <w:spacing w:val="5"/>
          <w:w w:val="104"/>
          <w:szCs w:val="18"/>
        </w:rPr>
        <w:t>.</w:t>
      </w:r>
    </w:p>
  </w:footnote>
  <w:footnote w:id="9">
    <w:p w14:paraId="73528D9B" w14:textId="77777777" w:rsidR="004A511A" w:rsidRPr="00753378" w:rsidRDefault="004A511A" w:rsidP="00753378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</w:r>
      <w:r w:rsidRPr="00753378">
        <w:t>Регуляторные рамки разрешительных систем в большинстве стран Центральной Азии, а также Восточной Европы и Кавказа, предусматривают понятие «экспертизы», когда процесс принятия решения включает рассмотрение планируемой деятельности (как правило конкретные инвестиционные проекты, но также планы, программы и др.) специальными экспертными комиссиями или индивидуальными экспертами. Такие комиссии и эксперты, как правило, создаются при разных государственных органах, в том числе природоохранных.</w:t>
      </w:r>
    </w:p>
    <w:p w14:paraId="410F7B74" w14:textId="77777777" w:rsidR="004A511A" w:rsidRPr="00340D85" w:rsidRDefault="004A511A" w:rsidP="00753378">
      <w:pPr>
        <w:pStyle w:val="FootnoteText"/>
        <w:widowControl w:val="0"/>
        <w:tabs>
          <w:tab w:val="clear" w:pos="1021"/>
          <w:tab w:val="right" w:pos="1020"/>
        </w:tabs>
        <w:suppressAutoHyphens/>
      </w:pPr>
    </w:p>
  </w:footnote>
  <w:footnote w:id="10">
    <w:p w14:paraId="3880A4BC" w14:textId="4ADF0904" w:rsidR="004A511A" w:rsidRPr="00D15E37" w:rsidRDefault="004A511A" w:rsidP="00D15E37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 w:rsidRPr="00E6395C">
        <w:tab/>
      </w:r>
      <w:r>
        <w:t>См</w:t>
      </w:r>
      <w:r w:rsidRPr="00E6395C">
        <w:t>. «</w:t>
      </w:r>
      <w:r>
        <w:t>Мнения</w:t>
      </w:r>
      <w:r w:rsidRPr="00E6395C">
        <w:t xml:space="preserve"> </w:t>
      </w:r>
      <w:r w:rsidRPr="00A00806">
        <w:t>Комитета по осуществлению (2001</w:t>
      </w:r>
      <w:r w:rsidRPr="00E6395C">
        <w:t>-2017)»,</w:t>
      </w:r>
      <w:r>
        <w:t xml:space="preserve"> неофициальный документ</w:t>
      </w:r>
      <w:r w:rsidRPr="00E6395C">
        <w:t xml:space="preserve">, </w:t>
      </w:r>
      <w:r>
        <w:t>представленный</w:t>
      </w:r>
      <w:r w:rsidRPr="00E6395C">
        <w:t xml:space="preserve"> </w:t>
      </w:r>
      <w:r>
        <w:t>на</w:t>
      </w:r>
      <w:r w:rsidRPr="00E6395C">
        <w:t xml:space="preserve"> </w:t>
      </w:r>
      <w:r>
        <w:t>седьмой</w:t>
      </w:r>
      <w:r w:rsidRPr="00E6395C">
        <w:t xml:space="preserve"> </w:t>
      </w:r>
      <w:r>
        <w:t>сессии</w:t>
      </w:r>
      <w:r w:rsidRPr="00E6395C">
        <w:t xml:space="preserve"> </w:t>
      </w:r>
      <w:r>
        <w:t>Совещания</w:t>
      </w:r>
      <w:r w:rsidRPr="00E6395C">
        <w:t xml:space="preserve"> </w:t>
      </w:r>
      <w:r>
        <w:t>Сторон</w:t>
      </w:r>
      <w:r w:rsidRPr="00E6395C">
        <w:t xml:space="preserve"> </w:t>
      </w:r>
      <w:r>
        <w:t>Конвенции</w:t>
      </w:r>
      <w:r w:rsidRPr="00E6395C">
        <w:t xml:space="preserve"> (</w:t>
      </w:r>
      <w:r>
        <w:t>Женева</w:t>
      </w:r>
      <w:r w:rsidRPr="00E6395C">
        <w:t xml:space="preserve">, 2-5 </w:t>
      </w:r>
      <w:r>
        <w:t>июня</w:t>
      </w:r>
      <w:r w:rsidRPr="00E6395C">
        <w:t xml:space="preserve"> 2014 </w:t>
      </w:r>
      <w:r>
        <w:t>г</w:t>
      </w:r>
      <w:r w:rsidRPr="00E6395C">
        <w:t>.)</w:t>
      </w:r>
      <w:r>
        <w:t xml:space="preserve">, Доступно: </w:t>
      </w:r>
      <w:r w:rsidRPr="002C224B">
        <w:rPr>
          <w:lang w:val="en-US"/>
        </w:rPr>
        <w:t>http</w:t>
      </w:r>
      <w:r w:rsidRPr="00E6395C">
        <w:t>://</w:t>
      </w:r>
      <w:r w:rsidRPr="002C224B">
        <w:rPr>
          <w:lang w:val="en-US"/>
        </w:rPr>
        <w:t>www</w:t>
      </w:r>
      <w:r w:rsidRPr="00E6395C">
        <w:t>.</w:t>
      </w:r>
      <w:r w:rsidRPr="002C224B">
        <w:rPr>
          <w:lang w:val="en-US"/>
        </w:rPr>
        <w:t>unece</w:t>
      </w:r>
      <w:r w:rsidRPr="00E6395C">
        <w:t>.</w:t>
      </w:r>
      <w:r w:rsidRPr="002C224B">
        <w:rPr>
          <w:lang w:val="en-US"/>
        </w:rPr>
        <w:t>org</w:t>
      </w:r>
      <w:r w:rsidRPr="00E6395C">
        <w:t>/</w:t>
      </w:r>
      <w:r w:rsidRPr="002C224B">
        <w:rPr>
          <w:lang w:val="en-US"/>
        </w:rPr>
        <w:t>index</w:t>
      </w:r>
      <w:r w:rsidRPr="00E6395C">
        <w:t>.</w:t>
      </w:r>
      <w:r w:rsidRPr="002C224B">
        <w:rPr>
          <w:lang w:val="en-US"/>
        </w:rPr>
        <w:t>php</w:t>
      </w:r>
      <w:r w:rsidRPr="00E6395C">
        <w:t>?</w:t>
      </w:r>
      <w:r w:rsidRPr="002C224B">
        <w:rPr>
          <w:lang w:val="en-US"/>
        </w:rPr>
        <w:t>id</w:t>
      </w:r>
      <w:r w:rsidRPr="00E6395C">
        <w:t xml:space="preserve">=45098#/. </w:t>
      </w:r>
    </w:p>
  </w:footnote>
  <w:footnote w:id="11">
    <w:p w14:paraId="3A3C9351" w14:textId="6969CBB2" w:rsidR="004A511A" w:rsidRDefault="004A511A" w:rsidP="00D15E37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  <w:t>О</w:t>
      </w:r>
      <w:r w:rsidRPr="00D15E37">
        <w:t xml:space="preserve">бзоры </w:t>
      </w:r>
      <w:r w:rsidRPr="00A00806">
        <w:t xml:space="preserve">по </w:t>
      </w:r>
      <w:r w:rsidR="00A00806" w:rsidRPr="00A00806">
        <w:t xml:space="preserve">осуществлению </w:t>
      </w:r>
      <w:r w:rsidRPr="00A00806">
        <w:t>Конвенции доступны</w:t>
      </w:r>
      <w:r w:rsidRPr="00D15E37">
        <w:t xml:space="preserve"> на веб-странице Конвенции: http://www.unece.org/env/eia/implementation/review_implementation.html </w:t>
      </w:r>
    </w:p>
    <w:p w14:paraId="40EC6E28" w14:textId="3EA29425" w:rsidR="004A511A" w:rsidRPr="00340D85" w:rsidRDefault="004A511A" w:rsidP="005043DB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</w:p>
  </w:footnote>
  <w:footnote w:id="12">
    <w:p w14:paraId="717220B9" w14:textId="2963F9F5" w:rsidR="004A511A" w:rsidRDefault="004A511A" w:rsidP="00FC0EE6">
      <w:pPr>
        <w:pStyle w:val="FootnoteText"/>
        <w:tabs>
          <w:tab w:val="clear" w:pos="1021"/>
        </w:tabs>
      </w:pPr>
      <w:bookmarkStart w:id="10" w:name="_Hlk531089234"/>
      <w:r>
        <w:rPr>
          <w:rStyle w:val="FootnoteReference"/>
        </w:rPr>
        <w:footnoteRef/>
      </w:r>
      <w:r>
        <w:t xml:space="preserve"> Подписан Азербайджаном, Ираном, Казахстаном, Российской Федерацией и Туркменистаном 30 июля 2018 г.</w:t>
      </w:r>
    </w:p>
    <w:bookmarkEnd w:id="10"/>
    <w:p w14:paraId="45C9A462" w14:textId="00F3F0A7" w:rsidR="004A511A" w:rsidRDefault="004A511A">
      <w:pPr>
        <w:pStyle w:val="FootnoteText"/>
      </w:pPr>
    </w:p>
  </w:footnote>
  <w:footnote w:id="13">
    <w:p w14:paraId="494AC54E" w14:textId="1AB8656D" w:rsidR="004A511A" w:rsidRPr="007B0CE0" w:rsidRDefault="004A511A" w:rsidP="004A566C">
      <w:pPr>
        <w:pStyle w:val="FootnoteText"/>
        <w:ind w:right="984"/>
        <w:rPr>
          <w:szCs w:val="18"/>
        </w:rPr>
      </w:pPr>
      <w:r>
        <w:rPr>
          <w:szCs w:val="18"/>
        </w:rPr>
        <w:tab/>
      </w:r>
      <w:r w:rsidRPr="007B0CE0">
        <w:rPr>
          <w:rStyle w:val="FootnoteReference"/>
          <w:szCs w:val="18"/>
        </w:rPr>
        <w:footnoteRef/>
      </w:r>
      <w:r>
        <w:rPr>
          <w:szCs w:val="18"/>
        </w:rPr>
        <w:tab/>
      </w:r>
      <w:r w:rsidRPr="007B0CE0">
        <w:rPr>
          <w:szCs w:val="18"/>
        </w:rPr>
        <w:t xml:space="preserve">Решением  I/3 Совещания сторон Конвенции Эспо было установлено, что уведомление о планируемой деятельности, которая может вызвать значительное вредное трансграничное воздействие, следует направлять соответствующим контактным органам (ECE/MP.EIA/2, </w:t>
      </w:r>
      <w:r w:rsidRPr="00270E6D">
        <w:rPr>
          <w:szCs w:val="18"/>
        </w:rPr>
        <w:t xml:space="preserve">решение </w:t>
      </w:r>
      <w:r w:rsidRPr="00270E6D">
        <w:rPr>
          <w:szCs w:val="18"/>
          <w:lang w:val="en-US"/>
        </w:rPr>
        <w:t>I</w:t>
      </w:r>
      <w:r w:rsidRPr="00480814">
        <w:rPr>
          <w:szCs w:val="18"/>
        </w:rPr>
        <w:t xml:space="preserve">/3, пункт </w:t>
      </w:r>
      <w:r w:rsidRPr="00270E6D">
        <w:rPr>
          <w:szCs w:val="18"/>
        </w:rPr>
        <w:t>1). Перечень</w:t>
      </w:r>
      <w:r w:rsidRPr="007B0CE0">
        <w:rPr>
          <w:szCs w:val="18"/>
        </w:rPr>
        <w:t xml:space="preserve"> национальных </w:t>
      </w:r>
      <w:r w:rsidRPr="00581C6E">
        <w:rPr>
          <w:szCs w:val="18"/>
        </w:rPr>
        <w:t xml:space="preserve">контактных органов </w:t>
      </w:r>
      <w:r w:rsidR="00581C6E">
        <w:t>по вопросам уведомления</w:t>
      </w:r>
      <w:r w:rsidR="00581C6E" w:rsidRPr="00581C6E">
        <w:rPr>
          <w:szCs w:val="18"/>
        </w:rPr>
        <w:t xml:space="preserve"> </w:t>
      </w:r>
      <w:r w:rsidRPr="00581C6E">
        <w:rPr>
          <w:szCs w:val="18"/>
        </w:rPr>
        <w:t xml:space="preserve">и национальных административных контактных </w:t>
      </w:r>
      <w:r w:rsidR="00581C6E">
        <w:t>координаторов</w:t>
      </w:r>
      <w:r w:rsidR="00581C6E" w:rsidRPr="00581C6E" w:rsidDel="00581C6E">
        <w:rPr>
          <w:szCs w:val="18"/>
        </w:rPr>
        <w:t xml:space="preserve"> </w:t>
      </w:r>
      <w:r w:rsidR="00581C6E" w:rsidRPr="00AA78FA">
        <w:rPr>
          <w:szCs w:val="18"/>
        </w:rPr>
        <w:t xml:space="preserve"> </w:t>
      </w:r>
      <w:r w:rsidR="00581C6E">
        <w:t xml:space="preserve">(фокал-поинтов) </w:t>
      </w:r>
      <w:r w:rsidRPr="007B0CE0">
        <w:rPr>
          <w:szCs w:val="18"/>
        </w:rPr>
        <w:t xml:space="preserve"> ведется в соответствии с этим решением Секретариатом Конвенции на основании предоставленной странами информации и доступен на веб-сайте: https://www.unece.org/env/eia/contacts.html </w:t>
      </w:r>
    </w:p>
  </w:footnote>
  <w:footnote w:id="14">
    <w:p w14:paraId="4A1CA9F1" w14:textId="7D629F7D" w:rsidR="004A511A" w:rsidRPr="003C43A8" w:rsidRDefault="004A511A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FC0EE6">
        <w:rPr>
          <w:szCs w:val="18"/>
        </w:rPr>
        <w:t>Эффекты мо</w:t>
      </w:r>
      <w:r>
        <w:rPr>
          <w:szCs w:val="18"/>
        </w:rPr>
        <w:t>жно классифицировать как быстро</w:t>
      </w:r>
      <w:r w:rsidRPr="00FC0EE6">
        <w:rPr>
          <w:szCs w:val="18"/>
        </w:rPr>
        <w:t>обратимые (дни</w:t>
      </w:r>
      <w:r>
        <w:rPr>
          <w:szCs w:val="18"/>
        </w:rPr>
        <w:t>-</w:t>
      </w:r>
      <w:r w:rsidRPr="003C43A8">
        <w:rPr>
          <w:szCs w:val="18"/>
        </w:rPr>
        <w:t>недели), медленно</w:t>
      </w:r>
      <w:r w:rsidRPr="00FC0EE6">
        <w:rPr>
          <w:szCs w:val="18"/>
        </w:rPr>
        <w:t>обратимые (месяцы</w:t>
      </w:r>
      <w:r>
        <w:rPr>
          <w:szCs w:val="18"/>
        </w:rPr>
        <w:t>-</w:t>
      </w:r>
      <w:r w:rsidRPr="00FC0EE6">
        <w:rPr>
          <w:szCs w:val="18"/>
        </w:rPr>
        <w:t xml:space="preserve"> годы) или практически необратимые (десятилетия или более). См. «Конкретные методологии и критерии для определения значительности вредного трансграничного воздействия» (CEP/WG.3/R.6), Приложение II, </w:t>
      </w:r>
      <w:r>
        <w:rPr>
          <w:szCs w:val="18"/>
        </w:rPr>
        <w:t xml:space="preserve">информация </w:t>
      </w:r>
      <w:r w:rsidRPr="00FC0EE6">
        <w:rPr>
          <w:szCs w:val="18"/>
        </w:rPr>
        <w:t>доступн</w:t>
      </w:r>
      <w:r>
        <w:rPr>
          <w:szCs w:val="18"/>
        </w:rPr>
        <w:t>а</w:t>
      </w:r>
      <w:r w:rsidRPr="00FC0EE6">
        <w:rPr>
          <w:szCs w:val="18"/>
        </w:rPr>
        <w:t xml:space="preserve"> по ссылке: www.unece.org/fileadmin/DAM/env/documents/1995/eia/cep.wg.3.r.6.r.pdf</w:t>
      </w:r>
    </w:p>
  </w:footnote>
  <w:footnote w:id="15">
    <w:p w14:paraId="548013D5" w14:textId="03CCBB36" w:rsidR="004A511A" w:rsidRPr="00340D85" w:rsidRDefault="004A511A" w:rsidP="00541F43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  <w:t xml:space="preserve"> </w:t>
      </w:r>
      <w:r w:rsidRPr="00004CC6">
        <w:rPr>
          <w:szCs w:val="18"/>
        </w:rPr>
        <w:t xml:space="preserve">См. перечень в </w:t>
      </w:r>
      <w:r>
        <w:rPr>
          <w:szCs w:val="18"/>
        </w:rPr>
        <w:t>д</w:t>
      </w:r>
      <w:r w:rsidRPr="00004CC6">
        <w:rPr>
          <w:szCs w:val="18"/>
        </w:rPr>
        <w:t xml:space="preserve">обавлении </w:t>
      </w:r>
      <w:r w:rsidRPr="00004CC6">
        <w:rPr>
          <w:szCs w:val="18"/>
          <w:lang w:val="en-US"/>
        </w:rPr>
        <w:t>I</w:t>
      </w:r>
      <w:r w:rsidRPr="00004CC6">
        <w:rPr>
          <w:szCs w:val="18"/>
        </w:rPr>
        <w:t xml:space="preserve"> к Конвенции.</w:t>
      </w:r>
    </w:p>
  </w:footnote>
  <w:footnote w:id="16">
    <w:p w14:paraId="2AF97A48" w14:textId="2F17C072" w:rsidR="004A511A" w:rsidRPr="0060751F" w:rsidRDefault="004A511A" w:rsidP="005A15A6">
      <w:pPr>
        <w:pStyle w:val="FootnoteText"/>
        <w:ind w:right="1164"/>
        <w:rPr>
          <w:szCs w:val="18"/>
        </w:rPr>
      </w:pPr>
      <w:r>
        <w:rPr>
          <w:szCs w:val="18"/>
        </w:rPr>
        <w:tab/>
      </w:r>
      <w:r w:rsidRPr="007B0CE0">
        <w:rPr>
          <w:rStyle w:val="FootnoteReference"/>
          <w:szCs w:val="18"/>
        </w:rPr>
        <w:footnoteRef/>
      </w:r>
      <w:r>
        <w:rPr>
          <w:szCs w:val="18"/>
        </w:rPr>
        <w:tab/>
      </w:r>
      <w:r w:rsidRPr="0060751F">
        <w:rPr>
          <w:szCs w:val="18"/>
        </w:rPr>
        <w:t xml:space="preserve">Перечень </w:t>
      </w:r>
      <w:r w:rsidRPr="00A00806">
        <w:rPr>
          <w:szCs w:val="18"/>
        </w:rPr>
        <w:t xml:space="preserve">контактных органов </w:t>
      </w:r>
      <w:r w:rsidR="00581C6E">
        <w:rPr>
          <w:szCs w:val="18"/>
        </w:rPr>
        <w:t>по вопросам</w:t>
      </w:r>
      <w:r w:rsidR="00581C6E" w:rsidRPr="00A00806">
        <w:rPr>
          <w:szCs w:val="18"/>
        </w:rPr>
        <w:t xml:space="preserve"> </w:t>
      </w:r>
      <w:r w:rsidRPr="00A00806">
        <w:rPr>
          <w:szCs w:val="18"/>
        </w:rPr>
        <w:t>уведомления, включая страны Центральной Азии, доступен на сайте Конвенции и</w:t>
      </w:r>
      <w:r w:rsidRPr="0060751F">
        <w:rPr>
          <w:szCs w:val="18"/>
        </w:rPr>
        <w:t xml:space="preserve"> на него следует ссылаться при уведомлении затрагиваемых государств о планируемой деятельности</w:t>
      </w:r>
      <w:r>
        <w:rPr>
          <w:szCs w:val="18"/>
        </w:rPr>
        <w:t xml:space="preserve"> (см.</w:t>
      </w:r>
      <w:r w:rsidRPr="00761566">
        <w:rPr>
          <w:szCs w:val="18"/>
        </w:rPr>
        <w:t xml:space="preserve"> </w:t>
      </w:r>
      <w:hyperlink r:id="rId2" w:history="1">
        <w:r w:rsidRPr="007B0CE0">
          <w:rPr>
            <w:rStyle w:val="Hyperlink"/>
            <w:szCs w:val="18"/>
            <w:lang w:val="en-US"/>
          </w:rPr>
          <w:t>www</w:t>
        </w:r>
        <w:r w:rsidRPr="0060751F">
          <w:rPr>
            <w:rStyle w:val="Hyperlink"/>
            <w:szCs w:val="18"/>
          </w:rPr>
          <w:t>.</w:t>
        </w:r>
        <w:r w:rsidRPr="007B0CE0">
          <w:rPr>
            <w:rStyle w:val="Hyperlink"/>
            <w:szCs w:val="18"/>
            <w:lang w:val="en-US"/>
          </w:rPr>
          <w:t>unece</w:t>
        </w:r>
        <w:r w:rsidRPr="0060751F">
          <w:rPr>
            <w:rStyle w:val="Hyperlink"/>
            <w:szCs w:val="18"/>
          </w:rPr>
          <w:t>.</w:t>
        </w:r>
        <w:r w:rsidRPr="007B0CE0">
          <w:rPr>
            <w:rStyle w:val="Hyperlink"/>
            <w:szCs w:val="18"/>
            <w:lang w:val="en-US"/>
          </w:rPr>
          <w:t>org</w:t>
        </w:r>
        <w:r w:rsidRPr="0060751F">
          <w:rPr>
            <w:rStyle w:val="Hyperlink"/>
            <w:szCs w:val="18"/>
          </w:rPr>
          <w:t>/</w:t>
        </w:r>
        <w:r w:rsidRPr="007B0CE0">
          <w:rPr>
            <w:rStyle w:val="Hyperlink"/>
            <w:szCs w:val="18"/>
            <w:lang w:val="en-US"/>
          </w:rPr>
          <w:t>env</w:t>
        </w:r>
        <w:r w:rsidRPr="0060751F">
          <w:rPr>
            <w:rStyle w:val="Hyperlink"/>
            <w:szCs w:val="18"/>
          </w:rPr>
          <w:t>/</w:t>
        </w:r>
        <w:r w:rsidRPr="007B0CE0">
          <w:rPr>
            <w:rStyle w:val="Hyperlink"/>
            <w:szCs w:val="18"/>
            <w:lang w:val="en-US"/>
          </w:rPr>
          <w:t>eia</w:t>
        </w:r>
        <w:r w:rsidRPr="0060751F">
          <w:rPr>
            <w:rStyle w:val="Hyperlink"/>
            <w:szCs w:val="18"/>
          </w:rPr>
          <w:t>/</w:t>
        </w:r>
        <w:r w:rsidRPr="007B0CE0">
          <w:rPr>
            <w:rStyle w:val="Hyperlink"/>
            <w:szCs w:val="18"/>
            <w:lang w:val="en-US"/>
          </w:rPr>
          <w:t>points</w:t>
        </w:r>
        <w:r w:rsidRPr="0060751F">
          <w:rPr>
            <w:rStyle w:val="Hyperlink"/>
            <w:szCs w:val="18"/>
          </w:rPr>
          <w:t>_</w:t>
        </w:r>
        <w:r w:rsidRPr="007B0CE0">
          <w:rPr>
            <w:rStyle w:val="Hyperlink"/>
            <w:szCs w:val="18"/>
            <w:lang w:val="en-US"/>
          </w:rPr>
          <w:t>of</w:t>
        </w:r>
        <w:r w:rsidRPr="0060751F">
          <w:rPr>
            <w:rStyle w:val="Hyperlink"/>
            <w:szCs w:val="18"/>
          </w:rPr>
          <w:t>_</w:t>
        </w:r>
        <w:r w:rsidRPr="007B0CE0">
          <w:rPr>
            <w:rStyle w:val="Hyperlink"/>
            <w:szCs w:val="18"/>
            <w:lang w:val="en-US"/>
          </w:rPr>
          <w:t>contact</w:t>
        </w:r>
        <w:r w:rsidRPr="0060751F">
          <w:rPr>
            <w:rStyle w:val="Hyperlink"/>
            <w:szCs w:val="18"/>
          </w:rPr>
          <w:t>.</w:t>
        </w:r>
        <w:r w:rsidRPr="007B0CE0">
          <w:rPr>
            <w:rStyle w:val="Hyperlink"/>
            <w:szCs w:val="18"/>
            <w:lang w:val="en-US"/>
          </w:rPr>
          <w:t>html</w:t>
        </w:r>
      </w:hyperlink>
      <w:r w:rsidRPr="0060751F">
        <w:rPr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E5DD" w14:textId="3B6EE10F" w:rsidR="004A511A" w:rsidRPr="000E4973" w:rsidRDefault="004A511A">
    <w:pPr>
      <w:pStyle w:val="Header"/>
    </w:pPr>
    <w:r>
      <w:t>ECE/MP.EIA/201</w:t>
    </w:r>
    <w:r>
      <w:rPr>
        <w:lang w:val="fr-CH"/>
      </w:rPr>
      <w:t>9</w:t>
    </w:r>
    <w:r>
      <w:t>/</w:t>
    </w:r>
    <w:r>
      <w:rPr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89BF" w14:textId="1C0B9884" w:rsidR="004A511A" w:rsidRPr="0020312A" w:rsidRDefault="004A511A" w:rsidP="000E4973">
    <w:pPr>
      <w:pStyle w:val="Header"/>
      <w:jc w:val="right"/>
      <w:rPr>
        <w:lang w:val="fr-CH"/>
      </w:rPr>
    </w:pPr>
    <w:r>
      <w:t>ECE/MP.EIA/201</w:t>
    </w:r>
    <w:r>
      <w:rPr>
        <w:lang w:val="fr-CH"/>
      </w:rPr>
      <w:t>9</w:t>
    </w:r>
    <w:r>
      <w:t>/</w:t>
    </w:r>
    <w:r>
      <w:rPr>
        <w:lang w:val="fr-CH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0827777"/>
    <w:multiLevelType w:val="hybridMultilevel"/>
    <w:tmpl w:val="BE9E5E44"/>
    <w:lvl w:ilvl="0" w:tplc="60947D2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CA8072D"/>
    <w:multiLevelType w:val="hybridMultilevel"/>
    <w:tmpl w:val="279E6558"/>
    <w:lvl w:ilvl="0" w:tplc="46AEE45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58460B"/>
    <w:multiLevelType w:val="hybridMultilevel"/>
    <w:tmpl w:val="80BAFBAA"/>
    <w:lvl w:ilvl="0" w:tplc="8DA209F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616A4"/>
    <w:multiLevelType w:val="hybridMultilevel"/>
    <w:tmpl w:val="84DA337C"/>
    <w:lvl w:ilvl="0" w:tplc="6E868D7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  <w:w w:val="10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E0E4F57"/>
    <w:multiLevelType w:val="hybridMultilevel"/>
    <w:tmpl w:val="2CE2332A"/>
    <w:lvl w:ilvl="0" w:tplc="25B01C04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9463D5E"/>
    <w:multiLevelType w:val="hybridMultilevel"/>
    <w:tmpl w:val="9DD80238"/>
    <w:lvl w:ilvl="0" w:tplc="4B6038B4">
      <w:start w:val="1"/>
      <w:numFmt w:val="upperRoman"/>
      <w:lvlText w:val="%1.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8"/>
  </w:num>
  <w:num w:numId="34">
    <w:abstractNumId w:val="15"/>
  </w:num>
  <w:num w:numId="35">
    <w:abstractNumId w:val="16"/>
  </w:num>
  <w:num w:numId="36">
    <w:abstractNumId w:val="11"/>
  </w:num>
  <w:num w:numId="37">
    <w:abstractNumId w:val="20"/>
  </w:num>
  <w:num w:numId="38">
    <w:abstractNumId w:val="13"/>
  </w:num>
  <w:num w:numId="39">
    <w:abstractNumId w:val="21"/>
  </w:num>
  <w:num w:numId="40">
    <w:abstractNumId w:val="12"/>
  </w:num>
  <w:num w:numId="4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73"/>
    <w:rsid w:val="00001512"/>
    <w:rsid w:val="00005C1C"/>
    <w:rsid w:val="00005F6C"/>
    <w:rsid w:val="0000665A"/>
    <w:rsid w:val="00006B57"/>
    <w:rsid w:val="000072BC"/>
    <w:rsid w:val="00007957"/>
    <w:rsid w:val="00007B54"/>
    <w:rsid w:val="00016207"/>
    <w:rsid w:val="0001754B"/>
    <w:rsid w:val="000175E1"/>
    <w:rsid w:val="00017FCB"/>
    <w:rsid w:val="00021671"/>
    <w:rsid w:val="0002294E"/>
    <w:rsid w:val="000233B3"/>
    <w:rsid w:val="00023DD0"/>
    <w:rsid w:val="0002759A"/>
    <w:rsid w:val="00030F46"/>
    <w:rsid w:val="00035DD2"/>
    <w:rsid w:val="0004010A"/>
    <w:rsid w:val="00043D88"/>
    <w:rsid w:val="00050A62"/>
    <w:rsid w:val="00050D31"/>
    <w:rsid w:val="00056CA2"/>
    <w:rsid w:val="0006401A"/>
    <w:rsid w:val="00064072"/>
    <w:rsid w:val="00065FB9"/>
    <w:rsid w:val="00071FE0"/>
    <w:rsid w:val="000748C1"/>
    <w:rsid w:val="000763DB"/>
    <w:rsid w:val="000771BF"/>
    <w:rsid w:val="000774C5"/>
    <w:rsid w:val="00077F80"/>
    <w:rsid w:val="00081485"/>
    <w:rsid w:val="000847BD"/>
    <w:rsid w:val="00085128"/>
    <w:rsid w:val="00086495"/>
    <w:rsid w:val="00090891"/>
    <w:rsid w:val="0009159E"/>
    <w:rsid w:val="00091B71"/>
    <w:rsid w:val="00091C62"/>
    <w:rsid w:val="0009232F"/>
    <w:rsid w:val="00095CC0"/>
    <w:rsid w:val="0009614F"/>
    <w:rsid w:val="00096289"/>
    <w:rsid w:val="00097040"/>
    <w:rsid w:val="000973F0"/>
    <w:rsid w:val="00097975"/>
    <w:rsid w:val="00097B2F"/>
    <w:rsid w:val="000A101C"/>
    <w:rsid w:val="000A1542"/>
    <w:rsid w:val="000A1E52"/>
    <w:rsid w:val="000A2596"/>
    <w:rsid w:val="000A4FCC"/>
    <w:rsid w:val="000A7205"/>
    <w:rsid w:val="000B5F30"/>
    <w:rsid w:val="000C157E"/>
    <w:rsid w:val="000C6F1C"/>
    <w:rsid w:val="000C6FC6"/>
    <w:rsid w:val="000D6868"/>
    <w:rsid w:val="000E05A8"/>
    <w:rsid w:val="000E2BB5"/>
    <w:rsid w:val="000E4973"/>
    <w:rsid w:val="000E514A"/>
    <w:rsid w:val="000E5484"/>
    <w:rsid w:val="000E558A"/>
    <w:rsid w:val="000F0922"/>
    <w:rsid w:val="000F1617"/>
    <w:rsid w:val="000F45D2"/>
    <w:rsid w:val="000F557D"/>
    <w:rsid w:val="000F5A53"/>
    <w:rsid w:val="001010BB"/>
    <w:rsid w:val="001026C0"/>
    <w:rsid w:val="00102B22"/>
    <w:rsid w:val="00106D64"/>
    <w:rsid w:val="001071D1"/>
    <w:rsid w:val="00107CA1"/>
    <w:rsid w:val="00107EB5"/>
    <w:rsid w:val="00107F34"/>
    <w:rsid w:val="001102B6"/>
    <w:rsid w:val="00111548"/>
    <w:rsid w:val="0011395A"/>
    <w:rsid w:val="0011456F"/>
    <w:rsid w:val="001146D8"/>
    <w:rsid w:val="00117AEE"/>
    <w:rsid w:val="001244C1"/>
    <w:rsid w:val="0012767C"/>
    <w:rsid w:val="001276E7"/>
    <w:rsid w:val="0013078B"/>
    <w:rsid w:val="00135482"/>
    <w:rsid w:val="0014207B"/>
    <w:rsid w:val="0014470F"/>
    <w:rsid w:val="00145243"/>
    <w:rsid w:val="0015769C"/>
    <w:rsid w:val="001604A6"/>
    <w:rsid w:val="00160541"/>
    <w:rsid w:val="00160971"/>
    <w:rsid w:val="00166AD3"/>
    <w:rsid w:val="0016703C"/>
    <w:rsid w:val="001719F9"/>
    <w:rsid w:val="001735DE"/>
    <w:rsid w:val="00176C95"/>
    <w:rsid w:val="00176EF2"/>
    <w:rsid w:val="001833AD"/>
    <w:rsid w:val="00190231"/>
    <w:rsid w:val="001908A2"/>
    <w:rsid w:val="00192175"/>
    <w:rsid w:val="00194917"/>
    <w:rsid w:val="0019608F"/>
    <w:rsid w:val="0019715F"/>
    <w:rsid w:val="001A072A"/>
    <w:rsid w:val="001A1358"/>
    <w:rsid w:val="001A2BC2"/>
    <w:rsid w:val="001A3757"/>
    <w:rsid w:val="001A6EFB"/>
    <w:rsid w:val="001A7D40"/>
    <w:rsid w:val="001B1BE4"/>
    <w:rsid w:val="001B1F9B"/>
    <w:rsid w:val="001B3FA8"/>
    <w:rsid w:val="001B6807"/>
    <w:rsid w:val="001C2E2B"/>
    <w:rsid w:val="001C5C78"/>
    <w:rsid w:val="001D07F7"/>
    <w:rsid w:val="001D0EEC"/>
    <w:rsid w:val="001D32E3"/>
    <w:rsid w:val="001D59C2"/>
    <w:rsid w:val="001E23EA"/>
    <w:rsid w:val="001E348D"/>
    <w:rsid w:val="001E561F"/>
    <w:rsid w:val="001E60B9"/>
    <w:rsid w:val="001E65D9"/>
    <w:rsid w:val="001F3118"/>
    <w:rsid w:val="001F65A6"/>
    <w:rsid w:val="002001AF"/>
    <w:rsid w:val="00200E77"/>
    <w:rsid w:val="002019BD"/>
    <w:rsid w:val="00202E53"/>
    <w:rsid w:val="0020312A"/>
    <w:rsid w:val="0020679B"/>
    <w:rsid w:val="002068D0"/>
    <w:rsid w:val="00212F3C"/>
    <w:rsid w:val="00213750"/>
    <w:rsid w:val="00225A74"/>
    <w:rsid w:val="00227CFF"/>
    <w:rsid w:val="00230445"/>
    <w:rsid w:val="002444FD"/>
    <w:rsid w:val="0024637B"/>
    <w:rsid w:val="00250EF3"/>
    <w:rsid w:val="00252D3C"/>
    <w:rsid w:val="00255FF1"/>
    <w:rsid w:val="00264869"/>
    <w:rsid w:val="00266E81"/>
    <w:rsid w:val="00270E6D"/>
    <w:rsid w:val="0027199D"/>
    <w:rsid w:val="002739FB"/>
    <w:rsid w:val="002814E7"/>
    <w:rsid w:val="0028261D"/>
    <w:rsid w:val="00284644"/>
    <w:rsid w:val="0028492B"/>
    <w:rsid w:val="002849A8"/>
    <w:rsid w:val="00286DED"/>
    <w:rsid w:val="00290912"/>
    <w:rsid w:val="002A0A67"/>
    <w:rsid w:val="002A1D1D"/>
    <w:rsid w:val="002A5207"/>
    <w:rsid w:val="002A67A7"/>
    <w:rsid w:val="002A69A7"/>
    <w:rsid w:val="002B0176"/>
    <w:rsid w:val="002B2448"/>
    <w:rsid w:val="002B329F"/>
    <w:rsid w:val="002B7240"/>
    <w:rsid w:val="002B78C2"/>
    <w:rsid w:val="002C224B"/>
    <w:rsid w:val="002C6A71"/>
    <w:rsid w:val="002C737D"/>
    <w:rsid w:val="002D0ECC"/>
    <w:rsid w:val="002D15EA"/>
    <w:rsid w:val="002D4A7A"/>
    <w:rsid w:val="002D60D3"/>
    <w:rsid w:val="002D6175"/>
    <w:rsid w:val="002E0CE6"/>
    <w:rsid w:val="002E0D33"/>
    <w:rsid w:val="002E1C3C"/>
    <w:rsid w:val="002E4E82"/>
    <w:rsid w:val="002E7865"/>
    <w:rsid w:val="002F0E12"/>
    <w:rsid w:val="002F16EE"/>
    <w:rsid w:val="002F1DE9"/>
    <w:rsid w:val="002F7F5F"/>
    <w:rsid w:val="003064E2"/>
    <w:rsid w:val="0030784C"/>
    <w:rsid w:val="00310AA3"/>
    <w:rsid w:val="00312EEF"/>
    <w:rsid w:val="0031352B"/>
    <w:rsid w:val="00313F7D"/>
    <w:rsid w:val="0031437F"/>
    <w:rsid w:val="003144CD"/>
    <w:rsid w:val="0033193B"/>
    <w:rsid w:val="00332891"/>
    <w:rsid w:val="00336695"/>
    <w:rsid w:val="00340D85"/>
    <w:rsid w:val="00342AD3"/>
    <w:rsid w:val="003547EF"/>
    <w:rsid w:val="00354AE9"/>
    <w:rsid w:val="003601CC"/>
    <w:rsid w:val="00360477"/>
    <w:rsid w:val="00367737"/>
    <w:rsid w:val="00370367"/>
    <w:rsid w:val="00370ACF"/>
    <w:rsid w:val="00370FC5"/>
    <w:rsid w:val="00376D2B"/>
    <w:rsid w:val="003806D7"/>
    <w:rsid w:val="003851F8"/>
    <w:rsid w:val="00385BC7"/>
    <w:rsid w:val="00386AD6"/>
    <w:rsid w:val="003917ED"/>
    <w:rsid w:val="003951D3"/>
    <w:rsid w:val="0039597B"/>
    <w:rsid w:val="00395CCC"/>
    <w:rsid w:val="00395E93"/>
    <w:rsid w:val="003978C6"/>
    <w:rsid w:val="003A1DF5"/>
    <w:rsid w:val="003A5606"/>
    <w:rsid w:val="003B26C0"/>
    <w:rsid w:val="003B3AA2"/>
    <w:rsid w:val="003B40A9"/>
    <w:rsid w:val="003B6825"/>
    <w:rsid w:val="003C016E"/>
    <w:rsid w:val="003C2896"/>
    <w:rsid w:val="003C395C"/>
    <w:rsid w:val="003C43A8"/>
    <w:rsid w:val="003C62A4"/>
    <w:rsid w:val="003D0DE8"/>
    <w:rsid w:val="003D16EA"/>
    <w:rsid w:val="003D3B43"/>
    <w:rsid w:val="003D55E4"/>
    <w:rsid w:val="003E1977"/>
    <w:rsid w:val="003F1CA2"/>
    <w:rsid w:val="003F4A0F"/>
    <w:rsid w:val="003F575F"/>
    <w:rsid w:val="003F6B53"/>
    <w:rsid w:val="004019C3"/>
    <w:rsid w:val="00403234"/>
    <w:rsid w:val="00413F28"/>
    <w:rsid w:val="00414A5D"/>
    <w:rsid w:val="004242FF"/>
    <w:rsid w:val="0042665D"/>
    <w:rsid w:val="00426A94"/>
    <w:rsid w:val="004405DA"/>
    <w:rsid w:val="004427BD"/>
    <w:rsid w:val="004446E3"/>
    <w:rsid w:val="00444920"/>
    <w:rsid w:val="00446DCB"/>
    <w:rsid w:val="004525F5"/>
    <w:rsid w:val="0045742A"/>
    <w:rsid w:val="00457CAC"/>
    <w:rsid w:val="00471F89"/>
    <w:rsid w:val="0047299E"/>
    <w:rsid w:val="0047467A"/>
    <w:rsid w:val="00474F46"/>
    <w:rsid w:val="00480814"/>
    <w:rsid w:val="0048244D"/>
    <w:rsid w:val="004878DB"/>
    <w:rsid w:val="00490AF5"/>
    <w:rsid w:val="00491AE8"/>
    <w:rsid w:val="0049422E"/>
    <w:rsid w:val="00497BF9"/>
    <w:rsid w:val="004A06E7"/>
    <w:rsid w:val="004A0749"/>
    <w:rsid w:val="004A0DE8"/>
    <w:rsid w:val="004A4362"/>
    <w:rsid w:val="004A4EEE"/>
    <w:rsid w:val="004A511A"/>
    <w:rsid w:val="004A566C"/>
    <w:rsid w:val="004B27C6"/>
    <w:rsid w:val="004B4222"/>
    <w:rsid w:val="004B46D5"/>
    <w:rsid w:val="004B6062"/>
    <w:rsid w:val="004C0BE9"/>
    <w:rsid w:val="004D0734"/>
    <w:rsid w:val="004D1F70"/>
    <w:rsid w:val="004D4A2C"/>
    <w:rsid w:val="004D65B2"/>
    <w:rsid w:val="004D77C5"/>
    <w:rsid w:val="004D78E7"/>
    <w:rsid w:val="004E035B"/>
    <w:rsid w:val="004E4089"/>
    <w:rsid w:val="004E5FCA"/>
    <w:rsid w:val="004E6729"/>
    <w:rsid w:val="004F645F"/>
    <w:rsid w:val="005036FB"/>
    <w:rsid w:val="005043DB"/>
    <w:rsid w:val="0051286A"/>
    <w:rsid w:val="0051339C"/>
    <w:rsid w:val="0051412F"/>
    <w:rsid w:val="00515D05"/>
    <w:rsid w:val="00525D13"/>
    <w:rsid w:val="00526FF1"/>
    <w:rsid w:val="005276AD"/>
    <w:rsid w:val="00527949"/>
    <w:rsid w:val="00530007"/>
    <w:rsid w:val="00533C3C"/>
    <w:rsid w:val="00536B29"/>
    <w:rsid w:val="005412DE"/>
    <w:rsid w:val="00541F43"/>
    <w:rsid w:val="00543B9E"/>
    <w:rsid w:val="00545921"/>
    <w:rsid w:val="0055721A"/>
    <w:rsid w:val="0056617F"/>
    <w:rsid w:val="00567D03"/>
    <w:rsid w:val="00572020"/>
    <w:rsid w:val="0057233F"/>
    <w:rsid w:val="00573E32"/>
    <w:rsid w:val="00575606"/>
    <w:rsid w:val="00581C6E"/>
    <w:rsid w:val="00584828"/>
    <w:rsid w:val="00585ADF"/>
    <w:rsid w:val="005866B5"/>
    <w:rsid w:val="00587B6B"/>
    <w:rsid w:val="00591D51"/>
    <w:rsid w:val="00595DDC"/>
    <w:rsid w:val="005976DD"/>
    <w:rsid w:val="005A06FC"/>
    <w:rsid w:val="005A0852"/>
    <w:rsid w:val="005A15A6"/>
    <w:rsid w:val="005A240D"/>
    <w:rsid w:val="005A33BA"/>
    <w:rsid w:val="005A5426"/>
    <w:rsid w:val="005B19C6"/>
    <w:rsid w:val="005B1B28"/>
    <w:rsid w:val="005B1C05"/>
    <w:rsid w:val="005B1FE1"/>
    <w:rsid w:val="005B2459"/>
    <w:rsid w:val="005B2E9F"/>
    <w:rsid w:val="005C1D84"/>
    <w:rsid w:val="005C2147"/>
    <w:rsid w:val="005C655B"/>
    <w:rsid w:val="005C678A"/>
    <w:rsid w:val="005C6B87"/>
    <w:rsid w:val="005D0742"/>
    <w:rsid w:val="005D2647"/>
    <w:rsid w:val="005D6505"/>
    <w:rsid w:val="005D7836"/>
    <w:rsid w:val="005E39D4"/>
    <w:rsid w:val="005E6AEE"/>
    <w:rsid w:val="005F092D"/>
    <w:rsid w:val="005F36D2"/>
    <w:rsid w:val="005F3E04"/>
    <w:rsid w:val="00601DD8"/>
    <w:rsid w:val="00602DF3"/>
    <w:rsid w:val="006045F9"/>
    <w:rsid w:val="00604E35"/>
    <w:rsid w:val="00606524"/>
    <w:rsid w:val="006115AA"/>
    <w:rsid w:val="00611AFA"/>
    <w:rsid w:val="00614530"/>
    <w:rsid w:val="00616200"/>
    <w:rsid w:val="006321F1"/>
    <w:rsid w:val="00632B65"/>
    <w:rsid w:val="00635E86"/>
    <w:rsid w:val="0065194C"/>
    <w:rsid w:val="00651E19"/>
    <w:rsid w:val="00653708"/>
    <w:rsid w:val="0065427C"/>
    <w:rsid w:val="00654560"/>
    <w:rsid w:val="006575A6"/>
    <w:rsid w:val="0066341F"/>
    <w:rsid w:val="00667983"/>
    <w:rsid w:val="00667D7F"/>
    <w:rsid w:val="00672B55"/>
    <w:rsid w:val="00673E70"/>
    <w:rsid w:val="006744C4"/>
    <w:rsid w:val="006773A7"/>
    <w:rsid w:val="00677CD4"/>
    <w:rsid w:val="00680772"/>
    <w:rsid w:val="006808C1"/>
    <w:rsid w:val="006848D9"/>
    <w:rsid w:val="00691C45"/>
    <w:rsid w:val="006943E6"/>
    <w:rsid w:val="00694C37"/>
    <w:rsid w:val="00697D14"/>
    <w:rsid w:val="00697D40"/>
    <w:rsid w:val="006A021E"/>
    <w:rsid w:val="006A6F68"/>
    <w:rsid w:val="006B0966"/>
    <w:rsid w:val="006B12FF"/>
    <w:rsid w:val="006B2218"/>
    <w:rsid w:val="006B3A19"/>
    <w:rsid w:val="006B4D20"/>
    <w:rsid w:val="006B646E"/>
    <w:rsid w:val="006B6490"/>
    <w:rsid w:val="006B7054"/>
    <w:rsid w:val="006C2931"/>
    <w:rsid w:val="006C2F45"/>
    <w:rsid w:val="006C3900"/>
    <w:rsid w:val="006C48B1"/>
    <w:rsid w:val="006D1DD2"/>
    <w:rsid w:val="006D4455"/>
    <w:rsid w:val="006D7345"/>
    <w:rsid w:val="006E20C0"/>
    <w:rsid w:val="006E6CEF"/>
    <w:rsid w:val="006E7183"/>
    <w:rsid w:val="006F1996"/>
    <w:rsid w:val="006F1B9D"/>
    <w:rsid w:val="006F24ED"/>
    <w:rsid w:val="00703841"/>
    <w:rsid w:val="00704A15"/>
    <w:rsid w:val="007050C1"/>
    <w:rsid w:val="0071586B"/>
    <w:rsid w:val="00717405"/>
    <w:rsid w:val="0072700B"/>
    <w:rsid w:val="00731812"/>
    <w:rsid w:val="0073183B"/>
    <w:rsid w:val="00732AC0"/>
    <w:rsid w:val="007333BF"/>
    <w:rsid w:val="00735BA8"/>
    <w:rsid w:val="007374F7"/>
    <w:rsid w:val="00740E50"/>
    <w:rsid w:val="00742FCD"/>
    <w:rsid w:val="007442BE"/>
    <w:rsid w:val="0074530B"/>
    <w:rsid w:val="0074536E"/>
    <w:rsid w:val="007464EF"/>
    <w:rsid w:val="0075279B"/>
    <w:rsid w:val="00753378"/>
    <w:rsid w:val="007534A1"/>
    <w:rsid w:val="00753715"/>
    <w:rsid w:val="00753748"/>
    <w:rsid w:val="007557AF"/>
    <w:rsid w:val="007628FD"/>
    <w:rsid w:val="00765AD7"/>
    <w:rsid w:val="00765D37"/>
    <w:rsid w:val="00767C81"/>
    <w:rsid w:val="00772C3F"/>
    <w:rsid w:val="00773F57"/>
    <w:rsid w:val="0077687D"/>
    <w:rsid w:val="00782169"/>
    <w:rsid w:val="00785F83"/>
    <w:rsid w:val="00786A10"/>
    <w:rsid w:val="007965FD"/>
    <w:rsid w:val="00797890"/>
    <w:rsid w:val="007A595C"/>
    <w:rsid w:val="007B2127"/>
    <w:rsid w:val="007B584A"/>
    <w:rsid w:val="007B776D"/>
    <w:rsid w:val="007C5F15"/>
    <w:rsid w:val="007D294D"/>
    <w:rsid w:val="007D493D"/>
    <w:rsid w:val="007D64F2"/>
    <w:rsid w:val="007D6B00"/>
    <w:rsid w:val="007D7A74"/>
    <w:rsid w:val="007E38C3"/>
    <w:rsid w:val="007E549E"/>
    <w:rsid w:val="007E6CF4"/>
    <w:rsid w:val="007E71C9"/>
    <w:rsid w:val="007F0DE6"/>
    <w:rsid w:val="007F457F"/>
    <w:rsid w:val="007F4DDD"/>
    <w:rsid w:val="00801986"/>
    <w:rsid w:val="008051F9"/>
    <w:rsid w:val="0081125C"/>
    <w:rsid w:val="00813683"/>
    <w:rsid w:val="0082208A"/>
    <w:rsid w:val="00823631"/>
    <w:rsid w:val="008239A7"/>
    <w:rsid w:val="008245EE"/>
    <w:rsid w:val="008305D7"/>
    <w:rsid w:val="0083069D"/>
    <w:rsid w:val="00846A1C"/>
    <w:rsid w:val="00850A3C"/>
    <w:rsid w:val="008519F3"/>
    <w:rsid w:val="00853FD7"/>
    <w:rsid w:val="00853FF3"/>
    <w:rsid w:val="00862234"/>
    <w:rsid w:val="0087110C"/>
    <w:rsid w:val="008727A1"/>
    <w:rsid w:val="008778B0"/>
    <w:rsid w:val="0088119D"/>
    <w:rsid w:val="00881BFE"/>
    <w:rsid w:val="008832A8"/>
    <w:rsid w:val="00884FAB"/>
    <w:rsid w:val="008857B8"/>
    <w:rsid w:val="008904C8"/>
    <w:rsid w:val="00891C08"/>
    <w:rsid w:val="00891DD9"/>
    <w:rsid w:val="00895143"/>
    <w:rsid w:val="008966A6"/>
    <w:rsid w:val="008973D4"/>
    <w:rsid w:val="008A060D"/>
    <w:rsid w:val="008A14B5"/>
    <w:rsid w:val="008A4DB9"/>
    <w:rsid w:val="008A5FA8"/>
    <w:rsid w:val="008A7E23"/>
    <w:rsid w:val="008B18BB"/>
    <w:rsid w:val="008B228D"/>
    <w:rsid w:val="008B4447"/>
    <w:rsid w:val="008B6757"/>
    <w:rsid w:val="008B6FB3"/>
    <w:rsid w:val="008C2427"/>
    <w:rsid w:val="008C3AED"/>
    <w:rsid w:val="008C62D9"/>
    <w:rsid w:val="008C7324"/>
    <w:rsid w:val="008D1A85"/>
    <w:rsid w:val="008D5B84"/>
    <w:rsid w:val="008E2879"/>
    <w:rsid w:val="008E3657"/>
    <w:rsid w:val="008F1E55"/>
    <w:rsid w:val="008F3453"/>
    <w:rsid w:val="008F4FD9"/>
    <w:rsid w:val="008F5997"/>
    <w:rsid w:val="008F77D0"/>
    <w:rsid w:val="008F7F20"/>
    <w:rsid w:val="009061A9"/>
    <w:rsid w:val="00906F01"/>
    <w:rsid w:val="009076C1"/>
    <w:rsid w:val="00912013"/>
    <w:rsid w:val="009124C8"/>
    <w:rsid w:val="00912FB0"/>
    <w:rsid w:val="00916484"/>
    <w:rsid w:val="00917E00"/>
    <w:rsid w:val="00921708"/>
    <w:rsid w:val="00924380"/>
    <w:rsid w:val="00933D81"/>
    <w:rsid w:val="009441A3"/>
    <w:rsid w:val="00953855"/>
    <w:rsid w:val="009539BC"/>
    <w:rsid w:val="00957B56"/>
    <w:rsid w:val="00960C09"/>
    <w:rsid w:val="00962CAE"/>
    <w:rsid w:val="00964A5F"/>
    <w:rsid w:val="00964EEA"/>
    <w:rsid w:val="00966A00"/>
    <w:rsid w:val="009801C0"/>
    <w:rsid w:val="0098272B"/>
    <w:rsid w:val="009850EA"/>
    <w:rsid w:val="00985C1F"/>
    <w:rsid w:val="00987B66"/>
    <w:rsid w:val="0099016A"/>
    <w:rsid w:val="0099209C"/>
    <w:rsid w:val="00992536"/>
    <w:rsid w:val="00993668"/>
    <w:rsid w:val="009961CF"/>
    <w:rsid w:val="009A1446"/>
    <w:rsid w:val="009A7183"/>
    <w:rsid w:val="009B14E4"/>
    <w:rsid w:val="009B175A"/>
    <w:rsid w:val="009B3C18"/>
    <w:rsid w:val="009B6859"/>
    <w:rsid w:val="009B6957"/>
    <w:rsid w:val="009B6BCC"/>
    <w:rsid w:val="009C04E3"/>
    <w:rsid w:val="009C30BB"/>
    <w:rsid w:val="009C7DAF"/>
    <w:rsid w:val="009D24D1"/>
    <w:rsid w:val="009D4CEE"/>
    <w:rsid w:val="009E5681"/>
    <w:rsid w:val="009E7126"/>
    <w:rsid w:val="009E74B3"/>
    <w:rsid w:val="009F00A6"/>
    <w:rsid w:val="009F033B"/>
    <w:rsid w:val="009F73B8"/>
    <w:rsid w:val="009F7C99"/>
    <w:rsid w:val="009F7F2C"/>
    <w:rsid w:val="00A00806"/>
    <w:rsid w:val="00A04119"/>
    <w:rsid w:val="00A05969"/>
    <w:rsid w:val="00A05D51"/>
    <w:rsid w:val="00A1149F"/>
    <w:rsid w:val="00A17221"/>
    <w:rsid w:val="00A2277C"/>
    <w:rsid w:val="00A2446A"/>
    <w:rsid w:val="00A2454C"/>
    <w:rsid w:val="00A36E97"/>
    <w:rsid w:val="00A43552"/>
    <w:rsid w:val="00A43D64"/>
    <w:rsid w:val="00A451F0"/>
    <w:rsid w:val="00A47106"/>
    <w:rsid w:val="00A500D7"/>
    <w:rsid w:val="00A506DE"/>
    <w:rsid w:val="00A618CC"/>
    <w:rsid w:val="00A72792"/>
    <w:rsid w:val="00A7294D"/>
    <w:rsid w:val="00A74E55"/>
    <w:rsid w:val="00A80E7C"/>
    <w:rsid w:val="00A820BB"/>
    <w:rsid w:val="00A918B6"/>
    <w:rsid w:val="00A953CA"/>
    <w:rsid w:val="00AA1A7A"/>
    <w:rsid w:val="00AA51F6"/>
    <w:rsid w:val="00AA6212"/>
    <w:rsid w:val="00AA78FA"/>
    <w:rsid w:val="00AA7C9F"/>
    <w:rsid w:val="00AB0746"/>
    <w:rsid w:val="00AB0BF4"/>
    <w:rsid w:val="00AB16B4"/>
    <w:rsid w:val="00AB5BF0"/>
    <w:rsid w:val="00AC3ED4"/>
    <w:rsid w:val="00AD0E7D"/>
    <w:rsid w:val="00AD52F7"/>
    <w:rsid w:val="00AD6A48"/>
    <w:rsid w:val="00AD6FE1"/>
    <w:rsid w:val="00AE0740"/>
    <w:rsid w:val="00AE099E"/>
    <w:rsid w:val="00AE0A31"/>
    <w:rsid w:val="00AE0E48"/>
    <w:rsid w:val="00AE1046"/>
    <w:rsid w:val="00AE6E57"/>
    <w:rsid w:val="00AF30A8"/>
    <w:rsid w:val="00B01DA9"/>
    <w:rsid w:val="00B0645C"/>
    <w:rsid w:val="00B11A74"/>
    <w:rsid w:val="00B12FFB"/>
    <w:rsid w:val="00B14EF2"/>
    <w:rsid w:val="00B15891"/>
    <w:rsid w:val="00B16AFF"/>
    <w:rsid w:val="00B24766"/>
    <w:rsid w:val="00B25700"/>
    <w:rsid w:val="00B2753F"/>
    <w:rsid w:val="00B31126"/>
    <w:rsid w:val="00B317E0"/>
    <w:rsid w:val="00B344BA"/>
    <w:rsid w:val="00B41C29"/>
    <w:rsid w:val="00B42BEE"/>
    <w:rsid w:val="00B4508A"/>
    <w:rsid w:val="00B459CA"/>
    <w:rsid w:val="00B52638"/>
    <w:rsid w:val="00B55EEF"/>
    <w:rsid w:val="00B614FD"/>
    <w:rsid w:val="00B623D9"/>
    <w:rsid w:val="00B6532A"/>
    <w:rsid w:val="00B7146F"/>
    <w:rsid w:val="00B72084"/>
    <w:rsid w:val="00B83DD9"/>
    <w:rsid w:val="00B90603"/>
    <w:rsid w:val="00B9062E"/>
    <w:rsid w:val="00BA54AC"/>
    <w:rsid w:val="00BA6B6A"/>
    <w:rsid w:val="00BB062E"/>
    <w:rsid w:val="00BB1478"/>
    <w:rsid w:val="00BB1AF9"/>
    <w:rsid w:val="00BB46D0"/>
    <w:rsid w:val="00BB55D7"/>
    <w:rsid w:val="00BB632A"/>
    <w:rsid w:val="00BB648F"/>
    <w:rsid w:val="00BC314D"/>
    <w:rsid w:val="00BC31D9"/>
    <w:rsid w:val="00BC3DE3"/>
    <w:rsid w:val="00BD2392"/>
    <w:rsid w:val="00BD3CAE"/>
    <w:rsid w:val="00BD4E92"/>
    <w:rsid w:val="00BD64FE"/>
    <w:rsid w:val="00BD66D9"/>
    <w:rsid w:val="00BE60A2"/>
    <w:rsid w:val="00BF1C88"/>
    <w:rsid w:val="00BF4424"/>
    <w:rsid w:val="00BF4A2D"/>
    <w:rsid w:val="00BF613D"/>
    <w:rsid w:val="00C0191E"/>
    <w:rsid w:val="00C037E9"/>
    <w:rsid w:val="00C03CA2"/>
    <w:rsid w:val="00C0625E"/>
    <w:rsid w:val="00C065D3"/>
    <w:rsid w:val="00C076D0"/>
    <w:rsid w:val="00C1203D"/>
    <w:rsid w:val="00C13AD2"/>
    <w:rsid w:val="00C16489"/>
    <w:rsid w:val="00C20B7C"/>
    <w:rsid w:val="00C20D2F"/>
    <w:rsid w:val="00C210D9"/>
    <w:rsid w:val="00C248C3"/>
    <w:rsid w:val="00C27435"/>
    <w:rsid w:val="00C316B3"/>
    <w:rsid w:val="00C335D9"/>
    <w:rsid w:val="00C373B1"/>
    <w:rsid w:val="00C3795D"/>
    <w:rsid w:val="00C41BBC"/>
    <w:rsid w:val="00C43083"/>
    <w:rsid w:val="00C63808"/>
    <w:rsid w:val="00C6564D"/>
    <w:rsid w:val="00C661CA"/>
    <w:rsid w:val="00C66F29"/>
    <w:rsid w:val="00C67129"/>
    <w:rsid w:val="00C67731"/>
    <w:rsid w:val="00C70824"/>
    <w:rsid w:val="00C75A9A"/>
    <w:rsid w:val="00C75CB2"/>
    <w:rsid w:val="00C76E7F"/>
    <w:rsid w:val="00C7732B"/>
    <w:rsid w:val="00C807EC"/>
    <w:rsid w:val="00C8161E"/>
    <w:rsid w:val="00C8421B"/>
    <w:rsid w:val="00C87C71"/>
    <w:rsid w:val="00C91962"/>
    <w:rsid w:val="00C92681"/>
    <w:rsid w:val="00C92A84"/>
    <w:rsid w:val="00C960A3"/>
    <w:rsid w:val="00C97B83"/>
    <w:rsid w:val="00C97F23"/>
    <w:rsid w:val="00CA4EE2"/>
    <w:rsid w:val="00CA609E"/>
    <w:rsid w:val="00CA7D4F"/>
    <w:rsid w:val="00CB031C"/>
    <w:rsid w:val="00CB7423"/>
    <w:rsid w:val="00CC7ED4"/>
    <w:rsid w:val="00CE3D6F"/>
    <w:rsid w:val="00CE4F1A"/>
    <w:rsid w:val="00CE7F46"/>
    <w:rsid w:val="00CF320B"/>
    <w:rsid w:val="00CF5753"/>
    <w:rsid w:val="00D01358"/>
    <w:rsid w:val="00D02797"/>
    <w:rsid w:val="00D0610C"/>
    <w:rsid w:val="00D0616F"/>
    <w:rsid w:val="00D10C4A"/>
    <w:rsid w:val="00D143DF"/>
    <w:rsid w:val="00D15E37"/>
    <w:rsid w:val="00D36B50"/>
    <w:rsid w:val="00D371FC"/>
    <w:rsid w:val="00D40EE1"/>
    <w:rsid w:val="00D43C15"/>
    <w:rsid w:val="00D60497"/>
    <w:rsid w:val="00D66CB2"/>
    <w:rsid w:val="00D70D0C"/>
    <w:rsid w:val="00D73423"/>
    <w:rsid w:val="00D76B42"/>
    <w:rsid w:val="00D800D0"/>
    <w:rsid w:val="00D802E3"/>
    <w:rsid w:val="00D86E5B"/>
    <w:rsid w:val="00D978B7"/>
    <w:rsid w:val="00DA5686"/>
    <w:rsid w:val="00DA7D08"/>
    <w:rsid w:val="00DB4956"/>
    <w:rsid w:val="00DC3469"/>
    <w:rsid w:val="00DC7222"/>
    <w:rsid w:val="00DD0AB2"/>
    <w:rsid w:val="00DD2986"/>
    <w:rsid w:val="00DD357D"/>
    <w:rsid w:val="00DD5704"/>
    <w:rsid w:val="00DD6824"/>
    <w:rsid w:val="00DD6CAD"/>
    <w:rsid w:val="00DD6D81"/>
    <w:rsid w:val="00DD6F1D"/>
    <w:rsid w:val="00DD79FA"/>
    <w:rsid w:val="00DE4E55"/>
    <w:rsid w:val="00DE5459"/>
    <w:rsid w:val="00DE6A7A"/>
    <w:rsid w:val="00DE75CB"/>
    <w:rsid w:val="00DF123E"/>
    <w:rsid w:val="00DF18FA"/>
    <w:rsid w:val="00DF49CA"/>
    <w:rsid w:val="00E007F3"/>
    <w:rsid w:val="00E03C1F"/>
    <w:rsid w:val="00E03CB4"/>
    <w:rsid w:val="00E051CA"/>
    <w:rsid w:val="00E11679"/>
    <w:rsid w:val="00E11BCC"/>
    <w:rsid w:val="00E16DCB"/>
    <w:rsid w:val="00E2207A"/>
    <w:rsid w:val="00E23258"/>
    <w:rsid w:val="00E23934"/>
    <w:rsid w:val="00E344A7"/>
    <w:rsid w:val="00E37BFE"/>
    <w:rsid w:val="00E46A04"/>
    <w:rsid w:val="00E517EB"/>
    <w:rsid w:val="00E60758"/>
    <w:rsid w:val="00E6395C"/>
    <w:rsid w:val="00E75464"/>
    <w:rsid w:val="00E76EDA"/>
    <w:rsid w:val="00E80597"/>
    <w:rsid w:val="00E83B4E"/>
    <w:rsid w:val="00E87D46"/>
    <w:rsid w:val="00E90710"/>
    <w:rsid w:val="00EA0D9A"/>
    <w:rsid w:val="00EA274D"/>
    <w:rsid w:val="00EA4A9C"/>
    <w:rsid w:val="00EA7ABE"/>
    <w:rsid w:val="00EB117F"/>
    <w:rsid w:val="00EB3A34"/>
    <w:rsid w:val="00EB777A"/>
    <w:rsid w:val="00EC021A"/>
    <w:rsid w:val="00EC0882"/>
    <w:rsid w:val="00EC12CC"/>
    <w:rsid w:val="00EC2DA1"/>
    <w:rsid w:val="00EC30E6"/>
    <w:rsid w:val="00EC6B9F"/>
    <w:rsid w:val="00ED05E7"/>
    <w:rsid w:val="00ED06DD"/>
    <w:rsid w:val="00ED41AC"/>
    <w:rsid w:val="00EE2546"/>
    <w:rsid w:val="00EE4087"/>
    <w:rsid w:val="00EE4EB6"/>
    <w:rsid w:val="00EE5592"/>
    <w:rsid w:val="00EE7D78"/>
    <w:rsid w:val="00EF4247"/>
    <w:rsid w:val="00F00F8C"/>
    <w:rsid w:val="00F014B0"/>
    <w:rsid w:val="00F03790"/>
    <w:rsid w:val="00F12C64"/>
    <w:rsid w:val="00F208DC"/>
    <w:rsid w:val="00F22D6B"/>
    <w:rsid w:val="00F26B88"/>
    <w:rsid w:val="00F2792C"/>
    <w:rsid w:val="00F27DAA"/>
    <w:rsid w:val="00F356B7"/>
    <w:rsid w:val="00F37290"/>
    <w:rsid w:val="00F476B5"/>
    <w:rsid w:val="00F5542C"/>
    <w:rsid w:val="00F66A47"/>
    <w:rsid w:val="00F71F63"/>
    <w:rsid w:val="00F7549D"/>
    <w:rsid w:val="00F82727"/>
    <w:rsid w:val="00F87506"/>
    <w:rsid w:val="00F912C8"/>
    <w:rsid w:val="00F93F7D"/>
    <w:rsid w:val="00F95106"/>
    <w:rsid w:val="00FA130D"/>
    <w:rsid w:val="00FA15A2"/>
    <w:rsid w:val="00FA5C1D"/>
    <w:rsid w:val="00FB2B35"/>
    <w:rsid w:val="00FB4602"/>
    <w:rsid w:val="00FC0EE6"/>
    <w:rsid w:val="00FC6323"/>
    <w:rsid w:val="00FD09AB"/>
    <w:rsid w:val="00FD285B"/>
    <w:rsid w:val="00FD2F3B"/>
    <w:rsid w:val="00FD78A3"/>
    <w:rsid w:val="00FE1C37"/>
    <w:rsid w:val="00FE6421"/>
    <w:rsid w:val="00FE72A8"/>
    <w:rsid w:val="00FE79DA"/>
    <w:rsid w:val="00FF4BD0"/>
    <w:rsid w:val="00FF4C52"/>
    <w:rsid w:val="00FF692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D9B080"/>
  <w15:docId w15:val="{DD4D2E37-164E-46D7-9C2A-91E48E64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D46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uiPriority w:val="59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E4973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/>
    </w:rPr>
  </w:style>
  <w:style w:type="paragraph" w:customStyle="1" w:styleId="SingleTxtG">
    <w:name w:val="_ Single Txt_G"/>
    <w:basedOn w:val="Normal"/>
    <w:link w:val="SingleTxtGChar"/>
    <w:rsid w:val="000E4973"/>
    <w:pPr>
      <w:suppressAutoHyphens/>
      <w:spacing w:after="120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0E4973"/>
    <w:rPr>
      <w:lang w:eastAsia="en-US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AA7C9F"/>
    <w:rPr>
      <w:spacing w:val="4"/>
      <w:w w:val="103"/>
      <w:kern w:val="14"/>
      <w:sz w:val="18"/>
      <w:lang w:val="ru-RU" w:eastAsia="ru-RU"/>
    </w:rPr>
  </w:style>
  <w:style w:type="paragraph" w:customStyle="1" w:styleId="HChG">
    <w:name w:val="_ H _Ch_G"/>
    <w:basedOn w:val="Normal"/>
    <w:next w:val="Normal"/>
    <w:rsid w:val="00AA7C9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0C4A"/>
    <w:pPr>
      <w:ind w:left="720"/>
      <w:contextualSpacing/>
    </w:pPr>
  </w:style>
  <w:style w:type="character" w:customStyle="1" w:styleId="Heading1Char">
    <w:name w:val="Heading 1 Char"/>
    <w:aliases w:val="Table_GR Char"/>
    <w:basedOn w:val="DefaultParagraphFont"/>
    <w:link w:val="Heading1"/>
    <w:rsid w:val="002E4E82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customStyle="1" w:styleId="H1G">
    <w:name w:val="_ H_1_G"/>
    <w:basedOn w:val="Normal"/>
    <w:next w:val="Normal"/>
    <w:rsid w:val="002E4E8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2E4E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E82"/>
    <w:rPr>
      <w:spacing w:val="4"/>
      <w:w w:val="103"/>
      <w:kern w:val="14"/>
      <w:lang w:val="ru-RU" w:eastAsia="en-US"/>
    </w:rPr>
  </w:style>
  <w:style w:type="paragraph" w:styleId="BalloonText">
    <w:name w:val="Balloon Text"/>
    <w:basedOn w:val="Normal"/>
    <w:link w:val="BalloonTextChar"/>
    <w:rsid w:val="002E4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E82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EEF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D85"/>
    <w:rPr>
      <w:b/>
      <w:bCs/>
      <w:spacing w:val="4"/>
      <w:w w:val="103"/>
      <w:kern w:val="14"/>
      <w:lang w:val="ru-RU" w:eastAsia="en-US"/>
    </w:rPr>
  </w:style>
  <w:style w:type="paragraph" w:styleId="Revision">
    <w:name w:val="Revision"/>
    <w:hidden/>
    <w:uiPriority w:val="99"/>
    <w:semiHidden/>
    <w:rsid w:val="008D1A85"/>
    <w:rPr>
      <w:spacing w:val="4"/>
      <w:w w:val="103"/>
      <w:kern w:val="14"/>
      <w:szCs w:val="24"/>
      <w:lang w:val="ru-RU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7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env/eia/points_of_contact.html" TargetMode="External"/><Relationship Id="rId1" Type="http://schemas.openxmlformats.org/officeDocument/2006/relationships/hyperlink" Target="http://www.unece.org/fileadmin/DAM/env/eia/documents/WG2.5_April2016/Informal_document_16_ece.mp.eia.wg.2.2016.INF.16__SDG_Mapping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85ED-A3D4-4E22-82A1-EBFCF9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0</TotalTime>
  <Pages>3</Pages>
  <Words>9075</Words>
  <Characters>51728</Characters>
  <Application>Microsoft Office Word</Application>
  <DocSecurity>4</DocSecurity>
  <Lines>431</Lines>
  <Paragraphs>121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ECE/MP.EIA/2019/12</vt:lpstr>
      <vt:lpstr>ECE/MP.EIA/2019/12</vt:lpstr>
      <vt:lpstr>Организация Объединенных Наций</vt:lpstr>
    </vt:vector>
  </TitlesOfParts>
  <Company>CSD</Company>
  <LinksUpToDate>false</LinksUpToDate>
  <CharactersWithSpaces>60682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ECE/MP.EIA/2019/12</dc:title>
  <dc:subject/>
  <dc:creator>Anelia Rambosson</dc:creator>
  <cp:keywords/>
  <dc:description/>
  <cp:lastModifiedBy>Elisabeth James</cp:lastModifiedBy>
  <cp:revision>2</cp:revision>
  <cp:lastPrinted>2018-12-03T15:54:00Z</cp:lastPrinted>
  <dcterms:created xsi:type="dcterms:W3CDTF">2018-12-19T01:36:00Z</dcterms:created>
  <dcterms:modified xsi:type="dcterms:W3CDTF">2018-12-19T01:36:00Z</dcterms:modified>
</cp:coreProperties>
</file>