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4420" w:rsidRPr="00DB58B5" w:rsidTr="00DF5712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4420" w:rsidRPr="00DB58B5" w:rsidRDefault="00A14420" w:rsidP="00266AA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4420" w:rsidRPr="00DB58B5" w:rsidRDefault="00A14420" w:rsidP="00DF5712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4420" w:rsidRPr="00DB58B5" w:rsidRDefault="00266AAC" w:rsidP="00266AAC">
            <w:pPr>
              <w:jc w:val="right"/>
            </w:pPr>
            <w:r w:rsidRPr="00266AAC">
              <w:rPr>
                <w:sz w:val="40"/>
              </w:rPr>
              <w:t>ECE</w:t>
            </w:r>
            <w:r>
              <w:t>/MP.EIA/2019/8</w:t>
            </w:r>
          </w:p>
        </w:tc>
      </w:tr>
      <w:tr w:rsidR="00A14420" w:rsidRPr="00DB58B5" w:rsidTr="00DF5712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4420" w:rsidRPr="00DB58B5" w:rsidRDefault="00A14420" w:rsidP="00DF5712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16C91A0" wp14:editId="7D1B6E4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4420" w:rsidRPr="00740562" w:rsidRDefault="00A14420" w:rsidP="00DF5712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4420" w:rsidRDefault="00266AAC" w:rsidP="00DF5712">
            <w:pPr>
              <w:spacing w:before="240"/>
            </w:pPr>
            <w:r>
              <w:t>Distr. générale</w:t>
            </w:r>
          </w:p>
          <w:p w:rsidR="00266AAC" w:rsidRDefault="006D78C2" w:rsidP="00266AAC">
            <w:pPr>
              <w:spacing w:line="240" w:lineRule="exact"/>
            </w:pPr>
            <w:r>
              <w:t>22</w:t>
            </w:r>
            <w:r w:rsidR="00266AAC">
              <w:t xml:space="preserve"> novembre 2018</w:t>
            </w:r>
          </w:p>
          <w:p w:rsidR="00266AAC" w:rsidRDefault="00266AAC" w:rsidP="00266AAC">
            <w:pPr>
              <w:spacing w:line="240" w:lineRule="exact"/>
            </w:pPr>
            <w:r>
              <w:t>Français</w:t>
            </w:r>
          </w:p>
          <w:p w:rsidR="00266AAC" w:rsidRPr="00DB58B5" w:rsidRDefault="00266AAC" w:rsidP="00266AAC">
            <w:pPr>
              <w:spacing w:line="240" w:lineRule="exact"/>
            </w:pPr>
            <w:r>
              <w:t>Original : anglais</w:t>
            </w:r>
          </w:p>
        </w:tc>
      </w:tr>
    </w:tbl>
    <w:p w:rsidR="00C554CE" w:rsidRDefault="00C554CE" w:rsidP="00C554CE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266AAC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266AAC" w:rsidRPr="00C554CE" w:rsidRDefault="00266AAC" w:rsidP="00C554CE">
      <w:pPr>
        <w:spacing w:before="120"/>
        <w:rPr>
          <w:sz w:val="28"/>
          <w:szCs w:val="28"/>
          <w:lang w:val="fr-FR"/>
        </w:rPr>
      </w:pPr>
      <w:r w:rsidRPr="00C554CE">
        <w:rPr>
          <w:sz w:val="28"/>
          <w:szCs w:val="28"/>
          <w:lang w:val="fr-FR"/>
        </w:rPr>
        <w:t>Réunion des Parties à la Convention sur</w:t>
      </w:r>
      <w:r w:rsidRPr="00C554CE">
        <w:rPr>
          <w:sz w:val="28"/>
          <w:szCs w:val="28"/>
          <w:lang w:val="fr-FR"/>
        </w:rPr>
        <w:br/>
        <w:t>l</w:t>
      </w:r>
      <w:r>
        <w:rPr>
          <w:sz w:val="28"/>
          <w:szCs w:val="28"/>
          <w:lang w:val="fr-FR"/>
        </w:rPr>
        <w:t>’</w:t>
      </w:r>
      <w:r w:rsidRPr="00C554CE">
        <w:rPr>
          <w:sz w:val="28"/>
          <w:szCs w:val="28"/>
          <w:lang w:val="fr-FR"/>
        </w:rPr>
        <w:t>évaluation de l</w:t>
      </w:r>
      <w:r>
        <w:rPr>
          <w:sz w:val="28"/>
          <w:szCs w:val="28"/>
          <w:lang w:val="fr-FR"/>
        </w:rPr>
        <w:t>’</w:t>
      </w:r>
      <w:r w:rsidRPr="00C554CE">
        <w:rPr>
          <w:sz w:val="28"/>
          <w:szCs w:val="28"/>
          <w:lang w:val="fr-FR"/>
        </w:rPr>
        <w:t>impact sur l</w:t>
      </w:r>
      <w:r>
        <w:rPr>
          <w:sz w:val="28"/>
          <w:szCs w:val="28"/>
          <w:lang w:val="fr-FR"/>
        </w:rPr>
        <w:t>’</w:t>
      </w:r>
      <w:r w:rsidRPr="00C554CE">
        <w:rPr>
          <w:sz w:val="28"/>
          <w:szCs w:val="28"/>
          <w:lang w:val="fr-FR"/>
        </w:rPr>
        <w:t>environnement</w:t>
      </w:r>
      <w:r w:rsidRPr="00C554CE">
        <w:rPr>
          <w:sz w:val="28"/>
          <w:szCs w:val="28"/>
          <w:lang w:val="fr-FR"/>
        </w:rPr>
        <w:br/>
        <w:t>dans un contexte transfrontière</w:t>
      </w:r>
    </w:p>
    <w:p w:rsidR="00266AAC" w:rsidRPr="005B76A3" w:rsidRDefault="00266AAC" w:rsidP="00C554CE">
      <w:pPr>
        <w:spacing w:before="120"/>
        <w:rPr>
          <w:b/>
        </w:rPr>
      </w:pPr>
      <w:r>
        <w:rPr>
          <w:b/>
        </w:rPr>
        <w:t>Session intermédiaire</w:t>
      </w:r>
    </w:p>
    <w:p w:rsidR="00266AAC" w:rsidRDefault="00266AAC" w:rsidP="00C554CE">
      <w:r>
        <w:t>Genève, 5-7 février 2019</w:t>
      </w:r>
    </w:p>
    <w:p w:rsidR="00266AAC" w:rsidRDefault="00266AAC" w:rsidP="00C554CE">
      <w:r>
        <w:t>Point 3 a) et 8 de l’ordre du jour provisoire</w:t>
      </w:r>
    </w:p>
    <w:p w:rsidR="00266AAC" w:rsidRDefault="00266AAC" w:rsidP="00266AAC">
      <w:pPr>
        <w:rPr>
          <w:b/>
        </w:rPr>
      </w:pPr>
      <w:r>
        <w:rPr>
          <w:b/>
        </w:rPr>
        <w:t>Questions en suspens : projets de décision</w:t>
      </w:r>
    </w:p>
    <w:p w:rsidR="00266AAC" w:rsidRDefault="00266AAC" w:rsidP="00266AAC">
      <w:pPr>
        <w:rPr>
          <w:b/>
        </w:rPr>
      </w:pPr>
      <w:r>
        <w:rPr>
          <w:b/>
        </w:rPr>
        <w:t>Adoption des décisions par la Réunion des Parties</w:t>
      </w:r>
    </w:p>
    <w:p w:rsidR="00266AAC" w:rsidRDefault="00266AAC" w:rsidP="00266AAC">
      <w:pPr>
        <w:rPr>
          <w:b/>
        </w:rPr>
      </w:pPr>
      <w:r>
        <w:rPr>
          <w:b/>
        </w:rPr>
        <w:t>à la Convention</w:t>
      </w:r>
    </w:p>
    <w:p w:rsidR="00266AAC" w:rsidRDefault="00266AAC" w:rsidP="00266AAC">
      <w:pPr>
        <w:pStyle w:val="HChG"/>
      </w:pPr>
      <w:r>
        <w:tab/>
      </w:r>
      <w:r>
        <w:tab/>
      </w:r>
      <w:r w:rsidRPr="00432B90">
        <w:t>Projet de décision IS/1</w:t>
      </w:r>
      <w:r>
        <w:t>g</w:t>
      </w:r>
      <w:r w:rsidRPr="00432B90">
        <w:t xml:space="preserve"> concernant le respect par </w:t>
      </w:r>
      <w:r>
        <w:t xml:space="preserve">l’Ukraine </w:t>
      </w:r>
      <w:r w:rsidRPr="00432B90">
        <w:t>des obligations qui lui incombent en v</w:t>
      </w:r>
      <w:r>
        <w:t>ertu de la Convention pour ce qui est de la prolongation de la durée de vie</w:t>
      </w:r>
      <w:r>
        <w:br/>
        <w:t>de la centrale nucléaire de Rivne</w:t>
      </w:r>
    </w:p>
    <w:p w:rsidR="00E96BD6" w:rsidRDefault="00266AAC" w:rsidP="00266AAC">
      <w:pPr>
        <w:pStyle w:val="H1G"/>
      </w:pPr>
      <w:r>
        <w:tab/>
      </w:r>
      <w:r>
        <w:tab/>
        <w:t>Proposition du Comité d’application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266AAC">
        <w:trPr>
          <w:jc w:val="center"/>
        </w:trPr>
        <w:tc>
          <w:tcPr>
            <w:tcW w:w="9637" w:type="dxa"/>
            <w:shd w:val="clear" w:color="auto" w:fill="auto"/>
          </w:tcPr>
          <w:p w:rsidR="00266AAC" w:rsidRDefault="00266AAC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266AAC">
        <w:trPr>
          <w:jc w:val="center"/>
        </w:trPr>
        <w:tc>
          <w:tcPr>
            <w:tcW w:w="9637" w:type="dxa"/>
            <w:shd w:val="clear" w:color="auto" w:fill="auto"/>
          </w:tcPr>
          <w:p w:rsidR="00266AAC" w:rsidRDefault="00266AAC" w:rsidP="00266AAC">
            <w:pPr>
              <w:pStyle w:val="SingleTxtG"/>
              <w:ind w:firstLine="567"/>
            </w:pPr>
            <w:r w:rsidRPr="00266AAC">
              <w:rPr>
                <w:lang w:val="fr-FR"/>
              </w:rPr>
              <w:t>Le projet de décision figurant dans le présent document a été établi comme suite à la demande formulée par la Réunion des Parties à la Convention sur l</w:t>
            </w:r>
            <w:r>
              <w:rPr>
                <w:lang w:val="fr-FR"/>
              </w:rPr>
              <w:t>’</w:t>
            </w:r>
            <w:r w:rsidRPr="00266AAC">
              <w:rPr>
                <w:lang w:val="fr-FR"/>
              </w:rPr>
              <w:t>évaluation de l</w:t>
            </w:r>
            <w:r>
              <w:rPr>
                <w:lang w:val="fr-FR"/>
              </w:rPr>
              <w:t>’</w:t>
            </w:r>
            <w:r w:rsidRPr="00266AAC">
              <w:rPr>
                <w:lang w:val="fr-FR"/>
              </w:rPr>
              <w:t>impact sur l</w:t>
            </w:r>
            <w:r>
              <w:rPr>
                <w:lang w:val="fr-FR"/>
              </w:rPr>
              <w:t>’</w:t>
            </w:r>
            <w:r w:rsidRPr="00266AAC">
              <w:rPr>
                <w:lang w:val="fr-FR"/>
              </w:rPr>
              <w:t>environnement dans un contexte transfrontière à</w:t>
            </w:r>
            <w:r>
              <w:rPr>
                <w:lang w:val="fr-FR"/>
              </w:rPr>
              <w:t xml:space="preserve"> sa septième session (Minsk, 13</w:t>
            </w:r>
            <w:r>
              <w:rPr>
                <w:lang w:val="fr-FR"/>
              </w:rPr>
              <w:noBreakHyphen/>
            </w:r>
            <w:r w:rsidRPr="00266AAC">
              <w:rPr>
                <w:lang w:val="fr-FR"/>
              </w:rPr>
              <w:t>16</w:t>
            </w:r>
            <w:r>
              <w:rPr>
                <w:lang w:val="fr-FR"/>
              </w:rPr>
              <w:t> </w:t>
            </w:r>
            <w:r w:rsidRPr="00266AAC">
              <w:rPr>
                <w:lang w:val="fr-FR"/>
              </w:rPr>
              <w:t>juin 2017), tendant à ce que le Comité d</w:t>
            </w:r>
            <w:r>
              <w:rPr>
                <w:lang w:val="fr-FR"/>
              </w:rPr>
              <w:t>’</w:t>
            </w:r>
            <w:r w:rsidRPr="00266AAC">
              <w:rPr>
                <w:lang w:val="fr-FR"/>
              </w:rPr>
              <w:t>application révise le projet de décision VII/2 sur l</w:t>
            </w:r>
            <w:r>
              <w:rPr>
                <w:lang w:val="fr-FR"/>
              </w:rPr>
              <w:t>’</w:t>
            </w:r>
            <w:r w:rsidRPr="00266AAC">
              <w:rPr>
                <w:lang w:val="fr-FR"/>
              </w:rPr>
              <w:t>examen du respect des dispositions de la Convention en tenant compte des travaux et des progrès réalisés avant et pendant la septième session de la Réunion des Parties (ECE/MP.EIA/23-ECE/MP.EIA/SEA/7, par.</w:t>
            </w:r>
            <w:r>
              <w:rPr>
                <w:lang w:val="fr-FR"/>
              </w:rPr>
              <w:t> </w:t>
            </w:r>
            <w:r w:rsidRPr="00266AAC">
              <w:rPr>
                <w:lang w:val="fr-FR"/>
              </w:rPr>
              <w:t>27). Afin de faciliter l</w:t>
            </w:r>
            <w:r>
              <w:rPr>
                <w:lang w:val="fr-FR"/>
              </w:rPr>
              <w:t>’</w:t>
            </w:r>
            <w:r w:rsidRPr="00266AAC">
              <w:rPr>
                <w:lang w:val="fr-FR"/>
              </w:rPr>
              <w:t>examen et l</w:t>
            </w:r>
            <w:r>
              <w:rPr>
                <w:lang w:val="fr-FR"/>
              </w:rPr>
              <w:t>’</w:t>
            </w:r>
            <w:r w:rsidRPr="00266AAC">
              <w:rPr>
                <w:lang w:val="fr-FR"/>
              </w:rPr>
              <w:t>adoption du projet de décision VII/2, celui-ci a été scindé en plusieurs projets</w:t>
            </w:r>
            <w:r w:rsidR="006D78C2">
              <w:rPr>
                <w:lang w:val="fr-FR"/>
              </w:rPr>
              <w:t> </w:t>
            </w:r>
            <w:r w:rsidRPr="00266AAC">
              <w:rPr>
                <w:lang w:val="fr-FR"/>
              </w:rPr>
              <w:t>: un projet de décision sur les questions d</w:t>
            </w:r>
            <w:r>
              <w:rPr>
                <w:lang w:val="fr-FR"/>
              </w:rPr>
              <w:t>’</w:t>
            </w:r>
            <w:r w:rsidRPr="00266AAC">
              <w:rPr>
                <w:lang w:val="fr-FR"/>
              </w:rPr>
              <w:t>ordre général concernant le respect des dispositions et des projets de décision distincts sur les questions propres à différents pays en matière de respect des dispositions.</w:t>
            </w:r>
          </w:p>
        </w:tc>
      </w:tr>
      <w:tr w:rsidR="00266AAC">
        <w:trPr>
          <w:jc w:val="center"/>
        </w:trPr>
        <w:tc>
          <w:tcPr>
            <w:tcW w:w="9637" w:type="dxa"/>
            <w:shd w:val="clear" w:color="auto" w:fill="auto"/>
          </w:tcPr>
          <w:p w:rsidR="00266AAC" w:rsidRDefault="00266AAC" w:rsidP="00266AAC">
            <w:pPr>
              <w:pStyle w:val="SingleTxtG"/>
              <w:ind w:firstLine="567"/>
            </w:pPr>
            <w:r w:rsidRPr="00266AAC">
              <w:rPr>
                <w:lang w:val="fr-FR"/>
              </w:rPr>
              <w:t>Le projet de décision IS/1g présente une version révisée du texte du projet de décision VII/2 concernant la suite donnée par l</w:t>
            </w:r>
            <w:r>
              <w:rPr>
                <w:lang w:val="fr-FR"/>
              </w:rPr>
              <w:t>’</w:t>
            </w:r>
            <w:r w:rsidRPr="00266AAC">
              <w:rPr>
                <w:lang w:val="fr-FR"/>
              </w:rPr>
              <w:t>Ukraine à la décision VI/2 pour ce qui est de la prolongation de la durée de vie de la centrale nucléaire de Rivne.</w:t>
            </w:r>
          </w:p>
        </w:tc>
      </w:tr>
      <w:tr w:rsidR="00266AAC">
        <w:trPr>
          <w:jc w:val="center"/>
        </w:trPr>
        <w:tc>
          <w:tcPr>
            <w:tcW w:w="9637" w:type="dxa"/>
            <w:shd w:val="clear" w:color="auto" w:fill="auto"/>
          </w:tcPr>
          <w:p w:rsidR="00266AAC" w:rsidRDefault="00266AAC" w:rsidP="00266AAC">
            <w:pPr>
              <w:pStyle w:val="SingleTxtG"/>
              <w:ind w:firstLine="567"/>
            </w:pPr>
            <w:r w:rsidRPr="00266AAC">
              <w:rPr>
                <w:lang w:val="fr-FR"/>
              </w:rPr>
              <w:t>La Réunion des Parties devrait examiner le projet de décision et décider de l</w:t>
            </w:r>
            <w:r>
              <w:rPr>
                <w:lang w:val="fr-FR"/>
              </w:rPr>
              <w:t>’</w:t>
            </w:r>
            <w:r w:rsidRPr="00266AAC">
              <w:rPr>
                <w:lang w:val="fr-FR"/>
              </w:rPr>
              <w:t>adopter.</w:t>
            </w:r>
          </w:p>
        </w:tc>
      </w:tr>
      <w:tr w:rsidR="00266AAC">
        <w:trPr>
          <w:jc w:val="center"/>
        </w:trPr>
        <w:tc>
          <w:tcPr>
            <w:tcW w:w="9637" w:type="dxa"/>
            <w:shd w:val="clear" w:color="auto" w:fill="auto"/>
          </w:tcPr>
          <w:p w:rsidR="00266AAC" w:rsidRDefault="00266AAC"/>
        </w:tc>
      </w:tr>
    </w:tbl>
    <w:p w:rsidR="00266AAC" w:rsidRPr="00266AAC" w:rsidRDefault="00266AAC" w:rsidP="00266AAC">
      <w:pPr>
        <w:pStyle w:val="SingleTxtG"/>
        <w:ind w:firstLine="567"/>
        <w:rPr>
          <w:i/>
          <w:lang w:val="fr-FR"/>
        </w:rPr>
      </w:pPr>
      <w:r>
        <w:br w:type="page"/>
      </w:r>
      <w:r w:rsidRPr="00266AAC">
        <w:rPr>
          <w:i/>
          <w:lang w:val="fr-FR"/>
        </w:rPr>
        <w:lastRenderedPageBreak/>
        <w:t>La Réunion des Parties</w:t>
      </w:r>
      <w:r w:rsidRPr="00266AAC">
        <w:rPr>
          <w:lang w:val="fr-FR"/>
        </w:rPr>
        <w:t>,</w:t>
      </w:r>
    </w:p>
    <w:p w:rsidR="00266AAC" w:rsidRPr="00266AAC" w:rsidRDefault="00266AAC" w:rsidP="00266AAC">
      <w:pPr>
        <w:pStyle w:val="SingleTxtG"/>
        <w:ind w:firstLine="567"/>
        <w:rPr>
          <w:lang w:val="fr-FR"/>
        </w:rPr>
      </w:pPr>
      <w:r w:rsidRPr="00266AAC">
        <w:rPr>
          <w:i/>
          <w:lang w:val="fr-FR"/>
        </w:rPr>
        <w:t>Rappelant</w:t>
      </w:r>
      <w:r w:rsidRPr="00266AAC">
        <w:rPr>
          <w:lang w:val="fr-FR"/>
        </w:rPr>
        <w:t xml:space="preserve"> le paragraphe</w:t>
      </w:r>
      <w:r>
        <w:rPr>
          <w:lang w:val="fr-FR"/>
        </w:rPr>
        <w:t xml:space="preserve"> </w:t>
      </w:r>
      <w:r w:rsidRPr="00266AAC">
        <w:rPr>
          <w:lang w:val="fr-FR"/>
        </w:rPr>
        <w:t>2 de l</w:t>
      </w:r>
      <w:r>
        <w:rPr>
          <w:lang w:val="fr-FR"/>
        </w:rPr>
        <w:t>’</w:t>
      </w:r>
      <w:r w:rsidRPr="00266AAC">
        <w:rPr>
          <w:lang w:val="fr-FR"/>
        </w:rPr>
        <w:t>article</w:t>
      </w:r>
      <w:r>
        <w:rPr>
          <w:lang w:val="fr-FR"/>
        </w:rPr>
        <w:t xml:space="preserve"> </w:t>
      </w:r>
      <w:r w:rsidRPr="00266AAC">
        <w:rPr>
          <w:lang w:val="fr-FR"/>
        </w:rPr>
        <w:t>11 et l</w:t>
      </w:r>
      <w:r>
        <w:rPr>
          <w:lang w:val="fr-FR"/>
        </w:rPr>
        <w:t>’</w:t>
      </w:r>
      <w:r w:rsidRPr="00266AAC">
        <w:rPr>
          <w:lang w:val="fr-FR"/>
        </w:rPr>
        <w:t xml:space="preserve">article 14 </w:t>
      </w:r>
      <w:r w:rsidRPr="006D78C2">
        <w:rPr>
          <w:i/>
          <w:lang w:val="fr-FR"/>
        </w:rPr>
        <w:t>bis</w:t>
      </w:r>
      <w:r w:rsidRPr="00266AAC">
        <w:rPr>
          <w:lang w:val="fr-FR"/>
        </w:rPr>
        <w:t xml:space="preserve"> de la Convention sur l</w:t>
      </w:r>
      <w:r>
        <w:rPr>
          <w:lang w:val="fr-FR"/>
        </w:rPr>
        <w:t>’</w:t>
      </w:r>
      <w:r w:rsidRPr="00266AAC">
        <w:rPr>
          <w:lang w:val="fr-FR"/>
        </w:rPr>
        <w:t>évaluation de l</w:t>
      </w:r>
      <w:r>
        <w:rPr>
          <w:lang w:val="fr-FR"/>
        </w:rPr>
        <w:t>’</w:t>
      </w:r>
      <w:r w:rsidRPr="00266AAC">
        <w:rPr>
          <w:lang w:val="fr-FR"/>
        </w:rPr>
        <w:t>impact sur l</w:t>
      </w:r>
      <w:r>
        <w:rPr>
          <w:lang w:val="fr-FR"/>
        </w:rPr>
        <w:t>’</w:t>
      </w:r>
      <w:r w:rsidRPr="00266AAC">
        <w:rPr>
          <w:lang w:val="fr-FR"/>
        </w:rPr>
        <w:t>environnement dans un contexte transfrontière,</w:t>
      </w:r>
    </w:p>
    <w:p w:rsidR="00266AAC" w:rsidRPr="00266AAC" w:rsidRDefault="00266AAC" w:rsidP="00266AAC">
      <w:pPr>
        <w:pStyle w:val="SingleTxtG"/>
        <w:ind w:firstLine="567"/>
        <w:rPr>
          <w:lang w:val="fr-FR"/>
        </w:rPr>
      </w:pPr>
      <w:r w:rsidRPr="00266AAC">
        <w:rPr>
          <w:i/>
          <w:lang w:val="fr-FR"/>
        </w:rPr>
        <w:t>Rappelant également</w:t>
      </w:r>
      <w:r w:rsidRPr="00266AAC">
        <w:rPr>
          <w:lang w:val="fr-FR"/>
        </w:rPr>
        <w:t xml:space="preserve"> les paragraphes 68 à 71 de sa décision VI/2, concernant le respect des dispositions par l</w:t>
      </w:r>
      <w:r>
        <w:rPr>
          <w:lang w:val="fr-FR"/>
        </w:rPr>
        <w:t>’</w:t>
      </w:r>
      <w:r w:rsidRPr="00266AAC">
        <w:rPr>
          <w:lang w:val="fr-FR"/>
        </w:rPr>
        <w:t>Ukraine pour ce qui est de la prolongation de la durée de vie des réacteurs 1 et 2 de la centrale nucléaire de Rivne,</w:t>
      </w:r>
    </w:p>
    <w:p w:rsidR="00266AAC" w:rsidRPr="00266AAC" w:rsidRDefault="00266AAC" w:rsidP="00266AAC">
      <w:pPr>
        <w:pStyle w:val="SingleTxtG"/>
        <w:ind w:firstLine="567"/>
        <w:rPr>
          <w:lang w:val="fr-FR"/>
        </w:rPr>
      </w:pPr>
      <w:r w:rsidRPr="00266AAC">
        <w:rPr>
          <w:i/>
          <w:lang w:val="fr-FR"/>
        </w:rPr>
        <w:t xml:space="preserve">Rappelant en outre </w:t>
      </w:r>
      <w:r w:rsidRPr="00266AAC">
        <w:rPr>
          <w:lang w:val="fr-FR"/>
        </w:rPr>
        <w:t>qu</w:t>
      </w:r>
      <w:r>
        <w:rPr>
          <w:lang w:val="fr-FR"/>
        </w:rPr>
        <w:t>’</w:t>
      </w:r>
      <w:r w:rsidRPr="00266AAC">
        <w:rPr>
          <w:lang w:val="fr-FR"/>
        </w:rPr>
        <w:t>elle a décidé à sa septième session de mettre un point final à ses délibérations sur l</w:t>
      </w:r>
      <w:r>
        <w:rPr>
          <w:lang w:val="fr-FR"/>
        </w:rPr>
        <w:t>’</w:t>
      </w:r>
      <w:r w:rsidRPr="00266AAC">
        <w:rPr>
          <w:lang w:val="fr-FR"/>
        </w:rPr>
        <w:t>examen du respect des dispositions lors d</w:t>
      </w:r>
      <w:r>
        <w:rPr>
          <w:lang w:val="fr-FR"/>
        </w:rPr>
        <w:t>’</w:t>
      </w:r>
      <w:r w:rsidR="006D78C2">
        <w:rPr>
          <w:lang w:val="fr-FR"/>
        </w:rPr>
        <w:t xml:space="preserve">une session intermédiaire, </w:t>
      </w:r>
      <w:r w:rsidRPr="00266AAC">
        <w:rPr>
          <w:lang w:val="fr-FR"/>
        </w:rPr>
        <w:t>en se fondant sur un projet de décision révisé qu</w:t>
      </w:r>
      <w:r>
        <w:rPr>
          <w:lang w:val="fr-FR"/>
        </w:rPr>
        <w:t>’</w:t>
      </w:r>
      <w:r w:rsidRPr="00266AAC">
        <w:rPr>
          <w:lang w:val="fr-FR"/>
        </w:rPr>
        <w:t>établirait le Comité d</w:t>
      </w:r>
      <w:r>
        <w:rPr>
          <w:lang w:val="fr-FR"/>
        </w:rPr>
        <w:t>’</w:t>
      </w:r>
      <w:r w:rsidRPr="00266AAC">
        <w:rPr>
          <w:lang w:val="fr-FR"/>
        </w:rPr>
        <w:t>application et en tenant compte des travaux et des progrès réalisés avant et pendant la septième session</w:t>
      </w:r>
      <w:r w:rsidRPr="00266AAC">
        <w:rPr>
          <w:rStyle w:val="FootnoteReference"/>
          <w:lang w:val="fr-FR"/>
        </w:rPr>
        <w:footnoteReference w:id="2"/>
      </w:r>
      <w:r w:rsidRPr="00266AAC">
        <w:rPr>
          <w:lang w:val="fr-FR"/>
        </w:rPr>
        <w:t>,</w:t>
      </w:r>
    </w:p>
    <w:p w:rsidR="00266AAC" w:rsidRPr="00266AAC" w:rsidRDefault="00266AAC" w:rsidP="00266AAC">
      <w:pPr>
        <w:pStyle w:val="SingleTxtG"/>
        <w:ind w:firstLine="567"/>
        <w:rPr>
          <w:lang w:val="fr-FR"/>
        </w:rPr>
      </w:pPr>
      <w:r w:rsidRPr="00266AAC">
        <w:rPr>
          <w:i/>
          <w:lang w:val="fr-FR"/>
        </w:rPr>
        <w:t>Ayant examiné</w:t>
      </w:r>
      <w:r w:rsidRPr="00266AAC">
        <w:rPr>
          <w:lang w:val="fr-FR"/>
        </w:rPr>
        <w:t xml:space="preserve"> les sections concernant l</w:t>
      </w:r>
      <w:r>
        <w:rPr>
          <w:lang w:val="fr-FR"/>
        </w:rPr>
        <w:t>’</w:t>
      </w:r>
      <w:r w:rsidRPr="00266AAC">
        <w:rPr>
          <w:lang w:val="fr-FR"/>
        </w:rPr>
        <w:t>Ukraine dans le rapport sur les activités du Comité d</w:t>
      </w:r>
      <w:r>
        <w:rPr>
          <w:lang w:val="fr-FR"/>
        </w:rPr>
        <w:t>’</w:t>
      </w:r>
      <w:r w:rsidRPr="00266AAC">
        <w:rPr>
          <w:lang w:val="fr-FR"/>
        </w:rPr>
        <w:t>application présenté à la Réunion des Parties à la Convention à sa septième session</w:t>
      </w:r>
      <w:r w:rsidRPr="00266AAC">
        <w:rPr>
          <w:rStyle w:val="FootnoteReference"/>
          <w:lang w:val="fr-FR"/>
        </w:rPr>
        <w:footnoteReference w:id="3"/>
      </w:r>
      <w:r w:rsidRPr="00266AAC">
        <w:rPr>
          <w:lang w:val="fr-FR"/>
        </w:rPr>
        <w:t xml:space="preserve"> et dans les rapports du Comité sur ses trente-neuvième</w:t>
      </w:r>
      <w:r w:rsidRPr="00266AAC">
        <w:rPr>
          <w:rStyle w:val="FootnoteReference"/>
          <w:lang w:val="fr-FR"/>
        </w:rPr>
        <w:footnoteReference w:id="4"/>
      </w:r>
      <w:r w:rsidRPr="00266AAC">
        <w:rPr>
          <w:lang w:val="fr-FR"/>
        </w:rPr>
        <w:t>, quarante et unième</w:t>
      </w:r>
      <w:r w:rsidRPr="00266AAC">
        <w:rPr>
          <w:rStyle w:val="FootnoteReference"/>
          <w:lang w:val="fr-FR"/>
        </w:rPr>
        <w:footnoteReference w:id="5"/>
      </w:r>
      <w:r w:rsidRPr="00266AAC">
        <w:rPr>
          <w:lang w:val="fr-FR"/>
        </w:rPr>
        <w:t xml:space="preserve"> et quarante-deuxième</w:t>
      </w:r>
      <w:r w:rsidRPr="00266AAC">
        <w:rPr>
          <w:rStyle w:val="FootnoteReference"/>
          <w:lang w:val="fr-FR"/>
        </w:rPr>
        <w:footnoteReference w:id="6"/>
      </w:r>
      <w:r w:rsidRPr="00266AAC">
        <w:rPr>
          <w:lang w:val="fr-FR"/>
        </w:rPr>
        <w:t xml:space="preserve"> sessions,</w:t>
      </w:r>
    </w:p>
    <w:p w:rsidR="00266AAC" w:rsidRPr="00266AAC" w:rsidRDefault="00266AAC" w:rsidP="00266AAC">
      <w:pPr>
        <w:pStyle w:val="SingleTxtG"/>
        <w:ind w:firstLine="567"/>
        <w:rPr>
          <w:lang w:val="fr-FR"/>
        </w:rPr>
      </w:pPr>
      <w:r w:rsidRPr="00266AAC">
        <w:rPr>
          <w:i/>
          <w:lang w:val="fr-FR"/>
        </w:rPr>
        <w:t>Rappelant</w:t>
      </w:r>
      <w:r w:rsidRPr="00266AAC">
        <w:rPr>
          <w:lang w:val="fr-FR"/>
        </w:rPr>
        <w:t xml:space="preserve"> sa décision IS/1 sur l</w:t>
      </w:r>
      <w:r>
        <w:rPr>
          <w:lang w:val="fr-FR"/>
        </w:rPr>
        <w:t>’</w:t>
      </w:r>
      <w:r w:rsidRPr="00266AAC">
        <w:rPr>
          <w:lang w:val="fr-FR"/>
        </w:rPr>
        <w:t>examen du respect des dispositions de la Convention, adoptée à la session intermédiaire,</w:t>
      </w:r>
    </w:p>
    <w:p w:rsidR="00266AAC" w:rsidRPr="00266AAC" w:rsidRDefault="00266AAC" w:rsidP="00266AAC">
      <w:pPr>
        <w:pStyle w:val="SingleTxtG"/>
        <w:ind w:firstLine="567"/>
        <w:rPr>
          <w:lang w:val="fr-FR"/>
        </w:rPr>
      </w:pPr>
      <w:r w:rsidRPr="00266AAC">
        <w:rPr>
          <w:lang w:val="fr-FR"/>
        </w:rPr>
        <w:t>1.</w:t>
      </w:r>
      <w:r w:rsidRPr="00266AAC">
        <w:rPr>
          <w:lang w:val="fr-FR"/>
        </w:rPr>
        <w:tab/>
      </w:r>
      <w:r w:rsidRPr="00266AAC">
        <w:rPr>
          <w:i/>
          <w:lang w:val="fr-FR"/>
        </w:rPr>
        <w:t>Prend note avec satisfaction</w:t>
      </w:r>
      <w:r w:rsidRPr="00266AAC">
        <w:rPr>
          <w:lang w:val="fr-FR"/>
        </w:rPr>
        <w:t xml:space="preserve"> de l</w:t>
      </w:r>
      <w:r>
        <w:rPr>
          <w:lang w:val="fr-FR"/>
        </w:rPr>
        <w:t>’</w:t>
      </w:r>
      <w:r w:rsidRPr="00266AAC">
        <w:rPr>
          <w:lang w:val="fr-FR"/>
        </w:rPr>
        <w:t>information fournie régulièrement par l</w:t>
      </w:r>
      <w:r>
        <w:rPr>
          <w:lang w:val="fr-FR"/>
        </w:rPr>
        <w:t>’</w:t>
      </w:r>
      <w:r w:rsidRPr="00266AAC">
        <w:rPr>
          <w:lang w:val="fr-FR"/>
        </w:rPr>
        <w:t>Ukraine conformément au paragraphe 71 de la décision VI/2, concernant l</w:t>
      </w:r>
      <w:r>
        <w:rPr>
          <w:lang w:val="fr-FR"/>
        </w:rPr>
        <w:t>’</w:t>
      </w:r>
      <w:r w:rsidRPr="00266AAC">
        <w:rPr>
          <w:lang w:val="fr-FR"/>
        </w:rPr>
        <w:t>initiative du Comité relative à la prolongation de la durée de vie de la centrale nucléaire de Rivne</w:t>
      </w:r>
      <w:r>
        <w:rPr>
          <w:lang w:val="fr-FR"/>
        </w:rPr>
        <w:t> </w:t>
      </w:r>
      <w:r w:rsidRPr="00266AAC">
        <w:rPr>
          <w:lang w:val="fr-FR"/>
        </w:rPr>
        <w:t>;</w:t>
      </w:r>
    </w:p>
    <w:p w:rsidR="00266AAC" w:rsidRPr="00266AAC" w:rsidRDefault="00266AAC" w:rsidP="00266AAC">
      <w:pPr>
        <w:pStyle w:val="SingleTxtG"/>
        <w:ind w:firstLine="567"/>
        <w:rPr>
          <w:lang w:val="fr-FR"/>
        </w:rPr>
      </w:pPr>
      <w:r w:rsidRPr="00266AAC">
        <w:rPr>
          <w:lang w:val="fr-FR"/>
        </w:rPr>
        <w:t>2.</w:t>
      </w:r>
      <w:r w:rsidRPr="00266AAC">
        <w:rPr>
          <w:lang w:val="fr-FR"/>
        </w:rPr>
        <w:tab/>
      </w:r>
      <w:r w:rsidRPr="00266AAC">
        <w:rPr>
          <w:i/>
          <w:lang w:val="fr-FR"/>
        </w:rPr>
        <w:t xml:space="preserve">Constate </w:t>
      </w:r>
      <w:r w:rsidRPr="00266AAC">
        <w:rPr>
          <w:lang w:val="fr-FR"/>
        </w:rPr>
        <w:t>les mesures prises par l</w:t>
      </w:r>
      <w:r>
        <w:rPr>
          <w:lang w:val="fr-FR"/>
        </w:rPr>
        <w:t>’</w:t>
      </w:r>
      <w:r w:rsidRPr="00266AAC">
        <w:rPr>
          <w:lang w:val="fr-FR"/>
        </w:rPr>
        <w:t>Ukraine pour se conformer aux dispositions de la Convention visées aux paragraphes 69 et 70 de la décision VI/2 s</w:t>
      </w:r>
      <w:r>
        <w:rPr>
          <w:lang w:val="fr-FR"/>
        </w:rPr>
        <w:t>’</w:t>
      </w:r>
      <w:r w:rsidRPr="00266AAC">
        <w:rPr>
          <w:lang w:val="fr-FR"/>
        </w:rPr>
        <w:t>agissant de la prolongation de la durée de vie des réacteurs 1 et 2 de la centrale nucléaire de Rivne</w:t>
      </w:r>
      <w:r w:rsidRPr="00266AAC">
        <w:rPr>
          <w:rStyle w:val="FootnoteReference"/>
          <w:lang w:val="fr-FR"/>
        </w:rPr>
        <w:footnoteReference w:id="7"/>
      </w:r>
      <w:r>
        <w:rPr>
          <w:lang w:val="fr-FR"/>
        </w:rPr>
        <w:t> </w:t>
      </w:r>
      <w:r w:rsidRPr="00266AAC">
        <w:rPr>
          <w:lang w:val="fr-FR"/>
        </w:rPr>
        <w:t>;</w:t>
      </w:r>
    </w:p>
    <w:p w:rsidR="00266AAC" w:rsidRPr="00266AAC" w:rsidRDefault="00266AAC" w:rsidP="00266AAC">
      <w:pPr>
        <w:pStyle w:val="SingleTxtG"/>
        <w:ind w:firstLine="567"/>
        <w:rPr>
          <w:lang w:val="fr-FR"/>
        </w:rPr>
      </w:pPr>
      <w:r w:rsidRPr="00266AAC">
        <w:rPr>
          <w:lang w:val="fr-FR"/>
        </w:rPr>
        <w:t>3.</w:t>
      </w:r>
      <w:r w:rsidRPr="00266AAC">
        <w:rPr>
          <w:lang w:val="fr-FR"/>
        </w:rPr>
        <w:tab/>
      </w:r>
      <w:r w:rsidRPr="00266AAC">
        <w:rPr>
          <w:i/>
          <w:lang w:val="fr-FR"/>
        </w:rPr>
        <w:t>Note avec satisfaction</w:t>
      </w:r>
      <w:r w:rsidRPr="00266AAC">
        <w:rPr>
          <w:lang w:val="fr-FR"/>
        </w:rPr>
        <w:t xml:space="preserve"> que l</w:t>
      </w:r>
      <w:r>
        <w:rPr>
          <w:lang w:val="fr-FR"/>
        </w:rPr>
        <w:t>’</w:t>
      </w:r>
      <w:r w:rsidRPr="00266AAC">
        <w:rPr>
          <w:lang w:val="fr-FR"/>
        </w:rPr>
        <w:t>Ukraine a adopté la loi sur l</w:t>
      </w:r>
      <w:r>
        <w:rPr>
          <w:lang w:val="fr-FR"/>
        </w:rPr>
        <w:t>’</w:t>
      </w:r>
      <w:r w:rsidRPr="00266AAC">
        <w:rPr>
          <w:lang w:val="fr-FR"/>
        </w:rPr>
        <w:t xml:space="preserve">évaluation de </w:t>
      </w:r>
      <w:r w:rsidRPr="006D78C2">
        <w:rPr>
          <w:spacing w:val="-2"/>
          <w:lang w:val="fr-FR"/>
        </w:rPr>
        <w:t>l’impact environnemental en mai 2017 puis un certain nombre de règlements d’application</w:t>
      </w:r>
      <w:r w:rsidRPr="00266AAC">
        <w:rPr>
          <w:rStyle w:val="FootnoteReference"/>
          <w:lang w:val="fr-FR"/>
        </w:rPr>
        <w:footnoteReference w:id="8"/>
      </w:r>
      <w:r>
        <w:rPr>
          <w:lang w:val="fr-FR"/>
        </w:rPr>
        <w:t> </w:t>
      </w:r>
      <w:r w:rsidRPr="00266AAC">
        <w:rPr>
          <w:lang w:val="fr-FR"/>
        </w:rPr>
        <w:t>;</w:t>
      </w:r>
    </w:p>
    <w:p w:rsidR="00266AAC" w:rsidRPr="00266AAC" w:rsidRDefault="00266AAC" w:rsidP="00266AAC">
      <w:pPr>
        <w:pStyle w:val="SingleTxtG"/>
        <w:ind w:firstLine="567"/>
        <w:rPr>
          <w:lang w:val="fr-FR"/>
        </w:rPr>
      </w:pPr>
      <w:r w:rsidRPr="00266AAC">
        <w:rPr>
          <w:lang w:val="fr-FR"/>
        </w:rPr>
        <w:t>4.</w:t>
      </w:r>
      <w:r w:rsidRPr="00266AAC">
        <w:rPr>
          <w:lang w:val="fr-FR"/>
        </w:rPr>
        <w:tab/>
      </w:r>
      <w:r w:rsidRPr="00266AAC">
        <w:rPr>
          <w:i/>
          <w:lang w:val="fr-FR"/>
        </w:rPr>
        <w:t>Demande</w:t>
      </w:r>
      <w:r w:rsidRPr="00266AAC">
        <w:rPr>
          <w:lang w:val="fr-FR"/>
        </w:rPr>
        <w:t xml:space="preserve"> au Gouvernement ukrainien d</w:t>
      </w:r>
      <w:r>
        <w:rPr>
          <w:lang w:val="fr-FR"/>
        </w:rPr>
        <w:t>’</w:t>
      </w:r>
      <w:r w:rsidRPr="00266AAC">
        <w:rPr>
          <w:lang w:val="fr-FR"/>
        </w:rPr>
        <w:t xml:space="preserve">adopter sans tarder les autres </w:t>
      </w:r>
      <w:r w:rsidRPr="006D78C2">
        <w:rPr>
          <w:spacing w:val="-2"/>
          <w:lang w:val="fr-FR"/>
        </w:rPr>
        <w:t>règlements d’application, afin de rendre sa législation pleinement conforme à la</w:t>
      </w:r>
      <w:r w:rsidRPr="00266AAC">
        <w:rPr>
          <w:lang w:val="fr-FR"/>
        </w:rPr>
        <w:t xml:space="preserve"> Convention</w:t>
      </w:r>
      <w:r>
        <w:rPr>
          <w:lang w:val="fr-FR"/>
        </w:rPr>
        <w:t> </w:t>
      </w:r>
      <w:r w:rsidRPr="00266AAC">
        <w:rPr>
          <w:lang w:val="fr-FR"/>
        </w:rPr>
        <w:t>;</w:t>
      </w:r>
    </w:p>
    <w:p w:rsidR="00266AAC" w:rsidRPr="00266AAC" w:rsidRDefault="00266AAC" w:rsidP="00266AAC">
      <w:pPr>
        <w:pStyle w:val="SingleTxtG"/>
        <w:ind w:firstLine="567"/>
        <w:rPr>
          <w:lang w:val="fr-FR"/>
        </w:rPr>
      </w:pPr>
      <w:r w:rsidRPr="00266AAC">
        <w:rPr>
          <w:lang w:val="fr-FR"/>
        </w:rPr>
        <w:t>5.</w:t>
      </w:r>
      <w:r w:rsidRPr="00266AAC">
        <w:rPr>
          <w:lang w:val="fr-FR"/>
        </w:rPr>
        <w:tab/>
      </w:r>
      <w:r w:rsidRPr="00266AAC">
        <w:rPr>
          <w:i/>
          <w:lang w:val="fr-FR"/>
        </w:rPr>
        <w:t xml:space="preserve">Observe </w:t>
      </w:r>
      <w:r w:rsidRPr="00266AAC">
        <w:rPr>
          <w:lang w:val="fr-FR"/>
        </w:rPr>
        <w:t>que l</w:t>
      </w:r>
      <w:r>
        <w:rPr>
          <w:lang w:val="fr-FR"/>
        </w:rPr>
        <w:t>’</w:t>
      </w:r>
      <w:r w:rsidRPr="00266AAC">
        <w:rPr>
          <w:lang w:val="fr-FR"/>
        </w:rPr>
        <w:t>Ukraine a notifié les Parties pouvant être touchées, à savoir l</w:t>
      </w:r>
      <w:r>
        <w:rPr>
          <w:lang w:val="fr-FR"/>
        </w:rPr>
        <w:t>’</w:t>
      </w:r>
      <w:r w:rsidRPr="00266AAC">
        <w:rPr>
          <w:lang w:val="fr-FR"/>
        </w:rPr>
        <w:t>Autriche, le Bélarus, la Hongrie, la Pologne, la République de Moldova, la Roumanie et la Slovaquie, en ce qui concerne la prolongation de la durée de vie des réacteurs 1 et 2 de la centrale nucléaire de Rivne</w:t>
      </w:r>
      <w:r w:rsidRPr="00266AAC">
        <w:rPr>
          <w:rStyle w:val="FootnoteReference"/>
          <w:lang w:val="fr-FR"/>
        </w:rPr>
        <w:footnoteReference w:id="9"/>
      </w:r>
      <w:r w:rsidRPr="00266AAC">
        <w:rPr>
          <w:lang w:val="fr-FR"/>
        </w:rPr>
        <w:t xml:space="preserve"> et que certaines d</w:t>
      </w:r>
      <w:r>
        <w:rPr>
          <w:lang w:val="fr-FR"/>
        </w:rPr>
        <w:t>’</w:t>
      </w:r>
      <w:r w:rsidRPr="00266AAC">
        <w:rPr>
          <w:lang w:val="fr-FR"/>
        </w:rPr>
        <w:t>entre elles ont demandé à l</w:t>
      </w:r>
      <w:r>
        <w:rPr>
          <w:lang w:val="fr-FR"/>
        </w:rPr>
        <w:t>’</w:t>
      </w:r>
      <w:r w:rsidRPr="00266AAC">
        <w:rPr>
          <w:lang w:val="fr-FR"/>
        </w:rPr>
        <w:t>Ukraine de fournir des informations supplémentaires, y compris tous les renseignements énumérés au paragraphe 2 de l</w:t>
      </w:r>
      <w:r>
        <w:rPr>
          <w:lang w:val="fr-FR"/>
        </w:rPr>
        <w:t>’</w:t>
      </w:r>
      <w:r w:rsidRPr="00266AAC">
        <w:rPr>
          <w:lang w:val="fr-FR"/>
        </w:rPr>
        <w:t>article 3 de la Convention</w:t>
      </w:r>
      <w:r>
        <w:rPr>
          <w:lang w:val="fr-FR"/>
        </w:rPr>
        <w:t> </w:t>
      </w:r>
      <w:r w:rsidRPr="00266AAC">
        <w:rPr>
          <w:lang w:val="fr-FR"/>
        </w:rPr>
        <w:t>;</w:t>
      </w:r>
    </w:p>
    <w:p w:rsidR="00266AAC" w:rsidRPr="00266AAC" w:rsidRDefault="00266AAC" w:rsidP="00266AAC">
      <w:pPr>
        <w:pStyle w:val="SingleTxtG"/>
        <w:ind w:firstLine="567"/>
        <w:rPr>
          <w:lang w:val="fr-FR"/>
        </w:rPr>
      </w:pPr>
      <w:r w:rsidRPr="00266AAC">
        <w:rPr>
          <w:lang w:val="fr-FR"/>
        </w:rPr>
        <w:t>6.</w:t>
      </w:r>
      <w:r w:rsidRPr="00266AAC">
        <w:rPr>
          <w:lang w:val="fr-FR"/>
        </w:rPr>
        <w:tab/>
      </w:r>
      <w:r w:rsidRPr="00266AAC">
        <w:rPr>
          <w:i/>
          <w:lang w:val="fr-FR"/>
        </w:rPr>
        <w:t xml:space="preserve">Fait siennes </w:t>
      </w:r>
      <w:r w:rsidRPr="00266AAC">
        <w:rPr>
          <w:lang w:val="fr-FR"/>
        </w:rPr>
        <w:t>les conclusions formulées par le Comité d</w:t>
      </w:r>
      <w:r>
        <w:rPr>
          <w:lang w:val="fr-FR"/>
        </w:rPr>
        <w:t>’</w:t>
      </w:r>
      <w:r w:rsidRPr="00266AAC">
        <w:rPr>
          <w:lang w:val="fr-FR"/>
        </w:rPr>
        <w:t>application à ses quarante et unième et quarante-deuxième sessions selon lesquelles, en dépit des mesures positives adoptées, l</w:t>
      </w:r>
      <w:r>
        <w:rPr>
          <w:lang w:val="fr-FR"/>
        </w:rPr>
        <w:t>’</w:t>
      </w:r>
      <w:r w:rsidRPr="00266AAC">
        <w:rPr>
          <w:lang w:val="fr-FR"/>
        </w:rPr>
        <w:t>Ukraine demeure dans le non-respect des obligations qui lui incombent au titre de la Convention visées au paragraphe 70 de la décision VI/2</w:t>
      </w:r>
      <w:r>
        <w:rPr>
          <w:lang w:val="fr-FR"/>
        </w:rPr>
        <w:t> </w:t>
      </w:r>
      <w:r w:rsidRPr="00266AAC">
        <w:rPr>
          <w:lang w:val="fr-FR"/>
        </w:rPr>
        <w:t>;</w:t>
      </w:r>
    </w:p>
    <w:p w:rsidR="00266AAC" w:rsidRPr="00266AAC" w:rsidRDefault="00266AAC" w:rsidP="00266AAC">
      <w:pPr>
        <w:pStyle w:val="SingleTxtG"/>
        <w:ind w:firstLine="567"/>
        <w:rPr>
          <w:lang w:val="fr-FR"/>
        </w:rPr>
      </w:pPr>
      <w:r w:rsidRPr="00266AAC">
        <w:rPr>
          <w:lang w:val="fr-FR"/>
        </w:rPr>
        <w:t>7.</w:t>
      </w:r>
      <w:r w:rsidRPr="00266AAC">
        <w:rPr>
          <w:lang w:val="fr-FR"/>
        </w:rPr>
        <w:tab/>
      </w:r>
      <w:r w:rsidRPr="00266AAC">
        <w:rPr>
          <w:i/>
          <w:lang w:val="fr-FR"/>
        </w:rPr>
        <w:t xml:space="preserve">Demande </w:t>
      </w:r>
      <w:r w:rsidRPr="00266AAC">
        <w:rPr>
          <w:lang w:val="fr-FR"/>
        </w:rPr>
        <w:t>à l</w:t>
      </w:r>
      <w:r>
        <w:rPr>
          <w:lang w:val="fr-FR"/>
        </w:rPr>
        <w:t>’</w:t>
      </w:r>
      <w:r w:rsidRPr="00266AAC">
        <w:rPr>
          <w:lang w:val="fr-FR"/>
        </w:rPr>
        <w:t>Ukraine de poursuivre la procédure d</w:t>
      </w:r>
      <w:r>
        <w:rPr>
          <w:lang w:val="fr-FR"/>
        </w:rPr>
        <w:t>’</w:t>
      </w:r>
      <w:r w:rsidRPr="00266AAC">
        <w:rPr>
          <w:lang w:val="fr-FR"/>
        </w:rPr>
        <w:t>évaluation de l</w:t>
      </w:r>
      <w:r>
        <w:rPr>
          <w:lang w:val="fr-FR"/>
        </w:rPr>
        <w:t>’</w:t>
      </w:r>
      <w:r w:rsidRPr="00266AAC">
        <w:rPr>
          <w:lang w:val="fr-FR"/>
        </w:rPr>
        <w:t>impact sur l</w:t>
      </w:r>
      <w:r>
        <w:rPr>
          <w:lang w:val="fr-FR"/>
        </w:rPr>
        <w:t>’</w:t>
      </w:r>
      <w:r w:rsidRPr="00266AAC">
        <w:rPr>
          <w:lang w:val="fr-FR"/>
        </w:rPr>
        <w:t>environnement dans un contexte transfrontière avec les Parties désireuses de participer à la procédure, afin de mettre sans tarder le projet en conformité avec la Convention, et notamment</w:t>
      </w:r>
      <w:r>
        <w:rPr>
          <w:lang w:val="fr-FR"/>
        </w:rPr>
        <w:t> :</w:t>
      </w:r>
    </w:p>
    <w:p w:rsidR="00266AAC" w:rsidRPr="00266AAC" w:rsidRDefault="00266AAC" w:rsidP="00266AAC">
      <w:pPr>
        <w:pStyle w:val="SingleTxtG"/>
        <w:ind w:firstLine="567"/>
        <w:rPr>
          <w:lang w:val="fr-FR"/>
        </w:rPr>
      </w:pPr>
      <w:r w:rsidRPr="00266AAC">
        <w:rPr>
          <w:lang w:val="fr-FR"/>
        </w:rPr>
        <w:t>a)</w:t>
      </w:r>
      <w:r w:rsidRPr="00266AAC">
        <w:rPr>
          <w:lang w:val="fr-FR"/>
        </w:rPr>
        <w:tab/>
        <w:t>D</w:t>
      </w:r>
      <w:r>
        <w:rPr>
          <w:lang w:val="fr-FR"/>
        </w:rPr>
        <w:t>’</w:t>
      </w:r>
      <w:r w:rsidRPr="00266AAC">
        <w:rPr>
          <w:lang w:val="fr-FR"/>
        </w:rPr>
        <w:t>établir le dossier d</w:t>
      </w:r>
      <w:r>
        <w:rPr>
          <w:lang w:val="fr-FR"/>
        </w:rPr>
        <w:t>’</w:t>
      </w:r>
      <w:r w:rsidRPr="00266AAC">
        <w:rPr>
          <w:lang w:val="fr-FR"/>
        </w:rPr>
        <w:t>évaluation de l</w:t>
      </w:r>
      <w:r>
        <w:rPr>
          <w:lang w:val="fr-FR"/>
        </w:rPr>
        <w:t>’</w:t>
      </w:r>
      <w:r w:rsidRPr="00266AAC">
        <w:rPr>
          <w:lang w:val="fr-FR"/>
        </w:rPr>
        <w:t>impact sur l</w:t>
      </w:r>
      <w:r>
        <w:rPr>
          <w:lang w:val="fr-FR"/>
        </w:rPr>
        <w:t>’</w:t>
      </w:r>
      <w:r w:rsidRPr="00266AAC">
        <w:rPr>
          <w:lang w:val="fr-FR"/>
        </w:rPr>
        <w:t>environnement, y compris les aspects transfrontières, conformément à l</w:t>
      </w:r>
      <w:r>
        <w:rPr>
          <w:lang w:val="fr-FR"/>
        </w:rPr>
        <w:t>’</w:t>
      </w:r>
      <w:r w:rsidRPr="00266AAC">
        <w:rPr>
          <w:lang w:val="fr-FR"/>
        </w:rPr>
        <w:t>article 4 de la Convention et en prenant également en considération les observations reçues des parties pouvant être touchées</w:t>
      </w:r>
      <w:r>
        <w:rPr>
          <w:lang w:val="fr-FR"/>
        </w:rPr>
        <w:t> </w:t>
      </w:r>
      <w:r w:rsidRPr="00266AAC">
        <w:rPr>
          <w:lang w:val="fr-FR"/>
        </w:rPr>
        <w:t>;</w:t>
      </w:r>
    </w:p>
    <w:p w:rsidR="00266AAC" w:rsidRPr="00266AAC" w:rsidRDefault="00266AAC" w:rsidP="00266AAC">
      <w:pPr>
        <w:pStyle w:val="SingleTxtG"/>
        <w:ind w:firstLine="567"/>
        <w:rPr>
          <w:lang w:val="fr-FR"/>
        </w:rPr>
      </w:pPr>
      <w:r w:rsidRPr="00266AAC">
        <w:rPr>
          <w:lang w:val="fr-FR"/>
        </w:rPr>
        <w:lastRenderedPageBreak/>
        <w:t>b)</w:t>
      </w:r>
      <w:r w:rsidRPr="00266AAC">
        <w:rPr>
          <w:lang w:val="fr-FR"/>
        </w:rPr>
        <w:tab/>
        <w:t>De mener des consultations avec les autorités et le public des Parties touchées sur la base du dossier d</w:t>
      </w:r>
      <w:r>
        <w:rPr>
          <w:lang w:val="fr-FR"/>
        </w:rPr>
        <w:t>’</w:t>
      </w:r>
      <w:r w:rsidRPr="00266AAC">
        <w:rPr>
          <w:lang w:val="fr-FR"/>
        </w:rPr>
        <w:t>évaluation de l</w:t>
      </w:r>
      <w:r>
        <w:rPr>
          <w:lang w:val="fr-FR"/>
        </w:rPr>
        <w:t>’</w:t>
      </w:r>
      <w:r w:rsidRPr="00266AAC">
        <w:rPr>
          <w:lang w:val="fr-FR"/>
        </w:rPr>
        <w:t>impact sur l</w:t>
      </w:r>
      <w:r>
        <w:rPr>
          <w:lang w:val="fr-FR"/>
        </w:rPr>
        <w:t>’</w:t>
      </w:r>
      <w:r w:rsidRPr="00266AAC">
        <w:rPr>
          <w:lang w:val="fr-FR"/>
        </w:rPr>
        <w:t>environnement, comme prévu à l</w:t>
      </w:r>
      <w:r>
        <w:rPr>
          <w:lang w:val="fr-FR"/>
        </w:rPr>
        <w:t>’</w:t>
      </w:r>
      <w:r w:rsidRPr="00266AAC">
        <w:rPr>
          <w:lang w:val="fr-FR"/>
        </w:rPr>
        <w:t>article 5, au paragraphe 8 de l</w:t>
      </w:r>
      <w:r>
        <w:rPr>
          <w:lang w:val="fr-FR"/>
        </w:rPr>
        <w:t>’</w:t>
      </w:r>
      <w:r w:rsidRPr="00266AAC">
        <w:rPr>
          <w:lang w:val="fr-FR"/>
        </w:rPr>
        <w:t>article 3 et au paragraphe 2 de l</w:t>
      </w:r>
      <w:r>
        <w:rPr>
          <w:lang w:val="fr-FR"/>
        </w:rPr>
        <w:t>’</w:t>
      </w:r>
      <w:r w:rsidRPr="00266AAC">
        <w:rPr>
          <w:lang w:val="fr-FR"/>
        </w:rPr>
        <w:t>article 4 de la Convention</w:t>
      </w:r>
      <w:r>
        <w:rPr>
          <w:lang w:val="fr-FR"/>
        </w:rPr>
        <w:t> </w:t>
      </w:r>
      <w:r w:rsidRPr="00266AAC">
        <w:rPr>
          <w:lang w:val="fr-FR"/>
        </w:rPr>
        <w:t>;</w:t>
      </w:r>
    </w:p>
    <w:p w:rsidR="00266AAC" w:rsidRPr="00266AAC" w:rsidRDefault="00266AAC" w:rsidP="00266AAC">
      <w:pPr>
        <w:pStyle w:val="SingleTxtG"/>
        <w:ind w:firstLine="567"/>
        <w:rPr>
          <w:lang w:val="fr-FR"/>
        </w:rPr>
      </w:pPr>
      <w:r w:rsidRPr="00266AAC">
        <w:rPr>
          <w:lang w:val="fr-FR"/>
        </w:rPr>
        <w:t>c)</w:t>
      </w:r>
      <w:r w:rsidRPr="00266AAC">
        <w:rPr>
          <w:lang w:val="fr-FR"/>
        </w:rPr>
        <w:tab/>
        <w:t>De réviser la décision définitive concernant la prolongation de la durée de vie des réacteurs</w:t>
      </w:r>
      <w:r>
        <w:rPr>
          <w:lang w:val="fr-FR"/>
        </w:rPr>
        <w:t xml:space="preserve"> </w:t>
      </w:r>
      <w:r w:rsidRPr="00266AAC">
        <w:rPr>
          <w:lang w:val="fr-FR"/>
        </w:rPr>
        <w:t>1 et</w:t>
      </w:r>
      <w:r>
        <w:rPr>
          <w:lang w:val="fr-FR"/>
        </w:rPr>
        <w:t xml:space="preserve"> </w:t>
      </w:r>
      <w:r w:rsidRPr="00266AAC">
        <w:rPr>
          <w:lang w:val="fr-FR"/>
        </w:rPr>
        <w:t>2 de la centrale nucléaire de Rivne, en tenant dûment en compte des résultats de la procédure d</w:t>
      </w:r>
      <w:r>
        <w:rPr>
          <w:lang w:val="fr-FR"/>
        </w:rPr>
        <w:t>’</w:t>
      </w:r>
      <w:r w:rsidRPr="00266AAC">
        <w:rPr>
          <w:lang w:val="fr-FR"/>
        </w:rPr>
        <w:t>évaluation de l</w:t>
      </w:r>
      <w:r>
        <w:rPr>
          <w:lang w:val="fr-FR"/>
        </w:rPr>
        <w:t>’</w:t>
      </w:r>
      <w:r w:rsidRPr="00266AAC">
        <w:rPr>
          <w:lang w:val="fr-FR"/>
        </w:rPr>
        <w:t>impact environnemental, notamment du dossier d</w:t>
      </w:r>
      <w:r>
        <w:rPr>
          <w:lang w:val="fr-FR"/>
        </w:rPr>
        <w:t>’</w:t>
      </w:r>
      <w:r w:rsidRPr="00266AAC">
        <w:rPr>
          <w:lang w:val="fr-FR"/>
        </w:rPr>
        <w:t>évaluation de l</w:t>
      </w:r>
      <w:r>
        <w:rPr>
          <w:lang w:val="fr-FR"/>
        </w:rPr>
        <w:t>’</w:t>
      </w:r>
      <w:r w:rsidRPr="00266AAC">
        <w:rPr>
          <w:lang w:val="fr-FR"/>
        </w:rPr>
        <w:t>impact sur l</w:t>
      </w:r>
      <w:r>
        <w:rPr>
          <w:lang w:val="fr-FR"/>
        </w:rPr>
        <w:t>’</w:t>
      </w:r>
      <w:r w:rsidRPr="00266AAC">
        <w:rPr>
          <w:lang w:val="fr-FR"/>
        </w:rPr>
        <w:t>environnement et des observations reçues des Parties touchées, conformément à l</w:t>
      </w:r>
      <w:r>
        <w:rPr>
          <w:lang w:val="fr-FR"/>
        </w:rPr>
        <w:t>’</w:t>
      </w:r>
      <w:r w:rsidRPr="00266AAC">
        <w:rPr>
          <w:lang w:val="fr-FR"/>
        </w:rPr>
        <w:t>article 6 de la Convention</w:t>
      </w:r>
      <w:r>
        <w:rPr>
          <w:lang w:val="fr-FR"/>
        </w:rPr>
        <w:t> </w:t>
      </w:r>
      <w:r w:rsidRPr="00266AAC">
        <w:rPr>
          <w:lang w:val="fr-FR"/>
        </w:rPr>
        <w:t>;</w:t>
      </w:r>
    </w:p>
    <w:p w:rsidR="00266AAC" w:rsidRPr="00266AAC" w:rsidRDefault="00266AAC" w:rsidP="00266AAC">
      <w:pPr>
        <w:pStyle w:val="SingleTxtG"/>
        <w:ind w:firstLine="567"/>
        <w:rPr>
          <w:lang w:val="fr-FR"/>
        </w:rPr>
      </w:pPr>
      <w:r w:rsidRPr="00266AAC">
        <w:rPr>
          <w:lang w:val="fr-FR"/>
        </w:rPr>
        <w:t xml:space="preserve">8. </w:t>
      </w:r>
      <w:r w:rsidRPr="00266AAC">
        <w:rPr>
          <w:lang w:val="fr-FR"/>
        </w:rPr>
        <w:tab/>
      </w:r>
      <w:r w:rsidRPr="00266AAC">
        <w:rPr>
          <w:i/>
          <w:lang w:val="fr-FR"/>
        </w:rPr>
        <w:t>Souligne</w:t>
      </w:r>
      <w:r w:rsidRPr="00266AAC">
        <w:rPr>
          <w:lang w:val="fr-FR"/>
        </w:rPr>
        <w:t xml:space="preserve"> la nécessité pour l</w:t>
      </w:r>
      <w:r>
        <w:rPr>
          <w:lang w:val="fr-FR"/>
        </w:rPr>
        <w:t>’</w:t>
      </w:r>
      <w:r w:rsidRPr="00266AAC">
        <w:rPr>
          <w:lang w:val="fr-FR"/>
        </w:rPr>
        <w:t>Ukraine d</w:t>
      </w:r>
      <w:r>
        <w:rPr>
          <w:lang w:val="fr-FR"/>
        </w:rPr>
        <w:t>’</w:t>
      </w:r>
      <w:r w:rsidRPr="00266AAC">
        <w:rPr>
          <w:lang w:val="fr-FR"/>
        </w:rPr>
        <w:t>achever la procédure d</w:t>
      </w:r>
      <w:r>
        <w:rPr>
          <w:lang w:val="fr-FR"/>
        </w:rPr>
        <w:t>’</w:t>
      </w:r>
      <w:r w:rsidRPr="00266AAC">
        <w:rPr>
          <w:lang w:val="fr-FR"/>
        </w:rPr>
        <w:t>évaluation de l</w:t>
      </w:r>
      <w:r>
        <w:rPr>
          <w:lang w:val="fr-FR"/>
        </w:rPr>
        <w:t>’</w:t>
      </w:r>
      <w:r w:rsidRPr="00266AAC">
        <w:rPr>
          <w:lang w:val="fr-FR"/>
        </w:rPr>
        <w:t>impact sur l</w:t>
      </w:r>
      <w:r>
        <w:rPr>
          <w:lang w:val="fr-FR"/>
        </w:rPr>
        <w:t>’</w:t>
      </w:r>
      <w:r w:rsidRPr="00266AAC">
        <w:rPr>
          <w:lang w:val="fr-FR"/>
        </w:rPr>
        <w:t>environnement dans un contexte transfrontière afin de se conformer à la Convention</w:t>
      </w:r>
      <w:r>
        <w:rPr>
          <w:lang w:val="fr-FR"/>
        </w:rPr>
        <w:t> </w:t>
      </w:r>
      <w:r w:rsidRPr="00266AAC">
        <w:rPr>
          <w:lang w:val="fr-FR"/>
        </w:rPr>
        <w:t>;</w:t>
      </w:r>
    </w:p>
    <w:p w:rsidR="00266AAC" w:rsidRPr="00266AAC" w:rsidRDefault="00266AAC" w:rsidP="00266AAC">
      <w:pPr>
        <w:pStyle w:val="SingleTxtG"/>
        <w:ind w:firstLine="567"/>
        <w:rPr>
          <w:lang w:val="fr-FR"/>
        </w:rPr>
      </w:pPr>
      <w:r w:rsidRPr="00266AAC">
        <w:rPr>
          <w:lang w:val="fr-FR"/>
        </w:rPr>
        <w:t>9.</w:t>
      </w:r>
      <w:r w:rsidRPr="00266AAC">
        <w:rPr>
          <w:lang w:val="fr-FR"/>
        </w:rPr>
        <w:tab/>
      </w:r>
      <w:r w:rsidRPr="00266AAC">
        <w:rPr>
          <w:i/>
          <w:lang w:val="fr-FR"/>
        </w:rPr>
        <w:t>Demande</w:t>
      </w:r>
      <w:r w:rsidRPr="00266AAC">
        <w:rPr>
          <w:lang w:val="fr-FR"/>
        </w:rPr>
        <w:t xml:space="preserve"> à l</w:t>
      </w:r>
      <w:r>
        <w:rPr>
          <w:lang w:val="fr-FR"/>
        </w:rPr>
        <w:t>’</w:t>
      </w:r>
      <w:r w:rsidRPr="00266AAC">
        <w:rPr>
          <w:lang w:val="fr-FR"/>
        </w:rPr>
        <w:t>Ukraine de rendre compte au Comité d</w:t>
      </w:r>
      <w:r>
        <w:rPr>
          <w:lang w:val="fr-FR"/>
        </w:rPr>
        <w:t>’</w:t>
      </w:r>
      <w:r w:rsidRPr="00266AAC">
        <w:rPr>
          <w:lang w:val="fr-FR"/>
        </w:rPr>
        <w:t>exécution, avant la fin de chaque année, des mesures prises pour effectuer et finaliser l</w:t>
      </w:r>
      <w:r>
        <w:rPr>
          <w:lang w:val="fr-FR"/>
        </w:rPr>
        <w:t>’</w:t>
      </w:r>
      <w:r w:rsidRPr="00266AAC">
        <w:rPr>
          <w:lang w:val="fr-FR"/>
        </w:rPr>
        <w:t>évaluation de l</w:t>
      </w:r>
      <w:r>
        <w:rPr>
          <w:lang w:val="fr-FR"/>
        </w:rPr>
        <w:t>’</w:t>
      </w:r>
      <w:r w:rsidRPr="00266AAC">
        <w:rPr>
          <w:lang w:val="fr-FR"/>
        </w:rPr>
        <w:t>impact sur l</w:t>
      </w:r>
      <w:r>
        <w:rPr>
          <w:lang w:val="fr-FR"/>
        </w:rPr>
        <w:t>’</w:t>
      </w:r>
      <w:r w:rsidRPr="00266AAC">
        <w:rPr>
          <w:lang w:val="fr-FR"/>
        </w:rPr>
        <w:t>environnement dans un contexte transfrontière, et de notifier les parties prenantes concernées une fois que la décision définitive révisée est prise</w:t>
      </w:r>
      <w:r>
        <w:rPr>
          <w:lang w:val="fr-FR"/>
        </w:rPr>
        <w:t> </w:t>
      </w:r>
      <w:r w:rsidRPr="00266AAC">
        <w:rPr>
          <w:lang w:val="fr-FR"/>
        </w:rPr>
        <w:t>;</w:t>
      </w:r>
    </w:p>
    <w:p w:rsidR="00266AAC" w:rsidRDefault="00266AAC" w:rsidP="00266AAC">
      <w:pPr>
        <w:pStyle w:val="SingleTxtG"/>
        <w:ind w:firstLine="567"/>
        <w:rPr>
          <w:lang w:val="fr-FR"/>
        </w:rPr>
      </w:pPr>
      <w:r w:rsidRPr="00266AAC">
        <w:rPr>
          <w:lang w:val="fr-FR"/>
        </w:rPr>
        <w:t>10.</w:t>
      </w:r>
      <w:r w:rsidRPr="00266AAC">
        <w:rPr>
          <w:lang w:val="fr-FR"/>
        </w:rPr>
        <w:tab/>
      </w:r>
      <w:r w:rsidRPr="00266AAC">
        <w:rPr>
          <w:i/>
          <w:lang w:val="fr-FR"/>
        </w:rPr>
        <w:t xml:space="preserve">Demande </w:t>
      </w:r>
      <w:r w:rsidRPr="00266AAC">
        <w:rPr>
          <w:lang w:val="fr-FR"/>
        </w:rPr>
        <w:t>au Comité de lui faire rapport à sa huitième session sur le respect par l</w:t>
      </w:r>
      <w:r>
        <w:rPr>
          <w:lang w:val="fr-FR"/>
        </w:rPr>
        <w:t>’</w:t>
      </w:r>
      <w:r w:rsidRPr="00266AAC">
        <w:rPr>
          <w:lang w:val="fr-FR"/>
        </w:rPr>
        <w:t>Ukraine de ses obligations en ce qui concerne la prolongation de la durée de vie de la centrale nucléaire de Rivne.</w:t>
      </w:r>
    </w:p>
    <w:p w:rsidR="00266AAC" w:rsidRPr="00266AAC" w:rsidRDefault="00266AAC" w:rsidP="00266AA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66AAC" w:rsidRPr="00266AAC" w:rsidSect="00266AA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4F0" w:rsidRDefault="001714F0" w:rsidP="00F95C08">
      <w:pPr>
        <w:spacing w:line="240" w:lineRule="auto"/>
      </w:pPr>
    </w:p>
  </w:endnote>
  <w:endnote w:type="continuationSeparator" w:id="0">
    <w:p w:rsidR="001714F0" w:rsidRPr="00AC3823" w:rsidRDefault="001714F0" w:rsidP="00AC3823">
      <w:pPr>
        <w:pStyle w:val="Footer"/>
      </w:pPr>
    </w:p>
  </w:endnote>
  <w:endnote w:type="continuationNotice" w:id="1">
    <w:p w:rsidR="001714F0" w:rsidRDefault="001714F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AC" w:rsidRPr="00266AAC" w:rsidRDefault="00266AAC" w:rsidP="00266AAC">
    <w:pPr>
      <w:pStyle w:val="Footer"/>
      <w:tabs>
        <w:tab w:val="right" w:pos="9638"/>
      </w:tabs>
    </w:pPr>
    <w:r w:rsidRPr="00266AAC">
      <w:rPr>
        <w:b/>
        <w:sz w:val="18"/>
      </w:rPr>
      <w:fldChar w:fldCharType="begin"/>
    </w:r>
    <w:r w:rsidRPr="00266AAC">
      <w:rPr>
        <w:b/>
        <w:sz w:val="18"/>
      </w:rPr>
      <w:instrText xml:space="preserve"> PAGE  \* MERGEFORMAT </w:instrText>
    </w:r>
    <w:r w:rsidRPr="00266AAC">
      <w:rPr>
        <w:b/>
        <w:sz w:val="18"/>
      </w:rPr>
      <w:fldChar w:fldCharType="separate"/>
    </w:r>
    <w:r w:rsidR="003608B4">
      <w:rPr>
        <w:b/>
        <w:noProof/>
        <w:sz w:val="18"/>
      </w:rPr>
      <w:t>2</w:t>
    </w:r>
    <w:r w:rsidRPr="00266AAC">
      <w:rPr>
        <w:b/>
        <w:sz w:val="18"/>
      </w:rPr>
      <w:fldChar w:fldCharType="end"/>
    </w:r>
    <w:r>
      <w:rPr>
        <w:b/>
        <w:sz w:val="18"/>
      </w:rPr>
      <w:tab/>
    </w:r>
    <w:r>
      <w:t>GE.18-20001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AC" w:rsidRPr="00266AAC" w:rsidRDefault="00266AAC" w:rsidP="00266AAC">
    <w:pPr>
      <w:pStyle w:val="Footer"/>
      <w:tabs>
        <w:tab w:val="right" w:pos="9638"/>
      </w:tabs>
      <w:rPr>
        <w:b/>
        <w:sz w:val="18"/>
      </w:rPr>
    </w:pPr>
    <w:r>
      <w:t>GE.18-20001</w:t>
    </w:r>
    <w:r>
      <w:tab/>
    </w:r>
    <w:r w:rsidRPr="00266AAC">
      <w:rPr>
        <w:b/>
        <w:sz w:val="18"/>
      </w:rPr>
      <w:fldChar w:fldCharType="begin"/>
    </w:r>
    <w:r w:rsidRPr="00266AAC">
      <w:rPr>
        <w:b/>
        <w:sz w:val="18"/>
      </w:rPr>
      <w:instrText xml:space="preserve"> PAGE  \* MERGEFORMAT </w:instrText>
    </w:r>
    <w:r w:rsidRPr="00266AAC">
      <w:rPr>
        <w:b/>
        <w:sz w:val="18"/>
      </w:rPr>
      <w:fldChar w:fldCharType="separate"/>
    </w:r>
    <w:r w:rsidR="003608B4">
      <w:rPr>
        <w:b/>
        <w:noProof/>
        <w:sz w:val="18"/>
      </w:rPr>
      <w:t>3</w:t>
    </w:r>
    <w:r w:rsidRPr="00266AA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20" w:rsidRPr="00266AAC" w:rsidRDefault="00266AAC" w:rsidP="00266AAC">
    <w:pPr>
      <w:pStyle w:val="Footer"/>
      <w:spacing w:before="120"/>
      <w:rPr>
        <w:sz w:val="20"/>
      </w:rPr>
    </w:pPr>
    <w:r>
      <w:rPr>
        <w:sz w:val="20"/>
      </w:rPr>
      <w:t>GE.</w:t>
    </w:r>
    <w:r w:rsidR="00A14420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A4095E7" wp14:editId="3AC373E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18-20001  (F)    281118    181218</w:t>
    </w:r>
    <w:r>
      <w:rPr>
        <w:sz w:val="20"/>
      </w:rPr>
      <w:br/>
    </w:r>
    <w:r w:rsidRPr="00266AAC">
      <w:rPr>
        <w:rFonts w:ascii="C39T30Lfz" w:hAnsi="C39T30Lfz"/>
        <w:sz w:val="56"/>
      </w:rPr>
      <w:t></w:t>
    </w:r>
    <w:r w:rsidRPr="00266AAC">
      <w:rPr>
        <w:rFonts w:ascii="C39T30Lfz" w:hAnsi="C39T30Lfz"/>
        <w:sz w:val="56"/>
      </w:rPr>
      <w:t></w:t>
    </w:r>
    <w:r w:rsidRPr="00266AAC">
      <w:rPr>
        <w:rFonts w:ascii="C39T30Lfz" w:hAnsi="C39T30Lfz"/>
        <w:sz w:val="56"/>
      </w:rPr>
      <w:t></w:t>
    </w:r>
    <w:r w:rsidRPr="00266AAC">
      <w:rPr>
        <w:rFonts w:ascii="C39T30Lfz" w:hAnsi="C39T30Lfz"/>
        <w:sz w:val="56"/>
      </w:rPr>
      <w:t></w:t>
    </w:r>
    <w:r w:rsidRPr="00266AAC">
      <w:rPr>
        <w:rFonts w:ascii="C39T30Lfz" w:hAnsi="C39T30Lfz"/>
        <w:sz w:val="56"/>
      </w:rPr>
      <w:t></w:t>
    </w:r>
    <w:r w:rsidRPr="00266AAC">
      <w:rPr>
        <w:rFonts w:ascii="C39T30Lfz" w:hAnsi="C39T30Lfz"/>
        <w:sz w:val="56"/>
      </w:rPr>
      <w:t></w:t>
    </w:r>
    <w:r w:rsidRPr="00266AAC">
      <w:rPr>
        <w:rFonts w:ascii="C39T30Lfz" w:hAnsi="C39T30Lfz"/>
        <w:sz w:val="56"/>
      </w:rPr>
      <w:t></w:t>
    </w:r>
    <w:r w:rsidRPr="00266AAC">
      <w:rPr>
        <w:rFonts w:ascii="C39T30Lfz" w:hAnsi="C39T30Lfz"/>
        <w:sz w:val="56"/>
      </w:rPr>
      <w:t></w:t>
    </w:r>
    <w:r w:rsidRPr="00266AAC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MP.EIA/2019/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EIA/2019/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4F0" w:rsidRPr="00AC3823" w:rsidRDefault="001714F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714F0" w:rsidRPr="00AC3823" w:rsidRDefault="001714F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714F0" w:rsidRPr="00AC3823" w:rsidRDefault="001714F0">
      <w:pPr>
        <w:spacing w:line="240" w:lineRule="auto"/>
        <w:rPr>
          <w:sz w:val="2"/>
          <w:szCs w:val="2"/>
        </w:rPr>
      </w:pPr>
    </w:p>
  </w:footnote>
  <w:footnote w:id="2">
    <w:p w:rsidR="00266AAC" w:rsidRDefault="00266AAC" w:rsidP="00266AAC">
      <w:pPr>
        <w:pStyle w:val="FootnoteText"/>
      </w:pPr>
      <w:r>
        <w:rPr>
          <w:lang w:val="es-ES"/>
        </w:rPr>
        <w:tab/>
      </w:r>
      <w:r>
        <w:rPr>
          <w:rStyle w:val="FootnoteReference"/>
        </w:rPr>
        <w:footnoteRef/>
      </w:r>
      <w:r>
        <w:rPr>
          <w:lang w:val="es-ES"/>
        </w:rPr>
        <w:tab/>
      </w:r>
      <w:r w:rsidRPr="00266AAC">
        <w:rPr>
          <w:lang w:val="es-ES"/>
        </w:rPr>
        <w:t xml:space="preserve">Voir </w:t>
      </w:r>
      <w:r>
        <w:rPr>
          <w:lang w:val="es-ES"/>
        </w:rPr>
        <w:t>ECE/MP.EIA/23-ECE/MP.EIA/SEA/7, par. </w:t>
      </w:r>
      <w:r w:rsidRPr="00266AAC">
        <w:rPr>
          <w:lang w:val="es-ES"/>
        </w:rPr>
        <w:t xml:space="preserve">27. </w:t>
      </w:r>
      <w:r>
        <w:t>Voir également le projet de décision VII/2 (ECE/MP.EIA/2017/8).</w:t>
      </w:r>
    </w:p>
  </w:footnote>
  <w:footnote w:id="3">
    <w:p w:rsidR="00266AAC" w:rsidRPr="00266AAC" w:rsidRDefault="00266AAC" w:rsidP="00266AAC">
      <w:pPr>
        <w:pStyle w:val="FootnoteText"/>
        <w:rPr>
          <w:lang w:val="es-ES"/>
        </w:rPr>
      </w:pPr>
      <w:r>
        <w:rPr>
          <w:lang w:val="es-ES"/>
        </w:rPr>
        <w:tab/>
      </w:r>
      <w:r>
        <w:rPr>
          <w:rStyle w:val="FootnoteReference"/>
        </w:rPr>
        <w:footnoteRef/>
      </w:r>
      <w:r>
        <w:rPr>
          <w:lang w:val="es-ES"/>
        </w:rPr>
        <w:tab/>
        <w:t>ECE/MP.EIA/2017/4-ECE/MP.EIA/SEA/2017/4, par. 17 à 20.</w:t>
      </w:r>
    </w:p>
  </w:footnote>
  <w:footnote w:id="4">
    <w:p w:rsidR="00266AAC" w:rsidRPr="00266AAC" w:rsidRDefault="00266AAC" w:rsidP="00266AAC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266AAC">
        <w:t>ECE/MP.EIA/IC/2017/4, par. 21 à 25.</w:t>
      </w:r>
    </w:p>
  </w:footnote>
  <w:footnote w:id="5">
    <w:p w:rsidR="00266AAC" w:rsidRPr="00266AAC" w:rsidRDefault="00266AAC" w:rsidP="00266AAC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266AAC">
        <w:t>ECE/MP.EIA/IC/2018/2, par. 20 à 29.</w:t>
      </w:r>
    </w:p>
  </w:footnote>
  <w:footnote w:id="6">
    <w:p w:rsidR="00266AAC" w:rsidRPr="00266AAC" w:rsidRDefault="00266AAC" w:rsidP="00266AAC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266AAC">
        <w:t>ECE/MP.EIA/IC/2018/4, par. 27 à 31.</w:t>
      </w:r>
    </w:p>
  </w:footnote>
  <w:footnote w:id="7">
    <w:p w:rsidR="00266AAC" w:rsidRDefault="00266AAC" w:rsidP="00266AAC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266AAC">
        <w:t>ECE/MP.EIA</w:t>
      </w:r>
      <w:r w:rsidRPr="00472DD1">
        <w:t>/IC/2018/2</w:t>
      </w:r>
      <w:r>
        <w:t>, par. </w:t>
      </w:r>
      <w:r w:rsidRPr="00266AAC">
        <w:t>21</w:t>
      </w:r>
      <w:r w:rsidRPr="00472DD1">
        <w:t>.</w:t>
      </w:r>
    </w:p>
  </w:footnote>
  <w:footnote w:id="8">
    <w:p w:rsidR="00266AAC" w:rsidRDefault="00266AAC" w:rsidP="00266AAC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ECE/MP.EIA/IC/2018/4, par. </w:t>
      </w:r>
      <w:r w:rsidRPr="00266AAC">
        <w:t>20.</w:t>
      </w:r>
    </w:p>
  </w:footnote>
  <w:footnote w:id="9">
    <w:p w:rsidR="00266AAC" w:rsidRDefault="00266AAC" w:rsidP="00266AAC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ECE/MP.EIA/IC/2018/2, par. </w:t>
      </w:r>
      <w:r w:rsidRPr="00D0230A">
        <w:t>21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AC" w:rsidRPr="00266AAC" w:rsidRDefault="00BD2FD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D78C2">
      <w:t>ECE/MP.EIA/2019/8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AC" w:rsidRPr="00266AAC" w:rsidRDefault="00BD2FD1" w:rsidP="00266AA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D78C2">
      <w:t>ECE/MP.EIA/2019/8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ABC672CC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6C4FF4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BAF4D30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F0"/>
    <w:rsid w:val="00017F94"/>
    <w:rsid w:val="00023842"/>
    <w:rsid w:val="00031189"/>
    <w:rsid w:val="000334F9"/>
    <w:rsid w:val="0007796D"/>
    <w:rsid w:val="000B7790"/>
    <w:rsid w:val="00111F2F"/>
    <w:rsid w:val="0014365E"/>
    <w:rsid w:val="001714F0"/>
    <w:rsid w:val="00176178"/>
    <w:rsid w:val="001F525A"/>
    <w:rsid w:val="00223272"/>
    <w:rsid w:val="0024779E"/>
    <w:rsid w:val="00266AAC"/>
    <w:rsid w:val="002832AC"/>
    <w:rsid w:val="002B40F9"/>
    <w:rsid w:val="002D7C93"/>
    <w:rsid w:val="00326EAB"/>
    <w:rsid w:val="003608B4"/>
    <w:rsid w:val="00441C3B"/>
    <w:rsid w:val="00446FE5"/>
    <w:rsid w:val="00452396"/>
    <w:rsid w:val="004E468C"/>
    <w:rsid w:val="005505B7"/>
    <w:rsid w:val="00573BE5"/>
    <w:rsid w:val="00586ED3"/>
    <w:rsid w:val="00596AA9"/>
    <w:rsid w:val="006C0E3B"/>
    <w:rsid w:val="006D78C2"/>
    <w:rsid w:val="0071601D"/>
    <w:rsid w:val="007A5FC4"/>
    <w:rsid w:val="007A62E6"/>
    <w:rsid w:val="0080684C"/>
    <w:rsid w:val="00871C75"/>
    <w:rsid w:val="008776DC"/>
    <w:rsid w:val="008D6B3F"/>
    <w:rsid w:val="009705C8"/>
    <w:rsid w:val="009C1CF4"/>
    <w:rsid w:val="00A14420"/>
    <w:rsid w:val="00A30353"/>
    <w:rsid w:val="00AC3823"/>
    <w:rsid w:val="00AE323C"/>
    <w:rsid w:val="00B00181"/>
    <w:rsid w:val="00B00B0D"/>
    <w:rsid w:val="00B765F7"/>
    <w:rsid w:val="00BA0CA9"/>
    <w:rsid w:val="00BD2FD1"/>
    <w:rsid w:val="00C02897"/>
    <w:rsid w:val="00C554CE"/>
    <w:rsid w:val="00D3439C"/>
    <w:rsid w:val="00D503D3"/>
    <w:rsid w:val="00DB1831"/>
    <w:rsid w:val="00DD3BFD"/>
    <w:rsid w:val="00DF5712"/>
    <w:rsid w:val="00DF6678"/>
    <w:rsid w:val="00E96BD6"/>
    <w:rsid w:val="00EE22F9"/>
    <w:rsid w:val="00EF2E2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D2F9960-A9C2-4454-B3B8-33AC8106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2F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E22F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E22F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E22F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E22F9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E22F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E22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E22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E22F9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E22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E22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E22F9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E22F9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E22F9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E22F9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E22F9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E22F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E22F9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E22F9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E22F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E22F9"/>
  </w:style>
  <w:style w:type="character" w:customStyle="1" w:styleId="EndnoteTextChar">
    <w:name w:val="Endnote Text Char"/>
    <w:aliases w:val="2_G Char"/>
    <w:basedOn w:val="DefaultParagraphFont"/>
    <w:link w:val="EndnoteText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E22F9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E22F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20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66AAC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5702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ECE/MP.EIA/2019/8</vt:lpstr>
      <vt:lpstr>ECE/MP.EIA/2019/8</vt:lpstr>
    </vt:vector>
  </TitlesOfParts>
  <Company>DCM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ECE/MP.EIA/2019/8</dc:title>
  <dc:subject/>
  <dc:creator>Fabienne CRELIER</dc:creator>
  <cp:keywords/>
  <cp:lastModifiedBy>Elisabeth James</cp:lastModifiedBy>
  <cp:revision>2</cp:revision>
  <cp:lastPrinted>2018-12-17T16:48:00Z</cp:lastPrinted>
  <dcterms:created xsi:type="dcterms:W3CDTF">2018-12-18T23:59:00Z</dcterms:created>
  <dcterms:modified xsi:type="dcterms:W3CDTF">2018-12-18T23:59:00Z</dcterms:modified>
</cp:coreProperties>
</file>