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E209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E209A" w:rsidP="009E209A">
            <w:pPr>
              <w:jc w:val="right"/>
            </w:pPr>
            <w:r w:rsidRPr="009E209A">
              <w:rPr>
                <w:sz w:val="40"/>
              </w:rPr>
              <w:t>ECE</w:t>
            </w:r>
            <w:r>
              <w:t>/MP.EIA/2019/6</w:t>
            </w:r>
          </w:p>
        </w:tc>
      </w:tr>
      <w:tr w:rsidR="002D5AAC" w:rsidRPr="009E209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E209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E209A" w:rsidRDefault="009E209A" w:rsidP="009E20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November 2018</w:t>
            </w:r>
          </w:p>
          <w:p w:rsidR="009E209A" w:rsidRDefault="009E209A" w:rsidP="009E20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E209A" w:rsidRPr="008D53B6" w:rsidRDefault="009E209A" w:rsidP="009E20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E209A" w:rsidRPr="009E209A" w:rsidRDefault="009E209A" w:rsidP="009E209A">
      <w:pPr>
        <w:spacing w:before="120" w:line="240" w:lineRule="auto"/>
        <w:rPr>
          <w:bCs/>
          <w:sz w:val="28"/>
          <w:szCs w:val="28"/>
        </w:rPr>
      </w:pPr>
      <w:r w:rsidRPr="009E209A">
        <w:rPr>
          <w:sz w:val="28"/>
          <w:szCs w:val="28"/>
        </w:rPr>
        <w:t xml:space="preserve">Совещание Сторон Конвенции об оценке </w:t>
      </w:r>
      <w:r>
        <w:rPr>
          <w:sz w:val="28"/>
          <w:szCs w:val="28"/>
        </w:rPr>
        <w:br/>
      </w:r>
      <w:r w:rsidRPr="009E209A">
        <w:rPr>
          <w:sz w:val="28"/>
          <w:szCs w:val="28"/>
        </w:rPr>
        <w:t xml:space="preserve">воздействия на окружающую среду </w:t>
      </w:r>
      <w:r>
        <w:rPr>
          <w:sz w:val="28"/>
          <w:szCs w:val="28"/>
        </w:rPr>
        <w:br/>
      </w:r>
      <w:r w:rsidRPr="009E209A">
        <w:rPr>
          <w:sz w:val="28"/>
          <w:szCs w:val="28"/>
        </w:rPr>
        <w:t>в трансграничном контексте</w:t>
      </w:r>
    </w:p>
    <w:p w:rsidR="009E209A" w:rsidRPr="000B2210" w:rsidRDefault="009E209A" w:rsidP="009E209A">
      <w:pPr>
        <w:spacing w:before="120" w:line="240" w:lineRule="auto"/>
        <w:rPr>
          <w:b/>
        </w:rPr>
      </w:pPr>
      <w:r w:rsidRPr="000B2210">
        <w:rPr>
          <w:b/>
          <w:bCs/>
        </w:rPr>
        <w:t>Промежуточная сессия</w:t>
      </w:r>
    </w:p>
    <w:p w:rsidR="009E209A" w:rsidRPr="000B2210" w:rsidRDefault="009E209A" w:rsidP="009E209A">
      <w:pPr>
        <w:spacing w:line="240" w:lineRule="auto"/>
      </w:pPr>
      <w:r w:rsidRPr="000B2210">
        <w:t>Женева, 5–7 февраля 2019 года</w:t>
      </w:r>
    </w:p>
    <w:p w:rsidR="009E209A" w:rsidRPr="000B2210" w:rsidRDefault="009E209A" w:rsidP="009E209A">
      <w:pPr>
        <w:spacing w:line="240" w:lineRule="auto"/>
      </w:pPr>
      <w:r w:rsidRPr="000B2210">
        <w:t>Пункты 3 а) и 8 предварительной повестки дня</w:t>
      </w:r>
    </w:p>
    <w:p w:rsidR="009E209A" w:rsidRPr="000B2210" w:rsidRDefault="009E209A" w:rsidP="009E209A">
      <w:pPr>
        <w:pStyle w:val="HChG"/>
        <w:spacing w:before="120" w:after="120" w:line="240" w:lineRule="auto"/>
        <w:ind w:left="0" w:firstLine="0"/>
        <w:rPr>
          <w:bCs/>
          <w:sz w:val="20"/>
          <w:lang w:val="ru-RU"/>
        </w:rPr>
      </w:pPr>
      <w:r w:rsidRPr="000B2210">
        <w:rPr>
          <w:bCs/>
          <w:sz w:val="20"/>
          <w:lang w:val="ru-RU"/>
        </w:rPr>
        <w:t>Нерешенные вопросы: проекты решений</w:t>
      </w:r>
      <w:r w:rsidRPr="000B2210">
        <w:rPr>
          <w:sz w:val="20"/>
          <w:lang w:val="ru-RU"/>
        </w:rPr>
        <w:t xml:space="preserve"> </w:t>
      </w:r>
    </w:p>
    <w:p w:rsidR="009E209A" w:rsidRPr="009E209A" w:rsidRDefault="009E209A" w:rsidP="009E209A">
      <w:pPr>
        <w:suppressAutoHyphens w:val="0"/>
        <w:spacing w:line="240" w:lineRule="auto"/>
        <w:rPr>
          <w:b/>
        </w:rPr>
      </w:pPr>
      <w:r w:rsidRPr="009E209A">
        <w:rPr>
          <w:b/>
          <w:bCs/>
        </w:rPr>
        <w:t>Принятие решений Совещанием Сторон Конвенции</w:t>
      </w:r>
    </w:p>
    <w:p w:rsidR="009E209A" w:rsidRPr="000B2210" w:rsidRDefault="009E209A" w:rsidP="009E209A">
      <w:pPr>
        <w:pStyle w:val="HChGR"/>
      </w:pPr>
      <w:r>
        <w:tab/>
      </w:r>
      <w:r>
        <w:tab/>
      </w:r>
      <w:r w:rsidRPr="000B2210">
        <w:t>Проект решени</w:t>
      </w:r>
      <w:r>
        <w:t>я IS/1e о соблюдении Сербией ее </w:t>
      </w:r>
      <w:r w:rsidRPr="000B2210">
        <w:t>обязательств по Конвенции в отношении третьего энергоблока работающей на буром угле электростанции «Костолац»</w:t>
      </w:r>
    </w:p>
    <w:p w:rsidR="009E209A" w:rsidRDefault="009E209A" w:rsidP="009E209A">
      <w:pPr>
        <w:pStyle w:val="H1GR"/>
      </w:pPr>
      <w:r w:rsidRPr="000B2210">
        <w:tab/>
      </w:r>
      <w:r w:rsidRPr="000B2210">
        <w:tab/>
        <w:t>Предложение Комитета по осуществлению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9E209A" w:rsidRPr="009E209A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9E209A" w:rsidRPr="009E209A" w:rsidRDefault="009E209A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9E209A">
              <w:rPr>
                <w:rFonts w:cs="Times New Roman"/>
              </w:rPr>
              <w:tab/>
            </w:r>
            <w:r w:rsidRPr="009E209A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9E209A" w:rsidRPr="009E209A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9E209A" w:rsidRPr="009E209A" w:rsidRDefault="009E209A" w:rsidP="009E209A">
            <w:pPr>
              <w:pStyle w:val="SingleTxtGR"/>
            </w:pPr>
            <w:r w:rsidRPr="009E209A">
              <w:tab/>
              <w:t xml:space="preserve">Проект решения, содержащийся в настоящем документе, был подготовлен в ответ на высказанную Совещанием Сторон Конвенции об оценке воздействия на окружающую среду в трансграничном контексте на его седьмой сессии (Минск, </w:t>
            </w:r>
            <w:r>
              <w:br/>
            </w:r>
            <w:r w:rsidRPr="009E209A">
              <w:t>13–16 июня 2017 года) в адрес Комитета по осуществлению просьбу пересмотреть проект решения VII/2 о рассмотрении соблюдения Конвенции с учетом уже проделанной работы и прогресса, достигнутого до, в ходе и после седьмой сессии Совещания Сторон (ECE/MP.EIA/23-ECE/MP.EIA/SEA/7, пункт 27). Чтобы облегчить рассмотрение и принятие проекта решения VII/2, он был разбит на отдельные проекты решений: проект решения по общим вопросам соблюдения и проекты решений по отдельным вопросам соблюдения Конвенции конкретными странами.</w:t>
            </w:r>
          </w:p>
          <w:p w:rsidR="009E209A" w:rsidRPr="009E209A" w:rsidRDefault="009E209A" w:rsidP="009E209A">
            <w:pPr>
              <w:pStyle w:val="SingleTxtGR"/>
            </w:pPr>
            <w:r>
              <w:tab/>
            </w:r>
            <w:r w:rsidRPr="009E209A">
              <w:t>Проект решения IS/1e представляет собой пересмотренный вариант текста проекта решения VII/2, касающегося соблюдения Сербией ее обязательств по Конвенции в отношении третьего энергоблока работающей на буром угле электростанции «Костолац».</w:t>
            </w:r>
          </w:p>
          <w:p w:rsidR="009E209A" w:rsidRPr="009E209A" w:rsidRDefault="009E209A" w:rsidP="009E209A">
            <w:pPr>
              <w:pStyle w:val="SingleTxtGR"/>
            </w:pPr>
            <w:r>
              <w:tab/>
            </w:r>
            <w:r w:rsidRPr="009E209A">
              <w:t>Совещание Сторон Конвенции, как ожидается, рассмотрит проект решения и согласует его принятие.</w:t>
            </w:r>
          </w:p>
        </w:tc>
      </w:tr>
      <w:tr w:rsidR="009E209A" w:rsidRPr="009E209A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9E209A" w:rsidRPr="009E209A" w:rsidRDefault="009E209A" w:rsidP="00850215">
            <w:pPr>
              <w:rPr>
                <w:rFonts w:cs="Times New Roman"/>
              </w:rPr>
            </w:pPr>
          </w:p>
        </w:tc>
      </w:tr>
    </w:tbl>
    <w:p w:rsidR="009E209A" w:rsidRDefault="009E209A" w:rsidP="009E209A">
      <w:pPr>
        <w:pStyle w:val="SingleTxtGR"/>
      </w:pPr>
    </w:p>
    <w:p w:rsidR="009E209A" w:rsidRDefault="009E209A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9E209A" w:rsidRPr="009E209A" w:rsidRDefault="009E209A" w:rsidP="009E209A">
      <w:pPr>
        <w:pStyle w:val="SingleTxtGR"/>
      </w:pPr>
      <w:r>
        <w:rPr>
          <w:i/>
          <w:iCs/>
        </w:rPr>
        <w:lastRenderedPageBreak/>
        <w:tab/>
      </w:r>
      <w:r w:rsidRPr="009E209A">
        <w:rPr>
          <w:i/>
          <w:iCs/>
        </w:rPr>
        <w:t>Совещание Сторон</w:t>
      </w:r>
      <w:r w:rsidRPr="009E209A">
        <w:t xml:space="preserve">, </w:t>
      </w:r>
    </w:p>
    <w:p w:rsidR="009E209A" w:rsidRPr="009E209A" w:rsidRDefault="009E209A" w:rsidP="009E209A">
      <w:pPr>
        <w:pStyle w:val="SingleTxtGR"/>
      </w:pPr>
      <w:r w:rsidRPr="009E209A">
        <w:tab/>
      </w:r>
      <w:r w:rsidRPr="009E209A">
        <w:rPr>
          <w:i/>
          <w:iCs/>
        </w:rPr>
        <w:t>ссылаясь</w:t>
      </w:r>
      <w:r w:rsidRPr="009E209A">
        <w:t xml:space="preserve"> на пункт 2 статьи 11 и статью 14-бис Конвенции об оценке воздействия на окружающую среду в трансграничном контексте,</w:t>
      </w:r>
    </w:p>
    <w:p w:rsidR="009E209A" w:rsidRPr="009E209A" w:rsidRDefault="009E209A" w:rsidP="009E209A">
      <w:pPr>
        <w:pStyle w:val="SingleTxtGR"/>
      </w:pPr>
      <w:r w:rsidRPr="009E209A">
        <w:tab/>
      </w:r>
      <w:r w:rsidRPr="009E209A">
        <w:rPr>
          <w:i/>
          <w:iCs/>
        </w:rPr>
        <w:t>ссылаясь также</w:t>
      </w:r>
      <w:r w:rsidRPr="009E209A">
        <w:t xml:space="preserve"> на принятое им на его седьмой сессии решение завершить свои обсуждения по вопросу о рассмотрении соблюдения Конвенции на промежуточной сессии на основе пересмотренного проекта решения, который должен был быть подготовлен Комитетом по осуществлению, и с учетом проделанной работы и прогресса, достигнутого до и в ходе седьмой сессии</w:t>
      </w:r>
      <w:r w:rsidRPr="009E209A">
        <w:rPr>
          <w:sz w:val="18"/>
          <w:vertAlign w:val="superscript"/>
        </w:rPr>
        <w:footnoteReference w:id="1"/>
      </w:r>
      <w:r w:rsidRPr="009E209A">
        <w:t xml:space="preserve">, </w:t>
      </w:r>
      <w:bookmarkStart w:id="1" w:name="_Hlk504650794"/>
      <w:bookmarkEnd w:id="1"/>
    </w:p>
    <w:p w:rsidR="009E209A" w:rsidRPr="009E209A" w:rsidRDefault="009E209A" w:rsidP="009E209A">
      <w:pPr>
        <w:pStyle w:val="SingleTxtGR"/>
        <w:rPr>
          <w:iCs/>
        </w:rPr>
      </w:pPr>
      <w:r>
        <w:rPr>
          <w:i/>
          <w:iCs/>
        </w:rPr>
        <w:tab/>
      </w:r>
      <w:r w:rsidRPr="009E209A">
        <w:rPr>
          <w:i/>
          <w:iCs/>
        </w:rPr>
        <w:t>рассмотрев</w:t>
      </w:r>
      <w:r w:rsidRPr="009E209A">
        <w:t xml:space="preserve"> касающиеся Сербии разделы доклада о деятельности Комитета по осуществлению Совещанию Сторон Конвенции, представленного на его седьмой сессии</w:t>
      </w:r>
      <w:r w:rsidRPr="009E209A">
        <w:rPr>
          <w:iCs/>
          <w:sz w:val="18"/>
          <w:vertAlign w:val="superscript"/>
        </w:rPr>
        <w:footnoteReference w:id="2"/>
      </w:r>
      <w:r>
        <w:t>,</w:t>
      </w:r>
      <w:r w:rsidRPr="009E209A">
        <w:t xml:space="preserve"> и докладов Комитета о работе его сорок первой</w:t>
      </w:r>
      <w:r w:rsidRPr="009E209A">
        <w:rPr>
          <w:sz w:val="18"/>
          <w:vertAlign w:val="superscript"/>
        </w:rPr>
        <w:footnoteReference w:id="3"/>
      </w:r>
      <w:r w:rsidRPr="009E209A">
        <w:t xml:space="preserve"> и сорок второй сессий</w:t>
      </w:r>
      <w:r w:rsidRPr="009E209A">
        <w:rPr>
          <w:sz w:val="18"/>
          <w:vertAlign w:val="superscript"/>
        </w:rPr>
        <w:footnoteReference w:id="4"/>
      </w:r>
      <w:r w:rsidRPr="009E209A">
        <w:t>,</w:t>
      </w:r>
    </w:p>
    <w:p w:rsidR="009E209A" w:rsidRPr="009E209A" w:rsidRDefault="009E209A" w:rsidP="009E209A">
      <w:pPr>
        <w:pStyle w:val="SingleTxtGR"/>
        <w:rPr>
          <w:iCs/>
        </w:rPr>
      </w:pPr>
      <w:r>
        <w:rPr>
          <w:i/>
          <w:iCs/>
        </w:rPr>
        <w:tab/>
      </w:r>
      <w:r w:rsidRPr="009E209A">
        <w:rPr>
          <w:i/>
          <w:iCs/>
        </w:rPr>
        <w:t xml:space="preserve">ссылаясь </w:t>
      </w:r>
      <w:r w:rsidRPr="009E209A">
        <w:t>на свое решение IS/1 о соблюдении Конвенции, принятое на промежуточной сессии,</w:t>
      </w:r>
    </w:p>
    <w:p w:rsidR="009E209A" w:rsidRPr="009E209A" w:rsidRDefault="009E209A" w:rsidP="009E209A">
      <w:pPr>
        <w:pStyle w:val="SingleTxtGR"/>
      </w:pPr>
      <w:r>
        <w:tab/>
      </w:r>
      <w:r w:rsidRPr="009E209A">
        <w:t>1.</w:t>
      </w:r>
      <w:r w:rsidRPr="009E209A">
        <w:tab/>
      </w:r>
      <w:r w:rsidRPr="009E209A">
        <w:rPr>
          <w:i/>
          <w:iCs/>
        </w:rPr>
        <w:t>приветствует</w:t>
      </w:r>
      <w:r w:rsidRPr="009E209A">
        <w:t xml:space="preserve"> усилия, предпринятые Сербией в межсессионный период 2014–2017 годов для выполнения рекомендаций Комитета относительно планируемого строительства третьего энергоблока работающей на буром угле электростанции «Костолац»</w:t>
      </w:r>
      <w:r w:rsidRPr="009E209A">
        <w:rPr>
          <w:sz w:val="18"/>
          <w:vertAlign w:val="superscript"/>
        </w:rPr>
        <w:footnoteReference w:id="5"/>
      </w:r>
      <w:r w:rsidRPr="009E209A">
        <w:t xml:space="preserve">, </w:t>
      </w:r>
    </w:p>
    <w:p w:rsidR="009E209A" w:rsidRPr="009E209A" w:rsidRDefault="009E209A" w:rsidP="009E209A">
      <w:pPr>
        <w:pStyle w:val="SingleTxtGR"/>
      </w:pPr>
      <w:r>
        <w:tab/>
      </w:r>
      <w:r w:rsidRPr="009E209A">
        <w:t>2.</w:t>
      </w:r>
      <w:r w:rsidRPr="009E209A">
        <w:tab/>
      </w:r>
      <w:r w:rsidRPr="009E209A">
        <w:rPr>
          <w:i/>
          <w:iCs/>
        </w:rPr>
        <w:t>одобряет</w:t>
      </w:r>
      <w:r w:rsidRPr="009E209A">
        <w:t xml:space="preserve"> выводы Комитета по осуществлению относительно того, что Сербия привела параметры запланированного строите</w:t>
      </w:r>
      <w:r>
        <w:t>льства в соответствие с пунктом </w:t>
      </w:r>
      <w:r w:rsidRPr="009E209A">
        <w:t>1 статьи 3 Конвенции путем инициирования трансграничной процедуры с Румынией</w:t>
      </w:r>
      <w:r w:rsidRPr="009E209A">
        <w:rPr>
          <w:sz w:val="18"/>
          <w:vertAlign w:val="superscript"/>
        </w:rPr>
        <w:footnoteReference w:id="6"/>
      </w:r>
      <w:r w:rsidRPr="009E209A">
        <w:t>,</w:t>
      </w:r>
    </w:p>
    <w:p w:rsidR="00E12C5F" w:rsidRDefault="009E209A" w:rsidP="009E209A">
      <w:pPr>
        <w:pStyle w:val="SingleTxtGR"/>
      </w:pPr>
      <w:r>
        <w:tab/>
      </w:r>
      <w:r w:rsidRPr="009E209A">
        <w:t>3.</w:t>
      </w:r>
      <w:r w:rsidRPr="009E209A">
        <w:tab/>
      </w:r>
      <w:r w:rsidRPr="009E209A">
        <w:rPr>
          <w:i/>
          <w:iCs/>
        </w:rPr>
        <w:t>просит</w:t>
      </w:r>
      <w:r w:rsidRPr="009E209A">
        <w:t xml:space="preserve"> Сербию и Румынию завершить трансграничную процедуру в соответствии с Конвенцией.</w:t>
      </w:r>
    </w:p>
    <w:p w:rsidR="009E209A" w:rsidRPr="009E209A" w:rsidRDefault="009E209A" w:rsidP="009E209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E209A" w:rsidRPr="009E209A" w:rsidSect="009E209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01D" w:rsidRPr="00A312BC" w:rsidRDefault="0086001D" w:rsidP="00A312BC"/>
  </w:endnote>
  <w:endnote w:type="continuationSeparator" w:id="0">
    <w:p w:rsidR="0086001D" w:rsidRPr="00A312BC" w:rsidRDefault="0086001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09A" w:rsidRPr="009E209A" w:rsidRDefault="009E209A">
    <w:pPr>
      <w:pStyle w:val="Footer"/>
    </w:pPr>
    <w:r w:rsidRPr="009E209A">
      <w:rPr>
        <w:b/>
        <w:sz w:val="18"/>
      </w:rPr>
      <w:fldChar w:fldCharType="begin"/>
    </w:r>
    <w:r w:rsidRPr="009E209A">
      <w:rPr>
        <w:b/>
        <w:sz w:val="18"/>
      </w:rPr>
      <w:instrText xml:space="preserve"> PAGE  \* MERGEFORMAT </w:instrText>
    </w:r>
    <w:r w:rsidRPr="009E209A">
      <w:rPr>
        <w:b/>
        <w:sz w:val="18"/>
      </w:rPr>
      <w:fldChar w:fldCharType="separate"/>
    </w:r>
    <w:r w:rsidR="004D607A">
      <w:rPr>
        <w:b/>
        <w:noProof/>
        <w:sz w:val="18"/>
      </w:rPr>
      <w:t>2</w:t>
    </w:r>
    <w:r w:rsidRPr="009E209A">
      <w:rPr>
        <w:b/>
        <w:sz w:val="18"/>
      </w:rPr>
      <w:fldChar w:fldCharType="end"/>
    </w:r>
    <w:r>
      <w:rPr>
        <w:b/>
        <w:sz w:val="18"/>
      </w:rPr>
      <w:tab/>
    </w:r>
    <w:r>
      <w:t>GE.18-19997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09A" w:rsidRPr="009E209A" w:rsidRDefault="009E209A" w:rsidP="009E209A">
    <w:pPr>
      <w:pStyle w:val="Footer"/>
      <w:tabs>
        <w:tab w:val="clear" w:pos="9639"/>
        <w:tab w:val="right" w:pos="9638"/>
      </w:tabs>
      <w:rPr>
        <w:b/>
        <w:sz w:val="18"/>
      </w:rPr>
    </w:pPr>
    <w:r>
      <w:t>GE.18-19997</w:t>
    </w:r>
    <w:r>
      <w:tab/>
    </w:r>
    <w:r w:rsidRPr="009E209A">
      <w:rPr>
        <w:b/>
        <w:sz w:val="18"/>
      </w:rPr>
      <w:fldChar w:fldCharType="begin"/>
    </w:r>
    <w:r w:rsidRPr="009E209A">
      <w:rPr>
        <w:b/>
        <w:sz w:val="18"/>
      </w:rPr>
      <w:instrText xml:space="preserve"> PAGE  \* MERGEFORMAT </w:instrText>
    </w:r>
    <w:r w:rsidRPr="009E209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E20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E209A" w:rsidRDefault="009E209A" w:rsidP="009E209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18-19997  (R)</w:t>
    </w:r>
    <w:r>
      <w:rPr>
        <w:lang w:val="en-US"/>
      </w:rPr>
      <w:t xml:space="preserve">  041218  051218</w:t>
    </w:r>
    <w:r>
      <w:br/>
    </w:r>
    <w:r w:rsidRPr="009E209A">
      <w:rPr>
        <w:rFonts w:ascii="C39T30Lfz" w:hAnsi="C39T30Lfz"/>
        <w:kern w:val="14"/>
        <w:sz w:val="56"/>
      </w:rPr>
      <w:t></w:t>
    </w:r>
    <w:r w:rsidRPr="009E209A">
      <w:rPr>
        <w:rFonts w:ascii="C39T30Lfz" w:hAnsi="C39T30Lfz"/>
        <w:kern w:val="14"/>
        <w:sz w:val="56"/>
      </w:rPr>
      <w:t></w:t>
    </w:r>
    <w:r w:rsidRPr="009E209A">
      <w:rPr>
        <w:rFonts w:ascii="C39T30Lfz" w:hAnsi="C39T30Lfz"/>
        <w:kern w:val="14"/>
        <w:sz w:val="56"/>
      </w:rPr>
      <w:t></w:t>
    </w:r>
    <w:r w:rsidRPr="009E209A">
      <w:rPr>
        <w:rFonts w:ascii="C39T30Lfz" w:hAnsi="C39T30Lfz"/>
        <w:kern w:val="14"/>
        <w:sz w:val="56"/>
      </w:rPr>
      <w:t></w:t>
    </w:r>
    <w:r w:rsidRPr="009E209A">
      <w:rPr>
        <w:rFonts w:ascii="C39T30Lfz" w:hAnsi="C39T30Lfz"/>
        <w:kern w:val="14"/>
        <w:sz w:val="56"/>
      </w:rPr>
      <w:t></w:t>
    </w:r>
    <w:r w:rsidRPr="009E209A">
      <w:rPr>
        <w:rFonts w:ascii="C39T30Lfz" w:hAnsi="C39T30Lfz"/>
        <w:kern w:val="14"/>
        <w:sz w:val="56"/>
      </w:rPr>
      <w:t></w:t>
    </w:r>
    <w:r w:rsidRPr="009E209A">
      <w:rPr>
        <w:rFonts w:ascii="C39T30Lfz" w:hAnsi="C39T30Lfz"/>
        <w:kern w:val="14"/>
        <w:sz w:val="56"/>
      </w:rPr>
      <w:t></w:t>
    </w:r>
    <w:r w:rsidRPr="009E209A">
      <w:rPr>
        <w:rFonts w:ascii="C39T30Lfz" w:hAnsi="C39T30Lfz"/>
        <w:kern w:val="14"/>
        <w:sz w:val="56"/>
      </w:rPr>
      <w:t></w:t>
    </w:r>
    <w:r w:rsidRPr="009E209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EIA/2019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EIA/2019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01D" w:rsidRPr="001075E9" w:rsidRDefault="0086001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6001D" w:rsidRDefault="0086001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E209A" w:rsidRPr="000B6053" w:rsidRDefault="009E209A" w:rsidP="009E209A">
      <w:pPr>
        <w:pStyle w:val="FootnoteText"/>
      </w:pPr>
      <w:r w:rsidRPr="008B67FE">
        <w:tab/>
      </w:r>
      <w:r w:rsidRPr="001A6A26">
        <w:rPr>
          <w:vertAlign w:val="superscript"/>
        </w:rPr>
        <w:footnoteRef/>
      </w:r>
      <w:r w:rsidRPr="000D31D3">
        <w:rPr>
          <w:lang w:val="es-ES"/>
        </w:rPr>
        <w:tab/>
      </w:r>
      <w:r>
        <w:t>См</w:t>
      </w:r>
      <w:r w:rsidRPr="000D31D3">
        <w:rPr>
          <w:lang w:val="es-ES"/>
        </w:rPr>
        <w:t xml:space="preserve">. ECE/MP.EIA/23-ECE/MP.EIA/SEA/7, </w:t>
      </w:r>
      <w:r>
        <w:t>пункт</w:t>
      </w:r>
      <w:r w:rsidRPr="000D31D3">
        <w:rPr>
          <w:lang w:val="es-ES"/>
        </w:rPr>
        <w:t xml:space="preserve"> 27. </w:t>
      </w:r>
      <w:r>
        <w:t>См. также проект решения VII/2 (ECE/MP.EIA/2017/8).</w:t>
      </w:r>
    </w:p>
  </w:footnote>
  <w:footnote w:id="2">
    <w:p w:rsidR="009E209A" w:rsidRPr="000D31D3" w:rsidRDefault="009E209A" w:rsidP="009E209A">
      <w:pPr>
        <w:pStyle w:val="FootnoteText"/>
        <w:rPr>
          <w:lang w:val="es-ES"/>
        </w:rPr>
      </w:pPr>
      <w:r>
        <w:tab/>
      </w:r>
      <w:r>
        <w:rPr>
          <w:rStyle w:val="FootnoteReference"/>
        </w:rPr>
        <w:footnoteRef/>
      </w:r>
      <w:r w:rsidRPr="000D31D3">
        <w:rPr>
          <w:lang w:val="es-ES"/>
        </w:rPr>
        <w:tab/>
        <w:t xml:space="preserve">ECE/MP.EIA/2017/4-ECE/MP.EIA/SEA/2017/4, </w:t>
      </w:r>
      <w:r>
        <w:t>пункты</w:t>
      </w:r>
      <w:r w:rsidRPr="000D31D3">
        <w:rPr>
          <w:lang w:val="es-ES"/>
        </w:rPr>
        <w:t xml:space="preserve"> 86–87.</w:t>
      </w:r>
    </w:p>
  </w:footnote>
  <w:footnote w:id="3">
    <w:p w:rsidR="009E209A" w:rsidRPr="000D31D3" w:rsidRDefault="009E209A" w:rsidP="009E209A">
      <w:pPr>
        <w:pStyle w:val="FootnoteText"/>
        <w:rPr>
          <w:lang w:val="es-ES"/>
        </w:rPr>
      </w:pPr>
      <w:r w:rsidRPr="000D31D3">
        <w:rPr>
          <w:lang w:val="es-ES"/>
        </w:rPr>
        <w:tab/>
      </w:r>
      <w:r w:rsidRPr="001A6A26">
        <w:rPr>
          <w:vertAlign w:val="superscript"/>
        </w:rPr>
        <w:footnoteRef/>
      </w:r>
      <w:r w:rsidRPr="000D31D3">
        <w:rPr>
          <w:lang w:val="es-ES"/>
        </w:rPr>
        <w:tab/>
        <w:t xml:space="preserve">ECE/MP.EIA/IC/2018/2, </w:t>
      </w:r>
      <w:r>
        <w:t>пункт</w:t>
      </w:r>
      <w:r w:rsidRPr="000D31D3">
        <w:rPr>
          <w:lang w:val="es-ES"/>
        </w:rPr>
        <w:t xml:space="preserve"> 50.</w:t>
      </w:r>
      <w:bookmarkStart w:id="2" w:name="_Hlk527972246"/>
      <w:bookmarkEnd w:id="2"/>
    </w:p>
  </w:footnote>
  <w:footnote w:id="4">
    <w:p w:rsidR="009E209A" w:rsidRPr="000D31D3" w:rsidRDefault="009E209A" w:rsidP="009E209A">
      <w:pPr>
        <w:pStyle w:val="FootnoteText"/>
        <w:rPr>
          <w:lang w:val="es-ES"/>
        </w:rPr>
      </w:pPr>
      <w:r w:rsidRPr="000D31D3">
        <w:rPr>
          <w:lang w:val="es-ES"/>
        </w:rPr>
        <w:tab/>
      </w:r>
      <w:r>
        <w:rPr>
          <w:rStyle w:val="FootnoteReference"/>
        </w:rPr>
        <w:footnoteRef/>
      </w:r>
      <w:r w:rsidRPr="000D31D3">
        <w:rPr>
          <w:lang w:val="es-ES"/>
        </w:rPr>
        <w:tab/>
        <w:t xml:space="preserve">ECE/MP.EIA/IC/2018/4, </w:t>
      </w:r>
      <w:r>
        <w:t>пункты</w:t>
      </w:r>
      <w:r w:rsidRPr="000D31D3">
        <w:rPr>
          <w:lang w:val="es-ES"/>
        </w:rPr>
        <w:t xml:space="preserve"> 46–50.</w:t>
      </w:r>
    </w:p>
  </w:footnote>
  <w:footnote w:id="5">
    <w:p w:rsidR="009E209A" w:rsidRPr="000D31D3" w:rsidRDefault="009E209A" w:rsidP="009E209A">
      <w:pPr>
        <w:pStyle w:val="FootnoteText"/>
        <w:rPr>
          <w:lang w:val="es-ES"/>
        </w:rPr>
      </w:pPr>
      <w:r w:rsidRPr="000D31D3">
        <w:rPr>
          <w:lang w:val="es-ES"/>
        </w:rPr>
        <w:tab/>
      </w:r>
      <w:r>
        <w:rPr>
          <w:rStyle w:val="FootnoteReference"/>
        </w:rPr>
        <w:footnoteRef/>
      </w:r>
      <w:r w:rsidRPr="000D31D3">
        <w:rPr>
          <w:lang w:val="es-ES"/>
        </w:rPr>
        <w:tab/>
        <w:t xml:space="preserve">ECE/MP.EIA/IC/2016/4, </w:t>
      </w:r>
      <w:r>
        <w:t>пункт</w:t>
      </w:r>
      <w:r w:rsidRPr="000D31D3">
        <w:rPr>
          <w:lang w:val="es-ES"/>
        </w:rPr>
        <w:t xml:space="preserve"> 43.</w:t>
      </w:r>
    </w:p>
  </w:footnote>
  <w:footnote w:id="6">
    <w:p w:rsidR="009E209A" w:rsidRPr="00477A9C" w:rsidRDefault="009E209A" w:rsidP="009E209A">
      <w:pPr>
        <w:pStyle w:val="FootnoteText"/>
      </w:pPr>
      <w:r w:rsidRPr="000D31D3">
        <w:rPr>
          <w:lang w:val="es-ES"/>
        </w:rPr>
        <w:tab/>
      </w:r>
      <w:r>
        <w:rPr>
          <w:rStyle w:val="FootnoteReference"/>
        </w:rPr>
        <w:footnoteRef/>
      </w:r>
      <w:r>
        <w:tab/>
        <w:t>Там же.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09A" w:rsidRPr="009E209A" w:rsidRDefault="00602C1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D607A">
      <w:t>ECE/MP.EIA/2019/6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09A" w:rsidRPr="009E209A" w:rsidRDefault="00602C14" w:rsidP="009E209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D607A">
      <w:t>ECE/MP.EIA/2019/6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01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D607A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2C14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001D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9E209A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1FD5"/>
    <w:rsid w:val="00F94155"/>
    <w:rsid w:val="00F9783F"/>
    <w:rsid w:val="00FD2EF7"/>
    <w:rsid w:val="00FE447E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45BF566-8229-49EB-8BC3-A01E59F6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9E20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9E209A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4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ECE/MP.EIA/2019/6</vt:lpstr>
      <vt:lpstr>ECE/MP.EIA/2019/6</vt:lpstr>
      <vt:lpstr>A/</vt:lpstr>
    </vt:vector>
  </TitlesOfParts>
  <Company>DCM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ECE/MP.EIA/2019/6</dc:title>
  <dc:subject/>
  <dc:creator>Marina KOROTKOVA</dc:creator>
  <cp:keywords/>
  <cp:lastModifiedBy>Elisabeth James</cp:lastModifiedBy>
  <cp:revision>2</cp:revision>
  <cp:lastPrinted>2018-12-05T08:58:00Z</cp:lastPrinted>
  <dcterms:created xsi:type="dcterms:W3CDTF">2018-12-19T00:45:00Z</dcterms:created>
  <dcterms:modified xsi:type="dcterms:W3CDTF">2018-12-19T00:45:00Z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