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67120C3" w14:textId="77777777" w:rsidTr="009E6CB7">
        <w:trPr>
          <w:cantSplit/>
          <w:trHeight w:hRule="exact" w:val="851"/>
        </w:trPr>
        <w:tc>
          <w:tcPr>
            <w:tcW w:w="1276" w:type="dxa"/>
            <w:tcBorders>
              <w:bottom w:val="single" w:sz="4" w:space="0" w:color="auto"/>
            </w:tcBorders>
            <w:vAlign w:val="bottom"/>
          </w:tcPr>
          <w:p w14:paraId="33036099" w14:textId="77777777" w:rsidR="009E6CB7" w:rsidRDefault="009E6CB7" w:rsidP="009E6CB7">
            <w:pPr>
              <w:spacing w:after="80"/>
            </w:pPr>
            <w:bookmarkStart w:id="0" w:name="_GoBack"/>
            <w:bookmarkEnd w:id="0"/>
          </w:p>
        </w:tc>
        <w:tc>
          <w:tcPr>
            <w:tcW w:w="2268" w:type="dxa"/>
            <w:tcBorders>
              <w:bottom w:val="single" w:sz="4" w:space="0" w:color="auto"/>
            </w:tcBorders>
            <w:vAlign w:val="bottom"/>
          </w:tcPr>
          <w:p w14:paraId="239DA1E1" w14:textId="77777777"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157F579" w14:textId="77777777" w:rsidR="009E6CB7" w:rsidRPr="00D47EEA" w:rsidRDefault="00700EF9" w:rsidP="00700EF9">
            <w:pPr>
              <w:jc w:val="right"/>
            </w:pPr>
            <w:r w:rsidRPr="00700EF9">
              <w:rPr>
                <w:sz w:val="40"/>
              </w:rPr>
              <w:t>ECE</w:t>
            </w:r>
            <w:r>
              <w:t>/MP.EIA/2019/9</w:t>
            </w:r>
          </w:p>
        </w:tc>
      </w:tr>
      <w:tr w:rsidR="009E6CB7" w14:paraId="1CFD2997" w14:textId="77777777" w:rsidTr="009E6CB7">
        <w:trPr>
          <w:cantSplit/>
          <w:trHeight w:hRule="exact" w:val="2835"/>
        </w:trPr>
        <w:tc>
          <w:tcPr>
            <w:tcW w:w="1276" w:type="dxa"/>
            <w:tcBorders>
              <w:top w:val="single" w:sz="4" w:space="0" w:color="auto"/>
              <w:bottom w:val="single" w:sz="12" w:space="0" w:color="auto"/>
            </w:tcBorders>
          </w:tcPr>
          <w:p w14:paraId="4D02B1C7" w14:textId="77777777" w:rsidR="009E6CB7" w:rsidRDefault="00BC7F91" w:rsidP="009E6CB7">
            <w:pPr>
              <w:spacing w:before="120"/>
            </w:pPr>
            <w:r>
              <w:rPr>
                <w:noProof/>
                <w:lang w:eastAsia="zh-CN"/>
              </w:rPr>
              <w:drawing>
                <wp:inline distT="0" distB="0" distL="0" distR="0" wp14:anchorId="726A2682" wp14:editId="6D54498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6B106E" w14:textId="77777777"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6256CD" w14:textId="77777777" w:rsidR="009E6CB7" w:rsidRDefault="00700EF9" w:rsidP="00700EF9">
            <w:pPr>
              <w:spacing w:before="240" w:line="240" w:lineRule="exact"/>
            </w:pPr>
            <w:r>
              <w:t xml:space="preserve">Distr.: General </w:t>
            </w:r>
          </w:p>
          <w:p w14:paraId="38A8E6A4" w14:textId="15A81F9E" w:rsidR="00700EF9" w:rsidRDefault="00706982" w:rsidP="00700EF9">
            <w:pPr>
              <w:spacing w:line="240" w:lineRule="exact"/>
            </w:pPr>
            <w:r>
              <w:t>22</w:t>
            </w:r>
            <w:r w:rsidR="00700EF9">
              <w:t xml:space="preserve"> November 2018</w:t>
            </w:r>
          </w:p>
          <w:p w14:paraId="42A4F832" w14:textId="77777777" w:rsidR="00700EF9" w:rsidRDefault="00700EF9" w:rsidP="00700EF9">
            <w:pPr>
              <w:spacing w:line="240" w:lineRule="exact"/>
            </w:pPr>
          </w:p>
          <w:p w14:paraId="4DD26F1A" w14:textId="77777777" w:rsidR="00700EF9" w:rsidRDefault="00700EF9" w:rsidP="00700EF9">
            <w:pPr>
              <w:spacing w:line="240" w:lineRule="exact"/>
            </w:pPr>
            <w:r>
              <w:t>Original: English</w:t>
            </w:r>
          </w:p>
        </w:tc>
      </w:tr>
    </w:tbl>
    <w:p w14:paraId="373143F9" w14:textId="77777777" w:rsidR="00700EF9" w:rsidRPr="002A6612" w:rsidRDefault="00700EF9" w:rsidP="00700EF9">
      <w:pPr>
        <w:spacing w:before="120"/>
        <w:rPr>
          <w:b/>
          <w:sz w:val="28"/>
          <w:szCs w:val="28"/>
        </w:rPr>
      </w:pPr>
      <w:r w:rsidRPr="002A6612">
        <w:rPr>
          <w:b/>
          <w:sz w:val="28"/>
          <w:szCs w:val="28"/>
        </w:rPr>
        <w:t>Economic Commission for Europe</w:t>
      </w:r>
    </w:p>
    <w:p w14:paraId="7809712F" w14:textId="77777777" w:rsidR="00700EF9" w:rsidRPr="002A6612" w:rsidRDefault="00700EF9" w:rsidP="00700EF9">
      <w:pPr>
        <w:spacing w:before="120"/>
        <w:rPr>
          <w:bCs/>
          <w:sz w:val="28"/>
          <w:szCs w:val="28"/>
        </w:rPr>
      </w:pPr>
      <w:r w:rsidRPr="002A6612">
        <w:rPr>
          <w:bCs/>
          <w:sz w:val="28"/>
          <w:szCs w:val="28"/>
        </w:rPr>
        <w:t xml:space="preserve">Meeting of the Parties to the Convention </w:t>
      </w:r>
      <w:r w:rsidRPr="002A6612">
        <w:rPr>
          <w:bCs/>
          <w:sz w:val="28"/>
          <w:szCs w:val="28"/>
        </w:rPr>
        <w:br/>
        <w:t xml:space="preserve">on Environmental Impact Assessment </w:t>
      </w:r>
      <w:r w:rsidRPr="002A6612">
        <w:rPr>
          <w:bCs/>
          <w:sz w:val="28"/>
          <w:szCs w:val="28"/>
        </w:rPr>
        <w:br/>
        <w:t>in a Transboundary Context</w:t>
      </w:r>
    </w:p>
    <w:p w14:paraId="1D480E17" w14:textId="77777777" w:rsidR="00700EF9" w:rsidRPr="007D3C32" w:rsidRDefault="00700EF9" w:rsidP="004E20AC">
      <w:pPr>
        <w:spacing w:before="100"/>
        <w:rPr>
          <w:b/>
        </w:rPr>
      </w:pPr>
      <w:r w:rsidRPr="007D3C32">
        <w:rPr>
          <w:b/>
        </w:rPr>
        <w:t>Intermediary session</w:t>
      </w:r>
    </w:p>
    <w:p w14:paraId="70513F20" w14:textId="77777777" w:rsidR="00700EF9" w:rsidRPr="007D3C32" w:rsidRDefault="00700EF9" w:rsidP="00700EF9">
      <w:pPr>
        <w:spacing w:line="240" w:lineRule="auto"/>
      </w:pPr>
      <w:r w:rsidRPr="007D3C32">
        <w:t>Geneva, 5–7 February 2019</w:t>
      </w:r>
    </w:p>
    <w:p w14:paraId="77EFA65B" w14:textId="7C54B11F" w:rsidR="00700EF9" w:rsidRPr="007D3C32" w:rsidRDefault="00700EF9" w:rsidP="00700EF9">
      <w:pPr>
        <w:spacing w:line="240" w:lineRule="auto"/>
      </w:pPr>
      <w:r w:rsidRPr="007D3C32">
        <w:t>Item</w:t>
      </w:r>
      <w:r w:rsidR="00815FC2">
        <w:t>s</w:t>
      </w:r>
      <w:r w:rsidRPr="007D3C32">
        <w:t xml:space="preserve"> </w:t>
      </w:r>
      <w:r>
        <w:t>3</w:t>
      </w:r>
      <w:r w:rsidRPr="007D3C32">
        <w:t xml:space="preserve"> (</w:t>
      </w:r>
      <w:r>
        <w:t>a</w:t>
      </w:r>
      <w:r w:rsidRPr="007D3C32">
        <w:t xml:space="preserve">) </w:t>
      </w:r>
      <w:r w:rsidRPr="00515325">
        <w:t>and 8 of</w:t>
      </w:r>
      <w:r w:rsidRPr="007D3C32">
        <w:t xml:space="preserve"> the provisional agenda</w:t>
      </w:r>
    </w:p>
    <w:p w14:paraId="3FCDFB74" w14:textId="77777777" w:rsidR="00700EF9" w:rsidRDefault="00700EF9" w:rsidP="004E20AC">
      <w:pPr>
        <w:pStyle w:val="HChG"/>
        <w:spacing w:before="100" w:after="100" w:line="240" w:lineRule="auto"/>
        <w:ind w:left="0" w:firstLine="0"/>
        <w:rPr>
          <w:bCs/>
          <w:sz w:val="20"/>
        </w:rPr>
      </w:pPr>
      <w:bookmarkStart w:id="1" w:name="_Hlk529277039"/>
      <w:r w:rsidRPr="00BA0CBE">
        <w:rPr>
          <w:bCs/>
          <w:sz w:val="20"/>
        </w:rPr>
        <w:t xml:space="preserve">Outstanding issues: draft decisions </w:t>
      </w:r>
    </w:p>
    <w:p w14:paraId="5C34577F" w14:textId="192F9ACD" w:rsidR="00700EF9" w:rsidRPr="003C1D73" w:rsidRDefault="00700EF9" w:rsidP="004E20AC">
      <w:pPr>
        <w:pStyle w:val="HChG"/>
        <w:spacing w:before="100" w:after="100" w:line="240" w:lineRule="auto"/>
        <w:ind w:left="0" w:firstLine="0"/>
        <w:rPr>
          <w:sz w:val="20"/>
        </w:rPr>
      </w:pPr>
      <w:r w:rsidRPr="00BA0CBE">
        <w:rPr>
          <w:bCs/>
          <w:sz w:val="20"/>
        </w:rPr>
        <w:t>Adoption of decisions</w:t>
      </w:r>
      <w:r w:rsidR="00996681">
        <w:rPr>
          <w:bCs/>
          <w:sz w:val="20"/>
        </w:rPr>
        <w:t xml:space="preserve"> </w:t>
      </w:r>
      <w:r w:rsidRPr="00BA0CBE">
        <w:rPr>
          <w:bCs/>
          <w:sz w:val="20"/>
        </w:rPr>
        <w:t xml:space="preserve">by the Meeting of the </w:t>
      </w:r>
      <w:r w:rsidR="00996681">
        <w:rPr>
          <w:bCs/>
          <w:sz w:val="20"/>
        </w:rPr>
        <w:br/>
      </w:r>
      <w:r w:rsidRPr="00BA0CBE">
        <w:rPr>
          <w:bCs/>
          <w:sz w:val="20"/>
        </w:rPr>
        <w:t>Parties to the Convention</w:t>
      </w:r>
    </w:p>
    <w:bookmarkEnd w:id="1"/>
    <w:p w14:paraId="5F0D927B" w14:textId="794F3C79" w:rsidR="00700EF9" w:rsidRPr="005A486D" w:rsidRDefault="00700EF9" w:rsidP="00A8152F">
      <w:pPr>
        <w:pStyle w:val="HChG"/>
        <w:spacing w:before="320" w:after="200"/>
      </w:pPr>
      <w:r>
        <w:tab/>
      </w:r>
      <w:r>
        <w:tab/>
      </w:r>
      <w:r w:rsidRPr="005A486D">
        <w:t xml:space="preserve">Draft decision IS/1h on compliance by the United Kingdom </w:t>
      </w:r>
      <w:r w:rsidR="00996681">
        <w:br/>
      </w:r>
      <w:r w:rsidRPr="005A486D">
        <w:t>of Great Britain and Northern Ireland with its obligations under the Convention in respect of the Hinkley Point C nuclear power plant</w:t>
      </w:r>
    </w:p>
    <w:p w14:paraId="26B94F61" w14:textId="77777777" w:rsidR="00700EF9" w:rsidRPr="002A6612" w:rsidRDefault="00700EF9" w:rsidP="00A8152F">
      <w:pPr>
        <w:pStyle w:val="H1G"/>
        <w:spacing w:before="280" w:after="200"/>
      </w:pPr>
      <w:r>
        <w:tab/>
      </w:r>
      <w:r>
        <w:tab/>
      </w:r>
      <w:r w:rsidRPr="00A37D5F">
        <w:t>Proposal</w:t>
      </w:r>
      <w:r w:rsidRPr="00DB587A">
        <w:t xml:space="preserve">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00EF9" w14:paraId="27AFE6AE" w14:textId="77777777" w:rsidTr="00033DA0">
        <w:trPr>
          <w:jc w:val="center"/>
        </w:trPr>
        <w:tc>
          <w:tcPr>
            <w:tcW w:w="9637" w:type="dxa"/>
            <w:shd w:val="clear" w:color="auto" w:fill="auto"/>
          </w:tcPr>
          <w:p w14:paraId="2E26F5C9" w14:textId="77777777" w:rsidR="00700EF9" w:rsidRPr="005A486D" w:rsidRDefault="00700EF9" w:rsidP="004E20AC">
            <w:pPr>
              <w:spacing w:before="200" w:after="100"/>
              <w:ind w:left="255"/>
              <w:rPr>
                <w:i/>
                <w:sz w:val="24"/>
              </w:rPr>
            </w:pPr>
            <w:r w:rsidRPr="005A486D">
              <w:rPr>
                <w:i/>
                <w:sz w:val="24"/>
              </w:rPr>
              <w:t>Summary</w:t>
            </w:r>
          </w:p>
        </w:tc>
      </w:tr>
      <w:tr w:rsidR="00700EF9" w14:paraId="0BD4C8FE" w14:textId="77777777" w:rsidTr="00033DA0">
        <w:trPr>
          <w:jc w:val="center"/>
        </w:trPr>
        <w:tc>
          <w:tcPr>
            <w:tcW w:w="9637" w:type="dxa"/>
            <w:shd w:val="clear" w:color="auto" w:fill="auto"/>
          </w:tcPr>
          <w:p w14:paraId="1D518DF8" w14:textId="4EEF524C" w:rsidR="00996681" w:rsidRDefault="00996681" w:rsidP="001C374A">
            <w:pPr>
              <w:pStyle w:val="SingleTxtG"/>
              <w:spacing w:after="100" w:line="240" w:lineRule="auto"/>
            </w:pPr>
            <w:r w:rsidRPr="00A0384A">
              <w:tab/>
              <w:t xml:space="preserve">The draft decision contained in the present document responds to the request of the Meeting of the Parties to the Convention </w:t>
            </w:r>
            <w:r>
              <w:t xml:space="preserve">on Environmental Impact Assessment in a Transboundary Context </w:t>
            </w:r>
            <w:r w:rsidRPr="00A0384A">
              <w:t>at its seventh session (Minsk, 13–16 June 2017)</w:t>
            </w:r>
            <w:r w:rsidRPr="007060F2" w:rsidDel="00E74A45">
              <w:t xml:space="preserve"> </w:t>
            </w:r>
            <w:r w:rsidRPr="00A0384A">
              <w:t xml:space="preserve">for the </w:t>
            </w:r>
            <w:r>
              <w:t xml:space="preserve">Implementation </w:t>
            </w:r>
            <w:r w:rsidRPr="00A0384A">
              <w:t>Committee to revise draft decision VII/2 on the review of compliance with the Convention, taking into account the work already carried out and the progress achieved before, during and after the seventh session of the Meeting of the Parties (ECE/MP.EIA/23-ECE/MP.EIA/SEA/7, para. 27).</w:t>
            </w:r>
            <w:r>
              <w:t xml:space="preserve"> To facilitate its consideration and adoption, </w:t>
            </w:r>
            <w:r w:rsidRPr="00A0384A">
              <w:t xml:space="preserve">draft decision VII/2 </w:t>
            </w:r>
            <w:r>
              <w:t xml:space="preserve">has been </w:t>
            </w:r>
            <w:r w:rsidRPr="00A0384A">
              <w:t>split into separate draft decisions</w:t>
            </w:r>
            <w:r>
              <w:t>: a draft decision on general issues of compliance</w:t>
            </w:r>
            <w:r w:rsidRPr="00A0384A">
              <w:t xml:space="preserve"> </w:t>
            </w:r>
            <w:r>
              <w:t>and draft decisions on separate country-specific compliance issues</w:t>
            </w:r>
            <w:r w:rsidRPr="00A0384A">
              <w:t>.</w:t>
            </w:r>
          </w:p>
          <w:p w14:paraId="22315FB4" w14:textId="00EDBCAA" w:rsidR="00700EF9" w:rsidRPr="005A486D" w:rsidRDefault="00996681" w:rsidP="001C374A">
            <w:pPr>
              <w:pStyle w:val="SingleTxtG"/>
              <w:spacing w:after="100" w:line="240" w:lineRule="auto"/>
              <w:ind w:firstLine="272"/>
            </w:pPr>
            <w:r>
              <w:tab/>
              <w:t>D</w:t>
            </w:r>
            <w:r w:rsidRPr="00A0384A">
              <w:t>raft decision</w:t>
            </w:r>
            <w:r>
              <w:t xml:space="preserve"> IS/</w:t>
            </w:r>
            <w:r w:rsidR="00815FC2">
              <w:t>1</w:t>
            </w:r>
            <w:r>
              <w:t xml:space="preserve">h </w:t>
            </w:r>
            <w:r w:rsidRPr="00A0384A">
              <w:t xml:space="preserve">presents a revised version of the </w:t>
            </w:r>
            <w:r>
              <w:t xml:space="preserve">text of </w:t>
            </w:r>
            <w:r w:rsidRPr="00A0384A">
              <w:t xml:space="preserve">draft decision VII/2 </w:t>
            </w:r>
            <w:r>
              <w:t>concerning compliance by the United Kingdom of Great Britain and Northern Ireland wit</w:t>
            </w:r>
            <w:r w:rsidR="009C551A">
              <w:t>h</w:t>
            </w:r>
            <w:r>
              <w:t xml:space="preserve"> its obligations under the Convention in respect of the Hinkley Point C nuclear power plant.</w:t>
            </w:r>
          </w:p>
          <w:p w14:paraId="5B314299" w14:textId="77777777" w:rsidR="00700EF9" w:rsidRDefault="00700EF9" w:rsidP="003C1D73">
            <w:pPr>
              <w:pStyle w:val="SingleTxtG"/>
              <w:spacing w:line="240" w:lineRule="auto"/>
              <w:ind w:firstLine="275"/>
            </w:pPr>
            <w:r w:rsidRPr="005A486D">
              <w:tab/>
              <w:t>The Meeting of the Parties is expected to review the draft decision and agree on its adoption.</w:t>
            </w:r>
          </w:p>
        </w:tc>
      </w:tr>
      <w:tr w:rsidR="00700EF9" w:rsidRPr="001C374A" w14:paraId="2008EDA1" w14:textId="77777777" w:rsidTr="00033DA0">
        <w:trPr>
          <w:jc w:val="center"/>
        </w:trPr>
        <w:tc>
          <w:tcPr>
            <w:tcW w:w="9637" w:type="dxa"/>
            <w:shd w:val="clear" w:color="auto" w:fill="auto"/>
          </w:tcPr>
          <w:p w14:paraId="7D2F70D7" w14:textId="77777777" w:rsidR="00700EF9" w:rsidRPr="001C374A" w:rsidRDefault="00700EF9" w:rsidP="001C374A">
            <w:pPr>
              <w:pStyle w:val="SingleTxtG"/>
              <w:spacing w:after="0"/>
              <w:rPr>
                <w:sz w:val="4"/>
                <w:szCs w:val="4"/>
              </w:rPr>
            </w:pPr>
          </w:p>
        </w:tc>
      </w:tr>
    </w:tbl>
    <w:p w14:paraId="11910758" w14:textId="15F0E1EF" w:rsidR="00700EF9" w:rsidRDefault="00700EF9"/>
    <w:p w14:paraId="03D363E2" w14:textId="77777777" w:rsidR="00700EF9" w:rsidRPr="005A486D" w:rsidRDefault="00700EF9" w:rsidP="00E00815">
      <w:pPr>
        <w:spacing w:after="120"/>
        <w:ind w:left="1134" w:right="1134" w:firstLine="567"/>
        <w:jc w:val="both"/>
        <w:rPr>
          <w:i/>
        </w:rPr>
      </w:pPr>
      <w:r w:rsidRPr="005A486D">
        <w:rPr>
          <w:i/>
        </w:rPr>
        <w:t xml:space="preserve">The Meeting of the Parties, </w:t>
      </w:r>
    </w:p>
    <w:p w14:paraId="5FAB8F52" w14:textId="3B6B7D6E" w:rsidR="00700EF9" w:rsidRPr="005A486D" w:rsidRDefault="00700EF9" w:rsidP="00700EF9">
      <w:pPr>
        <w:spacing w:after="120"/>
        <w:ind w:left="1134" w:right="1134" w:firstLine="567"/>
        <w:jc w:val="both"/>
        <w:rPr>
          <w:i/>
        </w:rPr>
      </w:pPr>
      <w:r w:rsidRPr="005A486D">
        <w:rPr>
          <w:i/>
        </w:rPr>
        <w:t xml:space="preserve">Recalling </w:t>
      </w:r>
      <w:r w:rsidRPr="005A486D">
        <w:rPr>
          <w:iCs/>
        </w:rPr>
        <w:t>article 11, paragraph 2, and article 14 bis of the Convention on Environmental Impact Assessment in a Transboundary Context,</w:t>
      </w:r>
    </w:p>
    <w:p w14:paraId="53A61BCC" w14:textId="14E33E54" w:rsidR="00700EF9" w:rsidRPr="005A486D" w:rsidRDefault="00700EF9" w:rsidP="00700EF9">
      <w:pPr>
        <w:spacing w:after="120"/>
        <w:ind w:left="1134" w:right="1134" w:firstLine="567"/>
        <w:jc w:val="both"/>
        <w:rPr>
          <w:iCs/>
        </w:rPr>
      </w:pPr>
      <w:r w:rsidRPr="005A486D">
        <w:rPr>
          <w:i/>
        </w:rPr>
        <w:t xml:space="preserve">Recalling </w:t>
      </w:r>
      <w:r w:rsidR="009C551A">
        <w:rPr>
          <w:i/>
        </w:rPr>
        <w:t xml:space="preserve">also </w:t>
      </w:r>
      <w:r w:rsidRPr="005A486D">
        <w:rPr>
          <w:iCs/>
        </w:rPr>
        <w:t>its decision at its seventh session to finalize its deliberations on the review of compliance with the Convention at an intermediary session, based on a revised draft decision to be prepared by the Implementation Committee and taking into account the work carried out and progress achieved before and during the seventh session,</w:t>
      </w:r>
      <w:r w:rsidRPr="005A486D">
        <w:rPr>
          <w:sz w:val="18"/>
          <w:vertAlign w:val="superscript"/>
        </w:rPr>
        <w:footnoteReference w:id="2"/>
      </w:r>
    </w:p>
    <w:p w14:paraId="2685473D" w14:textId="3EA5D356" w:rsidR="00700EF9" w:rsidRPr="005A486D" w:rsidRDefault="00700EF9" w:rsidP="00700EF9">
      <w:pPr>
        <w:spacing w:after="120"/>
        <w:ind w:left="1134" w:right="1134" w:firstLine="567"/>
        <w:jc w:val="both"/>
        <w:rPr>
          <w:i/>
        </w:rPr>
      </w:pPr>
      <w:r w:rsidRPr="005A486D">
        <w:rPr>
          <w:i/>
        </w:rPr>
        <w:t>Having considered</w:t>
      </w:r>
      <w:r w:rsidRPr="003C1D73">
        <w:t>,</w:t>
      </w:r>
      <w:r w:rsidRPr="005A486D">
        <w:rPr>
          <w:i/>
        </w:rPr>
        <w:t xml:space="preserve"> </w:t>
      </w:r>
      <w:r w:rsidRPr="005A486D">
        <w:rPr>
          <w:iCs/>
        </w:rPr>
        <w:t>further to paragraph 6 of the appendix to decision III/2,</w:t>
      </w:r>
      <w:r w:rsidRPr="005A486D">
        <w:rPr>
          <w:iCs/>
          <w:sz w:val="18"/>
          <w:vertAlign w:val="superscript"/>
        </w:rPr>
        <w:footnoteReference w:id="3"/>
      </w:r>
      <w:r w:rsidRPr="005A486D">
        <w:rPr>
          <w:iCs/>
        </w:rPr>
        <w:t xml:space="preserve"> the findings and recommendations of the Implementation Committee on the Committee </w:t>
      </w:r>
      <w:r w:rsidR="009C551A">
        <w:rPr>
          <w:iCs/>
        </w:rPr>
        <w:t>i</w:t>
      </w:r>
      <w:r w:rsidRPr="005A486D">
        <w:rPr>
          <w:iCs/>
        </w:rPr>
        <w:t>nitiative with regard to the Hinkley Point C nuclear plant project</w:t>
      </w:r>
      <w:r w:rsidR="001965F1">
        <w:rPr>
          <w:iCs/>
        </w:rPr>
        <w:t>,</w:t>
      </w:r>
      <w:r w:rsidRPr="005A486D">
        <w:rPr>
          <w:iCs/>
        </w:rPr>
        <w:t xml:space="preserve"> as set out in the report of the Committee on its thirty-fifth</w:t>
      </w:r>
      <w:r w:rsidRPr="005A486D">
        <w:rPr>
          <w:iCs/>
          <w:sz w:val="18"/>
          <w:vertAlign w:val="superscript"/>
        </w:rPr>
        <w:footnoteReference w:id="4"/>
      </w:r>
      <w:r w:rsidRPr="005A486D">
        <w:rPr>
          <w:iCs/>
        </w:rPr>
        <w:t xml:space="preserve"> session and</w:t>
      </w:r>
      <w:r w:rsidR="009C551A">
        <w:rPr>
          <w:iCs/>
        </w:rPr>
        <w:t xml:space="preserve"> in</w:t>
      </w:r>
      <w:r w:rsidRPr="005A486D">
        <w:rPr>
          <w:iCs/>
        </w:rPr>
        <w:t xml:space="preserve"> document </w:t>
      </w:r>
      <w:r w:rsidRPr="005A486D">
        <w:t>ECE/MP.EIA/2019/14</w:t>
      </w:r>
      <w:r w:rsidR="009C551A">
        <w:rPr>
          <w:iCs/>
        </w:rPr>
        <w:t>,</w:t>
      </w:r>
    </w:p>
    <w:p w14:paraId="620AB8BD" w14:textId="4881BF8B" w:rsidR="00700EF9" w:rsidRPr="005A486D" w:rsidRDefault="00700EF9" w:rsidP="00700EF9">
      <w:pPr>
        <w:spacing w:after="120"/>
        <w:ind w:left="1134" w:right="1134" w:firstLine="567"/>
        <w:jc w:val="both"/>
        <w:rPr>
          <w:iCs/>
        </w:rPr>
      </w:pPr>
      <w:r w:rsidRPr="005A486D">
        <w:rPr>
          <w:i/>
        </w:rPr>
        <w:t xml:space="preserve">Having also considered </w:t>
      </w:r>
      <w:r w:rsidR="00815FC2">
        <w:rPr>
          <w:iCs/>
        </w:rPr>
        <w:t xml:space="preserve">the sections </w:t>
      </w:r>
      <w:r w:rsidRPr="005A486D">
        <w:rPr>
          <w:iCs/>
        </w:rPr>
        <w:t>concerning the United Kingdom in the report on the activities of the Implementation Committee to the Meeting of the Parties to the Convention at its seventh session</w:t>
      </w:r>
      <w:r w:rsidRPr="005A486D">
        <w:rPr>
          <w:sz w:val="18"/>
          <w:vertAlign w:val="superscript"/>
        </w:rPr>
        <w:footnoteReference w:id="5"/>
      </w:r>
      <w:r w:rsidRPr="005A486D">
        <w:rPr>
          <w:iCs/>
        </w:rPr>
        <w:t xml:space="preserve"> and in the reports of the Committee on its thirty-ninth,</w:t>
      </w:r>
      <w:r w:rsidRPr="005A486D">
        <w:rPr>
          <w:sz w:val="18"/>
          <w:vertAlign w:val="superscript"/>
        </w:rPr>
        <w:footnoteReference w:id="6"/>
      </w:r>
      <w:r w:rsidRPr="005A486D">
        <w:rPr>
          <w:iCs/>
        </w:rPr>
        <w:t xml:space="preserve"> fortieth</w:t>
      </w:r>
      <w:r w:rsidRPr="005A486D">
        <w:rPr>
          <w:sz w:val="18"/>
          <w:vertAlign w:val="superscript"/>
        </w:rPr>
        <w:footnoteReference w:id="7"/>
      </w:r>
      <w:r w:rsidRPr="005A486D">
        <w:rPr>
          <w:iCs/>
        </w:rPr>
        <w:t>, forty-first</w:t>
      </w:r>
      <w:r w:rsidRPr="005A486D">
        <w:rPr>
          <w:sz w:val="18"/>
          <w:vertAlign w:val="superscript"/>
        </w:rPr>
        <w:footnoteReference w:id="8"/>
      </w:r>
      <w:r w:rsidRPr="005A486D">
        <w:rPr>
          <w:iCs/>
        </w:rPr>
        <w:t xml:space="preserve"> and forty-second sessions,</w:t>
      </w:r>
      <w:r w:rsidRPr="005A486D">
        <w:rPr>
          <w:sz w:val="18"/>
          <w:vertAlign w:val="superscript"/>
        </w:rPr>
        <w:footnoteReference w:id="9"/>
      </w:r>
    </w:p>
    <w:p w14:paraId="505E12BC" w14:textId="349E1AB4" w:rsidR="00700EF9" w:rsidRPr="005A486D" w:rsidRDefault="00700EF9" w:rsidP="00700EF9">
      <w:pPr>
        <w:spacing w:after="120"/>
        <w:ind w:left="1134" w:right="1134" w:firstLine="567"/>
        <w:jc w:val="both"/>
        <w:rPr>
          <w:i/>
        </w:rPr>
      </w:pPr>
      <w:r w:rsidRPr="005A486D">
        <w:rPr>
          <w:i/>
        </w:rPr>
        <w:t xml:space="preserve">Recalling </w:t>
      </w:r>
      <w:r w:rsidRPr="005A486D">
        <w:rPr>
          <w:iCs/>
        </w:rPr>
        <w:t>its decision IS/1 on the review of compliance with the Convention adopted at the intermediary session</w:t>
      </w:r>
      <w:r w:rsidR="00054B5B">
        <w:t>,</w:t>
      </w:r>
    </w:p>
    <w:p w14:paraId="44019B9A" w14:textId="77777777" w:rsidR="00700EF9" w:rsidRPr="005A486D" w:rsidRDefault="00700EF9" w:rsidP="00700EF9">
      <w:pPr>
        <w:pBdr>
          <w:top w:val="nil"/>
          <w:left w:val="nil"/>
          <w:bottom w:val="nil"/>
          <w:right w:val="nil"/>
          <w:between w:val="nil"/>
          <w:bar w:val="nil"/>
        </w:pBdr>
        <w:spacing w:after="120"/>
        <w:ind w:left="1134" w:right="1134" w:firstLine="567"/>
        <w:jc w:val="both"/>
        <w:rPr>
          <w:rFonts w:eastAsia="Arial Unicode MS" w:cs="Arial Unicode MS"/>
          <w:color w:val="000000"/>
          <w:u w:color="000000"/>
          <w:bdr w:val="nil"/>
          <w:lang w:eastAsia="zh-CN"/>
        </w:rPr>
      </w:pPr>
      <w:r>
        <w:rPr>
          <w:rFonts w:eastAsia="Arial Unicode MS" w:cs="Arial Unicode MS"/>
          <w:color w:val="000000"/>
          <w:u w:color="000000"/>
          <w:bdr w:val="nil"/>
          <w:lang w:eastAsia="zh-CN"/>
        </w:rPr>
        <w:t>1.</w:t>
      </w:r>
      <w:r w:rsidRPr="005A486D">
        <w:rPr>
          <w:rFonts w:eastAsia="Arial Unicode MS" w:cs="Arial Unicode MS"/>
          <w:color w:val="000000"/>
          <w:u w:color="000000"/>
          <w:bdr w:val="nil"/>
          <w:lang w:eastAsia="zh-CN"/>
        </w:rPr>
        <w:tab/>
      </w:r>
      <w:r w:rsidRPr="005A486D">
        <w:rPr>
          <w:rFonts w:eastAsia="Arial Unicode MS" w:cs="Arial Unicode MS"/>
          <w:i/>
          <w:iCs/>
          <w:color w:val="000000"/>
          <w:u w:color="000000"/>
          <w:bdr w:val="nil"/>
          <w:lang w:eastAsia="zh-CN"/>
        </w:rPr>
        <w:t>Endorses</w:t>
      </w:r>
      <w:r w:rsidRPr="005A486D">
        <w:rPr>
          <w:rFonts w:eastAsia="Arial Unicode MS" w:cs="Arial Unicode MS"/>
          <w:color w:val="000000"/>
          <w:u w:color="000000"/>
          <w:bdr w:val="nil"/>
          <w:lang w:eastAsia="zh-CN"/>
        </w:rPr>
        <w:t xml:space="preserve"> the Implementation Committee’s finding that the United Kingdom failed to comply with the Convention by not notifying the potentially affected parties in accordance with article 2, paragraph 4, and article 3, paragraph 1, of the Convention in the case of the Hinckley Point C nuclear power plant project;</w:t>
      </w:r>
    </w:p>
    <w:p w14:paraId="0CBB2C9A" w14:textId="7C71C2DE" w:rsidR="00700EF9" w:rsidRPr="005A486D" w:rsidRDefault="00700EF9" w:rsidP="00700EF9">
      <w:pPr>
        <w:pBdr>
          <w:top w:val="nil"/>
          <w:left w:val="nil"/>
          <w:bottom w:val="nil"/>
          <w:right w:val="nil"/>
          <w:between w:val="nil"/>
          <w:bar w:val="nil"/>
        </w:pBdr>
        <w:spacing w:after="120"/>
        <w:ind w:left="1134" w:right="1134" w:firstLine="567"/>
        <w:jc w:val="both"/>
        <w:rPr>
          <w:rFonts w:eastAsia="Arial Unicode MS" w:cs="Arial Unicode MS"/>
          <w:color w:val="000000"/>
          <w:u w:color="000000"/>
          <w:bdr w:val="nil"/>
          <w:lang w:eastAsia="zh-CN"/>
        </w:rPr>
      </w:pPr>
      <w:r w:rsidRPr="005A486D">
        <w:rPr>
          <w:rFonts w:eastAsia="Arial Unicode MS" w:cs="Arial Unicode MS"/>
          <w:color w:val="000000"/>
          <w:u w:color="000000"/>
          <w:bdr w:val="nil"/>
          <w:lang w:eastAsia="zh-CN"/>
        </w:rPr>
        <w:t>2</w:t>
      </w:r>
      <w:r>
        <w:rPr>
          <w:rFonts w:eastAsia="Arial Unicode MS" w:cs="Arial Unicode MS"/>
          <w:color w:val="000000"/>
          <w:u w:color="000000"/>
          <w:bdr w:val="nil"/>
          <w:lang w:eastAsia="zh-CN"/>
        </w:rPr>
        <w:t>.</w:t>
      </w:r>
      <w:r w:rsidRPr="005A486D">
        <w:rPr>
          <w:rFonts w:eastAsia="Arial Unicode MS" w:cs="Arial Unicode MS"/>
          <w:color w:val="000000"/>
          <w:u w:color="000000"/>
          <w:bdr w:val="nil"/>
          <w:lang w:eastAsia="zh-CN"/>
        </w:rPr>
        <w:tab/>
      </w:r>
      <w:r w:rsidRPr="005A486D">
        <w:rPr>
          <w:rFonts w:eastAsia="Arial Unicode MS" w:cs="Arial Unicode MS"/>
          <w:i/>
          <w:iCs/>
          <w:color w:val="000000"/>
          <w:u w:color="000000"/>
          <w:bdr w:val="nil"/>
          <w:lang w:eastAsia="zh-CN"/>
        </w:rPr>
        <w:t>Acknowledges</w:t>
      </w:r>
      <w:r w:rsidRPr="005A486D">
        <w:rPr>
          <w:rFonts w:eastAsia="Arial Unicode MS" w:cs="Arial Unicode MS"/>
          <w:color w:val="000000"/>
          <w:u w:color="000000"/>
          <w:bdr w:val="nil"/>
          <w:lang w:eastAsia="zh-CN"/>
        </w:rPr>
        <w:t xml:space="preserve"> the steps that the United Kingdom has taken, pursuant to the Committee’s recommendations, by consulting with the potentially affected Parties in order to establish whether notification was still useful and, at the request of those Parties, sharing additional information with them after the construction of </w:t>
      </w:r>
      <w:r w:rsidR="009C551A">
        <w:rPr>
          <w:rFonts w:eastAsia="Arial Unicode MS" w:cs="Arial Unicode MS"/>
          <w:color w:val="000000"/>
          <w:u w:color="000000"/>
          <w:bdr w:val="nil"/>
          <w:lang w:eastAsia="zh-CN"/>
        </w:rPr>
        <w:t xml:space="preserve">the </w:t>
      </w:r>
      <w:r w:rsidRPr="005A486D">
        <w:rPr>
          <w:rFonts w:eastAsia="Arial Unicode MS" w:cs="Arial Unicode MS"/>
          <w:color w:val="000000"/>
          <w:u w:color="000000"/>
          <w:bdr w:val="nil"/>
          <w:lang w:eastAsia="zh-CN"/>
        </w:rPr>
        <w:t xml:space="preserve">Hinkley Point C </w:t>
      </w:r>
      <w:r w:rsidR="009C551A">
        <w:rPr>
          <w:rFonts w:eastAsia="Arial Unicode MS" w:cs="Arial Unicode MS"/>
          <w:color w:val="000000"/>
          <w:u w:color="000000"/>
          <w:bdr w:val="nil"/>
          <w:lang w:eastAsia="zh-CN"/>
        </w:rPr>
        <w:t xml:space="preserve">nuclear power plant </w:t>
      </w:r>
      <w:r w:rsidRPr="005A486D">
        <w:rPr>
          <w:rFonts w:eastAsia="Arial Unicode MS" w:cs="Arial Unicode MS"/>
          <w:color w:val="000000"/>
          <w:u w:color="000000"/>
          <w:bdr w:val="nil"/>
          <w:lang w:eastAsia="zh-CN"/>
        </w:rPr>
        <w:t>had commenced;</w:t>
      </w:r>
    </w:p>
    <w:p w14:paraId="03AAD8A1" w14:textId="77777777" w:rsidR="00700EF9" w:rsidRPr="005A486D" w:rsidRDefault="00700EF9" w:rsidP="003C1D73">
      <w:pPr>
        <w:pStyle w:val="SingleTxtG"/>
        <w:ind w:firstLine="567"/>
        <w:rPr>
          <w:rFonts w:eastAsia="Arial Unicode MS"/>
          <w:u w:color="000000"/>
          <w:bdr w:val="nil"/>
          <w:lang w:eastAsia="zh-CN"/>
        </w:rPr>
      </w:pPr>
      <w:r w:rsidRPr="005A486D">
        <w:rPr>
          <w:rFonts w:eastAsia="Arial Unicode MS"/>
          <w:u w:color="000000"/>
          <w:bdr w:val="nil"/>
          <w:lang w:eastAsia="zh-CN"/>
        </w:rPr>
        <w:t>3</w:t>
      </w:r>
      <w:r>
        <w:rPr>
          <w:rFonts w:eastAsia="Arial Unicode MS"/>
          <w:u w:color="000000"/>
          <w:bdr w:val="nil"/>
          <w:lang w:eastAsia="zh-CN"/>
        </w:rPr>
        <w:t>.</w:t>
      </w:r>
      <w:r w:rsidRPr="005A486D">
        <w:rPr>
          <w:rFonts w:eastAsia="Arial Unicode MS"/>
          <w:u w:color="000000"/>
          <w:bdr w:val="nil"/>
          <w:lang w:eastAsia="zh-CN"/>
        </w:rPr>
        <w:tab/>
      </w:r>
      <w:r w:rsidRPr="005A486D">
        <w:rPr>
          <w:rFonts w:eastAsia="Arial Unicode MS"/>
          <w:i/>
          <w:iCs/>
          <w:u w:color="000000"/>
          <w:bdr w:val="nil"/>
          <w:lang w:eastAsia="zh-CN"/>
        </w:rPr>
        <w:t>Endorses</w:t>
      </w:r>
      <w:r w:rsidRPr="005A486D">
        <w:rPr>
          <w:rFonts w:eastAsia="Arial Unicode MS"/>
          <w:u w:color="000000"/>
          <w:bdr w:val="nil"/>
          <w:lang w:eastAsia="zh-CN"/>
        </w:rPr>
        <w:t xml:space="preserve"> the Implementation Committee’s finding that these steps do not remedy the breach of the Convention;</w:t>
      </w:r>
    </w:p>
    <w:p w14:paraId="4C45534E" w14:textId="4EC75F5F" w:rsidR="00700EF9" w:rsidRPr="005A486D" w:rsidRDefault="00700EF9" w:rsidP="00700EF9">
      <w:pPr>
        <w:pBdr>
          <w:top w:val="nil"/>
          <w:left w:val="nil"/>
          <w:bottom w:val="nil"/>
          <w:right w:val="nil"/>
          <w:between w:val="nil"/>
          <w:bar w:val="nil"/>
        </w:pBdr>
        <w:spacing w:after="120"/>
        <w:ind w:left="1134" w:right="1134" w:firstLine="567"/>
        <w:jc w:val="both"/>
        <w:rPr>
          <w:rFonts w:eastAsia="Arial Unicode MS" w:cs="Arial Unicode MS"/>
          <w:color w:val="000000"/>
          <w:u w:color="000000"/>
          <w:bdr w:val="nil"/>
          <w:lang w:eastAsia="zh-CN"/>
        </w:rPr>
      </w:pPr>
      <w:r w:rsidRPr="005A486D">
        <w:rPr>
          <w:rFonts w:eastAsia="Arial Unicode MS" w:cs="Arial Unicode MS"/>
          <w:color w:val="000000"/>
          <w:u w:color="000000"/>
          <w:bdr w:val="nil"/>
          <w:lang w:eastAsia="zh-CN"/>
        </w:rPr>
        <w:t>4</w:t>
      </w:r>
      <w:r>
        <w:rPr>
          <w:rFonts w:eastAsia="Arial Unicode MS" w:cs="Arial Unicode MS"/>
          <w:color w:val="000000"/>
          <w:u w:color="000000"/>
          <w:bdr w:val="nil"/>
          <w:lang w:eastAsia="zh-CN"/>
        </w:rPr>
        <w:t>.</w:t>
      </w:r>
      <w:r w:rsidRPr="005A486D">
        <w:rPr>
          <w:rFonts w:eastAsia="Arial Unicode MS" w:cs="Arial Unicode MS"/>
          <w:color w:val="000000"/>
          <w:u w:color="000000"/>
          <w:bdr w:val="nil"/>
          <w:lang w:eastAsia="zh-CN"/>
        </w:rPr>
        <w:tab/>
      </w:r>
      <w:r w:rsidRPr="005A486D">
        <w:rPr>
          <w:rFonts w:eastAsia="Arial Unicode MS" w:cs="Arial Unicode MS"/>
          <w:i/>
          <w:iCs/>
          <w:color w:val="000000"/>
          <w:u w:color="000000"/>
          <w:bdr w:val="nil"/>
          <w:lang w:eastAsia="zh-CN"/>
        </w:rPr>
        <w:t>Also endorses</w:t>
      </w:r>
      <w:r w:rsidRPr="005A486D">
        <w:rPr>
          <w:rFonts w:eastAsia="Arial Unicode MS" w:cs="Arial Unicode MS"/>
          <w:color w:val="000000"/>
          <w:u w:color="000000"/>
          <w:bdr w:val="nil"/>
          <w:lang w:eastAsia="zh-CN"/>
        </w:rPr>
        <w:t xml:space="preserve"> the Implementation Committee’s finding that no further action from the United Kingdom is required on the grounds that the potentially affected Parties have accepted the consultation process offered by the United Kingdom at the current stage of the activity</w:t>
      </w:r>
      <w:r w:rsidR="00054B5B">
        <w:rPr>
          <w:rFonts w:eastAsia="Arial Unicode MS" w:cs="Arial Unicode MS"/>
          <w:color w:val="000000"/>
          <w:u w:color="000000"/>
          <w:bdr w:val="nil"/>
          <w:lang w:eastAsia="zh-CN"/>
        </w:rPr>
        <w:t xml:space="preserve"> and</w:t>
      </w:r>
      <w:r w:rsidRPr="005A486D">
        <w:rPr>
          <w:rFonts w:eastAsia="Arial Unicode MS" w:cs="Arial Unicode MS"/>
          <w:color w:val="000000"/>
          <w:u w:color="000000"/>
          <w:bdr w:val="nil"/>
          <w:lang w:eastAsia="zh-CN"/>
        </w:rPr>
        <w:t xml:space="preserve"> on the </w:t>
      </w:r>
      <w:bookmarkStart w:id="2" w:name="_Hlk524544032"/>
      <w:r w:rsidRPr="005A486D">
        <w:rPr>
          <w:rFonts w:eastAsia="Arial Unicode MS" w:cs="Arial Unicode MS"/>
          <w:color w:val="000000"/>
          <w:u w:color="000000"/>
          <w:bdr w:val="nil"/>
          <w:lang w:eastAsia="zh-CN"/>
        </w:rPr>
        <w:t>understanding that</w:t>
      </w:r>
      <w:r w:rsidR="009C551A">
        <w:rPr>
          <w:rFonts w:eastAsia="Arial Unicode MS" w:cs="Arial Unicode MS"/>
          <w:color w:val="000000"/>
          <w:u w:color="000000"/>
          <w:bdr w:val="nil"/>
          <w:lang w:eastAsia="zh-CN"/>
        </w:rPr>
        <w:t>,</w:t>
      </w:r>
      <w:r w:rsidRPr="005A486D">
        <w:rPr>
          <w:rFonts w:eastAsia="Arial Unicode MS" w:cs="Arial Unicode MS"/>
          <w:color w:val="000000"/>
          <w:u w:color="000000"/>
          <w:bdr w:val="nil"/>
          <w:lang w:eastAsia="zh-CN"/>
        </w:rPr>
        <w:t xml:space="preserve"> in future, </w:t>
      </w:r>
      <w:bookmarkEnd w:id="2"/>
      <w:r w:rsidRPr="005A486D">
        <w:rPr>
          <w:rFonts w:eastAsia="Arial Unicode MS" w:cs="Arial Unicode MS"/>
          <w:color w:val="000000"/>
          <w:u w:color="000000"/>
          <w:bdr w:val="nil"/>
          <w:lang w:eastAsia="zh-CN"/>
        </w:rPr>
        <w:t>it will provide notification of planned nuclear power plants in accordance with the Convention;</w:t>
      </w:r>
    </w:p>
    <w:p w14:paraId="1A99C7BB" w14:textId="77777777" w:rsidR="00486086" w:rsidRDefault="00700EF9" w:rsidP="00700EF9">
      <w:pPr>
        <w:pBdr>
          <w:top w:val="nil"/>
          <w:left w:val="nil"/>
          <w:bottom w:val="nil"/>
          <w:right w:val="nil"/>
          <w:between w:val="nil"/>
          <w:bar w:val="nil"/>
        </w:pBdr>
        <w:spacing w:after="120"/>
        <w:ind w:left="1134" w:right="1134" w:firstLine="567"/>
        <w:jc w:val="both"/>
      </w:pPr>
      <w:r w:rsidRPr="005A486D">
        <w:rPr>
          <w:iCs/>
        </w:rPr>
        <w:t>5</w:t>
      </w:r>
      <w:r>
        <w:rPr>
          <w:iCs/>
        </w:rPr>
        <w:t>.</w:t>
      </w:r>
      <w:r w:rsidRPr="005A486D">
        <w:rPr>
          <w:iCs/>
        </w:rPr>
        <w:tab/>
      </w:r>
      <w:r w:rsidRPr="005A486D">
        <w:rPr>
          <w:i/>
        </w:rPr>
        <w:t>Invites</w:t>
      </w:r>
      <w:r w:rsidRPr="005A486D">
        <w:t xml:space="preserve"> the United Kingdom to continue discussions with any Party that </w:t>
      </w:r>
      <w:r w:rsidRPr="00486086">
        <w:rPr>
          <w:rFonts w:eastAsia="Arial Unicode MS" w:cs="Arial Unicode MS"/>
          <w:color w:val="000000"/>
          <w:u w:color="000000"/>
          <w:bdr w:val="nil"/>
          <w:lang w:eastAsia="zh-CN"/>
        </w:rPr>
        <w:t>requests</w:t>
      </w:r>
      <w:r w:rsidRPr="005A486D">
        <w:t xml:space="preserve"> </w:t>
      </w:r>
      <w:r w:rsidRPr="00486086">
        <w:rPr>
          <w:rFonts w:eastAsia="Arial Unicode MS" w:cs="Arial Unicode MS"/>
          <w:color w:val="000000"/>
          <w:u w:color="000000"/>
          <w:bdr w:val="nil"/>
          <w:lang w:eastAsia="zh-CN"/>
        </w:rPr>
        <w:t>additional</w:t>
      </w:r>
      <w:r w:rsidRPr="005A486D">
        <w:t xml:space="preserve"> information on the activity at Hinkley Point C;</w:t>
      </w:r>
    </w:p>
    <w:p w14:paraId="18901618" w14:textId="77777777" w:rsidR="00700EF9" w:rsidRPr="00486086" w:rsidRDefault="00700EF9" w:rsidP="00365778">
      <w:pPr>
        <w:pStyle w:val="SingleTxtG"/>
        <w:keepNext/>
        <w:ind w:firstLine="567"/>
        <w:rPr>
          <w:rStyle w:val="SingleTxtGChar"/>
          <w:rFonts w:eastAsia="Arial Unicode MS"/>
          <w:u w:val="single"/>
        </w:rPr>
      </w:pPr>
      <w:r>
        <w:rPr>
          <w:rFonts w:eastAsia="Arial Unicode MS" w:cs="Arial Unicode MS"/>
          <w:color w:val="000000"/>
          <w:u w:color="000000"/>
          <w:bdr w:val="nil"/>
          <w:lang w:eastAsia="zh-CN"/>
        </w:rPr>
        <w:lastRenderedPageBreak/>
        <w:t>6.</w:t>
      </w:r>
      <w:r w:rsidRPr="00913A04">
        <w:rPr>
          <w:rFonts w:eastAsia="Arial Unicode MS" w:cs="Arial Unicode MS"/>
          <w:color w:val="000000"/>
          <w:u w:color="000000"/>
          <w:bdr w:val="nil"/>
          <w:lang w:eastAsia="zh-CN"/>
        </w:rPr>
        <w:tab/>
      </w:r>
      <w:r w:rsidRPr="00E563D6">
        <w:rPr>
          <w:rFonts w:eastAsia="Arial Unicode MS" w:cs="Arial Unicode MS"/>
          <w:i/>
          <w:iCs/>
          <w:color w:val="000000"/>
          <w:u w:color="000000"/>
          <w:bdr w:val="nil"/>
          <w:lang w:eastAsia="zh-CN"/>
        </w:rPr>
        <w:t>Urges</w:t>
      </w:r>
      <w:r w:rsidRPr="00913A04">
        <w:rPr>
          <w:rFonts w:eastAsia="Arial Unicode MS" w:cs="Arial Unicode MS"/>
          <w:color w:val="000000"/>
          <w:u w:color="000000"/>
          <w:bdr w:val="nil"/>
          <w:lang w:eastAsia="zh-CN"/>
        </w:rPr>
        <w:t xml:space="preserve"> </w:t>
      </w:r>
      <w:r w:rsidRPr="003B69FF">
        <w:rPr>
          <w:rStyle w:val="SingleTxtGChar"/>
          <w:rFonts w:eastAsia="Arial Unicode MS"/>
        </w:rPr>
        <w:t>the United Kingdom to ensure that the Convention is applied in the context of any future decision-making regarding planned nuclear power plants, including by sending timely notifications.</w:t>
      </w:r>
    </w:p>
    <w:p w14:paraId="6AAC634B" w14:textId="30F3D289" w:rsidR="00700EF9" w:rsidRPr="00E71AC0" w:rsidRDefault="009C551A" w:rsidP="00365778">
      <w:pPr>
        <w:keepNext/>
        <w:pBdr>
          <w:top w:val="nil"/>
          <w:left w:val="nil"/>
          <w:bottom w:val="nil"/>
          <w:right w:val="nil"/>
          <w:between w:val="nil"/>
          <w:bar w:val="nil"/>
        </w:pBdr>
        <w:spacing w:before="240"/>
        <w:ind w:left="1134" w:right="1134"/>
        <w:jc w:val="center"/>
        <w:rPr>
          <w:rFonts w:eastAsia="Arial Unicode MS" w:cs="Arial Unicode MS"/>
          <w:color w:val="000000"/>
          <w:u w:val="single" w:color="000000"/>
          <w:bdr w:val="nil"/>
          <w:lang w:eastAsia="zh-CN"/>
        </w:rPr>
      </w:pPr>
      <w:r>
        <w:rPr>
          <w:rFonts w:eastAsia="Arial Unicode MS" w:cs="Arial Unicode MS"/>
          <w:color w:val="000000"/>
          <w:u w:val="single" w:color="000000"/>
          <w:bdr w:val="nil"/>
          <w:lang w:eastAsia="zh-CN"/>
        </w:rPr>
        <w:tab/>
      </w:r>
      <w:r w:rsidR="00700EF9">
        <w:rPr>
          <w:rFonts w:eastAsia="Arial Unicode MS" w:cs="Arial Unicode MS"/>
          <w:color w:val="000000"/>
          <w:u w:val="single" w:color="000000"/>
          <w:bdr w:val="nil"/>
          <w:lang w:eastAsia="zh-CN"/>
        </w:rPr>
        <w:tab/>
      </w:r>
      <w:r w:rsidR="00700EF9">
        <w:rPr>
          <w:rFonts w:eastAsia="Arial Unicode MS" w:cs="Arial Unicode MS"/>
          <w:color w:val="000000"/>
          <w:u w:val="single" w:color="000000"/>
          <w:bdr w:val="nil"/>
          <w:lang w:eastAsia="zh-CN"/>
        </w:rPr>
        <w:tab/>
      </w:r>
      <w:r w:rsidR="00700EF9">
        <w:rPr>
          <w:rFonts w:eastAsia="Arial Unicode MS" w:cs="Arial Unicode MS"/>
          <w:color w:val="000000"/>
          <w:u w:val="single" w:color="000000"/>
          <w:bdr w:val="nil"/>
          <w:lang w:eastAsia="zh-CN"/>
        </w:rPr>
        <w:tab/>
      </w:r>
    </w:p>
    <w:sectPr w:rsidR="00700EF9" w:rsidRPr="00E71AC0" w:rsidSect="00086674">
      <w:headerReference w:type="even" r:id="rId9"/>
      <w:headerReference w:type="default" r:id="rId10"/>
      <w:footerReference w:type="even" r:id="rId11"/>
      <w:footerReference w:type="default" r:id="rId12"/>
      <w:footerReference w:type="first" r:id="rId13"/>
      <w:endnotePr>
        <w:numFmt w:val="decimal"/>
      </w:endnotePr>
      <w:pgSz w:w="11907" w:h="16840" w:code="9"/>
      <w:pgMar w:top="1843"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09487" w14:textId="77777777" w:rsidR="004C74A2" w:rsidRDefault="004C74A2"/>
  </w:endnote>
  <w:endnote w:type="continuationSeparator" w:id="0">
    <w:p w14:paraId="7ED28608" w14:textId="77777777" w:rsidR="004C74A2" w:rsidRDefault="004C74A2"/>
  </w:endnote>
  <w:endnote w:type="continuationNotice" w:id="1">
    <w:p w14:paraId="05BCB8A5" w14:textId="77777777" w:rsidR="004C74A2" w:rsidRDefault="004C74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643F" w14:textId="7C078C30" w:rsidR="00700EF9" w:rsidRPr="00700EF9" w:rsidRDefault="00700EF9" w:rsidP="00700EF9">
    <w:pPr>
      <w:pStyle w:val="Footer"/>
      <w:tabs>
        <w:tab w:val="right" w:pos="9638"/>
      </w:tabs>
      <w:rPr>
        <w:sz w:val="20"/>
      </w:rPr>
    </w:pPr>
    <w:r>
      <w:rPr>
        <w:sz w:val="20"/>
      </w:rPr>
      <w:tab/>
    </w:r>
    <w:r w:rsidRPr="00700EF9">
      <w:rPr>
        <w:b/>
        <w:sz w:val="18"/>
      </w:rPr>
      <w:fldChar w:fldCharType="begin"/>
    </w:r>
    <w:r w:rsidRPr="00700EF9">
      <w:rPr>
        <w:b/>
        <w:sz w:val="18"/>
      </w:rPr>
      <w:instrText xml:space="preserve"> PAGE  \* MERGEFORMAT </w:instrText>
    </w:r>
    <w:r w:rsidRPr="00700EF9">
      <w:rPr>
        <w:b/>
        <w:sz w:val="18"/>
      </w:rPr>
      <w:fldChar w:fldCharType="separate"/>
    </w:r>
    <w:r w:rsidR="00F13C39">
      <w:rPr>
        <w:b/>
        <w:noProof/>
        <w:sz w:val="18"/>
      </w:rPr>
      <w:t>2</w:t>
    </w:r>
    <w:r w:rsidRPr="00700EF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ECD2" w14:textId="5926DD08" w:rsidR="00700EF9" w:rsidRPr="00700EF9" w:rsidRDefault="00700EF9" w:rsidP="00700EF9">
    <w:pPr>
      <w:pStyle w:val="Footer"/>
      <w:tabs>
        <w:tab w:val="right" w:pos="9638"/>
      </w:tabs>
      <w:rPr>
        <w:sz w:val="18"/>
      </w:rPr>
    </w:pPr>
    <w:r w:rsidRPr="00700EF9">
      <w:rPr>
        <w:b/>
        <w:sz w:val="18"/>
      </w:rPr>
      <w:fldChar w:fldCharType="begin"/>
    </w:r>
    <w:r w:rsidRPr="00700EF9">
      <w:rPr>
        <w:b/>
        <w:sz w:val="18"/>
      </w:rPr>
      <w:instrText xml:space="preserve"> PAGE  \* MERGEFORMAT </w:instrText>
    </w:r>
    <w:r w:rsidRPr="00700EF9">
      <w:rPr>
        <w:b/>
        <w:sz w:val="18"/>
      </w:rPr>
      <w:fldChar w:fldCharType="separate"/>
    </w:r>
    <w:r w:rsidR="00F13C39">
      <w:rPr>
        <w:b/>
        <w:noProof/>
        <w:sz w:val="18"/>
      </w:rPr>
      <w:t>3</w:t>
    </w:r>
    <w:r w:rsidRPr="00700EF9">
      <w:rPr>
        <w:b/>
        <w:sz w:val="18"/>
      </w:rPr>
      <w:fldChar w:fldCharType="end"/>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4E5BA" w14:textId="3C2E3691" w:rsidR="00C34356" w:rsidRDefault="00C34356" w:rsidP="00C34356">
    <w:pPr>
      <w:pStyle w:val="Footer"/>
    </w:pPr>
    <w:r>
      <w:rPr>
        <w:rFonts w:ascii="C39T30Lfz" w:hAnsi="C39T30Lfz"/>
        <w:noProof/>
        <w:sz w:val="56"/>
        <w:lang w:eastAsia="zh-CN"/>
      </w:rPr>
      <w:drawing>
        <wp:anchor distT="0" distB="0" distL="114300" distR="114300" simplePos="0" relativeHeight="251660288" behindDoc="0" locked="0" layoutInCell="1" allowOverlap="1" wp14:anchorId="42744A3F" wp14:editId="2A82076F">
          <wp:simplePos x="0" y="0"/>
          <wp:positionH relativeFrom="margin">
            <wp:posOffset>5478780</wp:posOffset>
          </wp:positionH>
          <wp:positionV relativeFrom="margin">
            <wp:posOffset>7840475</wp:posOffset>
          </wp:positionV>
          <wp:extent cx="638175" cy="638175"/>
          <wp:effectExtent l="0" t="0" r="9525" b="9525"/>
          <wp:wrapNone/>
          <wp:docPr id="2" name="Picture 1" descr="https://undocs.org/m2/QRCode.ashx?DS=ECE/MP.EIA/2019/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D58E1EE" wp14:editId="59640729">
          <wp:simplePos x="0" y="0"/>
          <wp:positionH relativeFrom="margin">
            <wp:posOffset>4320540</wp:posOffset>
          </wp:positionH>
          <wp:positionV relativeFrom="margin">
            <wp:posOffset>8190865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7537FF0" w14:textId="7459A2F7" w:rsidR="00C34356" w:rsidRDefault="00C34356" w:rsidP="00C34356">
    <w:pPr>
      <w:pStyle w:val="Footer"/>
      <w:ind w:right="1134"/>
      <w:rPr>
        <w:sz w:val="20"/>
      </w:rPr>
    </w:pPr>
    <w:r>
      <w:rPr>
        <w:sz w:val="20"/>
      </w:rPr>
      <w:t>GE.18-19989(E)</w:t>
    </w:r>
  </w:p>
  <w:p w14:paraId="1693C824" w14:textId="630AB664" w:rsidR="00C34356" w:rsidRPr="00C34356" w:rsidRDefault="00C34356" w:rsidP="00C3435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454E9" w14:textId="77777777" w:rsidR="004C74A2" w:rsidRPr="000B175B" w:rsidRDefault="004C74A2" w:rsidP="000B175B">
      <w:pPr>
        <w:tabs>
          <w:tab w:val="right" w:pos="2155"/>
        </w:tabs>
        <w:spacing w:after="80"/>
        <w:ind w:left="680"/>
        <w:rPr>
          <w:u w:val="single"/>
        </w:rPr>
      </w:pPr>
      <w:r>
        <w:rPr>
          <w:u w:val="single"/>
        </w:rPr>
        <w:tab/>
      </w:r>
    </w:p>
  </w:footnote>
  <w:footnote w:type="continuationSeparator" w:id="0">
    <w:p w14:paraId="1204A04F" w14:textId="77777777" w:rsidR="004C74A2" w:rsidRPr="00FC68B7" w:rsidRDefault="004C74A2" w:rsidP="00FC68B7">
      <w:pPr>
        <w:tabs>
          <w:tab w:val="left" w:pos="2155"/>
        </w:tabs>
        <w:spacing w:after="80"/>
        <w:ind w:left="680"/>
        <w:rPr>
          <w:u w:val="single"/>
        </w:rPr>
      </w:pPr>
      <w:r>
        <w:rPr>
          <w:u w:val="single"/>
        </w:rPr>
        <w:tab/>
      </w:r>
    </w:p>
  </w:footnote>
  <w:footnote w:type="continuationNotice" w:id="1">
    <w:p w14:paraId="0AAAEA73" w14:textId="77777777" w:rsidR="004C74A2" w:rsidRDefault="004C74A2"/>
  </w:footnote>
  <w:footnote w:id="2">
    <w:p w14:paraId="44DA89CF" w14:textId="77777777" w:rsidR="00700EF9" w:rsidRPr="00132453" w:rsidRDefault="00700EF9" w:rsidP="00700EF9">
      <w:pPr>
        <w:pStyle w:val="FootnoteText"/>
      </w:pPr>
      <w:r w:rsidRPr="00996681">
        <w:rPr>
          <w:lang w:val="es-ES"/>
        </w:rPr>
        <w:tab/>
      </w:r>
      <w:r w:rsidRPr="00D1471E">
        <w:rPr>
          <w:vertAlign w:val="superscript"/>
        </w:rPr>
        <w:footnoteRef/>
      </w:r>
      <w:r w:rsidRPr="00D1471E">
        <w:rPr>
          <w:vertAlign w:val="superscript"/>
          <w:lang w:val="es-ES"/>
        </w:rPr>
        <w:tab/>
      </w:r>
      <w:r w:rsidRPr="000F60AF">
        <w:rPr>
          <w:lang w:val="es-ES"/>
        </w:rPr>
        <w:t xml:space="preserve">See ECE/MP.EIA/23-ECE/MP.EIA/SEA/7, para. </w:t>
      </w:r>
      <w:r w:rsidRPr="00132453">
        <w:t xml:space="preserve">27. </w:t>
      </w:r>
      <w:r>
        <w:t>See also draft decision VII/2 (ECE/MP.EIA/2017/8).</w:t>
      </w:r>
    </w:p>
  </w:footnote>
  <w:footnote w:id="3">
    <w:p w14:paraId="0EE5AD43" w14:textId="77777777" w:rsidR="00700EF9" w:rsidRPr="00041A29" w:rsidRDefault="00700EF9" w:rsidP="00700EF9">
      <w:pPr>
        <w:pStyle w:val="FootnoteText"/>
        <w:rPr>
          <w:lang w:val="en-US"/>
        </w:rPr>
      </w:pPr>
      <w:r>
        <w:tab/>
      </w:r>
      <w:r>
        <w:rPr>
          <w:rStyle w:val="FootnoteReference"/>
        </w:rPr>
        <w:footnoteRef/>
      </w:r>
      <w:r>
        <w:tab/>
        <w:t>ECE/MP/EIA/6, annex II.</w:t>
      </w:r>
    </w:p>
  </w:footnote>
  <w:footnote w:id="4">
    <w:p w14:paraId="1C348C67" w14:textId="77777777" w:rsidR="00700EF9" w:rsidRPr="00A72D2B" w:rsidRDefault="00700EF9" w:rsidP="00700EF9">
      <w:pPr>
        <w:pStyle w:val="FootnoteText"/>
        <w:rPr>
          <w:lang w:val="en-US"/>
        </w:rPr>
      </w:pPr>
      <w:r>
        <w:tab/>
      </w:r>
      <w:r>
        <w:rPr>
          <w:rStyle w:val="FootnoteReference"/>
        </w:rPr>
        <w:footnoteRef/>
      </w:r>
      <w:r>
        <w:rPr>
          <w:lang w:val="en-US"/>
        </w:rPr>
        <w:tab/>
        <w:t>ECE/MP.EIA/IC/2016/2, annex.</w:t>
      </w:r>
    </w:p>
  </w:footnote>
  <w:footnote w:id="5">
    <w:p w14:paraId="26FB1393" w14:textId="12705688" w:rsidR="00700EF9" w:rsidRPr="00BF1A34" w:rsidRDefault="00700EF9" w:rsidP="00700EF9">
      <w:pPr>
        <w:pStyle w:val="FootnoteText"/>
        <w:rPr>
          <w:lang w:val="es-ES"/>
        </w:rPr>
      </w:pPr>
      <w:r w:rsidRPr="00996681">
        <w:tab/>
      </w:r>
      <w:r w:rsidRPr="00D1471E">
        <w:rPr>
          <w:vertAlign w:val="superscript"/>
        </w:rPr>
        <w:footnoteRef/>
      </w:r>
      <w:r w:rsidRPr="00BF1A34">
        <w:rPr>
          <w:lang w:val="es-ES"/>
        </w:rPr>
        <w:tab/>
        <w:t>ECE/MP.EIA/2017/4-ECE/MP.EIA/SEA/2017/4</w:t>
      </w:r>
      <w:r w:rsidR="00815FC2">
        <w:rPr>
          <w:lang w:val="es-ES"/>
        </w:rPr>
        <w:t xml:space="preserve">, </w:t>
      </w:r>
      <w:r w:rsidR="00815FC2" w:rsidRPr="003C1D73">
        <w:rPr>
          <w:iCs/>
          <w:lang w:val="es-ES"/>
        </w:rPr>
        <w:t xml:space="preserve">paras. </w:t>
      </w:r>
      <w:r w:rsidR="00815FC2" w:rsidRPr="005A486D">
        <w:rPr>
          <w:iCs/>
        </w:rPr>
        <w:t>81–85</w:t>
      </w:r>
      <w:r w:rsidRPr="00BF1A34">
        <w:rPr>
          <w:lang w:val="es-ES"/>
        </w:rPr>
        <w:t>.</w:t>
      </w:r>
    </w:p>
  </w:footnote>
  <w:footnote w:id="6">
    <w:p w14:paraId="092AC52C" w14:textId="77777777" w:rsidR="00700EF9" w:rsidRPr="000F60AF" w:rsidRDefault="00700EF9" w:rsidP="00700EF9">
      <w:pPr>
        <w:pStyle w:val="FootnoteText"/>
        <w:rPr>
          <w:lang w:val="es-ES"/>
        </w:rPr>
      </w:pPr>
      <w:r w:rsidRPr="000F60AF">
        <w:rPr>
          <w:lang w:val="es-ES"/>
        </w:rPr>
        <w:tab/>
      </w:r>
      <w:r w:rsidRPr="00D1471E">
        <w:rPr>
          <w:vertAlign w:val="superscript"/>
        </w:rPr>
        <w:footnoteRef/>
      </w:r>
      <w:r w:rsidRPr="000F60AF">
        <w:rPr>
          <w:lang w:val="es-ES"/>
        </w:rPr>
        <w:tab/>
        <w:t xml:space="preserve">ECE/MP.EIA/IC/2017/4, paras. </w:t>
      </w:r>
      <w:r>
        <w:rPr>
          <w:lang w:val="es-ES"/>
        </w:rPr>
        <w:t>38–42</w:t>
      </w:r>
      <w:r w:rsidRPr="000F60AF">
        <w:rPr>
          <w:lang w:val="es-ES"/>
        </w:rPr>
        <w:t>.</w:t>
      </w:r>
    </w:p>
  </w:footnote>
  <w:footnote w:id="7">
    <w:p w14:paraId="48DAE97F" w14:textId="77777777" w:rsidR="00700EF9" w:rsidRPr="00D66E35" w:rsidRDefault="00700EF9" w:rsidP="00700EF9">
      <w:pPr>
        <w:pStyle w:val="FootnoteText"/>
        <w:rPr>
          <w:lang w:val="es-ES"/>
        </w:rPr>
      </w:pPr>
      <w:r w:rsidRPr="00D66E35">
        <w:rPr>
          <w:lang w:val="es-ES"/>
        </w:rPr>
        <w:tab/>
      </w:r>
      <w:r>
        <w:rPr>
          <w:rStyle w:val="FootnoteReference"/>
        </w:rPr>
        <w:footnoteRef/>
      </w:r>
      <w:r w:rsidRPr="007D7988">
        <w:rPr>
          <w:lang w:val="es-ES"/>
        </w:rPr>
        <w:tab/>
      </w:r>
      <w:r w:rsidRPr="000F60AF">
        <w:rPr>
          <w:lang w:val="es-ES"/>
        </w:rPr>
        <w:t>ECE/MP.EIA/IC/2017/</w:t>
      </w:r>
      <w:r>
        <w:rPr>
          <w:lang w:val="es-ES"/>
        </w:rPr>
        <w:t>6</w:t>
      </w:r>
      <w:r w:rsidRPr="000F60AF">
        <w:rPr>
          <w:lang w:val="es-ES"/>
        </w:rPr>
        <w:t xml:space="preserve">, paras. </w:t>
      </w:r>
      <w:r>
        <w:rPr>
          <w:lang w:val="es-ES"/>
        </w:rPr>
        <w:t>39–41</w:t>
      </w:r>
      <w:r w:rsidRPr="000F60AF">
        <w:rPr>
          <w:lang w:val="es-ES"/>
        </w:rPr>
        <w:t>.</w:t>
      </w:r>
    </w:p>
  </w:footnote>
  <w:footnote w:id="8">
    <w:p w14:paraId="113C960A" w14:textId="77777777" w:rsidR="00700EF9" w:rsidRPr="00316BBB" w:rsidRDefault="00700EF9" w:rsidP="00700EF9">
      <w:pPr>
        <w:pStyle w:val="FootnoteText"/>
        <w:rPr>
          <w:lang w:val="es-ES"/>
        </w:rPr>
      </w:pPr>
      <w:r w:rsidRPr="000F60AF">
        <w:rPr>
          <w:lang w:val="es-ES"/>
        </w:rPr>
        <w:tab/>
      </w:r>
      <w:r w:rsidRPr="00682C95">
        <w:rPr>
          <w:vertAlign w:val="superscript"/>
        </w:rPr>
        <w:footnoteRef/>
      </w:r>
      <w:r w:rsidRPr="00614107">
        <w:rPr>
          <w:lang w:val="es-ES"/>
        </w:rPr>
        <w:tab/>
        <w:t>ECE/MP.EIA/IC/2018/2, paras</w:t>
      </w:r>
      <w:r w:rsidRPr="00316BBB">
        <w:rPr>
          <w:lang w:val="es-ES"/>
        </w:rPr>
        <w:t>. 51–56.</w:t>
      </w:r>
    </w:p>
  </w:footnote>
  <w:footnote w:id="9">
    <w:p w14:paraId="5C54BC7F" w14:textId="1B6DB685" w:rsidR="00700EF9" w:rsidRPr="00D66E35" w:rsidRDefault="00700EF9" w:rsidP="00700EF9">
      <w:pPr>
        <w:pStyle w:val="FootnoteText"/>
        <w:rPr>
          <w:lang w:val="es-ES"/>
        </w:rPr>
      </w:pPr>
      <w:r w:rsidRPr="00316BBB">
        <w:rPr>
          <w:lang w:val="es-ES"/>
        </w:rPr>
        <w:tab/>
      </w:r>
      <w:r w:rsidRPr="00316BBB">
        <w:rPr>
          <w:vertAlign w:val="superscript"/>
        </w:rPr>
        <w:footnoteRef/>
      </w:r>
      <w:r w:rsidRPr="00316BBB">
        <w:rPr>
          <w:lang w:val="es-ES"/>
        </w:rPr>
        <w:tab/>
        <w:t>ECE/MP.EIA/2018/</w:t>
      </w:r>
      <w:r w:rsidR="00815FC2">
        <w:rPr>
          <w:lang w:val="es-ES"/>
        </w:rPr>
        <w:t>IC/</w:t>
      </w:r>
      <w:r w:rsidRPr="00316BBB">
        <w:rPr>
          <w:lang w:val="es-ES"/>
        </w:rPr>
        <w:t>4, paras. 42–45.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3EA6" w14:textId="77777777" w:rsidR="00700EF9" w:rsidRPr="00700EF9" w:rsidRDefault="00700EF9" w:rsidP="00700EF9">
    <w:pPr>
      <w:pStyle w:val="Header"/>
      <w:jc w:val="right"/>
    </w:pPr>
    <w:r>
      <w:t>ECE/MP.EIA/2019/9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45FC" w14:textId="77777777" w:rsidR="00700EF9" w:rsidRPr="00700EF9" w:rsidRDefault="00700EF9">
    <w:pPr>
      <w:pStyle w:val="Header"/>
    </w:pPr>
    <w:r>
      <w:t>ECE/MP.EIA/2019/9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F9"/>
    <w:rsid w:val="00002A7D"/>
    <w:rsid w:val="000038A8"/>
    <w:rsid w:val="00006790"/>
    <w:rsid w:val="00027624"/>
    <w:rsid w:val="00033DA0"/>
    <w:rsid w:val="00050F6B"/>
    <w:rsid w:val="00054B5B"/>
    <w:rsid w:val="000678CD"/>
    <w:rsid w:val="00072C8C"/>
    <w:rsid w:val="00081CE0"/>
    <w:rsid w:val="00084D30"/>
    <w:rsid w:val="00086674"/>
    <w:rsid w:val="00090320"/>
    <w:rsid w:val="000931C0"/>
    <w:rsid w:val="000A2E09"/>
    <w:rsid w:val="000B175B"/>
    <w:rsid w:val="000B3A0F"/>
    <w:rsid w:val="000E0415"/>
    <w:rsid w:val="000F7715"/>
    <w:rsid w:val="00156B99"/>
    <w:rsid w:val="00166124"/>
    <w:rsid w:val="00184DDA"/>
    <w:rsid w:val="001900CD"/>
    <w:rsid w:val="001965F1"/>
    <w:rsid w:val="001A0452"/>
    <w:rsid w:val="001B4B04"/>
    <w:rsid w:val="001B5875"/>
    <w:rsid w:val="001C374A"/>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301764"/>
    <w:rsid w:val="003229D8"/>
    <w:rsid w:val="00336C97"/>
    <w:rsid w:val="00337F88"/>
    <w:rsid w:val="00342432"/>
    <w:rsid w:val="0035223F"/>
    <w:rsid w:val="00352D4B"/>
    <w:rsid w:val="0035638C"/>
    <w:rsid w:val="00365778"/>
    <w:rsid w:val="003672C4"/>
    <w:rsid w:val="003A46BB"/>
    <w:rsid w:val="003A4EC7"/>
    <w:rsid w:val="003A7295"/>
    <w:rsid w:val="003B1F60"/>
    <w:rsid w:val="003B69FF"/>
    <w:rsid w:val="003C1D73"/>
    <w:rsid w:val="003C2CC4"/>
    <w:rsid w:val="003D4B23"/>
    <w:rsid w:val="003E278A"/>
    <w:rsid w:val="00413520"/>
    <w:rsid w:val="004325CB"/>
    <w:rsid w:val="00440A07"/>
    <w:rsid w:val="00462880"/>
    <w:rsid w:val="00463B41"/>
    <w:rsid w:val="00476F24"/>
    <w:rsid w:val="00486086"/>
    <w:rsid w:val="004C55B0"/>
    <w:rsid w:val="004C74A2"/>
    <w:rsid w:val="004E20AC"/>
    <w:rsid w:val="004F6BA0"/>
    <w:rsid w:val="00503BEA"/>
    <w:rsid w:val="00511975"/>
    <w:rsid w:val="00533616"/>
    <w:rsid w:val="00535ABA"/>
    <w:rsid w:val="0053768B"/>
    <w:rsid w:val="005420F2"/>
    <w:rsid w:val="0054285C"/>
    <w:rsid w:val="00584173"/>
    <w:rsid w:val="00595520"/>
    <w:rsid w:val="005A44B9"/>
    <w:rsid w:val="005A4DCE"/>
    <w:rsid w:val="005B1BA0"/>
    <w:rsid w:val="005B3DB3"/>
    <w:rsid w:val="005D15CA"/>
    <w:rsid w:val="005F3066"/>
    <w:rsid w:val="005F3E61"/>
    <w:rsid w:val="00604DDD"/>
    <w:rsid w:val="006115CC"/>
    <w:rsid w:val="00611FC4"/>
    <w:rsid w:val="006176FB"/>
    <w:rsid w:val="00630FCB"/>
    <w:rsid w:val="00640B26"/>
    <w:rsid w:val="006770B2"/>
    <w:rsid w:val="006940E1"/>
    <w:rsid w:val="006A3C72"/>
    <w:rsid w:val="006A7392"/>
    <w:rsid w:val="006B03A1"/>
    <w:rsid w:val="006B67D9"/>
    <w:rsid w:val="006C5535"/>
    <w:rsid w:val="006D0589"/>
    <w:rsid w:val="006E4F94"/>
    <w:rsid w:val="006E564B"/>
    <w:rsid w:val="006E7154"/>
    <w:rsid w:val="007003CD"/>
    <w:rsid w:val="00700EF9"/>
    <w:rsid w:val="00706982"/>
    <w:rsid w:val="0070701E"/>
    <w:rsid w:val="0072632A"/>
    <w:rsid w:val="007358E8"/>
    <w:rsid w:val="00736ECE"/>
    <w:rsid w:val="0074533B"/>
    <w:rsid w:val="007643BC"/>
    <w:rsid w:val="007959FE"/>
    <w:rsid w:val="007A0CF1"/>
    <w:rsid w:val="007B6BA5"/>
    <w:rsid w:val="007C3390"/>
    <w:rsid w:val="007C42D8"/>
    <w:rsid w:val="007C4F4B"/>
    <w:rsid w:val="007D7362"/>
    <w:rsid w:val="007F5CE2"/>
    <w:rsid w:val="007F6611"/>
    <w:rsid w:val="007F6D64"/>
    <w:rsid w:val="00810BAC"/>
    <w:rsid w:val="00815FC2"/>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0479"/>
    <w:rsid w:val="008D3F25"/>
    <w:rsid w:val="008D4D82"/>
    <w:rsid w:val="008E0E46"/>
    <w:rsid w:val="008E7116"/>
    <w:rsid w:val="008F143B"/>
    <w:rsid w:val="008F3882"/>
    <w:rsid w:val="008F4B7C"/>
    <w:rsid w:val="008F7AFE"/>
    <w:rsid w:val="00926E47"/>
    <w:rsid w:val="00947162"/>
    <w:rsid w:val="009610D0"/>
    <w:rsid w:val="0096375C"/>
    <w:rsid w:val="009662E6"/>
    <w:rsid w:val="0097095E"/>
    <w:rsid w:val="009854EE"/>
    <w:rsid w:val="0098592B"/>
    <w:rsid w:val="00985FC4"/>
    <w:rsid w:val="00990766"/>
    <w:rsid w:val="00991261"/>
    <w:rsid w:val="009964C4"/>
    <w:rsid w:val="00996681"/>
    <w:rsid w:val="009A7B81"/>
    <w:rsid w:val="009C551A"/>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152F"/>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34356"/>
    <w:rsid w:val="00C463DD"/>
    <w:rsid w:val="00C542EB"/>
    <w:rsid w:val="00C745C3"/>
    <w:rsid w:val="00C74AE7"/>
    <w:rsid w:val="00CA24A4"/>
    <w:rsid w:val="00CB348D"/>
    <w:rsid w:val="00CD46F5"/>
    <w:rsid w:val="00CE4A8F"/>
    <w:rsid w:val="00CF071D"/>
    <w:rsid w:val="00D15B04"/>
    <w:rsid w:val="00D2031B"/>
    <w:rsid w:val="00D25FE2"/>
    <w:rsid w:val="00D37DA9"/>
    <w:rsid w:val="00D406A7"/>
    <w:rsid w:val="00D43252"/>
    <w:rsid w:val="00D44D86"/>
    <w:rsid w:val="00D50B7D"/>
    <w:rsid w:val="00D52012"/>
    <w:rsid w:val="00D6504C"/>
    <w:rsid w:val="00D704E5"/>
    <w:rsid w:val="00D72727"/>
    <w:rsid w:val="00D978C6"/>
    <w:rsid w:val="00DA0956"/>
    <w:rsid w:val="00DA357F"/>
    <w:rsid w:val="00DA3E12"/>
    <w:rsid w:val="00DC18AD"/>
    <w:rsid w:val="00DE1176"/>
    <w:rsid w:val="00DF7CAE"/>
    <w:rsid w:val="00E00815"/>
    <w:rsid w:val="00E423C0"/>
    <w:rsid w:val="00E563D6"/>
    <w:rsid w:val="00E6414C"/>
    <w:rsid w:val="00E7260F"/>
    <w:rsid w:val="00E8702D"/>
    <w:rsid w:val="00E916A9"/>
    <w:rsid w:val="00E916DE"/>
    <w:rsid w:val="00E925AD"/>
    <w:rsid w:val="00E96630"/>
    <w:rsid w:val="00ED18DC"/>
    <w:rsid w:val="00ED6201"/>
    <w:rsid w:val="00ED772F"/>
    <w:rsid w:val="00ED7A2A"/>
    <w:rsid w:val="00EF1D7F"/>
    <w:rsid w:val="00F0137E"/>
    <w:rsid w:val="00F13C39"/>
    <w:rsid w:val="00F21786"/>
    <w:rsid w:val="00F3742B"/>
    <w:rsid w:val="00F41FDB"/>
    <w:rsid w:val="00F507EC"/>
    <w:rsid w:val="00F56D63"/>
    <w:rsid w:val="00F609A9"/>
    <w:rsid w:val="00F80C99"/>
    <w:rsid w:val="00F867EC"/>
    <w:rsid w:val="00F91B2B"/>
    <w:rsid w:val="00FA5C5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962FF9"/>
  <w15:docId w15:val="{A57B08AE-CC9C-48DD-8ABB-E0BC1C1D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4_GR"/>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HChGChar">
    <w:name w:val="_ H _Ch_G Char"/>
    <w:link w:val="HChG"/>
    <w:rsid w:val="00700EF9"/>
    <w:rPr>
      <w:b/>
      <w:sz w:val="28"/>
      <w:lang w:eastAsia="en-US"/>
    </w:rPr>
  </w:style>
  <w:style w:type="character" w:customStyle="1" w:styleId="H1GChar">
    <w:name w:val="_ H_1_G Char"/>
    <w:link w:val="H1G"/>
    <w:rsid w:val="00700EF9"/>
    <w:rPr>
      <w:b/>
      <w:sz w:val="24"/>
      <w:lang w:eastAsia="en-US"/>
    </w:rPr>
  </w:style>
  <w:style w:type="character" w:customStyle="1" w:styleId="SingleTxtGChar">
    <w:name w:val="_ Single Txt_G Char"/>
    <w:link w:val="SingleTxtG"/>
    <w:rsid w:val="00700EF9"/>
    <w:rPr>
      <w:lang w:eastAsia="en-US"/>
    </w:rPr>
  </w:style>
  <w:style w:type="character" w:customStyle="1" w:styleId="FootnoteTextChar">
    <w:name w:val="Footnote Text Char"/>
    <w:aliases w:val="5_G Char"/>
    <w:basedOn w:val="DefaultParagraphFont"/>
    <w:link w:val="FootnoteText"/>
    <w:rsid w:val="00700EF9"/>
    <w:rPr>
      <w:sz w:val="18"/>
      <w:lang w:eastAsia="en-US"/>
    </w:rPr>
  </w:style>
  <w:style w:type="character" w:styleId="CommentReference">
    <w:name w:val="annotation reference"/>
    <w:basedOn w:val="DefaultParagraphFont"/>
    <w:semiHidden/>
    <w:unhideWhenUsed/>
    <w:rsid w:val="00996681"/>
    <w:rPr>
      <w:sz w:val="16"/>
      <w:szCs w:val="16"/>
    </w:rPr>
  </w:style>
  <w:style w:type="paragraph" w:styleId="CommentText">
    <w:name w:val="annotation text"/>
    <w:basedOn w:val="Normal"/>
    <w:link w:val="CommentTextChar"/>
    <w:semiHidden/>
    <w:unhideWhenUsed/>
    <w:rsid w:val="00996681"/>
    <w:pPr>
      <w:spacing w:line="240" w:lineRule="auto"/>
    </w:pPr>
  </w:style>
  <w:style w:type="character" w:customStyle="1" w:styleId="CommentTextChar">
    <w:name w:val="Comment Text Char"/>
    <w:basedOn w:val="DefaultParagraphFont"/>
    <w:link w:val="CommentText"/>
    <w:semiHidden/>
    <w:rsid w:val="00996681"/>
    <w:rPr>
      <w:lang w:eastAsia="en-US"/>
    </w:rPr>
  </w:style>
  <w:style w:type="paragraph" w:styleId="CommentSubject">
    <w:name w:val="annotation subject"/>
    <w:basedOn w:val="CommentText"/>
    <w:next w:val="CommentText"/>
    <w:link w:val="CommentSubjectChar"/>
    <w:semiHidden/>
    <w:unhideWhenUsed/>
    <w:rsid w:val="00996681"/>
    <w:rPr>
      <w:b/>
      <w:bCs/>
    </w:rPr>
  </w:style>
  <w:style w:type="character" w:customStyle="1" w:styleId="CommentSubjectChar">
    <w:name w:val="Comment Subject Char"/>
    <w:basedOn w:val="CommentTextChar"/>
    <w:link w:val="CommentSubject"/>
    <w:semiHidden/>
    <w:rsid w:val="00996681"/>
    <w:rPr>
      <w:b/>
      <w:bCs/>
      <w:lang w:eastAsia="en-US"/>
    </w:rPr>
  </w:style>
  <w:style w:type="paragraph" w:styleId="BalloonText">
    <w:name w:val="Balloon Text"/>
    <w:basedOn w:val="Normal"/>
    <w:link w:val="BalloonTextChar"/>
    <w:rsid w:val="009966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96681"/>
    <w:rPr>
      <w:rFonts w:ascii="Segoe UI" w:hAnsi="Segoe UI" w:cs="Segoe UI"/>
      <w:sz w:val="18"/>
      <w:szCs w:val="18"/>
      <w:lang w:eastAsia="en-US"/>
    </w:rPr>
  </w:style>
  <w:style w:type="paragraph" w:styleId="Revision">
    <w:name w:val="Revision"/>
    <w:hidden/>
    <w:uiPriority w:val="99"/>
    <w:semiHidden/>
    <w:rsid w:val="009C551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bosson\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B63F1-7838-4AB5-A241-3FA003BE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Pages>
  <Words>696</Words>
  <Characters>3973</Characters>
  <Application>Microsoft Office Word</Application>
  <DocSecurity>4</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ECE/MP.EIA/2019/9</vt:lpstr>
      <vt:lpstr>United Nations</vt:lpstr>
    </vt:vector>
  </TitlesOfParts>
  <Company>CSD</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ECE/MP.EIA/2019/9</dc:title>
  <dc:subject>1819989</dc:subject>
  <dc:creator>Anelia Rambosson</dc:creator>
  <cp:keywords/>
  <dc:description/>
  <cp:lastModifiedBy>Elisabeth James</cp:lastModifiedBy>
  <cp:revision>2</cp:revision>
  <cp:lastPrinted>2009-02-18T09:36:00Z</cp:lastPrinted>
  <dcterms:created xsi:type="dcterms:W3CDTF">2018-12-19T00:31:00Z</dcterms:created>
  <dcterms:modified xsi:type="dcterms:W3CDTF">2018-12-19T00:31:00Z</dcterms:modified>
</cp:coreProperties>
</file>