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A94E92" w14:paraId="3A2B0700" w14:textId="77777777" w:rsidTr="00364E33">
        <w:trPr>
          <w:cantSplit/>
          <w:trHeight w:hRule="exact" w:val="851"/>
        </w:trPr>
        <w:tc>
          <w:tcPr>
            <w:tcW w:w="1276" w:type="dxa"/>
            <w:tcBorders>
              <w:bottom w:val="single" w:sz="4" w:space="0" w:color="auto"/>
            </w:tcBorders>
            <w:shd w:val="clear" w:color="auto" w:fill="auto"/>
            <w:vAlign w:val="bottom"/>
          </w:tcPr>
          <w:p w14:paraId="525FD2D0" w14:textId="77777777" w:rsidR="00B56E9C" w:rsidRPr="00A94E92" w:rsidRDefault="00B56E9C" w:rsidP="00364E33">
            <w:pPr>
              <w:spacing w:after="80"/>
            </w:pPr>
            <w:bookmarkStart w:id="0" w:name="_GoBack"/>
            <w:bookmarkEnd w:id="0"/>
          </w:p>
        </w:tc>
        <w:tc>
          <w:tcPr>
            <w:tcW w:w="2268" w:type="dxa"/>
            <w:tcBorders>
              <w:bottom w:val="single" w:sz="4" w:space="0" w:color="auto"/>
            </w:tcBorders>
            <w:shd w:val="clear" w:color="auto" w:fill="auto"/>
            <w:vAlign w:val="bottom"/>
          </w:tcPr>
          <w:p w14:paraId="41275565" w14:textId="77777777" w:rsidR="00B56E9C" w:rsidRPr="00A94E92" w:rsidRDefault="00B56E9C" w:rsidP="00364E33">
            <w:pPr>
              <w:spacing w:after="80" w:line="300" w:lineRule="exact"/>
              <w:rPr>
                <w:b/>
                <w:sz w:val="24"/>
                <w:szCs w:val="24"/>
              </w:rPr>
            </w:pPr>
            <w:r w:rsidRPr="00A94E92">
              <w:rPr>
                <w:sz w:val="28"/>
                <w:szCs w:val="28"/>
              </w:rPr>
              <w:t>United Nations</w:t>
            </w:r>
          </w:p>
        </w:tc>
        <w:tc>
          <w:tcPr>
            <w:tcW w:w="6095" w:type="dxa"/>
            <w:gridSpan w:val="2"/>
            <w:tcBorders>
              <w:bottom w:val="single" w:sz="4" w:space="0" w:color="auto"/>
            </w:tcBorders>
            <w:shd w:val="clear" w:color="auto" w:fill="auto"/>
            <w:vAlign w:val="bottom"/>
          </w:tcPr>
          <w:p w14:paraId="1D03E9BF" w14:textId="6256451A" w:rsidR="00B56E9C" w:rsidRPr="00A94E92" w:rsidRDefault="00AD0E0F" w:rsidP="00364E33">
            <w:pPr>
              <w:jc w:val="right"/>
            </w:pPr>
            <w:r w:rsidRPr="00A94E92">
              <w:rPr>
                <w:sz w:val="40"/>
              </w:rPr>
              <w:t>ECE</w:t>
            </w:r>
            <w:r w:rsidRPr="00A94E92">
              <w:t>/MP.</w:t>
            </w:r>
            <w:r w:rsidR="00992E8D" w:rsidRPr="00A94E92">
              <w:t>EIA/201</w:t>
            </w:r>
            <w:r w:rsidR="00D31E92" w:rsidRPr="00A94E92">
              <w:t>9</w:t>
            </w:r>
            <w:r w:rsidR="00992E8D" w:rsidRPr="00A94E92">
              <w:t>/</w:t>
            </w:r>
            <w:r w:rsidR="00D31E92" w:rsidRPr="00A94E92">
              <w:t>13</w:t>
            </w:r>
          </w:p>
        </w:tc>
      </w:tr>
      <w:tr w:rsidR="00B56E9C" w:rsidRPr="00A94E92" w14:paraId="766AC87B" w14:textId="77777777" w:rsidTr="00364E33">
        <w:trPr>
          <w:cantSplit/>
          <w:trHeight w:hRule="exact" w:val="2835"/>
        </w:trPr>
        <w:tc>
          <w:tcPr>
            <w:tcW w:w="1276" w:type="dxa"/>
            <w:tcBorders>
              <w:top w:val="single" w:sz="4" w:space="0" w:color="auto"/>
              <w:bottom w:val="single" w:sz="12" w:space="0" w:color="auto"/>
            </w:tcBorders>
            <w:shd w:val="clear" w:color="auto" w:fill="auto"/>
          </w:tcPr>
          <w:p w14:paraId="1FB850D6" w14:textId="77777777" w:rsidR="00B56E9C" w:rsidRPr="00A94E92" w:rsidRDefault="00213ED7" w:rsidP="00364E33">
            <w:pPr>
              <w:spacing w:before="120"/>
            </w:pPr>
            <w:r w:rsidRPr="00A94E92">
              <w:rPr>
                <w:noProof/>
                <w:lang w:eastAsia="zh-CN"/>
              </w:rPr>
              <w:drawing>
                <wp:inline distT="0" distB="0" distL="0" distR="0" wp14:anchorId="244D6891" wp14:editId="48B13F98">
                  <wp:extent cx="716280" cy="58801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8801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7D01E04E" w14:textId="77777777" w:rsidR="00B56E9C" w:rsidRPr="00A94E92" w:rsidRDefault="00D773DF" w:rsidP="00364E33">
            <w:pPr>
              <w:spacing w:before="120" w:line="420" w:lineRule="exact"/>
              <w:rPr>
                <w:sz w:val="40"/>
                <w:szCs w:val="40"/>
              </w:rPr>
            </w:pPr>
            <w:r w:rsidRPr="00A94E92">
              <w:rPr>
                <w:b/>
                <w:sz w:val="40"/>
                <w:szCs w:val="40"/>
              </w:rPr>
              <w:t>Economic and Social Council</w:t>
            </w:r>
          </w:p>
        </w:tc>
        <w:tc>
          <w:tcPr>
            <w:tcW w:w="2835" w:type="dxa"/>
            <w:tcBorders>
              <w:top w:val="single" w:sz="4" w:space="0" w:color="auto"/>
              <w:bottom w:val="single" w:sz="12" w:space="0" w:color="auto"/>
            </w:tcBorders>
            <w:shd w:val="clear" w:color="auto" w:fill="auto"/>
          </w:tcPr>
          <w:p w14:paraId="4C0703E0" w14:textId="77777777" w:rsidR="00B56E9C" w:rsidRPr="00A94E92" w:rsidRDefault="00AD0E0F" w:rsidP="00364E33">
            <w:pPr>
              <w:spacing w:before="240" w:line="240" w:lineRule="exact"/>
            </w:pPr>
            <w:r w:rsidRPr="00A94E92">
              <w:t>Distr.: General</w:t>
            </w:r>
          </w:p>
          <w:p w14:paraId="442C85D0" w14:textId="4D90F89B" w:rsidR="00AD0E0F" w:rsidRPr="00A94E92" w:rsidRDefault="00BB069C" w:rsidP="002B561D">
            <w:pPr>
              <w:spacing w:line="240" w:lineRule="exact"/>
            </w:pPr>
            <w:r>
              <w:t xml:space="preserve">21 </w:t>
            </w:r>
            <w:r w:rsidR="00D31E92" w:rsidRPr="00A94E92">
              <w:t xml:space="preserve">November </w:t>
            </w:r>
            <w:r w:rsidR="00992E8D" w:rsidRPr="00A94E92">
              <w:t>2018</w:t>
            </w:r>
          </w:p>
          <w:p w14:paraId="7B164371" w14:textId="77777777" w:rsidR="00AD0E0F" w:rsidRPr="00A94E92" w:rsidRDefault="00AD0E0F" w:rsidP="00364E33">
            <w:pPr>
              <w:spacing w:line="240" w:lineRule="exact"/>
            </w:pPr>
          </w:p>
          <w:p w14:paraId="20263FD0" w14:textId="77777777" w:rsidR="00AD0E0F" w:rsidRPr="00A94E92" w:rsidRDefault="00AD0E0F" w:rsidP="00364E33">
            <w:pPr>
              <w:spacing w:line="240" w:lineRule="exact"/>
            </w:pPr>
            <w:r w:rsidRPr="00A94E92">
              <w:t>Original: English</w:t>
            </w:r>
          </w:p>
        </w:tc>
      </w:tr>
    </w:tbl>
    <w:p w14:paraId="799A002E" w14:textId="77777777" w:rsidR="00AD0E0F" w:rsidRPr="00A94E92" w:rsidRDefault="00AD0E0F" w:rsidP="00AD0E0F">
      <w:pPr>
        <w:spacing w:before="120"/>
        <w:rPr>
          <w:b/>
          <w:bCs/>
          <w:sz w:val="28"/>
          <w:szCs w:val="28"/>
        </w:rPr>
      </w:pPr>
      <w:r w:rsidRPr="00A94E92">
        <w:rPr>
          <w:b/>
          <w:bCs/>
          <w:sz w:val="28"/>
          <w:szCs w:val="28"/>
        </w:rPr>
        <w:t>Economic Commission for Europe</w:t>
      </w:r>
    </w:p>
    <w:p w14:paraId="21847700" w14:textId="77777777" w:rsidR="00A80B19" w:rsidRPr="00A94E92" w:rsidRDefault="00A80B19" w:rsidP="00A80B19">
      <w:pPr>
        <w:spacing w:before="120" w:line="240" w:lineRule="auto"/>
        <w:rPr>
          <w:bCs/>
          <w:sz w:val="28"/>
          <w:szCs w:val="28"/>
        </w:rPr>
      </w:pPr>
      <w:r w:rsidRPr="00A94E92">
        <w:rPr>
          <w:bCs/>
          <w:sz w:val="28"/>
          <w:szCs w:val="28"/>
        </w:rPr>
        <w:t xml:space="preserve">Meeting of the Parties to the Convention </w:t>
      </w:r>
      <w:r w:rsidRPr="00A94E92">
        <w:rPr>
          <w:bCs/>
          <w:sz w:val="28"/>
          <w:szCs w:val="28"/>
        </w:rPr>
        <w:br/>
        <w:t xml:space="preserve">on Environmental Impact Assessment </w:t>
      </w:r>
      <w:r w:rsidRPr="00A94E92">
        <w:rPr>
          <w:bCs/>
          <w:sz w:val="28"/>
          <w:szCs w:val="28"/>
        </w:rPr>
        <w:br/>
        <w:t>in a Transboundary Context</w:t>
      </w:r>
    </w:p>
    <w:p w14:paraId="0ABA512F" w14:textId="77777777" w:rsidR="00D31E92" w:rsidRPr="00A94E92" w:rsidRDefault="00D31E92" w:rsidP="00D31E92">
      <w:pPr>
        <w:spacing w:before="120"/>
        <w:rPr>
          <w:b/>
        </w:rPr>
      </w:pPr>
      <w:bookmarkStart w:id="1" w:name="_Hlk529373810"/>
      <w:r w:rsidRPr="00A94E92">
        <w:rPr>
          <w:b/>
        </w:rPr>
        <w:t>Intermediary session</w:t>
      </w:r>
    </w:p>
    <w:p w14:paraId="28C93AD6" w14:textId="77777777" w:rsidR="00D31E92" w:rsidRPr="00A94E92" w:rsidRDefault="00D31E92" w:rsidP="00A94E92">
      <w:r w:rsidRPr="00A94E92">
        <w:t>Geneva, 5–7 February 2019</w:t>
      </w:r>
    </w:p>
    <w:p w14:paraId="4AE2F783" w14:textId="77777777" w:rsidR="00D31E92" w:rsidRPr="00A94E92" w:rsidRDefault="00D31E92" w:rsidP="00BB069C">
      <w:r w:rsidRPr="00A94E92">
        <w:t>Items 3 (a) and 8 of the provisional agenda</w:t>
      </w:r>
    </w:p>
    <w:p w14:paraId="003E3948" w14:textId="589DA23F" w:rsidR="00D31E92" w:rsidRPr="00A94E92" w:rsidRDefault="00D31E92" w:rsidP="00BB069C">
      <w:pPr>
        <w:spacing w:before="120"/>
        <w:rPr>
          <w:b/>
          <w:bCs/>
        </w:rPr>
      </w:pPr>
      <w:r w:rsidRPr="00A94E92">
        <w:rPr>
          <w:b/>
          <w:bCs/>
        </w:rPr>
        <w:t xml:space="preserve">Outstanding issues: </w:t>
      </w:r>
      <w:r w:rsidR="00A97D6A">
        <w:rPr>
          <w:b/>
          <w:bCs/>
        </w:rPr>
        <w:t>d</w:t>
      </w:r>
      <w:r w:rsidRPr="00A94E92">
        <w:rPr>
          <w:b/>
          <w:bCs/>
        </w:rPr>
        <w:t xml:space="preserve">raft decisions </w:t>
      </w:r>
    </w:p>
    <w:p w14:paraId="15623717" w14:textId="0972F238" w:rsidR="00D31E92" w:rsidRPr="00A94E92" w:rsidRDefault="00D31E92" w:rsidP="00BB069C">
      <w:pPr>
        <w:spacing w:before="120"/>
        <w:rPr>
          <w:b/>
          <w:bCs/>
        </w:rPr>
      </w:pPr>
      <w:r w:rsidRPr="00A94E92">
        <w:rPr>
          <w:b/>
          <w:bCs/>
        </w:rPr>
        <w:t xml:space="preserve">Adoption of decisions by the Meeting of the Parties </w:t>
      </w:r>
      <w:r w:rsidR="00A97D6A">
        <w:rPr>
          <w:b/>
          <w:bCs/>
        </w:rPr>
        <w:br/>
      </w:r>
      <w:r w:rsidRPr="00A94E92">
        <w:rPr>
          <w:b/>
          <w:bCs/>
        </w:rPr>
        <w:t>to the Convention</w:t>
      </w:r>
    </w:p>
    <w:bookmarkEnd w:id="1"/>
    <w:p w14:paraId="485084A9" w14:textId="0EF90D16" w:rsidR="00E95688" w:rsidRPr="00A94E92" w:rsidRDefault="00F16094" w:rsidP="00A94E92">
      <w:pPr>
        <w:pStyle w:val="HChG"/>
      </w:pPr>
      <w:r w:rsidRPr="00A94E92">
        <w:tab/>
      </w:r>
      <w:r w:rsidRPr="00A94E92">
        <w:tab/>
      </w:r>
      <w:r w:rsidR="00E95688" w:rsidRPr="00A94E92">
        <w:t>Draft decision</w:t>
      </w:r>
      <w:r w:rsidR="00A80B19" w:rsidRPr="00A94E92">
        <w:t xml:space="preserve"> IS/</w:t>
      </w:r>
      <w:r w:rsidR="0005660C" w:rsidRPr="00A94E92">
        <w:t>3</w:t>
      </w:r>
      <w:r w:rsidR="00E95688" w:rsidRPr="00A94E92">
        <w:t xml:space="preserve"> </w:t>
      </w:r>
      <w:r w:rsidR="00D06D2D" w:rsidRPr="00A94E92">
        <w:t xml:space="preserve">on the </w:t>
      </w:r>
      <w:bookmarkStart w:id="2" w:name="_Hlk507434387"/>
      <w:r w:rsidR="00A97D6A">
        <w:t>R</w:t>
      </w:r>
      <w:r w:rsidR="0005660C" w:rsidRPr="00A94E92">
        <w:t xml:space="preserve">evised </w:t>
      </w:r>
      <w:r w:rsidR="000C1BE4" w:rsidRPr="00A94E92">
        <w:t>G</w:t>
      </w:r>
      <w:r w:rsidR="00E95688" w:rsidRPr="00A94E92">
        <w:t xml:space="preserve">uidelines on </w:t>
      </w:r>
      <w:r w:rsidR="000C1BE4" w:rsidRPr="00A94E92">
        <w:t>E</w:t>
      </w:r>
      <w:r w:rsidR="00D06D2D" w:rsidRPr="00A94E92">
        <w:t xml:space="preserve">nvironmental </w:t>
      </w:r>
      <w:r w:rsidR="000C1BE4" w:rsidRPr="00A94E92">
        <w:t>I</w:t>
      </w:r>
      <w:r w:rsidR="00E95688" w:rsidRPr="00A94E92">
        <w:t xml:space="preserve">mpact </w:t>
      </w:r>
      <w:r w:rsidR="000C1BE4" w:rsidRPr="00A94E92">
        <w:t>A</w:t>
      </w:r>
      <w:r w:rsidR="00E95688" w:rsidRPr="00A94E92">
        <w:t xml:space="preserve">ssessment in a </w:t>
      </w:r>
      <w:r w:rsidR="000C1BE4" w:rsidRPr="00A94E92">
        <w:t>T</w:t>
      </w:r>
      <w:r w:rsidR="00E95688" w:rsidRPr="00A94E92">
        <w:t xml:space="preserve">ransboundary </w:t>
      </w:r>
      <w:r w:rsidR="000C1BE4" w:rsidRPr="00A94E92">
        <w:t>C</w:t>
      </w:r>
      <w:r w:rsidR="00E95688" w:rsidRPr="00A94E92">
        <w:t>ontext</w:t>
      </w:r>
      <w:r w:rsidR="00A97D6A">
        <w:t xml:space="preserve"> </w:t>
      </w:r>
      <w:r w:rsidR="00E95688" w:rsidRPr="00A94E92">
        <w:t xml:space="preserve">for </w:t>
      </w:r>
      <w:r w:rsidR="00D06D2D" w:rsidRPr="00A94E92">
        <w:t>C</w:t>
      </w:r>
      <w:r w:rsidR="000C1BE4" w:rsidRPr="00A94E92">
        <w:t>entral Asian C</w:t>
      </w:r>
      <w:r w:rsidR="00E95688" w:rsidRPr="00A94E92">
        <w:t>ountries</w:t>
      </w:r>
    </w:p>
    <w:bookmarkEnd w:id="2"/>
    <w:p w14:paraId="1214C4E6" w14:textId="6604278A" w:rsidR="00D06D2D" w:rsidRPr="00A94E92" w:rsidRDefault="00D06D2D" w:rsidP="00FE19DC">
      <w:pPr>
        <w:pStyle w:val="H1G"/>
      </w:pPr>
      <w:r w:rsidRPr="00A94E92">
        <w:tab/>
      </w:r>
      <w:r w:rsidRPr="00A94E92">
        <w:tab/>
      </w:r>
      <w:bookmarkStart w:id="3" w:name="_Hlk507427188"/>
      <w:r w:rsidRPr="00A94E92">
        <w:t>Proposal by the Bureau</w:t>
      </w:r>
      <w:bookmarkEnd w:id="3"/>
      <w:r w:rsidRPr="00A94E92">
        <w:t xml:space="preserve"> </w:t>
      </w:r>
    </w:p>
    <w:tbl>
      <w:tblPr>
        <w:tblStyle w:val="TableGrid"/>
        <w:tblW w:w="0" w:type="auto"/>
        <w:jc w:val="center"/>
        <w:tblBorders>
          <w:insideH w:val="none" w:sz="0" w:space="0" w:color="auto"/>
        </w:tblBorders>
        <w:tblLook w:val="05E0" w:firstRow="1" w:lastRow="1" w:firstColumn="1" w:lastColumn="1" w:noHBand="0" w:noVBand="1"/>
      </w:tblPr>
      <w:tblGrid>
        <w:gridCol w:w="9637"/>
      </w:tblGrid>
      <w:tr w:rsidR="00A073DE" w:rsidRPr="00A94E92" w14:paraId="6CD16CC8" w14:textId="77777777" w:rsidTr="00DC5A09">
        <w:trPr>
          <w:jc w:val="center"/>
        </w:trPr>
        <w:tc>
          <w:tcPr>
            <w:tcW w:w="9637" w:type="dxa"/>
            <w:tcBorders>
              <w:bottom w:val="nil"/>
            </w:tcBorders>
            <w:shd w:val="clear" w:color="auto" w:fill="auto"/>
          </w:tcPr>
          <w:p w14:paraId="71C34F98" w14:textId="543C9F52" w:rsidR="00A073DE" w:rsidRPr="00A94E92" w:rsidRDefault="00A073DE" w:rsidP="00A073DE">
            <w:pPr>
              <w:spacing w:before="240" w:after="120"/>
              <w:ind w:left="255"/>
              <w:rPr>
                <w:i/>
                <w:sz w:val="24"/>
              </w:rPr>
            </w:pPr>
            <w:r w:rsidRPr="00A94E92">
              <w:rPr>
                <w:i/>
                <w:sz w:val="24"/>
              </w:rPr>
              <w:t>Summary</w:t>
            </w:r>
          </w:p>
        </w:tc>
      </w:tr>
      <w:tr w:rsidR="00A073DE" w:rsidRPr="00A94E92" w14:paraId="7A36FF83" w14:textId="77777777" w:rsidTr="00A65763">
        <w:trPr>
          <w:jc w:val="center"/>
        </w:trPr>
        <w:tc>
          <w:tcPr>
            <w:tcW w:w="9637" w:type="dxa"/>
            <w:tcBorders>
              <w:top w:val="nil"/>
              <w:bottom w:val="nil"/>
            </w:tcBorders>
            <w:shd w:val="clear" w:color="auto" w:fill="auto"/>
          </w:tcPr>
          <w:p w14:paraId="054D341E" w14:textId="0E09EEE3" w:rsidR="00A073DE" w:rsidRPr="00A94E92" w:rsidRDefault="00486FAE" w:rsidP="0017657D">
            <w:pPr>
              <w:pStyle w:val="SingleTxtG"/>
            </w:pPr>
            <w:r w:rsidRPr="00A94E92">
              <w:tab/>
            </w:r>
            <w:r w:rsidR="00B56856" w:rsidRPr="00A94E92">
              <w:t xml:space="preserve">The Meetings of the Parties to the Convention on Environmental Impact Assessment in a Transboundary Context and its Protocol on Strategic Environmental Assessment agreed at their sessions in 2014 and 2017 on the </w:t>
            </w:r>
            <w:r w:rsidR="00A073DE" w:rsidRPr="00A94E92">
              <w:t xml:space="preserve">further development and update of the 2007 </w:t>
            </w:r>
            <w:r w:rsidR="00D06D2D" w:rsidRPr="00A94E92">
              <w:t xml:space="preserve">draft </w:t>
            </w:r>
            <w:r w:rsidR="00B56856" w:rsidRPr="00A94E92">
              <w:t>g</w:t>
            </w:r>
            <w:r w:rsidR="00A073DE" w:rsidRPr="00A94E92">
              <w:t xml:space="preserve">uidelines on </w:t>
            </w:r>
            <w:r w:rsidR="00B56856" w:rsidRPr="00A94E92">
              <w:t>e</w:t>
            </w:r>
            <w:r w:rsidR="00A073DE" w:rsidRPr="00A94E92">
              <w:t xml:space="preserve">nvironmental </w:t>
            </w:r>
            <w:r w:rsidR="00B56856" w:rsidRPr="00A94E92">
              <w:t>i</w:t>
            </w:r>
            <w:r w:rsidR="00A073DE" w:rsidRPr="00A94E92">
              <w:t xml:space="preserve">mpact </w:t>
            </w:r>
            <w:r w:rsidR="00B56856" w:rsidRPr="00A94E92">
              <w:t>a</w:t>
            </w:r>
            <w:r w:rsidR="00A073DE" w:rsidRPr="00A94E92">
              <w:t xml:space="preserve">ssessment in a </w:t>
            </w:r>
            <w:r w:rsidR="00B56856" w:rsidRPr="00A94E92">
              <w:t>t</w:t>
            </w:r>
            <w:r w:rsidR="00A073DE" w:rsidRPr="00A94E92">
              <w:t xml:space="preserve">ransboundary </w:t>
            </w:r>
            <w:r w:rsidR="00B56856" w:rsidRPr="00A94E92">
              <w:t>c</w:t>
            </w:r>
            <w:r w:rsidR="00A073DE" w:rsidRPr="00A94E92">
              <w:t xml:space="preserve">ontext for Central Asian </w:t>
            </w:r>
            <w:r w:rsidR="00B56856" w:rsidRPr="00A94E92">
              <w:t>c</w:t>
            </w:r>
            <w:r w:rsidR="00A073DE" w:rsidRPr="00A94E92">
              <w:t xml:space="preserve">ountries </w:t>
            </w:r>
            <w:r w:rsidR="00D06D2D" w:rsidRPr="00A94E92">
              <w:t>(ECE/MP.EIA/WG.1/2007/6)</w:t>
            </w:r>
            <w:r w:rsidR="00B56856" w:rsidRPr="00A94E92">
              <w:t xml:space="preserve">, as set out in the workplans for the implementation of the Convention and its Protocol for the periods 2014–2017 and 2017–2020 (ECE/MP.EIA/20/Add.3-ECE/MP.EIA/SEA/4/Add.3, decision VI/3/-VII/3, annex I and ECE/MP.EIA/23/Add.1-ECE/MP.EIA/SEA/7/Add.1, decision VII/3–III/3, annex I, respectively). </w:t>
            </w:r>
            <w:r w:rsidR="00E4172C" w:rsidRPr="00A94E92">
              <w:t xml:space="preserve">Pursuant to those workplans, this task </w:t>
            </w:r>
            <w:r w:rsidR="0005660C" w:rsidRPr="00A94E92">
              <w:t>has been carried</w:t>
            </w:r>
            <w:r w:rsidR="00A073DE" w:rsidRPr="00A94E92">
              <w:t xml:space="preserve"> out by consultants to the United Nations Economic Commission for Europe in consultation with the Central Asian countries</w:t>
            </w:r>
            <w:r w:rsidR="00E4172C" w:rsidRPr="00A94E92">
              <w:t>,</w:t>
            </w:r>
            <w:r w:rsidR="00B56856" w:rsidRPr="00A94E92">
              <w:t xml:space="preserve"> </w:t>
            </w:r>
            <w:r w:rsidR="00A073DE" w:rsidRPr="00A94E92">
              <w:t>with support from the secretariat</w:t>
            </w:r>
            <w:r w:rsidR="00E4172C" w:rsidRPr="00A94E92">
              <w:t xml:space="preserve"> and funding from </w:t>
            </w:r>
            <w:r w:rsidR="00A073DE" w:rsidRPr="00A94E92">
              <w:t>Switzerland</w:t>
            </w:r>
            <w:r w:rsidR="00E4172C" w:rsidRPr="00A94E92">
              <w:t>.</w:t>
            </w:r>
          </w:p>
          <w:p w14:paraId="39472A85" w14:textId="75980FB3" w:rsidR="00A073DE" w:rsidRPr="00A94E92" w:rsidRDefault="00A073DE" w:rsidP="0005660C">
            <w:pPr>
              <w:pStyle w:val="SingleTxtG"/>
            </w:pPr>
            <w:r w:rsidRPr="00A94E92">
              <w:tab/>
              <w:t xml:space="preserve">The draft </w:t>
            </w:r>
            <w:r w:rsidR="00AE1BF3">
              <w:t>R</w:t>
            </w:r>
            <w:r w:rsidR="0005660C" w:rsidRPr="00A94E92">
              <w:t xml:space="preserve">evised </w:t>
            </w:r>
            <w:r w:rsidR="00A97D6A">
              <w:t>G</w:t>
            </w:r>
            <w:r w:rsidRPr="00A94E92">
              <w:t xml:space="preserve">uidelines are presented in document </w:t>
            </w:r>
            <w:r w:rsidR="007A7239" w:rsidRPr="00A94E92">
              <w:t>ECE/MP.EIA/201</w:t>
            </w:r>
            <w:r w:rsidR="0005660C" w:rsidRPr="00A94E92">
              <w:t>9</w:t>
            </w:r>
            <w:r w:rsidR="007A7239" w:rsidRPr="00A94E92">
              <w:t>/</w:t>
            </w:r>
            <w:r w:rsidR="0005660C" w:rsidRPr="00A94E92">
              <w:t>12.</w:t>
            </w:r>
          </w:p>
        </w:tc>
      </w:tr>
      <w:tr w:rsidR="00A073DE" w:rsidRPr="00A94E92" w14:paraId="1E5451CF" w14:textId="77777777" w:rsidTr="00BB069C">
        <w:trPr>
          <w:jc w:val="center"/>
        </w:trPr>
        <w:tc>
          <w:tcPr>
            <w:tcW w:w="9637" w:type="dxa"/>
            <w:tcBorders>
              <w:top w:val="nil"/>
              <w:bottom w:val="nil"/>
            </w:tcBorders>
            <w:shd w:val="clear" w:color="auto" w:fill="auto"/>
          </w:tcPr>
          <w:p w14:paraId="3D7AD8E7" w14:textId="77777777" w:rsidR="00440FCE" w:rsidRPr="00A94E92" w:rsidRDefault="00440FCE" w:rsidP="00BB069C">
            <w:pPr>
              <w:pStyle w:val="SingleTxtG"/>
              <w:pageBreakBefore/>
            </w:pPr>
            <w:r w:rsidRPr="00A94E92">
              <w:lastRenderedPageBreak/>
              <w:tab/>
              <w:t xml:space="preserve">The present document contains a draft decision on the </w:t>
            </w:r>
            <w:r>
              <w:t>R</w:t>
            </w:r>
            <w:r w:rsidRPr="00A94E92">
              <w:t xml:space="preserve">evised </w:t>
            </w:r>
            <w:r>
              <w:t>G</w:t>
            </w:r>
            <w:r w:rsidRPr="00A94E92">
              <w:t xml:space="preserve">uidelines prepared by the Bureau of the Convention’s and Protocol’s governing bodies, with the support of the secretariat, taking into account the comments made by the Working Group on Environmental Impact Assessment and Strategic Environmental Assessment at its seventh meeting (Geneva, 28–30 May 2018). </w:t>
            </w:r>
          </w:p>
          <w:p w14:paraId="2AF54492" w14:textId="2CDFF7ED" w:rsidR="00A073DE" w:rsidRPr="00A94E92" w:rsidRDefault="00440FCE" w:rsidP="00BB069C">
            <w:pPr>
              <w:pStyle w:val="SingleTxtG"/>
            </w:pPr>
            <w:r w:rsidRPr="00A94E92">
              <w:tab/>
              <w:t>The Meeting of the Parties to the Convention is expected to review the draft decision and agree on its adoption.</w:t>
            </w:r>
          </w:p>
        </w:tc>
      </w:tr>
      <w:tr w:rsidR="00440FCE" w:rsidRPr="00A94E92" w14:paraId="4FCA1308" w14:textId="77777777" w:rsidTr="00A65763">
        <w:trPr>
          <w:jc w:val="center"/>
        </w:trPr>
        <w:tc>
          <w:tcPr>
            <w:tcW w:w="9637" w:type="dxa"/>
            <w:tcBorders>
              <w:top w:val="nil"/>
            </w:tcBorders>
            <w:shd w:val="clear" w:color="auto" w:fill="auto"/>
          </w:tcPr>
          <w:p w14:paraId="450444A4" w14:textId="77777777" w:rsidR="00440FCE" w:rsidRPr="00A94E92" w:rsidRDefault="00440FCE" w:rsidP="00A073DE"/>
        </w:tc>
      </w:tr>
    </w:tbl>
    <w:p w14:paraId="71A3FB28" w14:textId="77777777" w:rsidR="00E4172C" w:rsidRPr="00A94E92" w:rsidRDefault="00E4172C" w:rsidP="000805FE">
      <w:pPr>
        <w:pStyle w:val="HChG"/>
      </w:pPr>
    </w:p>
    <w:p w14:paraId="509BE503" w14:textId="77777777" w:rsidR="00E4172C" w:rsidRPr="00A94E92" w:rsidRDefault="00E4172C">
      <w:pPr>
        <w:suppressAutoHyphens w:val="0"/>
        <w:spacing w:line="240" w:lineRule="auto"/>
        <w:rPr>
          <w:b/>
          <w:sz w:val="28"/>
        </w:rPr>
      </w:pPr>
      <w:r w:rsidRPr="00A94E92">
        <w:br w:type="page"/>
      </w:r>
    </w:p>
    <w:p w14:paraId="6B076477" w14:textId="09389D93" w:rsidR="00861FAF" w:rsidRPr="00A94E92" w:rsidRDefault="00C94A22" w:rsidP="002928D2">
      <w:pPr>
        <w:pStyle w:val="SingleTxtG"/>
      </w:pPr>
      <w:r w:rsidRPr="00A94E92">
        <w:lastRenderedPageBreak/>
        <w:tab/>
      </w:r>
      <w:r w:rsidR="007A7239" w:rsidRPr="00A94E92">
        <w:rPr>
          <w:i/>
          <w:iCs/>
        </w:rPr>
        <w:t>The Meeting of the Parties</w:t>
      </w:r>
      <w:r w:rsidR="007A7239" w:rsidRPr="00A94E92">
        <w:t>,</w:t>
      </w:r>
    </w:p>
    <w:p w14:paraId="4FCB3D48" w14:textId="57321877" w:rsidR="00C94A22" w:rsidRPr="00A94E92" w:rsidRDefault="00C94A22" w:rsidP="002928D2">
      <w:pPr>
        <w:pStyle w:val="SingleTxtG"/>
        <w:rPr>
          <w:i/>
          <w:iCs/>
        </w:rPr>
      </w:pPr>
      <w:r w:rsidRPr="00A94E92">
        <w:rPr>
          <w:i/>
        </w:rPr>
        <w:tab/>
      </w:r>
      <w:r w:rsidR="00E95688" w:rsidRPr="00A94E92">
        <w:rPr>
          <w:i/>
        </w:rPr>
        <w:t>Recalling</w:t>
      </w:r>
      <w:r w:rsidR="00E95688" w:rsidRPr="00A94E92">
        <w:t xml:space="preserve"> its decisions </w:t>
      </w:r>
      <w:r w:rsidR="00E95688" w:rsidRPr="00A94E92">
        <w:rPr>
          <w:rStyle w:val="SingleTxtGChar"/>
        </w:rPr>
        <w:t>VI/3</w:t>
      </w:r>
      <w:r w:rsidR="00403766">
        <w:rPr>
          <w:rStyle w:val="SingleTxtGChar"/>
        </w:rPr>
        <w:t>-</w:t>
      </w:r>
      <w:r w:rsidR="00E95688" w:rsidRPr="00A94E92">
        <w:rPr>
          <w:rStyle w:val="SingleTxtGChar"/>
        </w:rPr>
        <w:t>II/3 and VII/3</w:t>
      </w:r>
      <w:r w:rsidR="00403766">
        <w:rPr>
          <w:rStyle w:val="SingleTxtGChar"/>
        </w:rPr>
        <w:t>-</w:t>
      </w:r>
      <w:r w:rsidR="00E95688" w:rsidRPr="00A94E92">
        <w:rPr>
          <w:rStyle w:val="SingleTxtGChar"/>
        </w:rPr>
        <w:t xml:space="preserve">III/3 on adoption of the workplans </w:t>
      </w:r>
      <w:r w:rsidR="00C37560" w:rsidRPr="00A94E92">
        <w:rPr>
          <w:rStyle w:val="SingleTxtGChar"/>
        </w:rPr>
        <w:t>for the Convention on Environmental Impact Assessment in a Transboundary Context and its Protocol on Strategic Environmental Assessment for the periods 2014–2017 and 2017–2020</w:t>
      </w:r>
      <w:r w:rsidR="00B22B42" w:rsidRPr="00A94E92">
        <w:rPr>
          <w:rStyle w:val="SingleTxtGChar"/>
        </w:rPr>
        <w:t xml:space="preserve">, respectively, </w:t>
      </w:r>
      <w:r w:rsidR="00E95688" w:rsidRPr="00A94E92">
        <w:rPr>
          <w:rStyle w:val="SingleTxtGChar"/>
        </w:rPr>
        <w:t>its decision IV/5 on capacity</w:t>
      </w:r>
      <w:r w:rsidR="00DD50EC" w:rsidRPr="00A94E92">
        <w:rPr>
          <w:rStyle w:val="SingleTxtGChar"/>
        </w:rPr>
        <w:t>-</w:t>
      </w:r>
      <w:r w:rsidR="00E95688" w:rsidRPr="00A94E92">
        <w:rPr>
          <w:rStyle w:val="SingleTxtGChar"/>
        </w:rPr>
        <w:t xml:space="preserve">building in Eastern Europe, the Caucasus and Central Asia and </w:t>
      </w:r>
      <w:r w:rsidR="00DD50EC" w:rsidRPr="00A94E92">
        <w:rPr>
          <w:rStyle w:val="SingleTxtGChar"/>
        </w:rPr>
        <w:t xml:space="preserve">its decision </w:t>
      </w:r>
      <w:r w:rsidR="00E95688" w:rsidRPr="00A94E92">
        <w:rPr>
          <w:rStyle w:val="SingleTxtGChar"/>
        </w:rPr>
        <w:t>VI/</w:t>
      </w:r>
      <w:r w:rsidR="00DD50EC" w:rsidRPr="00A94E92">
        <w:rPr>
          <w:rStyle w:val="SingleTxtGChar"/>
        </w:rPr>
        <w:t>8</w:t>
      </w:r>
      <w:r w:rsidR="00E95688" w:rsidRPr="00A94E92">
        <w:rPr>
          <w:rStyle w:val="SingleTxtGChar"/>
        </w:rPr>
        <w:t xml:space="preserve"> </w:t>
      </w:r>
      <w:r w:rsidR="00A45409" w:rsidRPr="00A94E92">
        <w:rPr>
          <w:rStyle w:val="SingleTxtGChar"/>
        </w:rPr>
        <w:t>on g</w:t>
      </w:r>
      <w:r w:rsidR="00E95688" w:rsidRPr="00A94E92">
        <w:rPr>
          <w:rStyle w:val="SingleTxtGChar"/>
        </w:rPr>
        <w:t xml:space="preserve">eneral guidance on enhancing consistency between the </w:t>
      </w:r>
      <w:r w:rsidR="00B22B42" w:rsidRPr="00A94E92">
        <w:rPr>
          <w:rStyle w:val="SingleTxtGChar"/>
        </w:rPr>
        <w:t xml:space="preserve">Convention on Environmental Impact Assessment in a Transboundary Context </w:t>
      </w:r>
      <w:r w:rsidR="00E95688" w:rsidRPr="00A94E92">
        <w:rPr>
          <w:rStyle w:val="SingleTxtGChar"/>
        </w:rPr>
        <w:t xml:space="preserve">and environmental impact assessment within the framework of State ecological expertise in countries of Eastern Europe, the Caucasus and Central Asia, </w:t>
      </w:r>
    </w:p>
    <w:p w14:paraId="6761D0EA" w14:textId="4811AA7E" w:rsidR="00E95688" w:rsidRPr="00A94E92" w:rsidRDefault="00C94A22" w:rsidP="002928D2">
      <w:pPr>
        <w:pStyle w:val="SingleTxtG"/>
        <w:rPr>
          <w:rStyle w:val="SingleTxtGChar"/>
        </w:rPr>
      </w:pPr>
      <w:r w:rsidRPr="00A94E92">
        <w:rPr>
          <w:i/>
        </w:rPr>
        <w:tab/>
      </w:r>
      <w:r w:rsidR="00E95688" w:rsidRPr="00A94E92">
        <w:rPr>
          <w:i/>
          <w:iCs/>
        </w:rPr>
        <w:t>Having considered</w:t>
      </w:r>
      <w:r w:rsidR="00E95688" w:rsidRPr="00A94E92">
        <w:t xml:space="preserve"> </w:t>
      </w:r>
      <w:r w:rsidR="00E95688" w:rsidRPr="00A94E92">
        <w:rPr>
          <w:rStyle w:val="SingleTxtGChar"/>
        </w:rPr>
        <w:t xml:space="preserve">the outcomes of the subregional workshops for the further development and update of the </w:t>
      </w:r>
      <w:r w:rsidR="00403766">
        <w:rPr>
          <w:rStyle w:val="SingleTxtGChar"/>
        </w:rPr>
        <w:t xml:space="preserve">draft </w:t>
      </w:r>
      <w:r w:rsidR="00E95688" w:rsidRPr="00A94E92">
        <w:rPr>
          <w:rStyle w:val="SingleTxtGChar"/>
        </w:rPr>
        <w:t>guidelines for transboundary environmental impact assessment in Central Asia,</w:t>
      </w:r>
      <w:r w:rsidR="00C37560" w:rsidRPr="00A94E92">
        <w:rPr>
          <w:rStyle w:val="FootnoteReference"/>
        </w:rPr>
        <w:footnoteReference w:id="2"/>
      </w:r>
      <w:r w:rsidR="00E95688" w:rsidRPr="00A94E92">
        <w:rPr>
          <w:rStyle w:val="SingleTxtGChar"/>
        </w:rPr>
        <w:t xml:space="preserve"> and the needs expressed by the </w:t>
      </w:r>
      <w:r w:rsidR="00A45409" w:rsidRPr="00A94E92">
        <w:rPr>
          <w:rStyle w:val="SingleTxtGChar"/>
        </w:rPr>
        <w:t xml:space="preserve">Central Asian </w:t>
      </w:r>
      <w:r w:rsidR="00E95688" w:rsidRPr="00A94E92">
        <w:rPr>
          <w:rStyle w:val="SingleTxtGChar"/>
        </w:rPr>
        <w:t>countries for assistance to further develop their national legislation and capacity for its implementation,</w:t>
      </w:r>
    </w:p>
    <w:p w14:paraId="2E98942D" w14:textId="1C88028F" w:rsidR="00E95688" w:rsidRPr="00A94E92" w:rsidRDefault="00C94A22" w:rsidP="002928D2">
      <w:pPr>
        <w:pStyle w:val="SingleTxtG"/>
        <w:rPr>
          <w:rStyle w:val="SingleTxtGChar"/>
        </w:rPr>
      </w:pPr>
      <w:r w:rsidRPr="00A94E92">
        <w:rPr>
          <w:i/>
        </w:rPr>
        <w:tab/>
      </w:r>
      <w:r w:rsidR="00E95688" w:rsidRPr="00A94E92">
        <w:rPr>
          <w:i/>
        </w:rPr>
        <w:t xml:space="preserve">Aware </w:t>
      </w:r>
      <w:r w:rsidR="00E95688" w:rsidRPr="00A94E92">
        <w:t xml:space="preserve">that </w:t>
      </w:r>
      <w:r w:rsidR="00E95688" w:rsidRPr="00A94E92">
        <w:rPr>
          <w:rStyle w:val="SingleTxtGChar"/>
        </w:rPr>
        <w:t>the national legislation and systems in countries of the subregion share many commonalities, but also present distinctive features and represent various degrees of development and alignment with the Convention,</w:t>
      </w:r>
    </w:p>
    <w:p w14:paraId="2E793CCB" w14:textId="33C312B2" w:rsidR="00E95688" w:rsidRPr="00A94E92" w:rsidRDefault="00C94A22" w:rsidP="00735D74">
      <w:pPr>
        <w:pStyle w:val="SingleTxtG"/>
        <w:rPr>
          <w:rStyle w:val="SingleTxtGChar"/>
        </w:rPr>
      </w:pPr>
      <w:r w:rsidRPr="00A94E92">
        <w:rPr>
          <w:i/>
          <w:iCs/>
        </w:rPr>
        <w:tab/>
      </w:r>
      <w:r w:rsidR="00E95688" w:rsidRPr="00A94E92">
        <w:rPr>
          <w:i/>
          <w:iCs/>
        </w:rPr>
        <w:t>Welcoming</w:t>
      </w:r>
      <w:r w:rsidR="00E95688" w:rsidRPr="00A94E92">
        <w:t xml:space="preserve"> </w:t>
      </w:r>
      <w:r w:rsidR="00E95688" w:rsidRPr="00A94E92">
        <w:rPr>
          <w:rStyle w:val="SingleTxtGChar"/>
        </w:rPr>
        <w:t>the efforts of countries in Central Asia to develop their legislation and capacities as well as intergovernmental cooperation to implement transboundary environmental impact assessment procedure</w:t>
      </w:r>
      <w:r w:rsidR="00A45409" w:rsidRPr="00A94E92">
        <w:rPr>
          <w:rStyle w:val="SingleTxtGChar"/>
        </w:rPr>
        <w:t>s</w:t>
      </w:r>
      <w:r w:rsidR="00E95688" w:rsidRPr="00A94E92">
        <w:rPr>
          <w:rStyle w:val="SingleTxtGChar"/>
        </w:rPr>
        <w:t xml:space="preserve"> in accordance with the Convention </w:t>
      </w:r>
      <w:r w:rsidR="00A45409" w:rsidRPr="00A94E92">
        <w:rPr>
          <w:rStyle w:val="SingleTxtGChar"/>
        </w:rPr>
        <w:t>with</w:t>
      </w:r>
      <w:r w:rsidR="00E95688" w:rsidRPr="00A94E92">
        <w:rPr>
          <w:rStyle w:val="SingleTxtGChar"/>
        </w:rPr>
        <w:t>in the</w:t>
      </w:r>
      <w:r w:rsidR="008A25A4" w:rsidRPr="00A94E92">
        <w:rPr>
          <w:rStyle w:val="SingleTxtGChar"/>
        </w:rPr>
        <w:t>ir specific subregional context,</w:t>
      </w:r>
      <w:r w:rsidR="00E95688" w:rsidRPr="00A94E92">
        <w:rPr>
          <w:rStyle w:val="SingleTxtGChar"/>
        </w:rPr>
        <w:t xml:space="preserve"> </w:t>
      </w:r>
    </w:p>
    <w:p w14:paraId="7C1E054B" w14:textId="0D6B064F" w:rsidR="00E95688" w:rsidRPr="00A94E92" w:rsidRDefault="007B0132" w:rsidP="002928D2">
      <w:pPr>
        <w:pStyle w:val="SingleTxtG"/>
        <w:rPr>
          <w:rStyle w:val="SingleTxtGChar"/>
        </w:rPr>
      </w:pPr>
      <w:r w:rsidRPr="00A94E92">
        <w:rPr>
          <w:i/>
          <w:iCs/>
        </w:rPr>
        <w:tab/>
      </w:r>
      <w:r w:rsidR="00E95688" w:rsidRPr="00A94E92">
        <w:rPr>
          <w:i/>
          <w:iCs/>
        </w:rPr>
        <w:t>Convinced</w:t>
      </w:r>
      <w:r w:rsidR="00E95688" w:rsidRPr="00A94E92">
        <w:t xml:space="preserve"> </w:t>
      </w:r>
      <w:r w:rsidR="00E95688" w:rsidRPr="00A94E92">
        <w:rPr>
          <w:rStyle w:val="SingleTxtGChar"/>
        </w:rPr>
        <w:t>that the Convention and its Protocol are</w:t>
      </w:r>
      <w:r w:rsidR="00A27816" w:rsidRPr="00A94E92">
        <w:rPr>
          <w:rStyle w:val="SingleTxtGChar"/>
        </w:rPr>
        <w:t xml:space="preserve"> </w:t>
      </w:r>
      <w:r w:rsidR="00E95688" w:rsidRPr="00A94E92">
        <w:rPr>
          <w:rStyle w:val="SingleTxtGChar"/>
        </w:rPr>
        <w:t>effective instruments</w:t>
      </w:r>
      <w:r w:rsidR="00A27816" w:rsidRPr="00A94E92">
        <w:rPr>
          <w:rStyle w:val="SingleTxtGChar"/>
        </w:rPr>
        <w:t xml:space="preserve"> </w:t>
      </w:r>
      <w:r w:rsidR="00E95688" w:rsidRPr="00A94E92">
        <w:rPr>
          <w:rStyle w:val="SingleTxtGChar"/>
        </w:rPr>
        <w:t>for fostering environmentally sound and sustainable development, and for supporting closer international cooperation</w:t>
      </w:r>
      <w:r w:rsidR="008A25A4" w:rsidRPr="00A94E92">
        <w:rPr>
          <w:rStyle w:val="SingleTxtGChar"/>
        </w:rPr>
        <w:t>,</w:t>
      </w:r>
    </w:p>
    <w:p w14:paraId="26BE0E60" w14:textId="1CA1F706" w:rsidR="00E95688" w:rsidRPr="00A94E92" w:rsidRDefault="007B0132" w:rsidP="002928D2">
      <w:pPr>
        <w:pStyle w:val="SingleTxtG"/>
      </w:pPr>
      <w:r w:rsidRPr="00A94E92">
        <w:rPr>
          <w:i/>
        </w:rPr>
        <w:tab/>
      </w:r>
      <w:r w:rsidR="00E95688" w:rsidRPr="00A94E92">
        <w:rPr>
          <w:i/>
          <w:iCs/>
        </w:rPr>
        <w:t>Encouraging</w:t>
      </w:r>
      <w:r w:rsidR="00E95688" w:rsidRPr="00A94E92">
        <w:t xml:space="preserve"> </w:t>
      </w:r>
      <w:r w:rsidR="00E95688" w:rsidRPr="00A94E92">
        <w:rPr>
          <w:rStyle w:val="SingleTxtGChar"/>
        </w:rPr>
        <w:t>the Central Asian countries that are not yet Parties to the Convention to take steps towards joining it</w:t>
      </w:r>
      <w:r w:rsidR="00E95688" w:rsidRPr="00A94E92">
        <w:t xml:space="preserve">, </w:t>
      </w:r>
    </w:p>
    <w:p w14:paraId="643A43BA" w14:textId="0C901991" w:rsidR="00E95688" w:rsidRPr="00A94E92" w:rsidRDefault="00506A1D" w:rsidP="002928D2">
      <w:pPr>
        <w:pStyle w:val="SingleTxtG"/>
        <w:rPr>
          <w:rStyle w:val="SingleTxtGChar"/>
        </w:rPr>
      </w:pPr>
      <w:r w:rsidRPr="00A94E92">
        <w:rPr>
          <w:bCs/>
          <w:i/>
          <w:iCs/>
        </w:rPr>
        <w:tab/>
      </w:r>
      <w:r w:rsidR="00E95688" w:rsidRPr="00A94E92">
        <w:rPr>
          <w:bCs/>
          <w:i/>
          <w:iCs/>
        </w:rPr>
        <w:t>Acknowledging</w:t>
      </w:r>
      <w:r w:rsidR="00E95688" w:rsidRPr="00A94E92">
        <w:rPr>
          <w:bCs/>
          <w:iCs/>
        </w:rPr>
        <w:t xml:space="preserve"> </w:t>
      </w:r>
      <w:r w:rsidR="00E95688" w:rsidRPr="00A94E92">
        <w:rPr>
          <w:rStyle w:val="SingleTxtGChar"/>
        </w:rPr>
        <w:t>the further need to raise awareness of the benefits of the Convention and to assist countries in Central Asia in their efforts to align their legislation and to build capacities to effec</w:t>
      </w:r>
      <w:r w:rsidR="008A25A4" w:rsidRPr="00A94E92">
        <w:rPr>
          <w:rStyle w:val="SingleTxtGChar"/>
        </w:rPr>
        <w:t>tively implement its provisions,</w:t>
      </w:r>
    </w:p>
    <w:p w14:paraId="2A452205" w14:textId="0BE6E9D9" w:rsidR="00E95688" w:rsidRPr="00A94E92" w:rsidRDefault="00C65321" w:rsidP="002928D2">
      <w:pPr>
        <w:pStyle w:val="SingleTxtG"/>
        <w:rPr>
          <w:rStyle w:val="SingleTxtGChar"/>
        </w:rPr>
      </w:pPr>
      <w:r w:rsidRPr="00A94E92">
        <w:rPr>
          <w:i/>
        </w:rPr>
        <w:tab/>
      </w:r>
      <w:r w:rsidR="00E95688" w:rsidRPr="00A94E92">
        <w:rPr>
          <w:i/>
          <w:iCs/>
        </w:rPr>
        <w:t>Wishing</w:t>
      </w:r>
      <w:r w:rsidR="00E95688" w:rsidRPr="00A94E92">
        <w:t xml:space="preserve"> </w:t>
      </w:r>
      <w:r w:rsidR="00E95688" w:rsidRPr="00A94E92">
        <w:rPr>
          <w:rStyle w:val="SingleTxtGChar"/>
        </w:rPr>
        <w:t>to assist Parties to the Convention in Central Asia in complying fully with their obligations under the Convention, and to promote the effective application of the procedures based on the Convention by the other countries in the subregion,</w:t>
      </w:r>
    </w:p>
    <w:p w14:paraId="5FD94404" w14:textId="214F7CAD" w:rsidR="00A27816" w:rsidRPr="00A94E92" w:rsidRDefault="00EA49C0" w:rsidP="00A27816">
      <w:pPr>
        <w:pStyle w:val="SingleTxtG"/>
        <w:rPr>
          <w:rStyle w:val="SingleTxtGChar"/>
        </w:rPr>
      </w:pPr>
      <w:r w:rsidRPr="00A94E92">
        <w:tab/>
      </w:r>
      <w:r w:rsidR="00E95688" w:rsidRPr="00A94E92">
        <w:t>1.</w:t>
      </w:r>
      <w:r w:rsidR="00E95688" w:rsidRPr="00A94E92">
        <w:tab/>
      </w:r>
      <w:r w:rsidR="00E95688" w:rsidRPr="00A94E92">
        <w:rPr>
          <w:i/>
        </w:rPr>
        <w:t xml:space="preserve">Endorses </w:t>
      </w:r>
      <w:r w:rsidR="00E95688" w:rsidRPr="00A94E92">
        <w:rPr>
          <w:rStyle w:val="SingleTxtGChar"/>
        </w:rPr>
        <w:t xml:space="preserve">the </w:t>
      </w:r>
      <w:r w:rsidR="00403766">
        <w:rPr>
          <w:rStyle w:val="SingleTxtGChar"/>
        </w:rPr>
        <w:t>R</w:t>
      </w:r>
      <w:r w:rsidR="00A27816" w:rsidRPr="00A94E92">
        <w:rPr>
          <w:rStyle w:val="SingleTxtGChar"/>
        </w:rPr>
        <w:t>evised</w:t>
      </w:r>
      <w:r w:rsidR="00E95688" w:rsidRPr="00A94E92">
        <w:rPr>
          <w:rStyle w:val="SingleTxtGChar"/>
        </w:rPr>
        <w:t xml:space="preserve"> Guidelines on Environmental Impact Assessment in a Transboundary Context for Central Asian Countries</w:t>
      </w:r>
      <w:r w:rsidR="00B22B42" w:rsidRPr="00A94E92">
        <w:rPr>
          <w:rStyle w:val="SingleTxtGChar"/>
        </w:rPr>
        <w:t>,</w:t>
      </w:r>
      <w:r w:rsidR="00403766">
        <w:rPr>
          <w:rStyle w:val="FootnoteReference"/>
        </w:rPr>
        <w:footnoteReference w:id="3"/>
      </w:r>
      <w:r w:rsidR="00B22B42" w:rsidRPr="00A94E92">
        <w:rPr>
          <w:rStyle w:val="SingleTxtGChar"/>
        </w:rPr>
        <w:t xml:space="preserve"> </w:t>
      </w:r>
      <w:r w:rsidR="00E95688" w:rsidRPr="00A94E92">
        <w:rPr>
          <w:rStyle w:val="SingleTxtGChar"/>
        </w:rPr>
        <w:t xml:space="preserve">as </w:t>
      </w:r>
      <w:r w:rsidR="00A27816" w:rsidRPr="00A94E92">
        <w:rPr>
          <w:rStyle w:val="SingleTxtGChar"/>
        </w:rPr>
        <w:t>finalized by the Bureau</w:t>
      </w:r>
      <w:r w:rsidR="000C1BE4" w:rsidRPr="00A94E92">
        <w:rPr>
          <w:rStyle w:val="SingleTxtGChar"/>
        </w:rPr>
        <w:t>,</w:t>
      </w:r>
      <w:r w:rsidR="00A27816" w:rsidRPr="00A94E92">
        <w:rPr>
          <w:rStyle w:val="SingleTxtGChar"/>
        </w:rPr>
        <w:t xml:space="preserve"> with support from the secretariat</w:t>
      </w:r>
      <w:r w:rsidR="000C1BE4" w:rsidRPr="00A94E92">
        <w:rPr>
          <w:rStyle w:val="SingleTxtGChar"/>
        </w:rPr>
        <w:t>,</w:t>
      </w:r>
      <w:r w:rsidR="00A27816" w:rsidRPr="00A94E92">
        <w:rPr>
          <w:rStyle w:val="SingleTxtGChar"/>
        </w:rPr>
        <w:t xml:space="preserve"> based on the comments made during and after the seventh meeting of the Working Group on Environmental Impact Assessment and Strategic Environmental Assessment;</w:t>
      </w:r>
    </w:p>
    <w:p w14:paraId="092628A0" w14:textId="0CA748ED" w:rsidR="00E95688" w:rsidRPr="00A94E92" w:rsidRDefault="00EA49C0" w:rsidP="002928D2">
      <w:pPr>
        <w:pStyle w:val="SingleTxtG"/>
        <w:rPr>
          <w:rStyle w:val="SingleTxtGChar"/>
        </w:rPr>
      </w:pPr>
      <w:r w:rsidRPr="00A94E92">
        <w:tab/>
      </w:r>
      <w:r w:rsidR="00E95688" w:rsidRPr="00A94E92">
        <w:t>2.</w:t>
      </w:r>
      <w:r w:rsidR="00E95688" w:rsidRPr="00A94E92">
        <w:tab/>
      </w:r>
      <w:r w:rsidR="00E95688" w:rsidRPr="00A94E92">
        <w:rPr>
          <w:i/>
        </w:rPr>
        <w:t>Recommends</w:t>
      </w:r>
      <w:r w:rsidR="00E95688" w:rsidRPr="00A94E92">
        <w:t xml:space="preserve"> </w:t>
      </w:r>
      <w:r w:rsidR="00E95688" w:rsidRPr="00A94E92">
        <w:rPr>
          <w:rStyle w:val="SingleTxtGChar"/>
        </w:rPr>
        <w:t xml:space="preserve">that the </w:t>
      </w:r>
      <w:r w:rsidR="005C47D7" w:rsidRPr="00A94E92">
        <w:rPr>
          <w:rStyle w:val="SingleTxtGChar"/>
        </w:rPr>
        <w:t>c</w:t>
      </w:r>
      <w:r w:rsidR="00E95688" w:rsidRPr="00A94E92">
        <w:rPr>
          <w:rStyle w:val="SingleTxtGChar"/>
        </w:rPr>
        <w:t xml:space="preserve">ountries in Central Asia take into account the contents of the </w:t>
      </w:r>
      <w:r w:rsidR="00403766">
        <w:rPr>
          <w:rStyle w:val="SingleTxtGChar"/>
        </w:rPr>
        <w:t xml:space="preserve">Revised </w:t>
      </w:r>
      <w:r w:rsidR="00E95688" w:rsidRPr="00A94E92">
        <w:rPr>
          <w:rStyle w:val="SingleTxtGChar"/>
        </w:rPr>
        <w:t xml:space="preserve">Guidelines when implementing transboundary environmental impact assessment procedures; </w:t>
      </w:r>
    </w:p>
    <w:p w14:paraId="17F1354E" w14:textId="0D1234FE" w:rsidR="00E95688" w:rsidRPr="00A94E92" w:rsidRDefault="00E95688" w:rsidP="002928D2">
      <w:pPr>
        <w:spacing w:after="120"/>
        <w:ind w:left="1134" w:right="1134"/>
        <w:jc w:val="both"/>
        <w:rPr>
          <w:rStyle w:val="SingleTxtGChar"/>
        </w:rPr>
      </w:pPr>
      <w:r w:rsidRPr="00A94E92">
        <w:tab/>
        <w:t>3.</w:t>
      </w:r>
      <w:r w:rsidRPr="00A94E92">
        <w:tab/>
      </w:r>
      <w:r w:rsidRPr="00A94E92">
        <w:rPr>
          <w:i/>
        </w:rPr>
        <w:t>Calls on</w:t>
      </w:r>
      <w:r w:rsidRPr="00A94E92">
        <w:t xml:space="preserve"> </w:t>
      </w:r>
      <w:r w:rsidRPr="00A94E92">
        <w:rPr>
          <w:rStyle w:val="SingleTxtGChar"/>
        </w:rPr>
        <w:t xml:space="preserve">these countries to distribute the </w:t>
      </w:r>
      <w:r w:rsidR="00403766">
        <w:rPr>
          <w:rStyle w:val="SingleTxtGChar"/>
        </w:rPr>
        <w:t xml:space="preserve">Revised </w:t>
      </w:r>
      <w:r w:rsidRPr="00A94E92">
        <w:rPr>
          <w:rStyle w:val="SingleTxtGChar"/>
        </w:rPr>
        <w:t>Guidelines to authorities and relevant stakeholders and</w:t>
      </w:r>
      <w:r w:rsidR="00440FCE">
        <w:rPr>
          <w:rStyle w:val="SingleTxtGChar"/>
        </w:rPr>
        <w:t xml:space="preserve"> to</w:t>
      </w:r>
      <w:r w:rsidRPr="00A94E92">
        <w:rPr>
          <w:rStyle w:val="SingleTxtGChar"/>
        </w:rPr>
        <w:t xml:space="preserve"> promote its application in practice;</w:t>
      </w:r>
    </w:p>
    <w:p w14:paraId="1B96A723" w14:textId="555EEB8C" w:rsidR="00E95688" w:rsidRPr="00A94E92" w:rsidRDefault="007E600C" w:rsidP="002928D2">
      <w:pPr>
        <w:pStyle w:val="SingleTxtG"/>
      </w:pPr>
      <w:r w:rsidRPr="00A94E92">
        <w:lastRenderedPageBreak/>
        <w:tab/>
      </w:r>
      <w:r w:rsidR="00C96017" w:rsidRPr="00A94E92">
        <w:t>4.</w:t>
      </w:r>
      <w:r w:rsidR="00C96017" w:rsidRPr="00A94E92">
        <w:tab/>
      </w:r>
      <w:r w:rsidR="00E95688" w:rsidRPr="00A94E92">
        <w:rPr>
          <w:i/>
        </w:rPr>
        <w:t>Encourage</w:t>
      </w:r>
      <w:r w:rsidR="00B22B42" w:rsidRPr="00A94E92">
        <w:rPr>
          <w:i/>
        </w:rPr>
        <w:t>s</w:t>
      </w:r>
      <w:r w:rsidR="00E95688" w:rsidRPr="00A94E92">
        <w:t xml:space="preserve"> the Central Asian countries to further develop their national legislation with regard to transboundary environmental impact assessment procedures based on the Convention</w:t>
      </w:r>
      <w:r w:rsidR="00414936" w:rsidRPr="00A94E92">
        <w:t xml:space="preserve">; </w:t>
      </w:r>
      <w:r w:rsidR="00E95688" w:rsidRPr="00A94E92">
        <w:rPr>
          <w:iCs/>
        </w:rPr>
        <w:t xml:space="preserve"> </w:t>
      </w:r>
    </w:p>
    <w:p w14:paraId="7D96AD39" w14:textId="366CBA45" w:rsidR="00E95688" w:rsidRPr="00A94E92" w:rsidRDefault="00245219" w:rsidP="002928D2">
      <w:pPr>
        <w:pStyle w:val="SingleTxtG"/>
      </w:pPr>
      <w:r w:rsidRPr="00A94E92">
        <w:tab/>
      </w:r>
      <w:r w:rsidR="00E95688" w:rsidRPr="00A94E92">
        <w:t>5.</w:t>
      </w:r>
      <w:r w:rsidR="00E95688" w:rsidRPr="00A94E92">
        <w:tab/>
      </w:r>
      <w:r w:rsidR="00E95688" w:rsidRPr="00A94E92">
        <w:rPr>
          <w:i/>
        </w:rPr>
        <w:t>Invites</w:t>
      </w:r>
      <w:r w:rsidR="00E95688" w:rsidRPr="00A94E92">
        <w:t xml:space="preserve"> the donor Governments and organizations to </w:t>
      </w:r>
      <w:r w:rsidR="00E95688" w:rsidRPr="00A94E92">
        <w:rPr>
          <w:noProof/>
        </w:rPr>
        <w:t xml:space="preserve">explore </w:t>
      </w:r>
      <w:r w:rsidR="00E95688" w:rsidRPr="00A94E92">
        <w:t>opportunities for funding further technical assistance and capacity</w:t>
      </w:r>
      <w:r w:rsidR="00B22B42" w:rsidRPr="00A94E92">
        <w:t>-</w:t>
      </w:r>
      <w:r w:rsidR="00E95688" w:rsidRPr="00A94E92">
        <w:t>building</w:t>
      </w:r>
      <w:r w:rsidR="00414936" w:rsidRPr="00A94E92">
        <w:t>;</w:t>
      </w:r>
      <w:r w:rsidR="00E95688" w:rsidRPr="00A94E92">
        <w:t xml:space="preserve"> </w:t>
      </w:r>
    </w:p>
    <w:p w14:paraId="60DB0559" w14:textId="7A54BE26" w:rsidR="00245219" w:rsidRPr="00A94E92" w:rsidRDefault="00245219" w:rsidP="002928D2">
      <w:pPr>
        <w:pStyle w:val="SingleTxtG"/>
      </w:pPr>
      <w:r w:rsidRPr="00A94E92">
        <w:tab/>
      </w:r>
      <w:r w:rsidR="00E95688" w:rsidRPr="00A94E92">
        <w:t>6.</w:t>
      </w:r>
      <w:r w:rsidR="00E95688" w:rsidRPr="00A94E92">
        <w:tab/>
      </w:r>
      <w:r w:rsidR="00E95688" w:rsidRPr="00A94E92">
        <w:rPr>
          <w:i/>
          <w:iCs/>
        </w:rPr>
        <w:t xml:space="preserve">Welcomes </w:t>
      </w:r>
      <w:r w:rsidR="00E95688" w:rsidRPr="00A94E92">
        <w:t xml:space="preserve">the plans to further complement the guidance </w:t>
      </w:r>
      <w:r w:rsidR="000C1BE4" w:rsidRPr="00A94E92">
        <w:t>with additional good practice</w:t>
      </w:r>
      <w:r w:rsidR="006D63AF">
        <w:t>,</w:t>
      </w:r>
      <w:r w:rsidR="000C1BE4" w:rsidRPr="00A94E92">
        <w:t xml:space="preserve"> taking into account </w:t>
      </w:r>
      <w:r w:rsidR="00B22B42" w:rsidRPr="00A94E92">
        <w:t xml:space="preserve">the </w:t>
      </w:r>
      <w:r w:rsidR="00E95688" w:rsidRPr="00A94E92">
        <w:t>outcomes of legislative reviews and capacity</w:t>
      </w:r>
      <w:r w:rsidR="00B22B42" w:rsidRPr="00A94E92">
        <w:t>-</w:t>
      </w:r>
      <w:r w:rsidR="00E95688" w:rsidRPr="00A94E92">
        <w:t xml:space="preserve">building </w:t>
      </w:r>
      <w:r w:rsidR="006D63AF">
        <w:t xml:space="preserve">activities </w:t>
      </w:r>
      <w:r w:rsidR="00E95688" w:rsidRPr="00A94E92">
        <w:t>be</w:t>
      </w:r>
      <w:r w:rsidR="000C1BE4" w:rsidRPr="00A94E92">
        <w:t>ing</w:t>
      </w:r>
      <w:r w:rsidR="00E95688" w:rsidRPr="00A94E92">
        <w:t xml:space="preserve"> carried out</w:t>
      </w:r>
      <w:r w:rsidR="00414936" w:rsidRPr="00A94E92">
        <w:t>.</w:t>
      </w:r>
    </w:p>
    <w:p w14:paraId="4917776D" w14:textId="016EB17F" w:rsidR="00DC5061" w:rsidRPr="00A94E92" w:rsidRDefault="00227991" w:rsidP="00227991">
      <w:pPr>
        <w:pStyle w:val="SingleTxtG"/>
        <w:spacing w:before="240" w:after="0"/>
        <w:jc w:val="center"/>
        <w:rPr>
          <w:u w:val="single"/>
        </w:rPr>
      </w:pPr>
      <w:r w:rsidRPr="00A94E92">
        <w:rPr>
          <w:u w:val="single"/>
        </w:rPr>
        <w:tab/>
      </w:r>
      <w:r w:rsidRPr="00A94E92">
        <w:rPr>
          <w:u w:val="single"/>
        </w:rPr>
        <w:tab/>
      </w:r>
      <w:r w:rsidRPr="00A94E92">
        <w:rPr>
          <w:u w:val="single"/>
        </w:rPr>
        <w:tab/>
      </w:r>
    </w:p>
    <w:sectPr w:rsidR="00DC5061" w:rsidRPr="00A94E92" w:rsidSect="009A6A8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152C06" w14:textId="77777777" w:rsidR="0024543B" w:rsidRDefault="0024543B"/>
  </w:endnote>
  <w:endnote w:type="continuationSeparator" w:id="0">
    <w:p w14:paraId="1B2F79F1" w14:textId="77777777" w:rsidR="0024543B" w:rsidRDefault="0024543B"/>
  </w:endnote>
  <w:endnote w:type="continuationNotice" w:id="1">
    <w:p w14:paraId="6A02A2D4" w14:textId="77777777" w:rsidR="0024543B" w:rsidRDefault="002454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ABBB0" w14:textId="22A60447" w:rsidR="00A70F16" w:rsidRPr="00AD0E0F" w:rsidRDefault="00A70F16" w:rsidP="00AD0E0F">
    <w:pPr>
      <w:pStyle w:val="Footer"/>
      <w:tabs>
        <w:tab w:val="right" w:pos="9638"/>
      </w:tabs>
      <w:rPr>
        <w:sz w:val="18"/>
      </w:rPr>
    </w:pPr>
    <w:r w:rsidRPr="00AD0E0F">
      <w:rPr>
        <w:b/>
        <w:sz w:val="18"/>
      </w:rPr>
      <w:fldChar w:fldCharType="begin"/>
    </w:r>
    <w:r w:rsidRPr="00AD0E0F">
      <w:rPr>
        <w:b/>
        <w:sz w:val="18"/>
      </w:rPr>
      <w:instrText xml:space="preserve"> PAGE  \* MERGEFORMAT </w:instrText>
    </w:r>
    <w:r w:rsidRPr="00AD0E0F">
      <w:rPr>
        <w:b/>
        <w:sz w:val="18"/>
      </w:rPr>
      <w:fldChar w:fldCharType="separate"/>
    </w:r>
    <w:r w:rsidR="00DB1F99">
      <w:rPr>
        <w:b/>
        <w:noProof/>
        <w:sz w:val="18"/>
      </w:rPr>
      <w:t>2</w:t>
    </w:r>
    <w:r w:rsidRPr="00AD0E0F">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F62DC" w14:textId="78D208B2" w:rsidR="00A70F16" w:rsidRPr="00AD0E0F" w:rsidRDefault="00A70F16" w:rsidP="00AD0E0F">
    <w:pPr>
      <w:pStyle w:val="Footer"/>
      <w:tabs>
        <w:tab w:val="right" w:pos="9638"/>
      </w:tabs>
      <w:rPr>
        <w:b/>
        <w:sz w:val="18"/>
      </w:rPr>
    </w:pPr>
    <w:r>
      <w:tab/>
    </w:r>
    <w:r w:rsidRPr="00AD0E0F">
      <w:rPr>
        <w:b/>
        <w:sz w:val="18"/>
      </w:rPr>
      <w:fldChar w:fldCharType="begin"/>
    </w:r>
    <w:r w:rsidRPr="00AD0E0F">
      <w:rPr>
        <w:b/>
        <w:sz w:val="18"/>
      </w:rPr>
      <w:instrText xml:space="preserve"> PAGE  \* MERGEFORMAT </w:instrText>
    </w:r>
    <w:r w:rsidRPr="00AD0E0F">
      <w:rPr>
        <w:b/>
        <w:sz w:val="18"/>
      </w:rPr>
      <w:fldChar w:fldCharType="separate"/>
    </w:r>
    <w:r w:rsidR="00AA79D6">
      <w:rPr>
        <w:b/>
        <w:noProof/>
        <w:sz w:val="18"/>
      </w:rPr>
      <w:t>3</w:t>
    </w:r>
    <w:r w:rsidRPr="00AD0E0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663A4B" w14:textId="65E9FF30" w:rsidR="00AA79D6" w:rsidRDefault="00AA79D6" w:rsidP="00AA79D6">
    <w:pPr>
      <w:pStyle w:val="Footer"/>
    </w:pPr>
    <w:r>
      <w:rPr>
        <w:rFonts w:ascii="C39T30Lfz" w:hAnsi="C39T30Lfz"/>
        <w:noProof/>
        <w:sz w:val="56"/>
        <w:lang w:eastAsia="zh-CN"/>
      </w:rPr>
      <w:drawing>
        <wp:anchor distT="0" distB="0" distL="114300" distR="114300" simplePos="0" relativeHeight="251660288" behindDoc="0" locked="0" layoutInCell="1" allowOverlap="1" wp14:anchorId="1D4D497F" wp14:editId="2148FFF6">
          <wp:simplePos x="0" y="0"/>
          <wp:positionH relativeFrom="margin">
            <wp:posOffset>5471406</wp:posOffset>
          </wp:positionH>
          <wp:positionV relativeFrom="margin">
            <wp:posOffset>7924595</wp:posOffset>
          </wp:positionV>
          <wp:extent cx="638175" cy="638175"/>
          <wp:effectExtent l="0" t="0" r="9525" b="9525"/>
          <wp:wrapNone/>
          <wp:docPr id="2" name="Picture 1" descr="https://undocs.org/m2/QRCode.ashx?DS=ECE/MP.EIA/2019/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2019/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3F6AC25F" wp14:editId="08903366">
          <wp:simplePos x="0" y="0"/>
          <wp:positionH relativeFrom="margin">
            <wp:posOffset>4312920</wp:posOffset>
          </wp:positionH>
          <wp:positionV relativeFrom="margin">
            <wp:posOffset>8274685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3117A7C4" w14:textId="2BAC74BF" w:rsidR="00AA79D6" w:rsidRDefault="00AA79D6" w:rsidP="00AA79D6">
    <w:pPr>
      <w:pStyle w:val="Footer"/>
      <w:ind w:right="1134"/>
      <w:rPr>
        <w:sz w:val="20"/>
      </w:rPr>
    </w:pPr>
    <w:r>
      <w:rPr>
        <w:sz w:val="20"/>
      </w:rPr>
      <w:t>GE.18-19970(E)</w:t>
    </w:r>
  </w:p>
  <w:p w14:paraId="12079E0E" w14:textId="5113FB7F" w:rsidR="00AA79D6" w:rsidRPr="00AA79D6" w:rsidRDefault="00AA79D6" w:rsidP="00AA79D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DC4CE" w14:textId="77777777" w:rsidR="0024543B" w:rsidRPr="000B175B" w:rsidRDefault="0024543B" w:rsidP="000B175B">
      <w:pPr>
        <w:tabs>
          <w:tab w:val="right" w:pos="2155"/>
        </w:tabs>
        <w:spacing w:after="80"/>
        <w:ind w:left="680"/>
        <w:rPr>
          <w:u w:val="single"/>
        </w:rPr>
      </w:pPr>
      <w:r>
        <w:rPr>
          <w:u w:val="single"/>
        </w:rPr>
        <w:tab/>
      </w:r>
    </w:p>
  </w:footnote>
  <w:footnote w:type="continuationSeparator" w:id="0">
    <w:p w14:paraId="54FC2268" w14:textId="77777777" w:rsidR="0024543B" w:rsidRPr="00FC68B7" w:rsidRDefault="0024543B" w:rsidP="00FC68B7">
      <w:pPr>
        <w:tabs>
          <w:tab w:val="left" w:pos="2155"/>
        </w:tabs>
        <w:spacing w:after="80"/>
        <w:ind w:left="680"/>
        <w:rPr>
          <w:u w:val="single"/>
        </w:rPr>
      </w:pPr>
      <w:r>
        <w:rPr>
          <w:u w:val="single"/>
        </w:rPr>
        <w:tab/>
      </w:r>
    </w:p>
  </w:footnote>
  <w:footnote w:type="continuationNotice" w:id="1">
    <w:p w14:paraId="6D1FE69C" w14:textId="77777777" w:rsidR="0024543B" w:rsidRDefault="0024543B"/>
  </w:footnote>
  <w:footnote w:id="2">
    <w:p w14:paraId="3B3D19EA" w14:textId="5C429DEB" w:rsidR="00C37560" w:rsidRDefault="00C37560" w:rsidP="00E73177">
      <w:pPr>
        <w:pStyle w:val="FootnoteText"/>
        <w:widowControl w:val="0"/>
      </w:pPr>
      <w:r>
        <w:tab/>
      </w:r>
      <w:r>
        <w:rPr>
          <w:rStyle w:val="FootnoteReference"/>
        </w:rPr>
        <w:footnoteRef/>
      </w:r>
      <w:r>
        <w:tab/>
      </w:r>
      <w:r w:rsidRPr="00713959">
        <w:t>ECE/MP.EIA/WG.1/2007/6</w:t>
      </w:r>
      <w:r>
        <w:t xml:space="preserve">. </w:t>
      </w:r>
    </w:p>
  </w:footnote>
  <w:footnote w:id="3">
    <w:p w14:paraId="64FC3961" w14:textId="15BBC538" w:rsidR="00403766" w:rsidRPr="00BB069C" w:rsidRDefault="00403766">
      <w:pPr>
        <w:pStyle w:val="FootnoteText"/>
        <w:rPr>
          <w:lang w:val="en-US"/>
        </w:rPr>
      </w:pPr>
      <w:r>
        <w:tab/>
      </w:r>
      <w:r>
        <w:rPr>
          <w:rStyle w:val="FootnoteReference"/>
        </w:rPr>
        <w:footnoteRef/>
      </w:r>
      <w:r>
        <w:tab/>
      </w:r>
      <w:r w:rsidRPr="00A94E92">
        <w:rPr>
          <w:rStyle w:val="SingleTxtGChar"/>
        </w:rPr>
        <w:t>ECE/MP.EIA/2019/12</w:t>
      </w:r>
      <w:r>
        <w:rPr>
          <w:rStyle w:val="SingleTxtGCha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478EF" w14:textId="0BD50701" w:rsidR="00A70F16" w:rsidRPr="00AD0E0F" w:rsidRDefault="00003D71">
    <w:pPr>
      <w:pStyle w:val="Header"/>
    </w:pPr>
    <w:bookmarkStart w:id="4" w:name="_Hlk507516114"/>
    <w:bookmarkStart w:id="5" w:name="_Hlk507516115"/>
    <w:bookmarkStart w:id="6" w:name="_Hlk507516116"/>
    <w:bookmarkStart w:id="7" w:name="_Hlk507516117"/>
    <w:bookmarkStart w:id="8" w:name="_Hlk507516118"/>
    <w:bookmarkStart w:id="9" w:name="_Hlk507516119"/>
    <w:r>
      <w:t>ECE/MP.EIA/</w:t>
    </w:r>
    <w:r w:rsidR="0005660C">
      <w:t>2019</w:t>
    </w:r>
    <w:r>
      <w:t>/</w:t>
    </w:r>
    <w:bookmarkEnd w:id="4"/>
    <w:bookmarkEnd w:id="5"/>
    <w:bookmarkEnd w:id="6"/>
    <w:bookmarkEnd w:id="7"/>
    <w:bookmarkEnd w:id="8"/>
    <w:bookmarkEnd w:id="9"/>
    <w:r w:rsidR="0005660C">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62C7D" w14:textId="31B724C2" w:rsidR="00A70F16" w:rsidRPr="00AD0E0F" w:rsidRDefault="00003D71" w:rsidP="00AD0E0F">
    <w:pPr>
      <w:pStyle w:val="Header"/>
      <w:jc w:val="right"/>
    </w:pPr>
    <w:r>
      <w:t>ECE/MP.EIA/201</w:t>
    </w:r>
    <w:r w:rsidR="0005660C">
      <w:t>9</w:t>
    </w:r>
    <w:r>
      <w:t>/</w:t>
    </w:r>
    <w:r w:rsidR="0005660C">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755F2F"/>
    <w:multiLevelType w:val="hybridMultilevel"/>
    <w:tmpl w:val="9BB4B622"/>
    <w:lvl w:ilvl="0" w:tplc="DD76805C">
      <w:start w:val="1"/>
      <w:numFmt w:val="lowerRoman"/>
      <w:lvlText w:val="(%1)"/>
      <w:lvlJc w:val="left"/>
      <w:pPr>
        <w:tabs>
          <w:tab w:val="num" w:pos="1476"/>
        </w:tabs>
        <w:ind w:left="1476" w:hanging="576"/>
      </w:pPr>
      <w:rPr>
        <w:rFonts w:hint="default"/>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2"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C63371F"/>
    <w:multiLevelType w:val="hybridMultilevel"/>
    <w:tmpl w:val="15D00B42"/>
    <w:lvl w:ilvl="0" w:tplc="C81C63F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320D5B5B"/>
    <w:multiLevelType w:val="hybridMultilevel"/>
    <w:tmpl w:val="1166BCAE"/>
    <w:lvl w:ilvl="0" w:tplc="B06A77AA">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15:restartNumberingAfterBreak="0">
    <w:nsid w:val="43334E75"/>
    <w:multiLevelType w:val="hybridMultilevel"/>
    <w:tmpl w:val="D1368CE8"/>
    <w:lvl w:ilvl="0" w:tplc="83A2589C">
      <w:start w:val="2"/>
      <w:numFmt w:val="lowerRoman"/>
      <w:lvlText w:val="(%1)"/>
      <w:lvlJc w:val="left"/>
      <w:pPr>
        <w:ind w:left="2988" w:hanging="720"/>
      </w:pPr>
      <w:rPr>
        <w:rFonts w:hint="default"/>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6" w15:restartNumberingAfterBreak="0">
    <w:nsid w:val="5A595C9A"/>
    <w:multiLevelType w:val="hybridMultilevel"/>
    <w:tmpl w:val="5A54AA68"/>
    <w:lvl w:ilvl="0" w:tplc="34F89090">
      <w:start w:val="1"/>
      <w:numFmt w:val="upperLetter"/>
      <w:lvlText w:val="%1."/>
      <w:lvlJc w:val="left"/>
      <w:pPr>
        <w:tabs>
          <w:tab w:val="num" w:pos="1200"/>
        </w:tabs>
        <w:ind w:left="1200" w:hanging="525"/>
      </w:pPr>
    </w:lvl>
    <w:lvl w:ilvl="1" w:tplc="04090019">
      <w:start w:val="1"/>
      <w:numFmt w:val="lowerLetter"/>
      <w:lvlText w:val="%2."/>
      <w:lvlJc w:val="left"/>
      <w:pPr>
        <w:tabs>
          <w:tab w:val="num" w:pos="1755"/>
        </w:tabs>
        <w:ind w:left="1755" w:hanging="360"/>
      </w:pPr>
    </w:lvl>
    <w:lvl w:ilvl="2" w:tplc="0409001B">
      <w:start w:val="1"/>
      <w:numFmt w:val="lowerRoman"/>
      <w:lvlText w:val="%3."/>
      <w:lvlJc w:val="right"/>
      <w:pPr>
        <w:tabs>
          <w:tab w:val="num" w:pos="2475"/>
        </w:tabs>
        <w:ind w:left="2475" w:hanging="180"/>
      </w:pPr>
    </w:lvl>
    <w:lvl w:ilvl="3" w:tplc="0409000F">
      <w:start w:val="1"/>
      <w:numFmt w:val="decimal"/>
      <w:lvlText w:val="%4."/>
      <w:lvlJc w:val="left"/>
      <w:pPr>
        <w:tabs>
          <w:tab w:val="num" w:pos="3195"/>
        </w:tabs>
        <w:ind w:left="3195" w:hanging="360"/>
      </w:pPr>
    </w:lvl>
    <w:lvl w:ilvl="4" w:tplc="04090019">
      <w:start w:val="1"/>
      <w:numFmt w:val="lowerLetter"/>
      <w:lvlText w:val="%5."/>
      <w:lvlJc w:val="left"/>
      <w:pPr>
        <w:tabs>
          <w:tab w:val="num" w:pos="3915"/>
        </w:tabs>
        <w:ind w:left="3915" w:hanging="360"/>
      </w:pPr>
    </w:lvl>
    <w:lvl w:ilvl="5" w:tplc="0409001B">
      <w:start w:val="1"/>
      <w:numFmt w:val="lowerRoman"/>
      <w:lvlText w:val="%6."/>
      <w:lvlJc w:val="right"/>
      <w:pPr>
        <w:tabs>
          <w:tab w:val="num" w:pos="4635"/>
        </w:tabs>
        <w:ind w:left="4635" w:hanging="180"/>
      </w:pPr>
    </w:lvl>
    <w:lvl w:ilvl="6" w:tplc="0409000F">
      <w:start w:val="1"/>
      <w:numFmt w:val="decimal"/>
      <w:lvlText w:val="%7."/>
      <w:lvlJc w:val="left"/>
      <w:pPr>
        <w:tabs>
          <w:tab w:val="num" w:pos="5355"/>
        </w:tabs>
        <w:ind w:left="5355" w:hanging="360"/>
      </w:pPr>
    </w:lvl>
    <w:lvl w:ilvl="7" w:tplc="04090019">
      <w:start w:val="1"/>
      <w:numFmt w:val="lowerLetter"/>
      <w:lvlText w:val="%8."/>
      <w:lvlJc w:val="left"/>
      <w:pPr>
        <w:tabs>
          <w:tab w:val="num" w:pos="6075"/>
        </w:tabs>
        <w:ind w:left="6075" w:hanging="360"/>
      </w:pPr>
    </w:lvl>
    <w:lvl w:ilvl="8" w:tplc="0409001B">
      <w:start w:val="1"/>
      <w:numFmt w:val="lowerRoman"/>
      <w:lvlText w:val="%9."/>
      <w:lvlJc w:val="right"/>
      <w:pPr>
        <w:tabs>
          <w:tab w:val="num" w:pos="6795"/>
        </w:tabs>
        <w:ind w:left="6795" w:hanging="180"/>
      </w:pPr>
    </w:lvl>
  </w:abstractNum>
  <w:abstractNum w:abstractNumId="17" w15:restartNumberingAfterBreak="0">
    <w:nsid w:val="5E732D6A"/>
    <w:multiLevelType w:val="hybridMultilevel"/>
    <w:tmpl w:val="A2AAD0C6"/>
    <w:lvl w:ilvl="0" w:tplc="B96848F0">
      <w:start w:val="1"/>
      <w:numFmt w:val="decimal"/>
      <w:lvlText w:val="%1."/>
      <w:lvlJc w:val="left"/>
      <w:pPr>
        <w:tabs>
          <w:tab w:val="num" w:pos="1476"/>
        </w:tabs>
        <w:ind w:left="1476" w:hanging="576"/>
      </w:pPr>
      <w:rPr>
        <w:i w:val="0"/>
        <w:color w:val="auto"/>
        <w:lang w:val="en-GB"/>
      </w:rPr>
    </w:lvl>
    <w:lvl w:ilvl="1" w:tplc="0B1C8860">
      <w:start w:val="1"/>
      <w:numFmt w:val="decimal"/>
      <w:lvlText w:val="(%2)"/>
      <w:lvlJc w:val="left"/>
      <w:pPr>
        <w:tabs>
          <w:tab w:val="num" w:pos="2574"/>
        </w:tabs>
        <w:ind w:left="2574" w:hanging="720"/>
      </w:pPr>
      <w:rPr>
        <w:sz w:val="20"/>
        <w:szCs w:val="20"/>
      </w:rPr>
    </w:lvl>
    <w:lvl w:ilvl="2" w:tplc="0409001B">
      <w:start w:val="1"/>
      <w:numFmt w:val="lowerRoman"/>
      <w:lvlText w:val="%3."/>
      <w:lvlJc w:val="right"/>
      <w:pPr>
        <w:tabs>
          <w:tab w:val="num" w:pos="2934"/>
        </w:tabs>
        <w:ind w:left="2934" w:hanging="180"/>
      </w:pPr>
    </w:lvl>
    <w:lvl w:ilvl="3" w:tplc="0409000F">
      <w:start w:val="1"/>
      <w:numFmt w:val="decimal"/>
      <w:lvlText w:val="%4."/>
      <w:lvlJc w:val="left"/>
      <w:pPr>
        <w:tabs>
          <w:tab w:val="num" w:pos="3654"/>
        </w:tabs>
        <w:ind w:left="3654" w:hanging="360"/>
      </w:pPr>
    </w:lvl>
    <w:lvl w:ilvl="4" w:tplc="04090019">
      <w:start w:val="1"/>
      <w:numFmt w:val="lowerLetter"/>
      <w:lvlText w:val="%5."/>
      <w:lvlJc w:val="left"/>
      <w:pPr>
        <w:tabs>
          <w:tab w:val="num" w:pos="4374"/>
        </w:tabs>
        <w:ind w:left="4374" w:hanging="360"/>
      </w:pPr>
    </w:lvl>
    <w:lvl w:ilvl="5" w:tplc="0409001B">
      <w:start w:val="1"/>
      <w:numFmt w:val="lowerRoman"/>
      <w:lvlText w:val="%6."/>
      <w:lvlJc w:val="right"/>
      <w:pPr>
        <w:tabs>
          <w:tab w:val="num" w:pos="5094"/>
        </w:tabs>
        <w:ind w:left="5094" w:hanging="180"/>
      </w:pPr>
    </w:lvl>
    <w:lvl w:ilvl="6" w:tplc="0409000F">
      <w:start w:val="1"/>
      <w:numFmt w:val="decimal"/>
      <w:lvlText w:val="%7."/>
      <w:lvlJc w:val="left"/>
      <w:pPr>
        <w:tabs>
          <w:tab w:val="num" w:pos="5814"/>
        </w:tabs>
        <w:ind w:left="5814" w:hanging="360"/>
      </w:pPr>
    </w:lvl>
    <w:lvl w:ilvl="7" w:tplc="04090019">
      <w:start w:val="1"/>
      <w:numFmt w:val="lowerLetter"/>
      <w:lvlText w:val="%8."/>
      <w:lvlJc w:val="left"/>
      <w:pPr>
        <w:tabs>
          <w:tab w:val="num" w:pos="6534"/>
        </w:tabs>
        <w:ind w:left="6534" w:hanging="360"/>
      </w:pPr>
    </w:lvl>
    <w:lvl w:ilvl="8" w:tplc="0409001B">
      <w:start w:val="1"/>
      <w:numFmt w:val="lowerRoman"/>
      <w:lvlText w:val="%9."/>
      <w:lvlJc w:val="right"/>
      <w:pPr>
        <w:tabs>
          <w:tab w:val="num" w:pos="7254"/>
        </w:tabs>
        <w:ind w:left="7254" w:hanging="180"/>
      </w:pPr>
    </w:lvl>
  </w:abstractNum>
  <w:abstractNum w:abstractNumId="18"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2EE0F20"/>
    <w:multiLevelType w:val="hybridMultilevel"/>
    <w:tmpl w:val="C1265272"/>
    <w:lvl w:ilvl="0" w:tplc="43DA6E66">
      <w:start w:val="1"/>
      <w:numFmt w:val="upperRoman"/>
      <w:lvlText w:val="%1."/>
      <w:lvlJc w:val="left"/>
      <w:pPr>
        <w:ind w:left="1395" w:hanging="720"/>
      </w:pPr>
    </w:lvl>
    <w:lvl w:ilvl="1" w:tplc="08090019">
      <w:start w:val="1"/>
      <w:numFmt w:val="lowerLetter"/>
      <w:lvlText w:val="%2."/>
      <w:lvlJc w:val="left"/>
      <w:pPr>
        <w:ind w:left="1755" w:hanging="360"/>
      </w:pPr>
    </w:lvl>
    <w:lvl w:ilvl="2" w:tplc="0809001B">
      <w:start w:val="1"/>
      <w:numFmt w:val="lowerRoman"/>
      <w:lvlText w:val="%3."/>
      <w:lvlJc w:val="right"/>
      <w:pPr>
        <w:ind w:left="2475" w:hanging="180"/>
      </w:pPr>
    </w:lvl>
    <w:lvl w:ilvl="3" w:tplc="0809000F">
      <w:start w:val="1"/>
      <w:numFmt w:val="decimal"/>
      <w:lvlText w:val="%4."/>
      <w:lvlJc w:val="left"/>
      <w:pPr>
        <w:ind w:left="3195" w:hanging="360"/>
      </w:pPr>
    </w:lvl>
    <w:lvl w:ilvl="4" w:tplc="08090019">
      <w:start w:val="1"/>
      <w:numFmt w:val="lowerLetter"/>
      <w:lvlText w:val="%5."/>
      <w:lvlJc w:val="left"/>
      <w:pPr>
        <w:ind w:left="3915" w:hanging="360"/>
      </w:pPr>
    </w:lvl>
    <w:lvl w:ilvl="5" w:tplc="0809001B">
      <w:start w:val="1"/>
      <w:numFmt w:val="lowerRoman"/>
      <w:lvlText w:val="%6."/>
      <w:lvlJc w:val="right"/>
      <w:pPr>
        <w:ind w:left="4635" w:hanging="180"/>
      </w:pPr>
    </w:lvl>
    <w:lvl w:ilvl="6" w:tplc="0809000F">
      <w:start w:val="1"/>
      <w:numFmt w:val="decimal"/>
      <w:lvlText w:val="%7."/>
      <w:lvlJc w:val="left"/>
      <w:pPr>
        <w:ind w:left="5355" w:hanging="360"/>
      </w:pPr>
    </w:lvl>
    <w:lvl w:ilvl="7" w:tplc="08090019">
      <w:start w:val="1"/>
      <w:numFmt w:val="lowerLetter"/>
      <w:lvlText w:val="%8."/>
      <w:lvlJc w:val="left"/>
      <w:pPr>
        <w:ind w:left="6075" w:hanging="360"/>
      </w:pPr>
    </w:lvl>
    <w:lvl w:ilvl="8" w:tplc="0809001B">
      <w:start w:val="1"/>
      <w:numFmt w:val="lowerRoman"/>
      <w:lvlText w:val="%9."/>
      <w:lvlJc w:val="right"/>
      <w:pPr>
        <w:ind w:left="6795" w:hanging="180"/>
      </w:p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C45DB"/>
    <w:multiLevelType w:val="hybridMultilevel"/>
    <w:tmpl w:val="B80E9C0E"/>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637F26"/>
    <w:multiLevelType w:val="hybridMultilevel"/>
    <w:tmpl w:val="2482E784"/>
    <w:lvl w:ilvl="0" w:tplc="A8C03D3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3"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8"/>
  </w:num>
  <w:num w:numId="12">
    <w:abstractNumId w:val="12"/>
  </w:num>
  <w:num w:numId="13">
    <w:abstractNumId w:val="10"/>
  </w:num>
  <w:num w:numId="14">
    <w:abstractNumId w:val="20"/>
  </w:num>
  <w:num w:numId="15">
    <w:abstractNumId w:val="23"/>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4"/>
  </w:num>
  <w:num w:numId="21">
    <w:abstractNumId w:val="22"/>
  </w:num>
  <w:num w:numId="22">
    <w:abstractNumId w:val="11"/>
  </w:num>
  <w:num w:numId="23">
    <w:abstractNumId w:val="15"/>
  </w:num>
  <w:num w:numId="24">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0" w:nlCheck="1" w:checkStyle="0"/>
  <w:activeWritingStyle w:appName="MSWord" w:lang="es-ES" w:vendorID="64" w:dllVersion="6" w:nlCheck="1" w:checkStyle="0"/>
  <w:activeWritingStyle w:appName="MSWord" w:lang="es-ES" w:vendorID="64" w:dllVersion="0" w:nlCheck="1" w:checkStyle="0"/>
  <w:activeWritingStyle w:appName="MSWord" w:lang="en-US" w:vendorID="64" w:dllVersion="0"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E0F"/>
    <w:rsid w:val="000020C9"/>
    <w:rsid w:val="00003D71"/>
    <w:rsid w:val="000129A9"/>
    <w:rsid w:val="00020290"/>
    <w:rsid w:val="00030478"/>
    <w:rsid w:val="00030906"/>
    <w:rsid w:val="00031AF2"/>
    <w:rsid w:val="000463DC"/>
    <w:rsid w:val="00046B1F"/>
    <w:rsid w:val="00047A1E"/>
    <w:rsid w:val="00050E24"/>
    <w:rsid w:val="00050F6B"/>
    <w:rsid w:val="000544C4"/>
    <w:rsid w:val="0005660C"/>
    <w:rsid w:val="00057E97"/>
    <w:rsid w:val="00072C8C"/>
    <w:rsid w:val="000733B5"/>
    <w:rsid w:val="0008044A"/>
    <w:rsid w:val="000805FE"/>
    <w:rsid w:val="00081815"/>
    <w:rsid w:val="000926C2"/>
    <w:rsid w:val="000931C0"/>
    <w:rsid w:val="000B0595"/>
    <w:rsid w:val="000B175B"/>
    <w:rsid w:val="000B330F"/>
    <w:rsid w:val="000B3A0F"/>
    <w:rsid w:val="000B4EF7"/>
    <w:rsid w:val="000C0F47"/>
    <w:rsid w:val="000C1BE4"/>
    <w:rsid w:val="000C2C03"/>
    <w:rsid w:val="000C2D2E"/>
    <w:rsid w:val="000C5315"/>
    <w:rsid w:val="000D3EC4"/>
    <w:rsid w:val="000D5AC4"/>
    <w:rsid w:val="000E0415"/>
    <w:rsid w:val="000E0BC9"/>
    <w:rsid w:val="000F2C10"/>
    <w:rsid w:val="001103AA"/>
    <w:rsid w:val="00116249"/>
    <w:rsid w:val="0011666B"/>
    <w:rsid w:val="00120BDB"/>
    <w:rsid w:val="00137DA9"/>
    <w:rsid w:val="00143958"/>
    <w:rsid w:val="001466F1"/>
    <w:rsid w:val="00154FD9"/>
    <w:rsid w:val="00155071"/>
    <w:rsid w:val="00165760"/>
    <w:rsid w:val="00165F3A"/>
    <w:rsid w:val="00170240"/>
    <w:rsid w:val="00170E73"/>
    <w:rsid w:val="0017292D"/>
    <w:rsid w:val="00172954"/>
    <w:rsid w:val="0017657D"/>
    <w:rsid w:val="00180ACF"/>
    <w:rsid w:val="0018609D"/>
    <w:rsid w:val="00194058"/>
    <w:rsid w:val="001969F4"/>
    <w:rsid w:val="001A041C"/>
    <w:rsid w:val="001A0A89"/>
    <w:rsid w:val="001A3308"/>
    <w:rsid w:val="001A3336"/>
    <w:rsid w:val="001B4B04"/>
    <w:rsid w:val="001C6663"/>
    <w:rsid w:val="001C7895"/>
    <w:rsid w:val="001D0C8C"/>
    <w:rsid w:val="001D1419"/>
    <w:rsid w:val="001D26DF"/>
    <w:rsid w:val="001D3A03"/>
    <w:rsid w:val="001D40C1"/>
    <w:rsid w:val="001D5329"/>
    <w:rsid w:val="001E1CC8"/>
    <w:rsid w:val="001E79FE"/>
    <w:rsid w:val="001E7B67"/>
    <w:rsid w:val="001F5E52"/>
    <w:rsid w:val="002006E4"/>
    <w:rsid w:val="00202DA8"/>
    <w:rsid w:val="00211E0B"/>
    <w:rsid w:val="00213ED7"/>
    <w:rsid w:val="00217F74"/>
    <w:rsid w:val="00220F62"/>
    <w:rsid w:val="00226415"/>
    <w:rsid w:val="00227991"/>
    <w:rsid w:val="00227E51"/>
    <w:rsid w:val="00230C33"/>
    <w:rsid w:val="00245219"/>
    <w:rsid w:val="0024543B"/>
    <w:rsid w:val="0024772E"/>
    <w:rsid w:val="00251886"/>
    <w:rsid w:val="002669EA"/>
    <w:rsid w:val="00267F5F"/>
    <w:rsid w:val="0027360A"/>
    <w:rsid w:val="002765A9"/>
    <w:rsid w:val="00286B4D"/>
    <w:rsid w:val="0029033E"/>
    <w:rsid w:val="002928D2"/>
    <w:rsid w:val="002939E1"/>
    <w:rsid w:val="00293EDA"/>
    <w:rsid w:val="002A0703"/>
    <w:rsid w:val="002B01F7"/>
    <w:rsid w:val="002B561D"/>
    <w:rsid w:val="002C2F47"/>
    <w:rsid w:val="002C489E"/>
    <w:rsid w:val="002D4643"/>
    <w:rsid w:val="002D4E48"/>
    <w:rsid w:val="002D6108"/>
    <w:rsid w:val="002D6628"/>
    <w:rsid w:val="002E07B9"/>
    <w:rsid w:val="002E56D8"/>
    <w:rsid w:val="002E5D3B"/>
    <w:rsid w:val="002F175C"/>
    <w:rsid w:val="002F2B7D"/>
    <w:rsid w:val="0030047E"/>
    <w:rsid w:val="00302E18"/>
    <w:rsid w:val="00315705"/>
    <w:rsid w:val="003229D8"/>
    <w:rsid w:val="0033010E"/>
    <w:rsid w:val="003367C8"/>
    <w:rsid w:val="00337FEF"/>
    <w:rsid w:val="00352709"/>
    <w:rsid w:val="003619B5"/>
    <w:rsid w:val="00364E33"/>
    <w:rsid w:val="00365763"/>
    <w:rsid w:val="00366E24"/>
    <w:rsid w:val="00371178"/>
    <w:rsid w:val="00371329"/>
    <w:rsid w:val="0038261B"/>
    <w:rsid w:val="0038495F"/>
    <w:rsid w:val="00385008"/>
    <w:rsid w:val="00392E47"/>
    <w:rsid w:val="003A1664"/>
    <w:rsid w:val="003A3A7B"/>
    <w:rsid w:val="003A6810"/>
    <w:rsid w:val="003B4680"/>
    <w:rsid w:val="003C1468"/>
    <w:rsid w:val="003C2CC4"/>
    <w:rsid w:val="003D36DD"/>
    <w:rsid w:val="003D4B23"/>
    <w:rsid w:val="003E188E"/>
    <w:rsid w:val="003E5FF8"/>
    <w:rsid w:val="003F1A32"/>
    <w:rsid w:val="003F7855"/>
    <w:rsid w:val="00401305"/>
    <w:rsid w:val="00403766"/>
    <w:rsid w:val="00410C89"/>
    <w:rsid w:val="00414936"/>
    <w:rsid w:val="00415071"/>
    <w:rsid w:val="00417C71"/>
    <w:rsid w:val="00422E03"/>
    <w:rsid w:val="0042468E"/>
    <w:rsid w:val="00426B9B"/>
    <w:rsid w:val="004325CB"/>
    <w:rsid w:val="00434CD0"/>
    <w:rsid w:val="00435F5C"/>
    <w:rsid w:val="00436788"/>
    <w:rsid w:val="00440FCE"/>
    <w:rsid w:val="00442A83"/>
    <w:rsid w:val="0045495B"/>
    <w:rsid w:val="00455DE5"/>
    <w:rsid w:val="004617FB"/>
    <w:rsid w:val="004658CB"/>
    <w:rsid w:val="00466275"/>
    <w:rsid w:val="00472B5F"/>
    <w:rsid w:val="00473564"/>
    <w:rsid w:val="00475BD6"/>
    <w:rsid w:val="004825F3"/>
    <w:rsid w:val="0048397A"/>
    <w:rsid w:val="004844F5"/>
    <w:rsid w:val="00485BBA"/>
    <w:rsid w:val="00485CBB"/>
    <w:rsid w:val="004866B7"/>
    <w:rsid w:val="00486C5C"/>
    <w:rsid w:val="00486FAE"/>
    <w:rsid w:val="0048750A"/>
    <w:rsid w:val="004B0D64"/>
    <w:rsid w:val="004C2461"/>
    <w:rsid w:val="004C7462"/>
    <w:rsid w:val="004E4923"/>
    <w:rsid w:val="004E77B2"/>
    <w:rsid w:val="004F4E0F"/>
    <w:rsid w:val="00500B33"/>
    <w:rsid w:val="005047E7"/>
    <w:rsid w:val="00504B2D"/>
    <w:rsid w:val="00506A1D"/>
    <w:rsid w:val="0052136D"/>
    <w:rsid w:val="0052138D"/>
    <w:rsid w:val="0052319B"/>
    <w:rsid w:val="00523DB8"/>
    <w:rsid w:val="0052775E"/>
    <w:rsid w:val="00527CB4"/>
    <w:rsid w:val="0053001D"/>
    <w:rsid w:val="0053153E"/>
    <w:rsid w:val="00535227"/>
    <w:rsid w:val="005420F2"/>
    <w:rsid w:val="00542618"/>
    <w:rsid w:val="005514B5"/>
    <w:rsid w:val="00555822"/>
    <w:rsid w:val="005628B6"/>
    <w:rsid w:val="005660AD"/>
    <w:rsid w:val="00567E76"/>
    <w:rsid w:val="00572C5F"/>
    <w:rsid w:val="005778D0"/>
    <w:rsid w:val="00586244"/>
    <w:rsid w:val="00586C57"/>
    <w:rsid w:val="00587A24"/>
    <w:rsid w:val="0059138B"/>
    <w:rsid w:val="0059724D"/>
    <w:rsid w:val="005974A9"/>
    <w:rsid w:val="005A37AC"/>
    <w:rsid w:val="005A37EF"/>
    <w:rsid w:val="005B3DB3"/>
    <w:rsid w:val="005B3DF4"/>
    <w:rsid w:val="005B4E13"/>
    <w:rsid w:val="005C342F"/>
    <w:rsid w:val="005C47D7"/>
    <w:rsid w:val="005D258E"/>
    <w:rsid w:val="005D2609"/>
    <w:rsid w:val="005D65BE"/>
    <w:rsid w:val="005E145D"/>
    <w:rsid w:val="005E23EE"/>
    <w:rsid w:val="005F7B75"/>
    <w:rsid w:val="006001EE"/>
    <w:rsid w:val="00604C05"/>
    <w:rsid w:val="00605042"/>
    <w:rsid w:val="0060733D"/>
    <w:rsid w:val="00611FC4"/>
    <w:rsid w:val="00615707"/>
    <w:rsid w:val="006176FB"/>
    <w:rsid w:val="00640B26"/>
    <w:rsid w:val="00641399"/>
    <w:rsid w:val="00641957"/>
    <w:rsid w:val="00652A96"/>
    <w:rsid w:val="00652D0A"/>
    <w:rsid w:val="0065714C"/>
    <w:rsid w:val="00657D3C"/>
    <w:rsid w:val="00662BB6"/>
    <w:rsid w:val="006661F3"/>
    <w:rsid w:val="00676606"/>
    <w:rsid w:val="0068298F"/>
    <w:rsid w:val="00684C21"/>
    <w:rsid w:val="0069066C"/>
    <w:rsid w:val="006917C3"/>
    <w:rsid w:val="006934C6"/>
    <w:rsid w:val="006967D3"/>
    <w:rsid w:val="006A2530"/>
    <w:rsid w:val="006A37DC"/>
    <w:rsid w:val="006A5CCF"/>
    <w:rsid w:val="006A7045"/>
    <w:rsid w:val="006A7D6C"/>
    <w:rsid w:val="006B2BF3"/>
    <w:rsid w:val="006B7856"/>
    <w:rsid w:val="006C3589"/>
    <w:rsid w:val="006C520E"/>
    <w:rsid w:val="006D37AF"/>
    <w:rsid w:val="006D51D0"/>
    <w:rsid w:val="006D5FB9"/>
    <w:rsid w:val="006D63AF"/>
    <w:rsid w:val="006D76F2"/>
    <w:rsid w:val="006E564B"/>
    <w:rsid w:val="006E6BDB"/>
    <w:rsid w:val="006E7191"/>
    <w:rsid w:val="006F264F"/>
    <w:rsid w:val="006F632E"/>
    <w:rsid w:val="006F6FD7"/>
    <w:rsid w:val="007031E7"/>
    <w:rsid w:val="00703577"/>
    <w:rsid w:val="00703761"/>
    <w:rsid w:val="00703E5C"/>
    <w:rsid w:val="00705894"/>
    <w:rsid w:val="00707FE8"/>
    <w:rsid w:val="00713959"/>
    <w:rsid w:val="0072628A"/>
    <w:rsid w:val="0072632A"/>
    <w:rsid w:val="007321FB"/>
    <w:rsid w:val="007327D5"/>
    <w:rsid w:val="00735D74"/>
    <w:rsid w:val="00736E3C"/>
    <w:rsid w:val="007409F1"/>
    <w:rsid w:val="00756AF6"/>
    <w:rsid w:val="007629C8"/>
    <w:rsid w:val="00762FD1"/>
    <w:rsid w:val="007633FC"/>
    <w:rsid w:val="00764081"/>
    <w:rsid w:val="0077047D"/>
    <w:rsid w:val="007840DA"/>
    <w:rsid w:val="007852AD"/>
    <w:rsid w:val="0078676C"/>
    <w:rsid w:val="0078777C"/>
    <w:rsid w:val="007918B5"/>
    <w:rsid w:val="00795F70"/>
    <w:rsid w:val="007A7239"/>
    <w:rsid w:val="007B0132"/>
    <w:rsid w:val="007B6BA5"/>
    <w:rsid w:val="007C3390"/>
    <w:rsid w:val="007C4F4B"/>
    <w:rsid w:val="007D467B"/>
    <w:rsid w:val="007D4DCF"/>
    <w:rsid w:val="007D5604"/>
    <w:rsid w:val="007E01E9"/>
    <w:rsid w:val="007E2404"/>
    <w:rsid w:val="007E446B"/>
    <w:rsid w:val="007E600C"/>
    <w:rsid w:val="007E63F3"/>
    <w:rsid w:val="007F5C7A"/>
    <w:rsid w:val="007F6611"/>
    <w:rsid w:val="007F6671"/>
    <w:rsid w:val="008002D5"/>
    <w:rsid w:val="0080489D"/>
    <w:rsid w:val="00811822"/>
    <w:rsid w:val="00811920"/>
    <w:rsid w:val="00815AD0"/>
    <w:rsid w:val="00815BBC"/>
    <w:rsid w:val="008242D7"/>
    <w:rsid w:val="00824607"/>
    <w:rsid w:val="00824AF3"/>
    <w:rsid w:val="008257B1"/>
    <w:rsid w:val="00832334"/>
    <w:rsid w:val="008325F2"/>
    <w:rsid w:val="0083332C"/>
    <w:rsid w:val="00835DBD"/>
    <w:rsid w:val="00843767"/>
    <w:rsid w:val="00845D41"/>
    <w:rsid w:val="00846896"/>
    <w:rsid w:val="00850CF2"/>
    <w:rsid w:val="00861E26"/>
    <w:rsid w:val="00861FAF"/>
    <w:rsid w:val="00862CA1"/>
    <w:rsid w:val="008679D9"/>
    <w:rsid w:val="00871029"/>
    <w:rsid w:val="0087321B"/>
    <w:rsid w:val="0087782A"/>
    <w:rsid w:val="008878DE"/>
    <w:rsid w:val="008979B1"/>
    <w:rsid w:val="008A0564"/>
    <w:rsid w:val="008A25A4"/>
    <w:rsid w:val="008A6B25"/>
    <w:rsid w:val="008A6C4F"/>
    <w:rsid w:val="008B2335"/>
    <w:rsid w:val="008B2432"/>
    <w:rsid w:val="008D0C13"/>
    <w:rsid w:val="008D413A"/>
    <w:rsid w:val="008D5E0F"/>
    <w:rsid w:val="008E0678"/>
    <w:rsid w:val="008E1544"/>
    <w:rsid w:val="008F1109"/>
    <w:rsid w:val="009040B3"/>
    <w:rsid w:val="009223CA"/>
    <w:rsid w:val="0092710F"/>
    <w:rsid w:val="00927870"/>
    <w:rsid w:val="00932AC7"/>
    <w:rsid w:val="00936719"/>
    <w:rsid w:val="00937905"/>
    <w:rsid w:val="00940F93"/>
    <w:rsid w:val="00953892"/>
    <w:rsid w:val="00960E89"/>
    <w:rsid w:val="00965C12"/>
    <w:rsid w:val="00970316"/>
    <w:rsid w:val="009760F3"/>
    <w:rsid w:val="00976CFB"/>
    <w:rsid w:val="009820FC"/>
    <w:rsid w:val="00985EE5"/>
    <w:rsid w:val="00990057"/>
    <w:rsid w:val="009910FE"/>
    <w:rsid w:val="00991DD3"/>
    <w:rsid w:val="00992E8D"/>
    <w:rsid w:val="009976FF"/>
    <w:rsid w:val="009A0830"/>
    <w:rsid w:val="009A0E8D"/>
    <w:rsid w:val="009A0F44"/>
    <w:rsid w:val="009A33AA"/>
    <w:rsid w:val="009A4F9A"/>
    <w:rsid w:val="009A6A85"/>
    <w:rsid w:val="009B26E7"/>
    <w:rsid w:val="009B5DE3"/>
    <w:rsid w:val="009B60F3"/>
    <w:rsid w:val="009C1054"/>
    <w:rsid w:val="009C4E3C"/>
    <w:rsid w:val="009C7097"/>
    <w:rsid w:val="009D444F"/>
    <w:rsid w:val="009E31B7"/>
    <w:rsid w:val="009F5E3E"/>
    <w:rsid w:val="00A00697"/>
    <w:rsid w:val="00A00A3F"/>
    <w:rsid w:val="00A01489"/>
    <w:rsid w:val="00A0278C"/>
    <w:rsid w:val="00A03489"/>
    <w:rsid w:val="00A04446"/>
    <w:rsid w:val="00A073DE"/>
    <w:rsid w:val="00A12B69"/>
    <w:rsid w:val="00A14FF1"/>
    <w:rsid w:val="00A150F4"/>
    <w:rsid w:val="00A27816"/>
    <w:rsid w:val="00A3026E"/>
    <w:rsid w:val="00A338F1"/>
    <w:rsid w:val="00A34E5D"/>
    <w:rsid w:val="00A35BE0"/>
    <w:rsid w:val="00A45409"/>
    <w:rsid w:val="00A469B5"/>
    <w:rsid w:val="00A46B16"/>
    <w:rsid w:val="00A5046B"/>
    <w:rsid w:val="00A52AD1"/>
    <w:rsid w:val="00A57BBD"/>
    <w:rsid w:val="00A62F02"/>
    <w:rsid w:val="00A65763"/>
    <w:rsid w:val="00A65A78"/>
    <w:rsid w:val="00A70F16"/>
    <w:rsid w:val="00A72F22"/>
    <w:rsid w:val="00A7360F"/>
    <w:rsid w:val="00A748A6"/>
    <w:rsid w:val="00A769F4"/>
    <w:rsid w:val="00A77681"/>
    <w:rsid w:val="00A776B4"/>
    <w:rsid w:val="00A80B19"/>
    <w:rsid w:val="00A84D18"/>
    <w:rsid w:val="00A87DBB"/>
    <w:rsid w:val="00A94361"/>
    <w:rsid w:val="00A94E92"/>
    <w:rsid w:val="00A97D6A"/>
    <w:rsid w:val="00AA293C"/>
    <w:rsid w:val="00AA79D6"/>
    <w:rsid w:val="00AB29B8"/>
    <w:rsid w:val="00AD0E0F"/>
    <w:rsid w:val="00AD1D5C"/>
    <w:rsid w:val="00AD4971"/>
    <w:rsid w:val="00AE0ED2"/>
    <w:rsid w:val="00AE1BF3"/>
    <w:rsid w:val="00AF08C8"/>
    <w:rsid w:val="00B100E1"/>
    <w:rsid w:val="00B179E3"/>
    <w:rsid w:val="00B22B42"/>
    <w:rsid w:val="00B30179"/>
    <w:rsid w:val="00B368BB"/>
    <w:rsid w:val="00B421C1"/>
    <w:rsid w:val="00B55C71"/>
    <w:rsid w:val="00B56856"/>
    <w:rsid w:val="00B56E4A"/>
    <w:rsid w:val="00B56E9C"/>
    <w:rsid w:val="00B57C0C"/>
    <w:rsid w:val="00B64B1F"/>
    <w:rsid w:val="00B6553F"/>
    <w:rsid w:val="00B717F9"/>
    <w:rsid w:val="00B77D05"/>
    <w:rsid w:val="00B80D82"/>
    <w:rsid w:val="00B81206"/>
    <w:rsid w:val="00B81E12"/>
    <w:rsid w:val="00B82C85"/>
    <w:rsid w:val="00B83977"/>
    <w:rsid w:val="00BA1B61"/>
    <w:rsid w:val="00BB069C"/>
    <w:rsid w:val="00BC1909"/>
    <w:rsid w:val="00BC3FA0"/>
    <w:rsid w:val="00BC74E9"/>
    <w:rsid w:val="00BD1F90"/>
    <w:rsid w:val="00BD4DF7"/>
    <w:rsid w:val="00BD63CD"/>
    <w:rsid w:val="00BE7827"/>
    <w:rsid w:val="00BF68A8"/>
    <w:rsid w:val="00C01652"/>
    <w:rsid w:val="00C01EBF"/>
    <w:rsid w:val="00C11A03"/>
    <w:rsid w:val="00C14D88"/>
    <w:rsid w:val="00C2007E"/>
    <w:rsid w:val="00C20B03"/>
    <w:rsid w:val="00C22C0C"/>
    <w:rsid w:val="00C26FBF"/>
    <w:rsid w:val="00C35F1F"/>
    <w:rsid w:val="00C37560"/>
    <w:rsid w:val="00C42B49"/>
    <w:rsid w:val="00C42C56"/>
    <w:rsid w:val="00C4527F"/>
    <w:rsid w:val="00C463DD"/>
    <w:rsid w:val="00C4724C"/>
    <w:rsid w:val="00C505D2"/>
    <w:rsid w:val="00C6246A"/>
    <w:rsid w:val="00C627E0"/>
    <w:rsid w:val="00C629A0"/>
    <w:rsid w:val="00C64629"/>
    <w:rsid w:val="00C65321"/>
    <w:rsid w:val="00C65EF7"/>
    <w:rsid w:val="00C714AB"/>
    <w:rsid w:val="00C745C3"/>
    <w:rsid w:val="00C824D3"/>
    <w:rsid w:val="00C935A5"/>
    <w:rsid w:val="00C94A22"/>
    <w:rsid w:val="00C96017"/>
    <w:rsid w:val="00C96DF2"/>
    <w:rsid w:val="00CA1B36"/>
    <w:rsid w:val="00CA52FA"/>
    <w:rsid w:val="00CA53E2"/>
    <w:rsid w:val="00CB3E03"/>
    <w:rsid w:val="00CC1678"/>
    <w:rsid w:val="00CC5A26"/>
    <w:rsid w:val="00CE4A8F"/>
    <w:rsid w:val="00D01F48"/>
    <w:rsid w:val="00D02413"/>
    <w:rsid w:val="00D02901"/>
    <w:rsid w:val="00D06D2D"/>
    <w:rsid w:val="00D1035B"/>
    <w:rsid w:val="00D110B3"/>
    <w:rsid w:val="00D173EF"/>
    <w:rsid w:val="00D2031B"/>
    <w:rsid w:val="00D21C3E"/>
    <w:rsid w:val="00D25FE2"/>
    <w:rsid w:val="00D26715"/>
    <w:rsid w:val="00D31E92"/>
    <w:rsid w:val="00D36778"/>
    <w:rsid w:val="00D3710C"/>
    <w:rsid w:val="00D372BC"/>
    <w:rsid w:val="00D37547"/>
    <w:rsid w:val="00D43252"/>
    <w:rsid w:val="00D44F86"/>
    <w:rsid w:val="00D45299"/>
    <w:rsid w:val="00D47EEA"/>
    <w:rsid w:val="00D52611"/>
    <w:rsid w:val="00D550C2"/>
    <w:rsid w:val="00D60B6C"/>
    <w:rsid w:val="00D65EAA"/>
    <w:rsid w:val="00D7671D"/>
    <w:rsid w:val="00D773DF"/>
    <w:rsid w:val="00D9040A"/>
    <w:rsid w:val="00D95303"/>
    <w:rsid w:val="00D978C6"/>
    <w:rsid w:val="00DA3C1C"/>
    <w:rsid w:val="00DA6FEB"/>
    <w:rsid w:val="00DB1887"/>
    <w:rsid w:val="00DB1F99"/>
    <w:rsid w:val="00DB3553"/>
    <w:rsid w:val="00DB6375"/>
    <w:rsid w:val="00DB70E5"/>
    <w:rsid w:val="00DC36E0"/>
    <w:rsid w:val="00DC5061"/>
    <w:rsid w:val="00DC5A09"/>
    <w:rsid w:val="00DC5E5C"/>
    <w:rsid w:val="00DD060B"/>
    <w:rsid w:val="00DD50EC"/>
    <w:rsid w:val="00DE184A"/>
    <w:rsid w:val="00DF253C"/>
    <w:rsid w:val="00E009F0"/>
    <w:rsid w:val="00E03CE7"/>
    <w:rsid w:val="00E046DF"/>
    <w:rsid w:val="00E20575"/>
    <w:rsid w:val="00E2491F"/>
    <w:rsid w:val="00E27346"/>
    <w:rsid w:val="00E4057F"/>
    <w:rsid w:val="00E4172C"/>
    <w:rsid w:val="00E42EF2"/>
    <w:rsid w:val="00E50B3E"/>
    <w:rsid w:val="00E52FF1"/>
    <w:rsid w:val="00E57807"/>
    <w:rsid w:val="00E619C8"/>
    <w:rsid w:val="00E6734E"/>
    <w:rsid w:val="00E71395"/>
    <w:rsid w:val="00E71BC8"/>
    <w:rsid w:val="00E7260F"/>
    <w:rsid w:val="00E73177"/>
    <w:rsid w:val="00E73F5D"/>
    <w:rsid w:val="00E77E4E"/>
    <w:rsid w:val="00E9299F"/>
    <w:rsid w:val="00E95688"/>
    <w:rsid w:val="00E96630"/>
    <w:rsid w:val="00E96B15"/>
    <w:rsid w:val="00E9755F"/>
    <w:rsid w:val="00EA49C0"/>
    <w:rsid w:val="00EA7FC5"/>
    <w:rsid w:val="00EB122E"/>
    <w:rsid w:val="00EB3202"/>
    <w:rsid w:val="00EB47D2"/>
    <w:rsid w:val="00EB6D30"/>
    <w:rsid w:val="00ED7A2A"/>
    <w:rsid w:val="00EF1D7F"/>
    <w:rsid w:val="00EF4BC1"/>
    <w:rsid w:val="00F017D7"/>
    <w:rsid w:val="00F04BA2"/>
    <w:rsid w:val="00F14EFB"/>
    <w:rsid w:val="00F16094"/>
    <w:rsid w:val="00F2439E"/>
    <w:rsid w:val="00F31606"/>
    <w:rsid w:val="00F31E5F"/>
    <w:rsid w:val="00F329CB"/>
    <w:rsid w:val="00F52518"/>
    <w:rsid w:val="00F6100A"/>
    <w:rsid w:val="00F65970"/>
    <w:rsid w:val="00F86F6F"/>
    <w:rsid w:val="00F93747"/>
    <w:rsid w:val="00F93781"/>
    <w:rsid w:val="00FA2B60"/>
    <w:rsid w:val="00FB613B"/>
    <w:rsid w:val="00FB7A5D"/>
    <w:rsid w:val="00FC68B7"/>
    <w:rsid w:val="00FD1CDB"/>
    <w:rsid w:val="00FD2D70"/>
    <w:rsid w:val="00FD3F98"/>
    <w:rsid w:val="00FE106A"/>
    <w:rsid w:val="00FE19DC"/>
    <w:rsid w:val="00FF145D"/>
    <w:rsid w:val="00FF5063"/>
    <w:rsid w:val="00FF743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35293F5"/>
  <w15:docId w15:val="{2266B52C-25FE-4ABF-B6B2-8657D0EA5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061"/>
    <w:pPr>
      <w:suppressAutoHyphens/>
      <w:spacing w:line="240" w:lineRule="atLeast"/>
    </w:pPr>
    <w:rPr>
      <w:lang w:eastAsia="en-US"/>
    </w:rPr>
  </w:style>
  <w:style w:type="paragraph" w:styleId="Heading1">
    <w:name w:val="heading 1"/>
    <w:aliases w:val="Table_G"/>
    <w:basedOn w:val="SingleTxtG"/>
    <w:next w:val="SingleTxtG"/>
    <w:qFormat/>
    <w:rsid w:val="00DC5061"/>
    <w:pPr>
      <w:spacing w:after="0" w:line="240" w:lineRule="auto"/>
      <w:ind w:right="0"/>
      <w:jc w:val="left"/>
      <w:outlineLvl w:val="0"/>
    </w:pPr>
  </w:style>
  <w:style w:type="paragraph" w:styleId="Heading2">
    <w:name w:val="heading 2"/>
    <w:basedOn w:val="Normal"/>
    <w:next w:val="Normal"/>
    <w:link w:val="Heading2Char"/>
    <w:uiPriority w:val="9"/>
    <w:qFormat/>
    <w:rsid w:val="00DC5061"/>
    <w:pPr>
      <w:spacing w:line="240" w:lineRule="auto"/>
      <w:outlineLvl w:val="1"/>
    </w:pPr>
  </w:style>
  <w:style w:type="paragraph" w:styleId="Heading3">
    <w:name w:val="heading 3"/>
    <w:basedOn w:val="Normal"/>
    <w:next w:val="Normal"/>
    <w:qFormat/>
    <w:rsid w:val="00DC5061"/>
    <w:pPr>
      <w:spacing w:line="240" w:lineRule="auto"/>
      <w:outlineLvl w:val="2"/>
    </w:pPr>
  </w:style>
  <w:style w:type="paragraph" w:styleId="Heading4">
    <w:name w:val="heading 4"/>
    <w:basedOn w:val="Normal"/>
    <w:next w:val="Normal"/>
    <w:qFormat/>
    <w:rsid w:val="00DC5061"/>
    <w:pPr>
      <w:spacing w:line="240" w:lineRule="auto"/>
      <w:outlineLvl w:val="3"/>
    </w:pPr>
  </w:style>
  <w:style w:type="paragraph" w:styleId="Heading5">
    <w:name w:val="heading 5"/>
    <w:basedOn w:val="Normal"/>
    <w:next w:val="Normal"/>
    <w:qFormat/>
    <w:rsid w:val="00DC5061"/>
    <w:pPr>
      <w:spacing w:line="240" w:lineRule="auto"/>
      <w:outlineLvl w:val="4"/>
    </w:pPr>
  </w:style>
  <w:style w:type="paragraph" w:styleId="Heading6">
    <w:name w:val="heading 6"/>
    <w:basedOn w:val="Normal"/>
    <w:next w:val="Normal"/>
    <w:qFormat/>
    <w:rsid w:val="00DC5061"/>
    <w:pPr>
      <w:spacing w:line="240" w:lineRule="auto"/>
      <w:outlineLvl w:val="5"/>
    </w:pPr>
  </w:style>
  <w:style w:type="paragraph" w:styleId="Heading7">
    <w:name w:val="heading 7"/>
    <w:basedOn w:val="Normal"/>
    <w:next w:val="Normal"/>
    <w:qFormat/>
    <w:rsid w:val="00DC5061"/>
    <w:pPr>
      <w:spacing w:line="240" w:lineRule="auto"/>
      <w:outlineLvl w:val="6"/>
    </w:pPr>
  </w:style>
  <w:style w:type="paragraph" w:styleId="Heading8">
    <w:name w:val="heading 8"/>
    <w:basedOn w:val="Normal"/>
    <w:next w:val="Normal"/>
    <w:qFormat/>
    <w:rsid w:val="00DC5061"/>
    <w:pPr>
      <w:spacing w:line="240" w:lineRule="auto"/>
      <w:outlineLvl w:val="7"/>
    </w:pPr>
  </w:style>
  <w:style w:type="paragraph" w:styleId="Heading9">
    <w:name w:val="heading 9"/>
    <w:basedOn w:val="Normal"/>
    <w:next w:val="Normal"/>
    <w:qFormat/>
    <w:rsid w:val="00DC506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C506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DC5061"/>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rsid w:val="00DC5061"/>
    <w:pPr>
      <w:spacing w:after="120"/>
      <w:ind w:left="1134" w:right="1134"/>
      <w:jc w:val="both"/>
    </w:pPr>
  </w:style>
  <w:style w:type="character" w:styleId="PageNumber">
    <w:name w:val="page number"/>
    <w:aliases w:val="7_G"/>
    <w:rsid w:val="00DC506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DC5061"/>
    <w:pPr>
      <w:keepNext/>
      <w:keepLines/>
      <w:spacing w:before="240" w:after="240" w:line="420" w:lineRule="exact"/>
      <w:ind w:left="1134" w:right="1134"/>
    </w:pPr>
    <w:rPr>
      <w:b/>
      <w:sz w:val="40"/>
    </w:rPr>
  </w:style>
  <w:style w:type="paragraph" w:customStyle="1" w:styleId="SLG">
    <w:name w:val="__S_L_G"/>
    <w:basedOn w:val="Normal"/>
    <w:next w:val="Normal"/>
    <w:rsid w:val="00DC5061"/>
    <w:pPr>
      <w:keepNext/>
      <w:keepLines/>
      <w:spacing w:before="240" w:after="240" w:line="580" w:lineRule="exact"/>
      <w:ind w:left="1134" w:right="1134"/>
    </w:pPr>
    <w:rPr>
      <w:b/>
      <w:sz w:val="56"/>
    </w:rPr>
  </w:style>
  <w:style w:type="paragraph" w:customStyle="1" w:styleId="SSG">
    <w:name w:val="__S_S_G"/>
    <w:basedOn w:val="Normal"/>
    <w:next w:val="Normal"/>
    <w:rsid w:val="00DC5061"/>
    <w:pPr>
      <w:keepNext/>
      <w:keepLines/>
      <w:spacing w:before="240" w:after="240" w:line="300" w:lineRule="exact"/>
      <w:ind w:left="1134" w:right="1134"/>
    </w:pPr>
    <w:rPr>
      <w:b/>
      <w:sz w:val="28"/>
    </w:rPr>
  </w:style>
  <w:style w:type="character" w:styleId="EndnoteReference">
    <w:name w:val="endnote reference"/>
    <w:aliases w:val="1_G"/>
    <w:rsid w:val="00DC5061"/>
    <w:rPr>
      <w:rFonts w:ascii="Times New Roman" w:hAnsi="Times New Roman"/>
      <w:sz w:val="18"/>
      <w:vertAlign w:val="superscript"/>
    </w:rPr>
  </w:style>
  <w:style w:type="character" w:styleId="FootnoteReference">
    <w:name w:val="footnote reference"/>
    <w:aliases w:val="4_G"/>
    <w:uiPriority w:val="99"/>
    <w:rsid w:val="00DC5061"/>
    <w:rPr>
      <w:rFonts w:ascii="Times New Roman" w:hAnsi="Times New Roman"/>
      <w:sz w:val="18"/>
      <w:vertAlign w:val="superscript"/>
    </w:rPr>
  </w:style>
  <w:style w:type="paragraph" w:styleId="FootnoteText">
    <w:name w:val="footnote text"/>
    <w:aliases w:val="5_G"/>
    <w:basedOn w:val="Normal"/>
    <w:link w:val="FootnoteTextChar"/>
    <w:uiPriority w:val="99"/>
    <w:rsid w:val="00DC5061"/>
    <w:pPr>
      <w:tabs>
        <w:tab w:val="right" w:pos="1021"/>
      </w:tabs>
      <w:spacing w:line="220" w:lineRule="exact"/>
      <w:ind w:left="1134" w:right="1134" w:hanging="1134"/>
    </w:pPr>
    <w:rPr>
      <w:sz w:val="18"/>
    </w:rPr>
  </w:style>
  <w:style w:type="paragraph" w:customStyle="1" w:styleId="XLargeG">
    <w:name w:val="__XLarge_G"/>
    <w:basedOn w:val="Normal"/>
    <w:next w:val="Normal"/>
    <w:rsid w:val="00DC5061"/>
    <w:pPr>
      <w:keepNext/>
      <w:keepLines/>
      <w:spacing w:before="240" w:after="240" w:line="420" w:lineRule="exact"/>
      <w:ind w:left="1134" w:right="1134"/>
    </w:pPr>
    <w:rPr>
      <w:b/>
      <w:sz w:val="40"/>
    </w:rPr>
  </w:style>
  <w:style w:type="paragraph" w:customStyle="1" w:styleId="Bullet1G">
    <w:name w:val="_Bullet 1_G"/>
    <w:basedOn w:val="Normal"/>
    <w:rsid w:val="00DC5061"/>
    <w:pPr>
      <w:numPr>
        <w:numId w:val="14"/>
      </w:numPr>
      <w:spacing w:after="120"/>
      <w:ind w:right="1134"/>
      <w:jc w:val="both"/>
    </w:pPr>
  </w:style>
  <w:style w:type="paragraph" w:styleId="EndnoteText">
    <w:name w:val="endnote text"/>
    <w:aliases w:val="2_G"/>
    <w:basedOn w:val="FootnoteText"/>
    <w:rsid w:val="00DC5061"/>
  </w:style>
  <w:style w:type="character" w:styleId="CommentReference">
    <w:name w:val="annotation reference"/>
    <w:uiPriority w:val="99"/>
    <w:semiHidden/>
    <w:rPr>
      <w:sz w:val="6"/>
    </w:rPr>
  </w:style>
  <w:style w:type="paragraph" w:styleId="CommentText">
    <w:name w:val="annotation text"/>
    <w:basedOn w:val="Normal"/>
    <w:link w:val="CommentTextChar1"/>
    <w:uiPriority w:val="99"/>
  </w:style>
  <w:style w:type="character" w:styleId="LineNumber">
    <w:name w:val="line number"/>
    <w:semiHidden/>
    <w:rPr>
      <w:sz w:val="14"/>
    </w:rPr>
  </w:style>
  <w:style w:type="paragraph" w:customStyle="1" w:styleId="Bullet2G">
    <w:name w:val="_Bullet 2_G"/>
    <w:basedOn w:val="Normal"/>
    <w:rsid w:val="00DC5061"/>
    <w:pPr>
      <w:numPr>
        <w:numId w:val="15"/>
      </w:numPr>
      <w:spacing w:after="120"/>
      <w:ind w:right="1134"/>
      <w:jc w:val="both"/>
    </w:pPr>
  </w:style>
  <w:style w:type="paragraph" w:customStyle="1" w:styleId="H1G">
    <w:name w:val="_ H_1_G"/>
    <w:basedOn w:val="Normal"/>
    <w:next w:val="Normal"/>
    <w:rsid w:val="00DC506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C506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C506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DC506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DC506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rsid w:val="00DC506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DC506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DC5061"/>
    <w:pPr>
      <w:spacing w:line="240" w:lineRule="auto"/>
    </w:pPr>
    <w:rPr>
      <w:sz w:val="16"/>
    </w:rPr>
  </w:style>
  <w:style w:type="paragraph" w:styleId="Header">
    <w:name w:val="header"/>
    <w:aliases w:val="6_G"/>
    <w:basedOn w:val="Normal"/>
    <w:link w:val="HeaderChar"/>
    <w:uiPriority w:val="99"/>
    <w:rsid w:val="00DC5061"/>
    <w:pPr>
      <w:pBdr>
        <w:bottom w:val="single" w:sz="4" w:space="4" w:color="auto"/>
      </w:pBdr>
      <w:spacing w:line="240" w:lineRule="auto"/>
    </w:pPr>
    <w:rPr>
      <w:b/>
      <w:sz w:val="18"/>
    </w:rPr>
  </w:style>
  <w:style w:type="character" w:customStyle="1" w:styleId="FootnoteTextChar">
    <w:name w:val="Footnote Text Char"/>
    <w:aliases w:val="5_G Char"/>
    <w:link w:val="FootnoteText"/>
    <w:uiPriority w:val="99"/>
    <w:rsid w:val="001F5E52"/>
    <w:rPr>
      <w:sz w:val="18"/>
      <w:lang w:eastAsia="en-US"/>
    </w:rPr>
  </w:style>
  <w:style w:type="character" w:customStyle="1" w:styleId="HeaderChar">
    <w:name w:val="Header Char"/>
    <w:aliases w:val="6_G Char"/>
    <w:link w:val="Header"/>
    <w:uiPriority w:val="99"/>
    <w:rsid w:val="001F5E52"/>
    <w:rPr>
      <w:b/>
      <w:sz w:val="18"/>
      <w:lang w:eastAsia="en-US"/>
    </w:rPr>
  </w:style>
  <w:style w:type="character" w:customStyle="1" w:styleId="FooterChar">
    <w:name w:val="Footer Char"/>
    <w:aliases w:val="3_G Char"/>
    <w:link w:val="Footer"/>
    <w:uiPriority w:val="99"/>
    <w:rsid w:val="001F5E52"/>
    <w:rPr>
      <w:sz w:val="16"/>
      <w:lang w:eastAsia="en-US"/>
    </w:rPr>
  </w:style>
  <w:style w:type="paragraph" w:styleId="ListParagraph">
    <w:name w:val="List Paragraph"/>
    <w:basedOn w:val="Normal"/>
    <w:uiPriority w:val="34"/>
    <w:qFormat/>
    <w:rsid w:val="001F5E52"/>
    <w:pPr>
      <w:suppressAutoHyphens w:val="0"/>
      <w:spacing w:after="200" w:line="276" w:lineRule="auto"/>
      <w:ind w:left="720"/>
      <w:contextualSpacing/>
    </w:pPr>
    <w:rPr>
      <w:rFonts w:ascii="Calibri" w:hAnsi="Calibri"/>
      <w:sz w:val="22"/>
      <w:szCs w:val="22"/>
      <w:lang w:eastAsia="en-GB"/>
    </w:rPr>
  </w:style>
  <w:style w:type="paragraph" w:styleId="BalloonText">
    <w:name w:val="Balloon Text"/>
    <w:basedOn w:val="Normal"/>
    <w:link w:val="BalloonTextChar"/>
    <w:uiPriority w:val="99"/>
    <w:semiHidden/>
    <w:unhideWhenUsed/>
    <w:rsid w:val="001F5E52"/>
    <w:pPr>
      <w:suppressAutoHyphens w:val="0"/>
      <w:spacing w:line="240" w:lineRule="auto"/>
    </w:pPr>
    <w:rPr>
      <w:rFonts w:ascii="Tahoma" w:hAnsi="Tahoma" w:cs="Tahoma"/>
      <w:sz w:val="16"/>
      <w:szCs w:val="16"/>
      <w:lang w:eastAsia="en-GB"/>
    </w:rPr>
  </w:style>
  <w:style w:type="character" w:customStyle="1" w:styleId="BalloonTextChar">
    <w:name w:val="Balloon Text Char"/>
    <w:link w:val="BalloonText"/>
    <w:uiPriority w:val="99"/>
    <w:semiHidden/>
    <w:rsid w:val="001F5E52"/>
    <w:rPr>
      <w:rFonts w:ascii="Tahoma" w:eastAsia="Times New Roman" w:hAnsi="Tahoma" w:cs="Tahoma"/>
      <w:sz w:val="16"/>
      <w:szCs w:val="16"/>
    </w:rPr>
  </w:style>
  <w:style w:type="character" w:customStyle="1" w:styleId="CommentTextChar">
    <w:name w:val="Comment Text Char"/>
    <w:uiPriority w:val="99"/>
    <w:rsid w:val="001F5E52"/>
    <w:rPr>
      <w:sz w:val="20"/>
      <w:szCs w:val="20"/>
    </w:rPr>
  </w:style>
  <w:style w:type="paragraph" w:styleId="CommentSubject">
    <w:name w:val="annotation subject"/>
    <w:basedOn w:val="CommentText"/>
    <w:next w:val="CommentText"/>
    <w:link w:val="CommentSubjectChar"/>
    <w:uiPriority w:val="99"/>
    <w:semiHidden/>
    <w:unhideWhenUsed/>
    <w:rsid w:val="001F5E52"/>
    <w:pPr>
      <w:suppressAutoHyphens w:val="0"/>
      <w:spacing w:after="200" w:line="240" w:lineRule="auto"/>
    </w:pPr>
    <w:rPr>
      <w:rFonts w:ascii="Calibri" w:hAnsi="Calibri"/>
      <w:b/>
      <w:bCs/>
      <w:lang w:eastAsia="en-GB"/>
    </w:rPr>
  </w:style>
  <w:style w:type="character" w:customStyle="1" w:styleId="CommentTextChar1">
    <w:name w:val="Comment Text Char1"/>
    <w:link w:val="CommentText"/>
    <w:uiPriority w:val="99"/>
    <w:rsid w:val="001F5E52"/>
    <w:rPr>
      <w:lang w:eastAsia="en-US"/>
    </w:rPr>
  </w:style>
  <w:style w:type="character" w:customStyle="1" w:styleId="CommentSubjectChar">
    <w:name w:val="Comment Subject Char"/>
    <w:link w:val="CommentSubject"/>
    <w:uiPriority w:val="99"/>
    <w:semiHidden/>
    <w:rsid w:val="001F5E52"/>
    <w:rPr>
      <w:rFonts w:ascii="Calibri" w:eastAsia="Times New Roman" w:hAnsi="Calibri" w:cs="Times New Roman"/>
      <w:b/>
      <w:bCs/>
      <w:lang w:eastAsia="en-US"/>
    </w:rPr>
  </w:style>
  <w:style w:type="paragraph" w:customStyle="1" w:styleId="Default">
    <w:name w:val="Default"/>
    <w:rsid w:val="001F5E52"/>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1F5E52"/>
    <w:rPr>
      <w:rFonts w:ascii="Calibri" w:hAnsi="Calibri"/>
      <w:sz w:val="22"/>
      <w:szCs w:val="22"/>
    </w:rPr>
  </w:style>
  <w:style w:type="character" w:customStyle="1" w:styleId="a">
    <w:name w:val="Основной текст_"/>
    <w:link w:val="3"/>
    <w:locked/>
    <w:rsid w:val="001F5E52"/>
    <w:rPr>
      <w:sz w:val="8"/>
      <w:szCs w:val="8"/>
      <w:shd w:val="clear" w:color="auto" w:fill="FFFFFF"/>
    </w:rPr>
  </w:style>
  <w:style w:type="paragraph" w:customStyle="1" w:styleId="3">
    <w:name w:val="Основной текст3"/>
    <w:basedOn w:val="Normal"/>
    <w:link w:val="a"/>
    <w:rsid w:val="001F5E52"/>
    <w:pPr>
      <w:widowControl w:val="0"/>
      <w:shd w:val="clear" w:color="auto" w:fill="FFFFFF"/>
      <w:suppressAutoHyphens w:val="0"/>
      <w:spacing w:line="107" w:lineRule="exact"/>
    </w:pPr>
    <w:rPr>
      <w:sz w:val="8"/>
      <w:szCs w:val="8"/>
      <w:lang w:eastAsia="en-GB"/>
    </w:rPr>
  </w:style>
  <w:style w:type="character" w:customStyle="1" w:styleId="Heading2Char">
    <w:name w:val="Heading 2 Char"/>
    <w:link w:val="Heading2"/>
    <w:uiPriority w:val="9"/>
    <w:rsid w:val="001F5E52"/>
    <w:rPr>
      <w:lang w:eastAsia="en-US"/>
    </w:rPr>
  </w:style>
  <w:style w:type="character" w:customStyle="1" w:styleId="s0">
    <w:name w:val="s0"/>
    <w:rsid w:val="001F5E52"/>
    <w:rPr>
      <w:rFonts w:ascii="Times New Roman" w:hAnsi="Times New Roman" w:cs="Times New Roman" w:hint="default"/>
      <w:b w:val="0"/>
      <w:bCs w:val="0"/>
      <w:i w:val="0"/>
      <w:iCs w:val="0"/>
      <w:color w:val="000000"/>
    </w:rPr>
  </w:style>
  <w:style w:type="character" w:customStyle="1" w:styleId="UnresolvedMention1">
    <w:name w:val="Unresolved Mention1"/>
    <w:uiPriority w:val="99"/>
    <w:semiHidden/>
    <w:unhideWhenUsed/>
    <w:rsid w:val="002E5D3B"/>
    <w:rPr>
      <w:color w:val="808080"/>
      <w:shd w:val="clear" w:color="auto" w:fill="E6E6E6"/>
    </w:rPr>
  </w:style>
  <w:style w:type="character" w:customStyle="1" w:styleId="SingleTxtGChar">
    <w:name w:val="_ Single Txt_G Char"/>
    <w:link w:val="SingleTxtG"/>
    <w:rsid w:val="00E9568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hamsie\AppData\Roaming\Microsoft\Templates\MP\MP_PP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716AA2-1F36-40F7-8E0C-380B02299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MP_PP_E</Template>
  <TotalTime>0</TotalTime>
  <Pages>4</Pages>
  <Words>847</Words>
  <Characters>4828</Characters>
  <Application>Microsoft Office Word</Application>
  <DocSecurity>4</DocSecurity>
  <Lines>40</Lines>
  <Paragraphs>11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ECE/MP.EIA/2019/13</vt:lpstr>
      <vt:lpstr>United Nations</vt:lpstr>
      <vt:lpstr>United Nations</vt:lpstr>
    </vt:vector>
  </TitlesOfParts>
  <Company>CSD</Company>
  <LinksUpToDate>false</LinksUpToDate>
  <CharactersWithSpaces>5664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ECE/MP.EIA/2019/13</dc:title>
  <dc:subject>1819970</dc:subject>
  <dc:creator>Generic Pdf eng</dc:creator>
  <cp:keywords/>
  <dc:description/>
  <cp:lastModifiedBy>Elisabeth James</cp:lastModifiedBy>
  <cp:revision>2</cp:revision>
  <cp:lastPrinted>2018-03-09T06:58:00Z</cp:lastPrinted>
  <dcterms:created xsi:type="dcterms:W3CDTF">2018-12-19T02:02:00Z</dcterms:created>
  <dcterms:modified xsi:type="dcterms:W3CDTF">2018-12-19T02:02:00Z</dcterms:modified>
</cp:coreProperties>
</file>