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FF7717" w:rsidTr="00DF5712">
        <w:trPr>
          <w:trHeight w:hRule="exact" w:val="851"/>
        </w:trPr>
        <w:tc>
          <w:tcPr>
            <w:tcW w:w="1276" w:type="dxa"/>
            <w:tcBorders>
              <w:bottom w:val="single" w:sz="4" w:space="0" w:color="auto"/>
            </w:tcBorders>
          </w:tcPr>
          <w:p w:rsidR="00A14420" w:rsidRPr="00FF7717" w:rsidRDefault="00A14420" w:rsidP="002715CE">
            <w:bookmarkStart w:id="0" w:name="_GoBack"/>
            <w:bookmarkEnd w:id="0"/>
          </w:p>
        </w:tc>
        <w:tc>
          <w:tcPr>
            <w:tcW w:w="2268" w:type="dxa"/>
            <w:tcBorders>
              <w:bottom w:val="single" w:sz="4" w:space="0" w:color="auto"/>
            </w:tcBorders>
            <w:vAlign w:val="bottom"/>
          </w:tcPr>
          <w:p w:rsidR="00A14420" w:rsidRPr="00FF7717" w:rsidRDefault="00A14420" w:rsidP="00DF5712">
            <w:pPr>
              <w:spacing w:after="80" w:line="300" w:lineRule="exact"/>
              <w:rPr>
                <w:sz w:val="28"/>
              </w:rPr>
            </w:pPr>
            <w:r w:rsidRPr="00FF7717">
              <w:rPr>
                <w:sz w:val="28"/>
              </w:rPr>
              <w:t>Nations Unies</w:t>
            </w:r>
          </w:p>
        </w:tc>
        <w:tc>
          <w:tcPr>
            <w:tcW w:w="6095" w:type="dxa"/>
            <w:gridSpan w:val="2"/>
            <w:tcBorders>
              <w:bottom w:val="single" w:sz="4" w:space="0" w:color="auto"/>
            </w:tcBorders>
            <w:vAlign w:val="bottom"/>
          </w:tcPr>
          <w:p w:rsidR="00A14420" w:rsidRPr="00FF7717" w:rsidRDefault="002715CE" w:rsidP="002715CE">
            <w:pPr>
              <w:jc w:val="right"/>
            </w:pPr>
            <w:r w:rsidRPr="00FF7717">
              <w:rPr>
                <w:sz w:val="40"/>
              </w:rPr>
              <w:t>ECE</w:t>
            </w:r>
            <w:r w:rsidRPr="00FF7717">
              <w:t>/MP.EIA/2019/5</w:t>
            </w:r>
          </w:p>
        </w:tc>
      </w:tr>
      <w:tr w:rsidR="00A14420" w:rsidRPr="00FF7717" w:rsidTr="00DF5712">
        <w:trPr>
          <w:trHeight w:hRule="exact" w:val="2835"/>
        </w:trPr>
        <w:tc>
          <w:tcPr>
            <w:tcW w:w="1276" w:type="dxa"/>
            <w:tcBorders>
              <w:top w:val="single" w:sz="4" w:space="0" w:color="auto"/>
              <w:bottom w:val="single" w:sz="12" w:space="0" w:color="auto"/>
            </w:tcBorders>
          </w:tcPr>
          <w:p w:rsidR="00A14420" w:rsidRPr="00FF7717" w:rsidRDefault="00A14420" w:rsidP="00DF5712">
            <w:pPr>
              <w:spacing w:before="120"/>
              <w:jc w:val="center"/>
            </w:pPr>
            <w:r w:rsidRPr="00FF7717">
              <w:rPr>
                <w:noProof/>
                <w:lang w:eastAsia="fr-CH"/>
              </w:rPr>
              <w:drawing>
                <wp:inline distT="0" distB="0" distL="0" distR="0" wp14:anchorId="416C91A0" wp14:editId="7D1B6E4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4420" w:rsidRPr="00FF7717" w:rsidRDefault="00A14420" w:rsidP="00DF5712">
            <w:pPr>
              <w:spacing w:before="120" w:line="420" w:lineRule="exact"/>
              <w:rPr>
                <w:b/>
                <w:sz w:val="40"/>
                <w:szCs w:val="40"/>
              </w:rPr>
            </w:pPr>
            <w:r w:rsidRPr="00FF7717">
              <w:rPr>
                <w:b/>
                <w:sz w:val="40"/>
                <w:szCs w:val="40"/>
              </w:rPr>
              <w:t>Conseil économique et social</w:t>
            </w:r>
          </w:p>
        </w:tc>
        <w:tc>
          <w:tcPr>
            <w:tcW w:w="2835" w:type="dxa"/>
            <w:tcBorders>
              <w:top w:val="single" w:sz="4" w:space="0" w:color="auto"/>
              <w:bottom w:val="single" w:sz="12" w:space="0" w:color="auto"/>
            </w:tcBorders>
          </w:tcPr>
          <w:p w:rsidR="00A14420" w:rsidRPr="00FF7717" w:rsidRDefault="002715CE" w:rsidP="00DF5712">
            <w:pPr>
              <w:spacing w:before="240"/>
            </w:pPr>
            <w:r w:rsidRPr="00FF7717">
              <w:t>Distr. générale</w:t>
            </w:r>
          </w:p>
          <w:p w:rsidR="002715CE" w:rsidRPr="00FF7717" w:rsidRDefault="002715CE" w:rsidP="002715CE">
            <w:pPr>
              <w:spacing w:line="240" w:lineRule="exact"/>
            </w:pPr>
            <w:r w:rsidRPr="00FF7717">
              <w:t>16 novembre 2018</w:t>
            </w:r>
          </w:p>
          <w:p w:rsidR="002715CE" w:rsidRPr="00FF7717" w:rsidRDefault="002715CE" w:rsidP="002715CE">
            <w:pPr>
              <w:spacing w:line="240" w:lineRule="exact"/>
            </w:pPr>
            <w:r w:rsidRPr="00FF7717">
              <w:t>Français</w:t>
            </w:r>
          </w:p>
          <w:p w:rsidR="002715CE" w:rsidRPr="00FF7717" w:rsidRDefault="002715CE" w:rsidP="002715CE">
            <w:pPr>
              <w:spacing w:line="240" w:lineRule="exact"/>
            </w:pPr>
            <w:r w:rsidRPr="00FF7717">
              <w:t>Original : anglais</w:t>
            </w:r>
          </w:p>
        </w:tc>
      </w:tr>
    </w:tbl>
    <w:p w:rsidR="00C554CE" w:rsidRPr="00FF7717" w:rsidRDefault="00C554CE" w:rsidP="00C554CE">
      <w:pPr>
        <w:spacing w:before="120"/>
        <w:rPr>
          <w:b/>
          <w:sz w:val="28"/>
          <w:szCs w:val="28"/>
        </w:rPr>
      </w:pPr>
      <w:r w:rsidRPr="00FF7717">
        <w:rPr>
          <w:b/>
          <w:sz w:val="28"/>
          <w:szCs w:val="28"/>
        </w:rPr>
        <w:t>Commission économique pour l</w:t>
      </w:r>
      <w:r w:rsidR="00FF7717" w:rsidRPr="00FF7717">
        <w:rPr>
          <w:b/>
          <w:sz w:val="28"/>
          <w:szCs w:val="28"/>
        </w:rPr>
        <w:t>’</w:t>
      </w:r>
      <w:r w:rsidRPr="00FF7717">
        <w:rPr>
          <w:b/>
          <w:sz w:val="28"/>
          <w:szCs w:val="28"/>
        </w:rPr>
        <w:t>Europe</w:t>
      </w:r>
    </w:p>
    <w:p w:rsidR="007E6F62" w:rsidRPr="00FF7717" w:rsidRDefault="007E6F62" w:rsidP="00C554CE">
      <w:pPr>
        <w:spacing w:before="120"/>
        <w:rPr>
          <w:sz w:val="28"/>
          <w:szCs w:val="28"/>
        </w:rPr>
      </w:pPr>
      <w:r w:rsidRPr="00FF7717">
        <w:rPr>
          <w:sz w:val="28"/>
          <w:szCs w:val="28"/>
        </w:rPr>
        <w:t>Réunion des Parties à la Convention sur</w:t>
      </w:r>
      <w:r w:rsidRPr="00FF7717">
        <w:rPr>
          <w:sz w:val="28"/>
          <w:szCs w:val="28"/>
        </w:rPr>
        <w:br/>
        <w:t>l</w:t>
      </w:r>
      <w:r w:rsidR="00FF7717" w:rsidRPr="00FF7717">
        <w:rPr>
          <w:sz w:val="28"/>
          <w:szCs w:val="28"/>
        </w:rPr>
        <w:t>’</w:t>
      </w:r>
      <w:r w:rsidRPr="00FF7717">
        <w:rPr>
          <w:sz w:val="28"/>
          <w:szCs w:val="28"/>
        </w:rPr>
        <w:t>évaluation de l</w:t>
      </w:r>
      <w:r w:rsidR="00FF7717" w:rsidRPr="00FF7717">
        <w:rPr>
          <w:sz w:val="28"/>
          <w:szCs w:val="28"/>
        </w:rPr>
        <w:t>’</w:t>
      </w:r>
      <w:r w:rsidRPr="00FF7717">
        <w:rPr>
          <w:sz w:val="28"/>
          <w:szCs w:val="28"/>
        </w:rPr>
        <w:t>impact sur l</w:t>
      </w:r>
      <w:r w:rsidR="00FF7717" w:rsidRPr="00FF7717">
        <w:rPr>
          <w:sz w:val="28"/>
          <w:szCs w:val="28"/>
        </w:rPr>
        <w:t>’</w:t>
      </w:r>
      <w:r w:rsidRPr="00FF7717">
        <w:rPr>
          <w:sz w:val="28"/>
          <w:szCs w:val="28"/>
        </w:rPr>
        <w:t>environnement</w:t>
      </w:r>
      <w:r w:rsidRPr="00FF7717">
        <w:rPr>
          <w:sz w:val="28"/>
          <w:szCs w:val="28"/>
        </w:rPr>
        <w:br/>
        <w:t>dans un contexte transfrontière</w:t>
      </w:r>
    </w:p>
    <w:p w:rsidR="007E6F62" w:rsidRPr="00FF7717" w:rsidRDefault="007E6F62" w:rsidP="00C554CE">
      <w:pPr>
        <w:spacing w:before="120"/>
        <w:rPr>
          <w:b/>
        </w:rPr>
      </w:pPr>
      <w:r w:rsidRPr="00FF7717">
        <w:rPr>
          <w:b/>
        </w:rPr>
        <w:t>Session intermédiaire</w:t>
      </w:r>
    </w:p>
    <w:p w:rsidR="007E6F62" w:rsidRPr="00FF7717" w:rsidRDefault="007E6F62" w:rsidP="00C554CE">
      <w:r w:rsidRPr="00FF7717">
        <w:t>Genève, 5-7 février 2019</w:t>
      </w:r>
    </w:p>
    <w:p w:rsidR="007E6F62" w:rsidRPr="00FF7717" w:rsidRDefault="007E6F62" w:rsidP="00C554CE">
      <w:r w:rsidRPr="00FF7717">
        <w:t>Points 3 a) et 8 de l</w:t>
      </w:r>
      <w:r w:rsidR="00FF7717" w:rsidRPr="00FF7717">
        <w:t>’</w:t>
      </w:r>
      <w:r w:rsidRPr="00FF7717">
        <w:t>ordre du jour provisoire</w:t>
      </w:r>
    </w:p>
    <w:p w:rsidR="007E6F62" w:rsidRPr="003F04E8" w:rsidRDefault="007E6F62" w:rsidP="003F04E8">
      <w:pPr>
        <w:spacing w:before="120" w:after="120"/>
        <w:rPr>
          <w:b/>
        </w:rPr>
      </w:pPr>
      <w:r w:rsidRPr="003F04E8">
        <w:rPr>
          <w:b/>
        </w:rPr>
        <w:t>Questions en suspens</w:t>
      </w:r>
      <w:r w:rsidR="00F91360">
        <w:rPr>
          <w:b/>
        </w:rPr>
        <w:t> </w:t>
      </w:r>
      <w:r w:rsidRPr="003F04E8">
        <w:rPr>
          <w:b/>
        </w:rPr>
        <w:t>: projets de décision</w:t>
      </w:r>
    </w:p>
    <w:p w:rsidR="007E6F62" w:rsidRPr="003F04E8" w:rsidRDefault="007E6F62" w:rsidP="007E6F62">
      <w:pPr>
        <w:rPr>
          <w:b/>
        </w:rPr>
      </w:pPr>
      <w:r w:rsidRPr="003F04E8">
        <w:rPr>
          <w:b/>
        </w:rPr>
        <w:t xml:space="preserve">Adoption des décisions par la Réunion </w:t>
      </w:r>
      <w:r w:rsidR="009E26EA">
        <w:rPr>
          <w:b/>
        </w:rPr>
        <w:br/>
      </w:r>
      <w:r w:rsidRPr="003F04E8">
        <w:rPr>
          <w:b/>
        </w:rPr>
        <w:t>des Parties</w:t>
      </w:r>
      <w:r w:rsidR="009E26EA">
        <w:rPr>
          <w:b/>
        </w:rPr>
        <w:t xml:space="preserve"> </w:t>
      </w:r>
      <w:r w:rsidRPr="003F04E8">
        <w:rPr>
          <w:b/>
        </w:rPr>
        <w:t>à la Convention</w:t>
      </w:r>
    </w:p>
    <w:p w:rsidR="007E6F62" w:rsidRPr="00FF7717" w:rsidRDefault="007E6F62" w:rsidP="00FF7717">
      <w:pPr>
        <w:pStyle w:val="HChG"/>
      </w:pPr>
      <w:r w:rsidRPr="00FF7717">
        <w:tab/>
      </w:r>
      <w:r w:rsidR="00FF7717" w:rsidRPr="00FF7717">
        <w:tab/>
      </w:r>
      <w:r w:rsidRPr="00FF7717">
        <w:t xml:space="preserve">Projet de décision IS/1d concernant le respect </w:t>
      </w:r>
      <w:r w:rsidR="00FF7717" w:rsidRPr="00FF7717">
        <w:br/>
      </w:r>
      <w:r w:rsidRPr="00FF7717">
        <w:t xml:space="preserve">par le Bélarus des obligations qui lui incombent </w:t>
      </w:r>
      <w:r w:rsidR="00FF7717" w:rsidRPr="00FF7717">
        <w:br/>
      </w:r>
      <w:r w:rsidRPr="00FF7717">
        <w:t xml:space="preserve">en vertu de la Convention pour ce qui est </w:t>
      </w:r>
      <w:r w:rsidR="00FF7717" w:rsidRPr="00FF7717">
        <w:br/>
      </w:r>
      <w:r w:rsidRPr="00FF7717">
        <w:t>de la centrale nucléaire bélarussienne d</w:t>
      </w:r>
      <w:r w:rsidR="00FF7717" w:rsidRPr="00FF7717">
        <w:t>’</w:t>
      </w:r>
      <w:r w:rsidRPr="00FF7717">
        <w:t>Ostrovets</w:t>
      </w:r>
    </w:p>
    <w:p w:rsidR="00E96BD6" w:rsidRPr="00FF7717" w:rsidRDefault="007E6F62" w:rsidP="00FF7717">
      <w:pPr>
        <w:pStyle w:val="H1G"/>
      </w:pPr>
      <w:r w:rsidRPr="00FF7717">
        <w:tab/>
      </w:r>
      <w:r w:rsidR="00FF7717" w:rsidRPr="00FF7717">
        <w:tab/>
      </w:r>
      <w:r w:rsidRPr="00FF7717">
        <w:t>Proposition du Comité d</w:t>
      </w:r>
      <w:r w:rsidR="00FF7717" w:rsidRPr="00FF7717">
        <w:t>’</w:t>
      </w:r>
      <w:r w:rsidRPr="00FF7717">
        <w:t>application</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7E6F62" w:rsidRPr="00FF7717">
        <w:trPr>
          <w:jc w:val="center"/>
        </w:trPr>
        <w:tc>
          <w:tcPr>
            <w:tcW w:w="9637" w:type="dxa"/>
            <w:shd w:val="clear" w:color="auto" w:fill="auto"/>
          </w:tcPr>
          <w:p w:rsidR="007E6F62" w:rsidRPr="00FF7717" w:rsidRDefault="007E6F62">
            <w:pPr>
              <w:spacing w:before="240" w:after="120"/>
              <w:ind w:left="255"/>
              <w:rPr>
                <w:i/>
                <w:sz w:val="24"/>
              </w:rPr>
            </w:pPr>
            <w:r w:rsidRPr="00FF7717">
              <w:rPr>
                <w:i/>
                <w:sz w:val="24"/>
              </w:rPr>
              <w:t>Résumé</w:t>
            </w:r>
          </w:p>
        </w:tc>
      </w:tr>
      <w:tr w:rsidR="007E6F62" w:rsidRPr="00FF7717">
        <w:trPr>
          <w:jc w:val="center"/>
        </w:trPr>
        <w:tc>
          <w:tcPr>
            <w:tcW w:w="9637" w:type="dxa"/>
            <w:shd w:val="clear" w:color="auto" w:fill="auto"/>
          </w:tcPr>
          <w:p w:rsidR="007E6F62" w:rsidRPr="00FF7717" w:rsidRDefault="007E6F62">
            <w:pPr>
              <w:pStyle w:val="SingleTxtG"/>
            </w:pPr>
            <w:r w:rsidRPr="00FF7717">
              <w:tab/>
              <w:t>Le projet de décision figurant dans le présent document a été établi comme suite à la demande formulée par la Réunion des Parties à la Convention sur l</w:t>
            </w:r>
            <w:r w:rsidR="00FF7717" w:rsidRPr="00FF7717">
              <w:t>’</w:t>
            </w:r>
            <w:r w:rsidRPr="00FF7717">
              <w:t>évaluation de l</w:t>
            </w:r>
            <w:r w:rsidR="00FF7717" w:rsidRPr="00FF7717">
              <w:t>’</w:t>
            </w:r>
            <w:r w:rsidRPr="00FF7717">
              <w:t>impact sur l</w:t>
            </w:r>
            <w:r w:rsidR="00FF7717" w:rsidRPr="00FF7717">
              <w:t>’</w:t>
            </w:r>
            <w:r w:rsidRPr="00FF7717">
              <w:t>environnement dans un contexte transfrontière à sa</w:t>
            </w:r>
            <w:r w:rsidR="00FF7717" w:rsidRPr="00FF7717">
              <w:t xml:space="preserve"> septième session (Minsk, 13</w:t>
            </w:r>
            <w:r w:rsidR="00FF7717" w:rsidRPr="00FF7717">
              <w:noBreakHyphen/>
              <w:t>16 </w:t>
            </w:r>
            <w:r w:rsidRPr="00FF7717">
              <w:t>juin 2017), tendant à ce que le Comité d</w:t>
            </w:r>
            <w:r w:rsidR="00FF7717" w:rsidRPr="00FF7717">
              <w:t>’</w:t>
            </w:r>
            <w:r w:rsidRPr="00FF7717">
              <w:t>application révise le projet de décision VII/2 sur l</w:t>
            </w:r>
            <w:r w:rsidR="00FF7717" w:rsidRPr="00FF7717">
              <w:t>’</w:t>
            </w:r>
            <w:r w:rsidRPr="00FF7717">
              <w:t>examen du respect des dispositions de la Convention</w:t>
            </w:r>
            <w:r w:rsidRPr="00FF7717">
              <w:rPr>
                <w:rFonts w:eastAsia="Times New Roman"/>
              </w:rPr>
              <w:t xml:space="preserve"> en tenant compte des travaux et des progrès réalisés avant et pendant la septième session de la Réunion des Parties </w:t>
            </w:r>
            <w:r w:rsidRPr="00FF7717">
              <w:t>(ECE/M</w:t>
            </w:r>
            <w:r w:rsidR="00FF7717" w:rsidRPr="00FF7717">
              <w:t>P.EIA/23-ECE/MP.EIA/SEA/7, par. </w:t>
            </w:r>
            <w:r w:rsidRPr="00FF7717">
              <w:t>27)</w:t>
            </w:r>
            <w:r w:rsidRPr="00FF7717">
              <w:rPr>
                <w:rFonts w:eastAsia="Times New Roman"/>
              </w:rPr>
              <w:t>. Afin de faciliter l</w:t>
            </w:r>
            <w:r w:rsidR="00FF7717" w:rsidRPr="00FF7717">
              <w:rPr>
                <w:rFonts w:eastAsia="Times New Roman"/>
              </w:rPr>
              <w:t>’</w:t>
            </w:r>
            <w:r w:rsidRPr="00FF7717">
              <w:rPr>
                <w:rFonts w:eastAsia="Times New Roman"/>
              </w:rPr>
              <w:t>examen et l</w:t>
            </w:r>
            <w:r w:rsidR="00FF7717" w:rsidRPr="00FF7717">
              <w:rPr>
                <w:rFonts w:eastAsia="Times New Roman"/>
              </w:rPr>
              <w:t>’</w:t>
            </w:r>
            <w:r w:rsidRPr="00FF7717">
              <w:rPr>
                <w:rFonts w:eastAsia="Times New Roman"/>
              </w:rPr>
              <w:t>adoption du projet de décision VII/2, celui-ci a été scindé en plusieurs projets</w:t>
            </w:r>
            <w:r w:rsidR="00F91360">
              <w:rPr>
                <w:rFonts w:eastAsia="Times New Roman"/>
              </w:rPr>
              <w:t> :</w:t>
            </w:r>
            <w:r w:rsidRPr="00FF7717">
              <w:rPr>
                <w:rFonts w:eastAsia="Times New Roman"/>
              </w:rPr>
              <w:t xml:space="preserve"> un projet de décision sur les questions d</w:t>
            </w:r>
            <w:r w:rsidR="00FF7717" w:rsidRPr="00FF7717">
              <w:rPr>
                <w:rFonts w:eastAsia="Times New Roman"/>
              </w:rPr>
              <w:t>’</w:t>
            </w:r>
            <w:r w:rsidRPr="00FF7717">
              <w:rPr>
                <w:rFonts w:eastAsia="Times New Roman"/>
              </w:rPr>
              <w:t>ordre général concernant le respect des dispositions et des projets de décision distincts sur les questions propres à différents pays en matière de respect des dispositions.</w:t>
            </w:r>
          </w:p>
        </w:tc>
      </w:tr>
      <w:tr w:rsidR="007E6F62" w:rsidRPr="00FF7717">
        <w:trPr>
          <w:jc w:val="center"/>
        </w:trPr>
        <w:tc>
          <w:tcPr>
            <w:tcW w:w="9637" w:type="dxa"/>
            <w:shd w:val="clear" w:color="auto" w:fill="auto"/>
          </w:tcPr>
          <w:p w:rsidR="007E6F62" w:rsidRPr="00FF7717" w:rsidRDefault="007E6F62">
            <w:pPr>
              <w:pStyle w:val="SingleTxtG"/>
            </w:pPr>
            <w:r w:rsidRPr="00FF7717">
              <w:tab/>
            </w:r>
            <w:r w:rsidRPr="00FF7717">
              <w:rPr>
                <w:rFonts w:eastAsia="Times New Roman"/>
              </w:rPr>
              <w:t>Le projet de décision IS/1d présente une version révisée du texte du projet de décision VII/2 concernant la suite donnée par le Bélarus à la décision VI/2.</w:t>
            </w:r>
          </w:p>
        </w:tc>
      </w:tr>
      <w:tr w:rsidR="007E6F62" w:rsidRPr="00FF7717">
        <w:trPr>
          <w:jc w:val="center"/>
        </w:trPr>
        <w:tc>
          <w:tcPr>
            <w:tcW w:w="9637" w:type="dxa"/>
            <w:shd w:val="clear" w:color="auto" w:fill="auto"/>
          </w:tcPr>
          <w:p w:rsidR="007E6F62" w:rsidRPr="00FF7717" w:rsidRDefault="007E6F62">
            <w:pPr>
              <w:pStyle w:val="SingleTxtG"/>
            </w:pPr>
            <w:r w:rsidRPr="00FF7717">
              <w:tab/>
            </w:r>
            <w:r w:rsidRPr="00FF7717">
              <w:rPr>
                <w:rFonts w:eastAsia="Times New Roman"/>
              </w:rPr>
              <w:t>La Réunion des Parties devrait examiner le projet de décision et décider de l</w:t>
            </w:r>
            <w:r w:rsidR="00FF7717" w:rsidRPr="00FF7717">
              <w:rPr>
                <w:rFonts w:eastAsia="Times New Roman"/>
              </w:rPr>
              <w:t>’</w:t>
            </w:r>
            <w:r w:rsidRPr="00FF7717">
              <w:rPr>
                <w:rFonts w:eastAsia="Times New Roman"/>
              </w:rPr>
              <w:t>adopter.</w:t>
            </w:r>
          </w:p>
        </w:tc>
      </w:tr>
      <w:tr w:rsidR="007E6F62" w:rsidRPr="00FF7717">
        <w:trPr>
          <w:jc w:val="center"/>
        </w:trPr>
        <w:tc>
          <w:tcPr>
            <w:tcW w:w="9637" w:type="dxa"/>
            <w:shd w:val="clear" w:color="auto" w:fill="auto"/>
          </w:tcPr>
          <w:p w:rsidR="007E6F62" w:rsidRPr="00FF7717" w:rsidRDefault="007E6F62"/>
        </w:tc>
      </w:tr>
    </w:tbl>
    <w:p w:rsidR="004248DD" w:rsidRPr="00FF7717" w:rsidRDefault="007E6F62" w:rsidP="00FF7717">
      <w:pPr>
        <w:pStyle w:val="SingleTxtG"/>
        <w:rPr>
          <w:i/>
        </w:rPr>
      </w:pPr>
      <w:r w:rsidRPr="00FF7717">
        <w:br w:type="page"/>
      </w:r>
      <w:r w:rsidR="00FF7717" w:rsidRPr="00FF7717">
        <w:lastRenderedPageBreak/>
        <w:tab/>
      </w:r>
      <w:r w:rsidR="00E40244" w:rsidRPr="00FF7717">
        <w:rPr>
          <w:i/>
        </w:rPr>
        <w:t>La Réunion des Parties</w:t>
      </w:r>
      <w:r w:rsidR="00E40244" w:rsidRPr="00D421F6">
        <w:t>,</w:t>
      </w:r>
    </w:p>
    <w:p w:rsidR="004248DD" w:rsidRPr="00FF7717" w:rsidRDefault="00E40244" w:rsidP="00FF7717">
      <w:pPr>
        <w:pStyle w:val="SingleTxtG"/>
      </w:pPr>
      <w:r w:rsidRPr="00FF7717">
        <w:rPr>
          <w:i/>
        </w:rPr>
        <w:tab/>
        <w:t>Rappelant</w:t>
      </w:r>
      <w:r w:rsidRPr="00FF7717">
        <w:t xml:space="preserve"> le paragraphe 2 de l</w:t>
      </w:r>
      <w:r w:rsidR="00FF7717" w:rsidRPr="00FF7717">
        <w:t>’</w:t>
      </w:r>
      <w:r w:rsidRPr="00FF7717">
        <w:t>article 11 et l</w:t>
      </w:r>
      <w:r w:rsidR="00FF7717" w:rsidRPr="00FF7717">
        <w:t>’</w:t>
      </w:r>
      <w:r w:rsidR="00EF3E58">
        <w:t>article 14 </w:t>
      </w:r>
      <w:r w:rsidRPr="00EF3E58">
        <w:rPr>
          <w:i/>
        </w:rPr>
        <w:t>bis</w:t>
      </w:r>
      <w:r w:rsidRPr="00FF7717">
        <w:t xml:space="preserve"> de la Convention sur l</w:t>
      </w:r>
      <w:r w:rsidR="00FF7717" w:rsidRPr="00FF7717">
        <w:t>’</w:t>
      </w:r>
      <w:r w:rsidRPr="00FF7717">
        <w:t>évaluation de l</w:t>
      </w:r>
      <w:r w:rsidR="00FF7717" w:rsidRPr="00FF7717">
        <w:t>’</w:t>
      </w:r>
      <w:r w:rsidRPr="00FF7717">
        <w:t>impact sur l</w:t>
      </w:r>
      <w:r w:rsidR="00FF7717" w:rsidRPr="00FF7717">
        <w:t>’</w:t>
      </w:r>
      <w:r w:rsidRPr="00FF7717">
        <w:t>environnement dans un contexte transfrontière,</w:t>
      </w:r>
    </w:p>
    <w:p w:rsidR="004248DD" w:rsidRPr="00FF7717" w:rsidRDefault="00E40244" w:rsidP="00FF7717">
      <w:pPr>
        <w:pStyle w:val="SingleTxtG"/>
      </w:pPr>
      <w:r w:rsidRPr="00FF7717">
        <w:tab/>
      </w:r>
      <w:r w:rsidRPr="00FF7717">
        <w:rPr>
          <w:i/>
        </w:rPr>
        <w:t>Rappelant également</w:t>
      </w:r>
      <w:r w:rsidRPr="00FF7717">
        <w:t xml:space="preserve"> les paragraphes 48 à 64 de sa décision VI/2</w:t>
      </w:r>
      <w:r w:rsidRPr="00FF7717">
        <w:rPr>
          <w:rStyle w:val="FootnoteReference"/>
        </w:rPr>
        <w:footnoteReference w:id="2"/>
      </w:r>
      <w:r w:rsidRPr="00FF7717">
        <w:t xml:space="preserve"> concernant le respect des dispositions par le Bélarus pour ce qui est de la construction de la centrale nucléaire à Ostrovets,</w:t>
      </w:r>
    </w:p>
    <w:p w:rsidR="004248DD" w:rsidRPr="00FF7717" w:rsidRDefault="00E40244" w:rsidP="00FF7717">
      <w:pPr>
        <w:pStyle w:val="SingleTxtG"/>
      </w:pPr>
      <w:r w:rsidRPr="00FF7717">
        <w:tab/>
      </w:r>
      <w:r w:rsidRPr="00FF7717">
        <w:rPr>
          <w:i/>
        </w:rPr>
        <w:t xml:space="preserve">Rappelant en outre </w:t>
      </w:r>
      <w:r w:rsidRPr="00FF7717">
        <w:t>qu</w:t>
      </w:r>
      <w:r w:rsidR="00FF7717" w:rsidRPr="00FF7717">
        <w:t>’</w:t>
      </w:r>
      <w:r w:rsidRPr="00FF7717">
        <w:t>elle a décidé à sa septième session de mettre un point final à ses délibérations sur l</w:t>
      </w:r>
      <w:r w:rsidR="00FF7717" w:rsidRPr="00FF7717">
        <w:t>’</w:t>
      </w:r>
      <w:r w:rsidRPr="00FF7717">
        <w:t>examen du respect des dispositions lors d</w:t>
      </w:r>
      <w:r w:rsidR="00FF7717" w:rsidRPr="00FF7717">
        <w:t>’</w:t>
      </w:r>
      <w:r w:rsidRPr="00FF7717">
        <w:t>une session intermédiaire, en se fondant sur un projet de décision révisé qu</w:t>
      </w:r>
      <w:r w:rsidR="00FF7717" w:rsidRPr="00FF7717">
        <w:t>’</w:t>
      </w:r>
      <w:r w:rsidRPr="00FF7717">
        <w:t>établirait le Comité d</w:t>
      </w:r>
      <w:r w:rsidR="00FF7717" w:rsidRPr="00FF7717">
        <w:t>’</w:t>
      </w:r>
      <w:r w:rsidRPr="00FF7717">
        <w:t>application et en tenant compte des travaux et des progrès réalisés avant et pendant la septième session</w:t>
      </w:r>
      <w:r w:rsidRPr="00FF7717">
        <w:rPr>
          <w:rStyle w:val="FootnoteReference"/>
        </w:rPr>
        <w:footnoteReference w:id="3"/>
      </w:r>
      <w:r w:rsidR="00D421F6">
        <w:t>,</w:t>
      </w:r>
    </w:p>
    <w:p w:rsidR="004248DD" w:rsidRPr="00FF7717" w:rsidRDefault="00E40244" w:rsidP="00FF7717">
      <w:pPr>
        <w:pStyle w:val="SingleTxtG"/>
      </w:pPr>
      <w:r w:rsidRPr="00FF7717">
        <w:tab/>
      </w:r>
      <w:r w:rsidRPr="00FF7717">
        <w:rPr>
          <w:i/>
        </w:rPr>
        <w:t>Ayant examiné</w:t>
      </w:r>
      <w:r w:rsidRPr="00FF7717">
        <w:t xml:space="preserve"> les sections concernant le Bélarus dans le rapport sur les activités du Comité d</w:t>
      </w:r>
      <w:r w:rsidR="00FF7717" w:rsidRPr="00FF7717">
        <w:t>’</w:t>
      </w:r>
      <w:r w:rsidRPr="00FF7717">
        <w:t>application présenté à la Réunion des Parties à la Convention à sa septième session</w:t>
      </w:r>
      <w:r w:rsidRPr="00FF7717">
        <w:rPr>
          <w:rStyle w:val="FootnoteReference"/>
        </w:rPr>
        <w:footnoteReference w:id="4"/>
      </w:r>
      <w:r w:rsidRPr="00FF7717">
        <w:t xml:space="preserve"> et dans les rapports du Comité sur sa session spéciale</w:t>
      </w:r>
      <w:r w:rsidRPr="00FF7717">
        <w:rPr>
          <w:rStyle w:val="FootnoteReference"/>
        </w:rPr>
        <w:footnoteReference w:id="5"/>
      </w:r>
      <w:r w:rsidRPr="00FF7717">
        <w:t xml:space="preserve"> et ses trente-neuvième</w:t>
      </w:r>
      <w:r w:rsidRPr="00FF7717">
        <w:rPr>
          <w:rStyle w:val="FootnoteReference"/>
        </w:rPr>
        <w:footnoteReference w:id="6"/>
      </w:r>
      <w:r w:rsidRPr="00FF7717">
        <w:t>, quarantième</w:t>
      </w:r>
      <w:r w:rsidRPr="00FF7717">
        <w:rPr>
          <w:rStyle w:val="FootnoteReference"/>
        </w:rPr>
        <w:footnoteReference w:id="7"/>
      </w:r>
      <w:r w:rsidRPr="00FF7717">
        <w:t>, quarante</w:t>
      </w:r>
      <w:r w:rsidR="007B4358">
        <w:t xml:space="preserve"> </w:t>
      </w:r>
      <w:r w:rsidRPr="00FF7717">
        <w:t>et</w:t>
      </w:r>
      <w:r w:rsidR="007B4358">
        <w:t xml:space="preserve"> </w:t>
      </w:r>
      <w:r w:rsidRPr="00FF7717">
        <w:t>unième</w:t>
      </w:r>
      <w:r w:rsidRPr="00FF7717">
        <w:rPr>
          <w:rStyle w:val="FootnoteReference"/>
        </w:rPr>
        <w:footnoteReference w:id="8"/>
      </w:r>
      <w:r w:rsidRPr="00FF7717">
        <w:t xml:space="preserve"> et quarante-deuxième</w:t>
      </w:r>
      <w:r w:rsidRPr="00FF7717">
        <w:rPr>
          <w:rStyle w:val="FootnoteReference"/>
        </w:rPr>
        <w:footnoteReference w:id="9"/>
      </w:r>
      <w:r w:rsidRPr="00FF7717">
        <w:t xml:space="preserve"> sessions,</w:t>
      </w:r>
    </w:p>
    <w:p w:rsidR="004248DD" w:rsidRPr="00FF7717" w:rsidRDefault="00E40244" w:rsidP="00FF7717">
      <w:pPr>
        <w:pStyle w:val="SingleTxtG"/>
      </w:pPr>
      <w:r w:rsidRPr="00FF7717">
        <w:tab/>
      </w:r>
      <w:r w:rsidRPr="00FF7717">
        <w:rPr>
          <w:i/>
        </w:rPr>
        <w:t>Rappelant</w:t>
      </w:r>
      <w:r w:rsidRPr="00FF7717">
        <w:t xml:space="preserve"> sa décision IS/1 sur l</w:t>
      </w:r>
      <w:r w:rsidR="00FF7717" w:rsidRPr="00FF7717">
        <w:t>’</w:t>
      </w:r>
      <w:r w:rsidRPr="00FF7717">
        <w:t>examen du respect des dispositions de la Convention, adoptée à la session intermédiaire,</w:t>
      </w:r>
    </w:p>
    <w:p w:rsidR="004248DD" w:rsidRPr="00FF7717" w:rsidRDefault="007B4358" w:rsidP="00FF7717">
      <w:pPr>
        <w:pStyle w:val="SingleTxtG"/>
      </w:pPr>
      <w:r>
        <w:tab/>
      </w:r>
      <w:r w:rsidR="00E40244" w:rsidRPr="00FF7717">
        <w:t>1.</w:t>
      </w:r>
      <w:r w:rsidR="00E40244" w:rsidRPr="00FF7717">
        <w:tab/>
      </w:r>
      <w:r w:rsidR="00E40244" w:rsidRPr="00FF7717">
        <w:rPr>
          <w:i/>
        </w:rPr>
        <w:t xml:space="preserve">Prend note </w:t>
      </w:r>
      <w:r w:rsidR="00E40244" w:rsidRPr="00FF7717">
        <w:t>des rapports annuels et des informations fournis par le Bélarus et la Lituanie au Comité d</w:t>
      </w:r>
      <w:r w:rsidR="00FF7717" w:rsidRPr="00FF7717">
        <w:t>’</w:t>
      </w:r>
      <w:r w:rsidR="00E40244" w:rsidRPr="00FF7717">
        <w:t>application conformément à la décision VI/2 (par. 59) depuis la sixième session de la Réunion des Parties</w:t>
      </w:r>
      <w:r w:rsidR="002F6291">
        <w:t> </w:t>
      </w:r>
      <w:r w:rsidR="00E40244" w:rsidRPr="00FF7717">
        <w:t>;</w:t>
      </w:r>
    </w:p>
    <w:p w:rsidR="004248DD" w:rsidRPr="00FF7717" w:rsidRDefault="00E40244" w:rsidP="00FF7717">
      <w:pPr>
        <w:pStyle w:val="SingleTxtG"/>
      </w:pPr>
      <w:r w:rsidRPr="00FF7717">
        <w:tab/>
        <w:t>2.</w:t>
      </w:r>
      <w:r w:rsidRPr="00FF7717">
        <w:tab/>
      </w:r>
      <w:r w:rsidRPr="00FF7717">
        <w:rPr>
          <w:i/>
        </w:rPr>
        <w:t>Accueille avec satisfaction</w:t>
      </w:r>
      <w:r w:rsidRPr="00FF7717">
        <w:t xml:space="preserve"> les</w:t>
      </w:r>
      <w:r w:rsidRPr="00FF7717">
        <w:rPr>
          <w:i/>
        </w:rPr>
        <w:t xml:space="preserve"> </w:t>
      </w:r>
      <w:r w:rsidRPr="00FF7717">
        <w:t>mesures prises par les deux Parties depuis la sixième session de la Réunion des Parties pour appliquer les recommandations qui leur sont adressées dans la décisio</w:t>
      </w:r>
      <w:r w:rsidR="002F6291">
        <w:t>n VI/2 (par. 51 à 58, 62 et 64) ;</w:t>
      </w:r>
    </w:p>
    <w:p w:rsidR="004248DD" w:rsidRPr="00FF7717" w:rsidRDefault="00E40244" w:rsidP="00FF7717">
      <w:pPr>
        <w:pStyle w:val="SingleTxtG"/>
      </w:pPr>
      <w:r w:rsidRPr="00FF7717">
        <w:tab/>
        <w:t>3.</w:t>
      </w:r>
      <w:r w:rsidRPr="00FF7717">
        <w:tab/>
      </w:r>
      <w:r w:rsidRPr="00FF7717">
        <w:rPr>
          <w:i/>
        </w:rPr>
        <w:t xml:space="preserve">Félicite </w:t>
      </w:r>
      <w:r w:rsidRPr="00FF7717">
        <w:t>le Comité d</w:t>
      </w:r>
      <w:r w:rsidR="00FF7717" w:rsidRPr="00FF7717">
        <w:t>’</w:t>
      </w:r>
      <w:r w:rsidRPr="00FF7717">
        <w:t>application de son analyse approfondie des mesures prises par le Bélarus après la vingt-septième session du Comité, telle qu</w:t>
      </w:r>
      <w:r w:rsidR="00FF7717" w:rsidRPr="00FF7717">
        <w:t>’</w:t>
      </w:r>
      <w:r w:rsidRPr="00FF7717">
        <w:t>elle est exposée dans le rapport du Comité sur ses activités présenté à la Réunion des Parties à la Convention à sa septième session et dans les rapports du Comité sur sa session spéciale et ses trente-neuvième, quarantième, quarante et unième et quarante-deuxième sessions</w:t>
      </w:r>
      <w:r w:rsidR="002F6291">
        <w:t> ;</w:t>
      </w:r>
    </w:p>
    <w:p w:rsidR="004248DD" w:rsidRPr="00FF7717" w:rsidRDefault="00E40244" w:rsidP="00FF7717">
      <w:pPr>
        <w:pStyle w:val="SingleTxtG"/>
      </w:pPr>
      <w:r w:rsidRPr="00FF7717">
        <w:tab/>
        <w:t>4.</w:t>
      </w:r>
      <w:r w:rsidRPr="00FF7717">
        <w:tab/>
      </w:r>
      <w:r w:rsidRPr="00FF7717">
        <w:rPr>
          <w:i/>
        </w:rPr>
        <w:t xml:space="preserve">Approuve </w:t>
      </w:r>
      <w:r w:rsidRPr="00FF7717">
        <w:t>la conclusion du Comité d</w:t>
      </w:r>
      <w:r w:rsidR="00FF7717" w:rsidRPr="00FF7717">
        <w:t>’</w:t>
      </w:r>
      <w:r w:rsidRPr="00FF7717">
        <w:t>application selon laquelle le Bélarus avait pris toutes les mesures voulues pour parvenir à la décision finale concernant l</w:t>
      </w:r>
      <w:r w:rsidR="00FF7717" w:rsidRPr="00FF7717">
        <w:t>’</w:t>
      </w:r>
      <w:r w:rsidRPr="00FF7717">
        <w:t>activité prévue à Ostrovets, conformément à la Convention</w:t>
      </w:r>
      <w:r w:rsidRPr="00FF7717">
        <w:rPr>
          <w:rStyle w:val="FootnoteReference"/>
        </w:rPr>
        <w:footnoteReference w:id="10"/>
      </w:r>
      <w:r w:rsidR="002F6291">
        <w:t> ;</w:t>
      </w:r>
    </w:p>
    <w:p w:rsidR="004248DD" w:rsidRPr="00FF7717" w:rsidRDefault="00E40244" w:rsidP="00FF7717">
      <w:pPr>
        <w:pStyle w:val="SingleTxtG"/>
      </w:pPr>
      <w:r w:rsidRPr="00FF7717">
        <w:tab/>
        <w:t>5.</w:t>
      </w:r>
      <w:r w:rsidRPr="00FF7717">
        <w:tab/>
      </w:r>
      <w:r w:rsidRPr="00FF7717">
        <w:rPr>
          <w:i/>
        </w:rPr>
        <w:t xml:space="preserve">Approuve également </w:t>
      </w:r>
      <w:r w:rsidRPr="00FF7717">
        <w:t>la conclusion du Comité d</w:t>
      </w:r>
      <w:r w:rsidR="00FF7717" w:rsidRPr="00FF7717">
        <w:t>’</w:t>
      </w:r>
      <w:r w:rsidRPr="00FF7717">
        <w:t>application selon laquelle la question du respect des dispositions concernait essentiellement les aspects de fond non résolus du dossier d</w:t>
      </w:r>
      <w:r w:rsidR="00FF7717" w:rsidRPr="00FF7717">
        <w:t>’</w:t>
      </w:r>
      <w:r w:rsidRPr="00FF7717">
        <w:t>évaluation de l</w:t>
      </w:r>
      <w:r w:rsidR="00FF7717" w:rsidRPr="00FF7717">
        <w:t>’</w:t>
      </w:r>
      <w:r w:rsidRPr="00FF7717">
        <w:t>impact sur l</w:t>
      </w:r>
      <w:r w:rsidR="00FF7717" w:rsidRPr="00FF7717">
        <w:t>’</w:t>
      </w:r>
      <w:r w:rsidRPr="00FF7717">
        <w:t>environnement, qu</w:t>
      </w:r>
      <w:r w:rsidR="00FF7717" w:rsidRPr="00FF7717">
        <w:t>’</w:t>
      </w:r>
      <w:r w:rsidRPr="00FF7717">
        <w:t xml:space="preserve">il a abordés dans les questions mentionnées </w:t>
      </w:r>
      <w:r w:rsidR="00FF7717" w:rsidRPr="00FF7717">
        <w:t>au paragraphe </w:t>
      </w:r>
      <w:r w:rsidRPr="00FF7717">
        <w:t>8 ci-dessous, notamment les autres solutions raisonnables en matière d</w:t>
      </w:r>
      <w:r w:rsidR="00FF7717" w:rsidRPr="00FF7717">
        <w:t>’</w:t>
      </w:r>
      <w:r w:rsidRPr="00FF7717">
        <w:t>emplacement ainsi que la méthode et les données utilisées pour déterminer celui-ci</w:t>
      </w:r>
      <w:r w:rsidR="002F6291">
        <w:t> ;</w:t>
      </w:r>
    </w:p>
    <w:p w:rsidR="004248DD" w:rsidRPr="00FF7717" w:rsidRDefault="00E40244" w:rsidP="00FF7717">
      <w:pPr>
        <w:pStyle w:val="SingleTxtG"/>
      </w:pPr>
      <w:r w:rsidRPr="00FF7717">
        <w:tab/>
        <w:t>6.</w:t>
      </w:r>
      <w:r w:rsidRPr="00FF7717">
        <w:tab/>
      </w:r>
      <w:r w:rsidRPr="00FF7717">
        <w:rPr>
          <w:i/>
        </w:rPr>
        <w:t xml:space="preserve">Approuve en outre </w:t>
      </w:r>
      <w:r w:rsidRPr="00FF7717">
        <w:t>la conclusion du Comité d</w:t>
      </w:r>
      <w:r w:rsidR="00FF7717" w:rsidRPr="00FF7717">
        <w:t>’</w:t>
      </w:r>
      <w:r w:rsidRPr="00FF7717">
        <w:t>application selon laquelle pour se prononcer sur la question de savoir si le Bélarus s</w:t>
      </w:r>
      <w:r w:rsidR="00FF7717" w:rsidRPr="00FF7717">
        <w:t>’</w:t>
      </w:r>
      <w:r w:rsidRPr="00FF7717">
        <w:t xml:space="preserve">acquittait de ses obligations au titre de la Convention, il fallait examiner tant les aspects de procédure que les aspects de fond de la </w:t>
      </w:r>
      <w:r w:rsidRPr="00FF7717">
        <w:lastRenderedPageBreak/>
        <w:t>procédure d</w:t>
      </w:r>
      <w:r w:rsidR="00FF7717" w:rsidRPr="00FF7717">
        <w:t>’</w:t>
      </w:r>
      <w:r w:rsidRPr="00FF7717">
        <w:t>évaluation de l</w:t>
      </w:r>
      <w:r w:rsidR="00FF7717" w:rsidRPr="00FF7717">
        <w:t>’</w:t>
      </w:r>
      <w:r w:rsidRPr="00FF7717">
        <w:t>impact sur l</w:t>
      </w:r>
      <w:r w:rsidR="00FF7717" w:rsidRPr="00FF7717">
        <w:t>’</w:t>
      </w:r>
      <w:r w:rsidRPr="00FF7717">
        <w:t>environnement, étant donné que ces deux aspects ne pouvaient pas toujours être traités séparément</w:t>
      </w:r>
      <w:r w:rsidRPr="00FF7717">
        <w:rPr>
          <w:rStyle w:val="FootnoteReference"/>
        </w:rPr>
        <w:footnoteReference w:id="11"/>
      </w:r>
      <w:r w:rsidR="002F6291">
        <w:t> ;</w:t>
      </w:r>
    </w:p>
    <w:p w:rsidR="004248DD" w:rsidRPr="00FF7717" w:rsidRDefault="00E40244" w:rsidP="00FF7717">
      <w:pPr>
        <w:pStyle w:val="SingleTxtG"/>
      </w:pPr>
      <w:r w:rsidRPr="00FF7717">
        <w:tab/>
        <w:t>7.</w:t>
      </w:r>
      <w:r w:rsidRPr="00FF7717">
        <w:tab/>
      </w:r>
      <w:r w:rsidRPr="00FF7717">
        <w:rPr>
          <w:i/>
        </w:rPr>
        <w:t>Relève</w:t>
      </w:r>
      <w:r w:rsidRPr="00FF7717">
        <w:t xml:space="preserve"> que pour pouvoir parvenir à une conclusion définitive, le Comité d</w:t>
      </w:r>
      <w:r w:rsidR="00FF7717" w:rsidRPr="00FF7717">
        <w:t>’</w:t>
      </w:r>
      <w:r w:rsidRPr="00FF7717">
        <w:t>application avait besoin de ressources supplémentaires et d</w:t>
      </w:r>
      <w:r w:rsidR="00FF7717" w:rsidRPr="00FF7717">
        <w:t>’</w:t>
      </w:r>
      <w:r w:rsidRPr="00FF7717">
        <w:t>une expertise spécifique, qui n</w:t>
      </w:r>
      <w:r w:rsidR="00FF7717" w:rsidRPr="00FF7717">
        <w:t>’</w:t>
      </w:r>
      <w:r w:rsidRPr="00FF7717">
        <w:t>ont pas été mises à sa disposition</w:t>
      </w:r>
      <w:r w:rsidR="002F6291">
        <w:t> ;</w:t>
      </w:r>
    </w:p>
    <w:p w:rsidR="004248DD" w:rsidRPr="00FF7717" w:rsidRDefault="00E40244" w:rsidP="00FF7717">
      <w:pPr>
        <w:pStyle w:val="SingleTxtG"/>
      </w:pPr>
      <w:r w:rsidRPr="00FF7717">
        <w:tab/>
        <w:t>8.</w:t>
      </w:r>
      <w:r w:rsidRPr="00FF7717">
        <w:tab/>
      </w:r>
      <w:r w:rsidRPr="00FF7717">
        <w:rPr>
          <w:i/>
        </w:rPr>
        <w:t xml:space="preserve">Reconnaît </w:t>
      </w:r>
      <w:r w:rsidRPr="00FF7717">
        <w:t>les efforts déployés par le Comité d</w:t>
      </w:r>
      <w:r w:rsidR="00FF7717" w:rsidRPr="00FF7717">
        <w:t>’</w:t>
      </w:r>
      <w:r w:rsidRPr="00FF7717">
        <w:t>application pour obtenir l</w:t>
      </w:r>
      <w:r w:rsidR="00FF7717" w:rsidRPr="00FF7717">
        <w:t>’</w:t>
      </w:r>
      <w:r w:rsidRPr="00FF7717">
        <w:t>avis d</w:t>
      </w:r>
      <w:r w:rsidR="00FF7717" w:rsidRPr="00FF7717">
        <w:t>’</w:t>
      </w:r>
      <w:r w:rsidRPr="00FF7717">
        <w:t>experts, notamment sur les questions scientifiques et techniques relatives au dossier d</w:t>
      </w:r>
      <w:r w:rsidR="00FF7717" w:rsidRPr="00FF7717">
        <w:t>’</w:t>
      </w:r>
      <w:r w:rsidRPr="00FF7717">
        <w:t>évaluation de l</w:t>
      </w:r>
      <w:r w:rsidR="00FF7717" w:rsidRPr="00FF7717">
        <w:t>’</w:t>
      </w:r>
      <w:r w:rsidRPr="00FF7717">
        <w:t>impact sur l</w:t>
      </w:r>
      <w:r w:rsidR="00FF7717" w:rsidRPr="00FF7717">
        <w:t>’</w:t>
      </w:r>
      <w:r w:rsidRPr="00FF7717">
        <w:t>environnement qu</w:t>
      </w:r>
      <w:r w:rsidR="00FF7717" w:rsidRPr="00FF7717">
        <w:t>’</w:t>
      </w:r>
      <w:r w:rsidRPr="00FF7717">
        <w:t>il avait soulevées afin de pouvoir conclure ses délibérations sur le sujet</w:t>
      </w:r>
      <w:r w:rsidRPr="00FF7717">
        <w:rPr>
          <w:rStyle w:val="FootnoteReference"/>
        </w:rPr>
        <w:footnoteReference w:id="12"/>
      </w:r>
      <w:r w:rsidR="002F6291">
        <w:t> ;</w:t>
      </w:r>
    </w:p>
    <w:p w:rsidR="004248DD" w:rsidRPr="00FF7717" w:rsidRDefault="00E40244" w:rsidP="00FF7717">
      <w:pPr>
        <w:pStyle w:val="SingleTxtG"/>
      </w:pPr>
      <w:r w:rsidRPr="00FF7717">
        <w:tab/>
        <w:t>9.</w:t>
      </w:r>
      <w:r w:rsidRPr="00FF7717">
        <w:tab/>
      </w:r>
      <w:r w:rsidRPr="00FF7717">
        <w:rPr>
          <w:i/>
        </w:rPr>
        <w:t xml:space="preserve">Constate </w:t>
      </w:r>
      <w:r w:rsidRPr="00FF7717">
        <w:t>que, toutes les possibilités de recevoir des conseils d</w:t>
      </w:r>
      <w:r w:rsidR="00FF7717" w:rsidRPr="00FF7717">
        <w:t>’</w:t>
      </w:r>
      <w:r w:rsidRPr="00FF7717">
        <w:t>experts externes ayant été épuisées, et compte tenu des circonstances sans précédent liées à la question de la conformité, le Comité a exceptionnellement décidé d</w:t>
      </w:r>
      <w:r w:rsidR="00FF7717" w:rsidRPr="00FF7717">
        <w:t>’</w:t>
      </w:r>
      <w:r w:rsidRPr="00FF7717">
        <w:t>examiner par lui-même le dossier établi par le Bélarus dans le cadre de l</w:t>
      </w:r>
      <w:r w:rsidR="00FF7717" w:rsidRPr="00FF7717">
        <w:t>’</w:t>
      </w:r>
      <w:r w:rsidRPr="00FF7717">
        <w:t>évaluation de l</w:t>
      </w:r>
      <w:r w:rsidR="00FF7717" w:rsidRPr="00FF7717">
        <w:t>’</w:t>
      </w:r>
      <w:r w:rsidRPr="00FF7717">
        <w:t>impact sur l</w:t>
      </w:r>
      <w:r w:rsidR="00FF7717" w:rsidRPr="00FF7717">
        <w:t>’</w:t>
      </w:r>
      <w:r w:rsidRPr="00FF7717">
        <w:t>environnement et, selon que de besoin, de solliciter les services d</w:t>
      </w:r>
      <w:r w:rsidR="00FF7717" w:rsidRPr="00FF7717">
        <w:t>’</w:t>
      </w:r>
      <w:r w:rsidRPr="00FF7717">
        <w:t>experts scientifiques et d</w:t>
      </w:r>
      <w:r w:rsidR="00FF7717" w:rsidRPr="00FF7717">
        <w:t>’</w:t>
      </w:r>
      <w:r w:rsidRPr="00FF7717">
        <w:t>autres avis techniques, ou de consulter d</w:t>
      </w:r>
      <w:r w:rsidR="00FF7717" w:rsidRPr="00FF7717">
        <w:t>’</w:t>
      </w:r>
      <w:r w:rsidRPr="00FF7717">
        <w:t>autres sources pertinentes, conformément à sa structure et à ses fonctions</w:t>
      </w:r>
      <w:r w:rsidRPr="00FF7717">
        <w:rPr>
          <w:rStyle w:val="FootnoteReference"/>
        </w:rPr>
        <w:footnoteReference w:id="13"/>
      </w:r>
      <w:r w:rsidR="002F6291">
        <w:t> ;</w:t>
      </w:r>
    </w:p>
    <w:p w:rsidR="004248DD" w:rsidRPr="00FF7717" w:rsidRDefault="00E40244" w:rsidP="00FF7717">
      <w:pPr>
        <w:pStyle w:val="SingleTxtG"/>
      </w:pPr>
      <w:r w:rsidRPr="00FF7717">
        <w:tab/>
        <w:t>10.</w:t>
      </w:r>
      <w:r w:rsidRPr="00FF7717">
        <w:tab/>
      </w:r>
      <w:r w:rsidRPr="00FF7717">
        <w:rPr>
          <w:i/>
        </w:rPr>
        <w:t>Reconnaît</w:t>
      </w:r>
      <w:r w:rsidRPr="00FF7717">
        <w:t xml:space="preserve"> le travail approfondi accompli par le Comité pour examiner le dossier d</w:t>
      </w:r>
      <w:r w:rsidR="00FF7717" w:rsidRPr="00FF7717">
        <w:t>’</w:t>
      </w:r>
      <w:r w:rsidRPr="00FF7717">
        <w:t>évaluation de l</w:t>
      </w:r>
      <w:r w:rsidR="00FF7717" w:rsidRPr="00FF7717">
        <w:t>’</w:t>
      </w:r>
      <w:r w:rsidRPr="00FF7717">
        <w:t>impact sur l</w:t>
      </w:r>
      <w:r w:rsidR="00FF7717" w:rsidRPr="00FF7717">
        <w:t>’</w:t>
      </w:r>
      <w:r w:rsidRPr="00FF7717">
        <w:t>environnement et les décisions prises par le Bélarus sur la base de la procédure correspondante, ainsi que les efforts déployés par le Comité pour obtenir des éclaircissements du Bélarus, en particulier afin de pallier le manque d</w:t>
      </w:r>
      <w:r w:rsidR="00FF7717" w:rsidRPr="00FF7717">
        <w:t>’</w:t>
      </w:r>
      <w:r w:rsidRPr="00FF7717">
        <w:t>informations sur les raisons justifiant le choix du site d</w:t>
      </w:r>
      <w:r w:rsidR="00FF7717" w:rsidRPr="00FF7717">
        <w:t>’</w:t>
      </w:r>
      <w:r w:rsidRPr="00FF7717">
        <w:t>Ostrovets par rapport aux autres emplacements possibles</w:t>
      </w:r>
      <w:r w:rsidR="002F6291">
        <w:t> ;</w:t>
      </w:r>
    </w:p>
    <w:p w:rsidR="004248DD" w:rsidRPr="00FF7717" w:rsidRDefault="00E40244" w:rsidP="00FF7717">
      <w:pPr>
        <w:pStyle w:val="SingleTxtG"/>
      </w:pPr>
      <w:r w:rsidRPr="00FF7717">
        <w:tab/>
        <w:t>11.</w:t>
      </w:r>
      <w:r w:rsidRPr="00FF7717">
        <w:tab/>
      </w:r>
      <w:r w:rsidRPr="00FF7717">
        <w:rPr>
          <w:i/>
        </w:rPr>
        <w:t>Regrette</w:t>
      </w:r>
      <w:r w:rsidRPr="00FF7717">
        <w:t xml:space="preserve"> que, bien que le Comité d</w:t>
      </w:r>
      <w:r w:rsidR="00FF7717" w:rsidRPr="00FF7717">
        <w:t>’</w:t>
      </w:r>
      <w:r w:rsidRPr="00FF7717">
        <w:t>application lui ait donné plusieurs occasions de le faire, le Bélarus n</w:t>
      </w:r>
      <w:r w:rsidR="00FF7717" w:rsidRPr="00FF7717">
        <w:t>’</w:t>
      </w:r>
      <w:r w:rsidRPr="00FF7717">
        <w:t>ait pas fourni au Comité les informations mentionnées au paragraphe 10 ci-dessus</w:t>
      </w:r>
      <w:r w:rsidR="002F6291">
        <w:t> ;</w:t>
      </w:r>
    </w:p>
    <w:p w:rsidR="004248DD" w:rsidRPr="00FF7717" w:rsidRDefault="00E40244" w:rsidP="00FF7717">
      <w:pPr>
        <w:pStyle w:val="SingleTxtG"/>
      </w:pPr>
      <w:r w:rsidRPr="00FF7717">
        <w:tab/>
        <w:t>12.</w:t>
      </w:r>
      <w:r w:rsidRPr="00FF7717">
        <w:tab/>
      </w:r>
      <w:r w:rsidRPr="00FF7717">
        <w:rPr>
          <w:i/>
        </w:rPr>
        <w:t>Approuve</w:t>
      </w:r>
      <w:r w:rsidRPr="00FF7717">
        <w:t xml:space="preserve"> les conclusions du Comité d</w:t>
      </w:r>
      <w:r w:rsidR="00FF7717" w:rsidRPr="00FF7717">
        <w:t>’</w:t>
      </w:r>
      <w:r w:rsidRPr="00FF7717">
        <w:t>application selon lesquelles, sur la base de son analyse, le dossier d</w:t>
      </w:r>
      <w:r w:rsidR="00FF7717" w:rsidRPr="00FF7717">
        <w:t>’</w:t>
      </w:r>
      <w:r w:rsidRPr="00FF7717">
        <w:t>évaluation de l</w:t>
      </w:r>
      <w:r w:rsidR="00FF7717" w:rsidRPr="00FF7717">
        <w:t>’</w:t>
      </w:r>
      <w:r w:rsidRPr="00FF7717">
        <w:t>impact sur l</w:t>
      </w:r>
      <w:r w:rsidR="00FF7717" w:rsidRPr="00FF7717">
        <w:t>’</w:t>
      </w:r>
      <w:r w:rsidRPr="00FF7717">
        <w:t>environnement établi par le Bélarus au sujet de la centrale nucléaire d</w:t>
      </w:r>
      <w:r w:rsidR="00FF7717" w:rsidRPr="00FF7717">
        <w:t>’</w:t>
      </w:r>
      <w:r w:rsidRPr="00FF7717">
        <w:t>Ostrovets comporte des informations qui répondent suffisamment aux problèmes mentionnés dans les questions techniques et scientifiques concernant expressément le site d</w:t>
      </w:r>
      <w:r w:rsidR="00FF7717" w:rsidRPr="00FF7717">
        <w:t>’</w:t>
      </w:r>
      <w:r w:rsidRPr="00FF7717">
        <w:t>Ostrovets</w:t>
      </w:r>
      <w:r w:rsidRPr="00FF7717">
        <w:rPr>
          <w:rStyle w:val="FootnoteReference"/>
        </w:rPr>
        <w:footnoteReference w:id="14"/>
      </w:r>
      <w:r w:rsidR="002F6291">
        <w:t> ;</w:t>
      </w:r>
    </w:p>
    <w:p w:rsidR="004248DD" w:rsidRPr="00FF7717" w:rsidRDefault="00E40244" w:rsidP="00FF7717">
      <w:pPr>
        <w:pStyle w:val="SingleTxtG"/>
      </w:pPr>
      <w:r w:rsidRPr="00FF7717">
        <w:tab/>
        <w:t>13.</w:t>
      </w:r>
      <w:r w:rsidRPr="00FF7717">
        <w:tab/>
      </w:r>
      <w:r w:rsidRPr="00FF7717">
        <w:rPr>
          <w:i/>
        </w:rPr>
        <w:t>Approuve également</w:t>
      </w:r>
      <w:r w:rsidRPr="00FF7717">
        <w:t xml:space="preserve"> les conclusions du Comité d</w:t>
      </w:r>
      <w:r w:rsidR="00FF7717" w:rsidRPr="00FF7717">
        <w:t>’</w:t>
      </w:r>
      <w:r w:rsidRPr="00FF7717">
        <w:t>application selon lesquelles le dossier d</w:t>
      </w:r>
      <w:r w:rsidR="00FF7717" w:rsidRPr="00FF7717">
        <w:t>’</w:t>
      </w:r>
      <w:r w:rsidRPr="00FF7717">
        <w:t>évaluation de l</w:t>
      </w:r>
      <w:r w:rsidR="00FF7717" w:rsidRPr="00FF7717">
        <w:t>’</w:t>
      </w:r>
      <w:r w:rsidRPr="00FF7717">
        <w:t>impact sur l</w:t>
      </w:r>
      <w:r w:rsidR="00FF7717" w:rsidRPr="00FF7717">
        <w:t>’</w:t>
      </w:r>
      <w:r w:rsidRPr="00FF7717">
        <w:t>environnement, qui avait été mis à la disposition des parties touchées et du public concerné, fait référence à d</w:t>
      </w:r>
      <w:r w:rsidR="00FF7717" w:rsidRPr="00FF7717">
        <w:t>’</w:t>
      </w:r>
      <w:r w:rsidRPr="00FF7717">
        <w:t>autres emplacements possibles pour l</w:t>
      </w:r>
      <w:r w:rsidR="00FF7717" w:rsidRPr="00FF7717">
        <w:t>’</w:t>
      </w:r>
      <w:r w:rsidRPr="00FF7717">
        <w:t>implantation d</w:t>
      </w:r>
      <w:r w:rsidR="00FF7717" w:rsidRPr="00FF7717">
        <w:t>’</w:t>
      </w:r>
      <w:r w:rsidRPr="00FF7717">
        <w:t>une centrale nucléaire et à des critères de sélection du site, mais ne fournit pas d</w:t>
      </w:r>
      <w:r w:rsidR="00FF7717" w:rsidRPr="00FF7717">
        <w:t>’</w:t>
      </w:r>
      <w:r w:rsidRPr="00FF7717">
        <w:t>informations suffisantes propres à étayer et justifier le choix du site d</w:t>
      </w:r>
      <w:r w:rsidR="00FF7717" w:rsidRPr="00FF7717">
        <w:t>’</w:t>
      </w:r>
      <w:r w:rsidRPr="00FF7717">
        <w:t>Ostrovets pour prendre la décision finale sur l</w:t>
      </w:r>
      <w:r w:rsidR="00FF7717" w:rsidRPr="00FF7717">
        <w:t>’</w:t>
      </w:r>
      <w:r w:rsidRPr="00FF7717">
        <w:t>activité conformément à la Convention</w:t>
      </w:r>
      <w:r w:rsidRPr="00FF7717">
        <w:rPr>
          <w:rStyle w:val="FootnoteReference"/>
        </w:rPr>
        <w:footnoteReference w:id="15"/>
      </w:r>
      <w:r w:rsidR="002F6291">
        <w:t> ;</w:t>
      </w:r>
    </w:p>
    <w:p w:rsidR="004248DD" w:rsidRPr="00FF7717" w:rsidRDefault="00E40244" w:rsidP="00FF7717">
      <w:pPr>
        <w:pStyle w:val="SingleTxtG"/>
      </w:pPr>
      <w:r w:rsidRPr="00FF7717">
        <w:tab/>
        <w:t>14</w:t>
      </w:r>
      <w:r w:rsidR="002B3073">
        <w:t>.</w:t>
      </w:r>
      <w:r w:rsidRPr="00FF7717">
        <w:tab/>
      </w:r>
      <w:r w:rsidRPr="00FF7717">
        <w:rPr>
          <w:i/>
        </w:rPr>
        <w:t xml:space="preserve">Approuve en outre </w:t>
      </w:r>
      <w:r w:rsidRPr="00FF7717">
        <w:t>les conclusions du Comité d</w:t>
      </w:r>
      <w:r w:rsidR="00FF7717" w:rsidRPr="00FF7717">
        <w:t>’</w:t>
      </w:r>
      <w:r w:rsidRPr="00FF7717">
        <w:t>application selon lesquelles, faute d</w:t>
      </w:r>
      <w:r w:rsidR="00FF7717" w:rsidRPr="00FF7717">
        <w:t>’</w:t>
      </w:r>
      <w:r w:rsidRPr="00FF7717">
        <w:t>avoir fourni ces éléments probants dans le dossier d</w:t>
      </w:r>
      <w:r w:rsidR="00FF7717" w:rsidRPr="00FF7717">
        <w:t>’</w:t>
      </w:r>
      <w:r w:rsidRPr="00FF7717">
        <w:t>évaluation de l</w:t>
      </w:r>
      <w:r w:rsidR="00FF7717" w:rsidRPr="00FF7717">
        <w:t>’</w:t>
      </w:r>
      <w:r w:rsidRPr="00FF7717">
        <w:t>impact sur l</w:t>
      </w:r>
      <w:r w:rsidR="00FF7717" w:rsidRPr="00FF7717">
        <w:t>’</w:t>
      </w:r>
      <w:r w:rsidRPr="00FF7717">
        <w:t>environnement et dans la décision finale sur l</w:t>
      </w:r>
      <w:r w:rsidR="00FF7717" w:rsidRPr="00FF7717">
        <w:t>’</w:t>
      </w:r>
      <w:r w:rsidRPr="00FF7717">
        <w:t>activité, le Bélarus ne s</w:t>
      </w:r>
      <w:r w:rsidR="00FF7717" w:rsidRPr="00FF7717">
        <w:t>’</w:t>
      </w:r>
      <w:r w:rsidRPr="00FF7717">
        <w:t>était pas conformé au paragraphe 1 de l</w:t>
      </w:r>
      <w:r w:rsidR="00FF7717" w:rsidRPr="00FF7717">
        <w:t>’</w:t>
      </w:r>
      <w:r w:rsidRPr="00FF7717">
        <w:t>article 4, à l</w:t>
      </w:r>
      <w:r w:rsidR="00FF7717" w:rsidRPr="00FF7717">
        <w:t>’</w:t>
      </w:r>
      <w:r w:rsidRPr="00FF7717">
        <w:t>article 5 a) et au paragraphe 1 l</w:t>
      </w:r>
      <w:r w:rsidR="00FF7717" w:rsidRPr="00FF7717">
        <w:t>’</w:t>
      </w:r>
      <w:r w:rsidRPr="00FF7717">
        <w:t>article 6 de la Convention</w:t>
      </w:r>
      <w:r w:rsidRPr="00FF7717">
        <w:rPr>
          <w:rStyle w:val="FootnoteReference"/>
        </w:rPr>
        <w:footnoteReference w:id="16"/>
      </w:r>
      <w:r w:rsidR="002F6291">
        <w:t> ;</w:t>
      </w:r>
    </w:p>
    <w:p w:rsidR="004248DD" w:rsidRPr="00FF7717" w:rsidRDefault="002B3073" w:rsidP="00FF7717">
      <w:pPr>
        <w:pStyle w:val="SingleTxtG"/>
      </w:pPr>
      <w:r>
        <w:tab/>
      </w:r>
      <w:r w:rsidR="00E40244" w:rsidRPr="00FF7717">
        <w:t>15.</w:t>
      </w:r>
      <w:r w:rsidR="00E40244" w:rsidRPr="00FF7717">
        <w:tab/>
      </w:r>
      <w:r w:rsidR="00E40244" w:rsidRPr="00FF7717">
        <w:rPr>
          <w:i/>
        </w:rPr>
        <w:t>Invite instamment</w:t>
      </w:r>
      <w:r w:rsidR="00E40244" w:rsidRPr="00FF7717">
        <w:t xml:space="preserve"> le Bélarus à faire en sorte que, dans le contexte de toute décision prise à l</w:t>
      </w:r>
      <w:r w:rsidR="00FF7717" w:rsidRPr="00FF7717">
        <w:t>’</w:t>
      </w:r>
      <w:r w:rsidR="00E40244" w:rsidRPr="00FF7717">
        <w:t>avenir concernant toute activité prévue qui relève de la Convention, celle-ci soit appliquée en veillant à ce que le dossier d</w:t>
      </w:r>
      <w:r w:rsidR="00FF7717" w:rsidRPr="00FF7717">
        <w:t>’</w:t>
      </w:r>
      <w:r w:rsidR="00E40244" w:rsidRPr="00FF7717">
        <w:t>évaluation de l</w:t>
      </w:r>
      <w:r w:rsidR="00FF7717" w:rsidRPr="00FF7717">
        <w:t>’</w:t>
      </w:r>
      <w:r w:rsidR="00E40244" w:rsidRPr="00FF7717">
        <w:t>impact sur l</w:t>
      </w:r>
      <w:r w:rsidR="00FF7717" w:rsidRPr="00FF7717">
        <w:t>’</w:t>
      </w:r>
      <w:r w:rsidR="00E40244" w:rsidRPr="00FF7717">
        <w:t>environnement contienne une évaluation en bonne et due forme des solutions de remplacement qui peuvent être raisonnablement envisagées, sans omettre l</w:t>
      </w:r>
      <w:r w:rsidR="00FF7717" w:rsidRPr="00FF7717">
        <w:t>’</w:t>
      </w:r>
      <w:r w:rsidR="00E40244" w:rsidRPr="00FF7717">
        <w:t>option zéro, ainsi que les éléments justifiant le choix de l</w:t>
      </w:r>
      <w:r w:rsidR="00FF7717" w:rsidRPr="00FF7717">
        <w:t>’</w:t>
      </w:r>
      <w:r w:rsidR="00E40244" w:rsidRPr="00FF7717">
        <w:t>option retenue </w:t>
      </w:r>
      <w:r w:rsidR="002F6291">
        <w:t>;</w:t>
      </w:r>
    </w:p>
    <w:p w:rsidR="004248DD" w:rsidRPr="00FF7717" w:rsidRDefault="002B3073" w:rsidP="00FF7717">
      <w:pPr>
        <w:pStyle w:val="SingleTxtG"/>
      </w:pPr>
      <w:r>
        <w:tab/>
      </w:r>
      <w:r w:rsidR="00E40244" w:rsidRPr="00FF7717">
        <w:t>16.</w:t>
      </w:r>
      <w:r w:rsidR="00E40244" w:rsidRPr="00FF7717">
        <w:tab/>
      </w:r>
      <w:r w:rsidR="00E40244" w:rsidRPr="00FF7717">
        <w:rPr>
          <w:i/>
        </w:rPr>
        <w:t xml:space="preserve">Regrette </w:t>
      </w:r>
      <w:r w:rsidR="00E40244" w:rsidRPr="00FF7717">
        <w:t>que l</w:t>
      </w:r>
      <w:r w:rsidR="00FF7717" w:rsidRPr="00FF7717">
        <w:t>’</w:t>
      </w:r>
      <w:r w:rsidR="00E40244" w:rsidRPr="00FF7717">
        <w:t>accord bilatéral pour l</w:t>
      </w:r>
      <w:r w:rsidR="00FF7717" w:rsidRPr="00FF7717">
        <w:t>’</w:t>
      </w:r>
      <w:r w:rsidR="00E40244" w:rsidRPr="00FF7717">
        <w:t>application de la Convention n</w:t>
      </w:r>
      <w:r w:rsidR="00FF7717" w:rsidRPr="00FF7717">
        <w:t>’</w:t>
      </w:r>
      <w:r w:rsidR="00E40244" w:rsidRPr="00FF7717">
        <w:t xml:space="preserve">ait pas encore été conclu, </w:t>
      </w:r>
      <w:r w:rsidR="00FF7717" w:rsidRPr="00FF7717">
        <w:t>‘</w:t>
      </w:r>
      <w:r w:rsidR="00E40244" w:rsidRPr="00FF7717">
        <w:t>encourage le Bélarus et la Lituanie à accélérer la préparation d</w:t>
      </w:r>
      <w:r w:rsidR="00FF7717" w:rsidRPr="00FF7717">
        <w:t>’</w:t>
      </w:r>
      <w:r w:rsidR="00E40244" w:rsidRPr="00FF7717">
        <w:t>un tel accord conformément à l</w:t>
      </w:r>
      <w:r w:rsidR="00FF7717" w:rsidRPr="00FF7717">
        <w:t>’</w:t>
      </w:r>
      <w:r w:rsidR="00E40244" w:rsidRPr="00FF7717">
        <w:t>article 8 de la Convention et</w:t>
      </w:r>
      <w:r w:rsidR="002F6291">
        <w:t xml:space="preserve"> </w:t>
      </w:r>
      <w:r w:rsidR="00E40244" w:rsidRPr="00FF7717">
        <w:t>leur demande de lui rendre compte à sa huitième session des progrès réalisés</w:t>
      </w:r>
      <w:r w:rsidR="00FF7717">
        <w:t xml:space="preserve"> </w:t>
      </w:r>
      <w:r w:rsidR="00E40244" w:rsidRPr="00FF7717">
        <w:t>à cet égard</w:t>
      </w:r>
      <w:r w:rsidR="002F6291">
        <w:t> ;</w:t>
      </w:r>
    </w:p>
    <w:p w:rsidR="004248DD" w:rsidRPr="00FF7717" w:rsidRDefault="002B3073" w:rsidP="00FF7717">
      <w:pPr>
        <w:pStyle w:val="SingleTxtG"/>
      </w:pPr>
      <w:r>
        <w:tab/>
      </w:r>
      <w:r w:rsidR="00E40244" w:rsidRPr="00FF7717">
        <w:t>17.</w:t>
      </w:r>
      <w:r w:rsidR="00E40244" w:rsidRPr="00FF7717">
        <w:tab/>
      </w:r>
      <w:r w:rsidR="00E40244" w:rsidRPr="00FF7717">
        <w:rPr>
          <w:i/>
        </w:rPr>
        <w:t>Encourage</w:t>
      </w:r>
      <w:r w:rsidR="00E40244" w:rsidRPr="00FF7717">
        <w:t xml:space="preserve"> le Bélarus et la Lituanie à poursuivre leurs consultations bilatérales d</w:t>
      </w:r>
      <w:r w:rsidR="00FF7717" w:rsidRPr="00FF7717">
        <w:t>’</w:t>
      </w:r>
      <w:r w:rsidR="00E40244" w:rsidRPr="00FF7717">
        <w:t>experts sur les points de désaccord, y compris sur les questions qui n</w:t>
      </w:r>
      <w:r w:rsidR="00FF7717" w:rsidRPr="00FF7717">
        <w:t>’</w:t>
      </w:r>
      <w:r w:rsidR="00E40244" w:rsidRPr="00FF7717">
        <w:t>entrent pas dans le champ d</w:t>
      </w:r>
      <w:r w:rsidR="00FF7717" w:rsidRPr="00FF7717">
        <w:t>’</w:t>
      </w:r>
      <w:r w:rsidR="00E40244" w:rsidRPr="00FF7717">
        <w:t>application de la Convention ;</w:t>
      </w:r>
    </w:p>
    <w:p w:rsidR="004248DD" w:rsidRPr="00FF7717" w:rsidRDefault="002B3073" w:rsidP="00FF7717">
      <w:pPr>
        <w:pStyle w:val="SingleTxtG"/>
      </w:pPr>
      <w:r>
        <w:tab/>
      </w:r>
      <w:r w:rsidR="00E40244" w:rsidRPr="00FF7717">
        <w:t>18.</w:t>
      </w:r>
      <w:r w:rsidR="00E40244" w:rsidRPr="00FF7717">
        <w:tab/>
      </w:r>
      <w:r w:rsidR="00E40244" w:rsidRPr="00FF7717">
        <w:rPr>
          <w:i/>
        </w:rPr>
        <w:t xml:space="preserve">Encourage aussi </w:t>
      </w:r>
      <w:r w:rsidR="00E40244" w:rsidRPr="00FF7717">
        <w:t>les deux Parties à continuer de travailler à l</w:t>
      </w:r>
      <w:r w:rsidR="00FF7717" w:rsidRPr="00FF7717">
        <w:t>’</w:t>
      </w:r>
      <w:r w:rsidR="00E40244" w:rsidRPr="00FF7717">
        <w:t>analyse a posteriori du projet et à se mettre d</w:t>
      </w:r>
      <w:r w:rsidR="00FF7717" w:rsidRPr="00FF7717">
        <w:t>’</w:t>
      </w:r>
      <w:r w:rsidR="00E40244" w:rsidRPr="00FF7717">
        <w:t>accord pour établir un organe bilatéral commun et des procédures d</w:t>
      </w:r>
      <w:r w:rsidR="00FF7717" w:rsidRPr="00FF7717">
        <w:t>’</w:t>
      </w:r>
      <w:r w:rsidR="00E40244" w:rsidRPr="00FF7717">
        <w:t>analyse a posteriori, en particulier pour assurer une participation suffisante du public dans le cadre de l</w:t>
      </w:r>
      <w:r w:rsidR="00FF7717" w:rsidRPr="00FF7717">
        <w:t>’</w:t>
      </w:r>
      <w:r w:rsidR="00E40244" w:rsidRPr="00FF7717">
        <w:t>analyse a posteriori concernant l</w:t>
      </w:r>
      <w:r w:rsidR="00FF7717" w:rsidRPr="00FF7717">
        <w:t>’</w:t>
      </w:r>
      <w:r w:rsidR="00E40244" w:rsidRPr="00FF7717">
        <w:t>activité à Ostrovets ;</w:t>
      </w:r>
    </w:p>
    <w:p w:rsidR="007E6F62" w:rsidRPr="00FF7717" w:rsidRDefault="002B3073" w:rsidP="00FF7717">
      <w:pPr>
        <w:pStyle w:val="SingleTxtG"/>
      </w:pPr>
      <w:r>
        <w:tab/>
      </w:r>
      <w:r w:rsidR="00E40244" w:rsidRPr="00FF7717">
        <w:t>19.</w:t>
      </w:r>
      <w:r w:rsidR="00E40244" w:rsidRPr="00FF7717">
        <w:tab/>
      </w:r>
      <w:r w:rsidR="00E40244" w:rsidRPr="00FF7717">
        <w:rPr>
          <w:i/>
        </w:rPr>
        <w:t>Demande</w:t>
      </w:r>
      <w:r w:rsidR="00E40244" w:rsidRPr="00FF7717">
        <w:t xml:space="preserve"> au Bélarus et à la Lituanie de rendre compte tous les ans au Comité d</w:t>
      </w:r>
      <w:r w:rsidR="00FF7717" w:rsidRPr="00FF7717">
        <w:t>’</w:t>
      </w:r>
      <w:r w:rsidR="00E40244" w:rsidRPr="00FF7717">
        <w:t>application des progrès accomplis pour appliquer les recommandations formulées aux paragraphes 16 à 18 ci-dessus.</w:t>
      </w:r>
    </w:p>
    <w:p w:rsidR="007E6F62" w:rsidRPr="00FF7717" w:rsidRDefault="00FF7717" w:rsidP="00FF7717">
      <w:pPr>
        <w:pStyle w:val="SingleTxtG"/>
        <w:spacing w:before="240" w:after="0"/>
        <w:jc w:val="center"/>
        <w:rPr>
          <w:u w:val="single"/>
        </w:rPr>
      </w:pPr>
      <w:r w:rsidRPr="00FF7717">
        <w:rPr>
          <w:u w:val="single"/>
        </w:rPr>
        <w:tab/>
      </w:r>
      <w:r w:rsidRPr="00FF7717">
        <w:rPr>
          <w:u w:val="single"/>
        </w:rPr>
        <w:tab/>
      </w:r>
      <w:r w:rsidRPr="00FF7717">
        <w:rPr>
          <w:u w:val="single"/>
        </w:rPr>
        <w:tab/>
      </w:r>
    </w:p>
    <w:sectPr w:rsidR="007E6F62" w:rsidRPr="00FF7717" w:rsidSect="002715C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0B8" w:rsidRDefault="002370B8" w:rsidP="00F95C08">
      <w:pPr>
        <w:spacing w:line="240" w:lineRule="auto"/>
      </w:pPr>
    </w:p>
  </w:endnote>
  <w:endnote w:type="continuationSeparator" w:id="0">
    <w:p w:rsidR="002370B8" w:rsidRPr="00AC3823" w:rsidRDefault="002370B8" w:rsidP="00AC3823">
      <w:pPr>
        <w:pStyle w:val="Footer"/>
      </w:pPr>
    </w:p>
  </w:endnote>
  <w:endnote w:type="continuationNotice" w:id="1">
    <w:p w:rsidR="002370B8" w:rsidRDefault="002370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5CE" w:rsidRPr="002715CE" w:rsidRDefault="002715CE" w:rsidP="002715CE">
    <w:pPr>
      <w:pStyle w:val="Footer"/>
      <w:tabs>
        <w:tab w:val="right" w:pos="9638"/>
      </w:tabs>
    </w:pPr>
    <w:r w:rsidRPr="002715CE">
      <w:rPr>
        <w:b/>
        <w:sz w:val="18"/>
      </w:rPr>
      <w:fldChar w:fldCharType="begin"/>
    </w:r>
    <w:r w:rsidRPr="002715CE">
      <w:rPr>
        <w:b/>
        <w:sz w:val="18"/>
      </w:rPr>
      <w:instrText xml:space="preserve"> PAGE  \* MERGEFORMAT </w:instrText>
    </w:r>
    <w:r w:rsidRPr="002715CE">
      <w:rPr>
        <w:b/>
        <w:sz w:val="18"/>
      </w:rPr>
      <w:fldChar w:fldCharType="separate"/>
    </w:r>
    <w:r w:rsidRPr="002715CE">
      <w:rPr>
        <w:b/>
        <w:noProof/>
        <w:sz w:val="18"/>
      </w:rPr>
      <w:t>2</w:t>
    </w:r>
    <w:r w:rsidRPr="002715CE">
      <w:rPr>
        <w:b/>
        <w:sz w:val="18"/>
      </w:rPr>
      <w:fldChar w:fldCharType="end"/>
    </w:r>
    <w:r>
      <w:rPr>
        <w:b/>
        <w:sz w:val="18"/>
      </w:rPr>
      <w:tab/>
    </w:r>
    <w:r>
      <w:t>GE.18-19568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5CE" w:rsidRPr="002715CE" w:rsidRDefault="002715CE" w:rsidP="002715CE">
    <w:pPr>
      <w:pStyle w:val="Footer"/>
      <w:tabs>
        <w:tab w:val="right" w:pos="9638"/>
      </w:tabs>
      <w:rPr>
        <w:b/>
        <w:sz w:val="18"/>
      </w:rPr>
    </w:pPr>
    <w:r>
      <w:t>GE.18-19568</w:t>
    </w:r>
    <w:r>
      <w:tab/>
    </w:r>
    <w:r w:rsidRPr="002715CE">
      <w:rPr>
        <w:b/>
        <w:sz w:val="18"/>
      </w:rPr>
      <w:fldChar w:fldCharType="begin"/>
    </w:r>
    <w:r w:rsidRPr="002715CE">
      <w:rPr>
        <w:b/>
        <w:sz w:val="18"/>
      </w:rPr>
      <w:instrText xml:space="preserve"> PAGE  \* MERGEFORMAT </w:instrText>
    </w:r>
    <w:r w:rsidRPr="002715CE">
      <w:rPr>
        <w:b/>
        <w:sz w:val="18"/>
      </w:rPr>
      <w:fldChar w:fldCharType="separate"/>
    </w:r>
    <w:r w:rsidRPr="002715CE">
      <w:rPr>
        <w:b/>
        <w:noProof/>
        <w:sz w:val="18"/>
      </w:rPr>
      <w:t>3</w:t>
    </w:r>
    <w:r w:rsidRPr="002715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20" w:rsidRPr="002715CE" w:rsidRDefault="002715CE" w:rsidP="002715CE">
    <w:pPr>
      <w:pStyle w:val="Footer"/>
      <w:spacing w:before="120"/>
      <w:rPr>
        <w:sz w:val="20"/>
      </w:rPr>
    </w:pPr>
    <w:r>
      <w:rPr>
        <w:sz w:val="20"/>
      </w:rPr>
      <w:t>GE.</w:t>
    </w:r>
    <w:r w:rsidR="00A14420">
      <w:rPr>
        <w:noProof/>
        <w:lang w:eastAsia="fr-CH"/>
      </w:rPr>
      <w:drawing>
        <wp:anchor distT="0" distB="0" distL="114300" distR="114300" simplePos="0" relativeHeight="251660288" behindDoc="0" locked="0" layoutInCell="1" allowOverlap="0" wp14:anchorId="1A4095E7" wp14:editId="3AC373E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18-19568  (F)    271118    171218</w:t>
    </w:r>
    <w:r>
      <w:rPr>
        <w:sz w:val="20"/>
      </w:rPr>
      <w:br/>
    </w:r>
    <w:r w:rsidRPr="002715CE">
      <w:rPr>
        <w:rFonts w:ascii="C39T30Lfz" w:hAnsi="C39T30Lfz"/>
        <w:sz w:val="56"/>
      </w:rPr>
      <w:t></w:t>
    </w:r>
    <w:r w:rsidRPr="002715CE">
      <w:rPr>
        <w:rFonts w:ascii="C39T30Lfz" w:hAnsi="C39T30Lfz"/>
        <w:sz w:val="56"/>
      </w:rPr>
      <w:t></w:t>
    </w:r>
    <w:r w:rsidRPr="002715CE">
      <w:rPr>
        <w:rFonts w:ascii="C39T30Lfz" w:hAnsi="C39T30Lfz"/>
        <w:sz w:val="56"/>
      </w:rPr>
      <w:t></w:t>
    </w:r>
    <w:r w:rsidRPr="002715CE">
      <w:rPr>
        <w:rFonts w:ascii="C39T30Lfz" w:hAnsi="C39T30Lfz"/>
        <w:sz w:val="56"/>
      </w:rPr>
      <w:t></w:t>
    </w:r>
    <w:r w:rsidRPr="002715CE">
      <w:rPr>
        <w:rFonts w:ascii="C39T30Lfz" w:hAnsi="C39T30Lfz"/>
        <w:sz w:val="56"/>
      </w:rPr>
      <w:t></w:t>
    </w:r>
    <w:r w:rsidRPr="002715CE">
      <w:rPr>
        <w:rFonts w:ascii="C39T30Lfz" w:hAnsi="C39T30Lfz"/>
        <w:sz w:val="56"/>
      </w:rPr>
      <w:t></w:t>
    </w:r>
    <w:r w:rsidRPr="002715CE">
      <w:rPr>
        <w:rFonts w:ascii="C39T30Lfz" w:hAnsi="C39T30Lfz"/>
        <w:sz w:val="56"/>
      </w:rPr>
      <w:t></w:t>
    </w:r>
    <w:r w:rsidRPr="002715CE">
      <w:rPr>
        <w:rFonts w:ascii="C39T30Lfz" w:hAnsi="C39T30Lfz"/>
        <w:sz w:val="56"/>
      </w:rPr>
      <w:t></w:t>
    </w:r>
    <w:r w:rsidRPr="002715CE">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MP.EIA/2019/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EIA/2019/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0B8" w:rsidRPr="00AC3823" w:rsidRDefault="002370B8" w:rsidP="00AC3823">
      <w:pPr>
        <w:pStyle w:val="Footer"/>
        <w:tabs>
          <w:tab w:val="right" w:pos="2155"/>
        </w:tabs>
        <w:spacing w:after="80" w:line="240" w:lineRule="atLeast"/>
        <w:ind w:left="680"/>
        <w:rPr>
          <w:u w:val="single"/>
        </w:rPr>
      </w:pPr>
      <w:r>
        <w:rPr>
          <w:u w:val="single"/>
        </w:rPr>
        <w:tab/>
      </w:r>
    </w:p>
  </w:footnote>
  <w:footnote w:type="continuationSeparator" w:id="0">
    <w:p w:rsidR="002370B8" w:rsidRPr="00AC3823" w:rsidRDefault="002370B8" w:rsidP="00AC3823">
      <w:pPr>
        <w:pStyle w:val="Footer"/>
        <w:tabs>
          <w:tab w:val="right" w:pos="2155"/>
        </w:tabs>
        <w:spacing w:after="80" w:line="240" w:lineRule="atLeast"/>
        <w:ind w:left="680"/>
        <w:rPr>
          <w:u w:val="single"/>
        </w:rPr>
      </w:pPr>
      <w:r>
        <w:rPr>
          <w:u w:val="single"/>
        </w:rPr>
        <w:tab/>
      </w:r>
    </w:p>
  </w:footnote>
  <w:footnote w:type="continuationNotice" w:id="1">
    <w:p w:rsidR="002370B8" w:rsidRPr="00AC3823" w:rsidRDefault="002370B8">
      <w:pPr>
        <w:spacing w:line="240" w:lineRule="auto"/>
        <w:rPr>
          <w:sz w:val="2"/>
          <w:szCs w:val="2"/>
        </w:rPr>
      </w:pPr>
    </w:p>
  </w:footnote>
  <w:footnote w:id="2">
    <w:p w:rsidR="00FF7717" w:rsidRPr="00FF7717" w:rsidRDefault="00FF7717" w:rsidP="00FF7717">
      <w:pPr>
        <w:pStyle w:val="FootnoteText"/>
      </w:pPr>
      <w:r w:rsidRPr="00FF7717">
        <w:tab/>
      </w:r>
      <w:r w:rsidRPr="00FF7717">
        <w:rPr>
          <w:rStyle w:val="FootnoteReference"/>
        </w:rPr>
        <w:footnoteRef/>
      </w:r>
      <w:r w:rsidRPr="00FF7717">
        <w:tab/>
        <w:t>Voir ECE/MP.EIA/20/Add.1-ECE/MP.EIA/SEA/4/Add.1.</w:t>
      </w:r>
    </w:p>
  </w:footnote>
  <w:footnote w:id="3">
    <w:p w:rsidR="00FF7717" w:rsidRPr="00FF7717" w:rsidRDefault="00FF7717" w:rsidP="00FF7717">
      <w:pPr>
        <w:pStyle w:val="FootnoteText"/>
      </w:pPr>
      <w:r w:rsidRPr="00FF7717">
        <w:tab/>
      </w:r>
      <w:r w:rsidRPr="00FF7717">
        <w:rPr>
          <w:rStyle w:val="FootnoteReference"/>
        </w:rPr>
        <w:footnoteRef/>
      </w:r>
      <w:r w:rsidRPr="00FF7717">
        <w:tab/>
        <w:t>Voir ECE/MP.EIA/23-ECE/MP.EIA/SEA/7, par. 27. Voir également le projet de décision VII/2 (ECE/MP.EIA/2017/8).</w:t>
      </w:r>
    </w:p>
  </w:footnote>
  <w:footnote w:id="4">
    <w:p w:rsidR="00FF7717" w:rsidRPr="00FF7717" w:rsidRDefault="00FF7717" w:rsidP="00FF7717">
      <w:pPr>
        <w:pStyle w:val="FootnoteText"/>
      </w:pPr>
      <w:r w:rsidRPr="00FF7717">
        <w:tab/>
      </w:r>
      <w:r w:rsidRPr="00FF7717">
        <w:rPr>
          <w:rStyle w:val="FootnoteReference"/>
        </w:rPr>
        <w:footnoteRef/>
      </w:r>
      <w:r w:rsidRPr="00FF7717">
        <w:tab/>
        <w:t>ECE/MP.EIA/2017/4-ECE/MP.EIA/SEA/2017/4, par. 36 à 44.</w:t>
      </w:r>
    </w:p>
  </w:footnote>
  <w:footnote w:id="5">
    <w:p w:rsidR="00FF7717" w:rsidRPr="00FF7717" w:rsidRDefault="00FF7717" w:rsidP="00FF7717">
      <w:pPr>
        <w:pStyle w:val="FootnoteText"/>
      </w:pPr>
      <w:r w:rsidRPr="00FF7717">
        <w:tab/>
      </w:r>
      <w:r w:rsidRPr="00FF7717">
        <w:rPr>
          <w:rStyle w:val="FootnoteReference"/>
        </w:rPr>
        <w:footnoteRef/>
      </w:r>
      <w:r w:rsidRPr="00FF7717">
        <w:tab/>
        <w:t xml:space="preserve">Voir le document informel ECE/MP.EIA/IC/ad-hoc/2017/INF.6, consultable à l’adresse </w:t>
      </w:r>
      <w:hyperlink r:id="rId1" w:history="1">
        <w:r w:rsidRPr="00FF7717">
          <w:rPr>
            <w:rStyle w:val="Hyperlink"/>
          </w:rPr>
          <w:t>https://www.unece.org/index.php?id=48313</w:t>
        </w:r>
      </w:hyperlink>
      <w:r w:rsidRPr="00FF7717">
        <w:t>, par. 7 à 11.</w:t>
      </w:r>
    </w:p>
  </w:footnote>
  <w:footnote w:id="6">
    <w:p w:rsidR="00FF7717" w:rsidRPr="00FF7717" w:rsidRDefault="00FF7717" w:rsidP="00FF7717">
      <w:pPr>
        <w:pStyle w:val="FootnoteText"/>
      </w:pPr>
      <w:r w:rsidRPr="00FF7717">
        <w:tab/>
      </w:r>
      <w:r w:rsidRPr="00FF7717">
        <w:rPr>
          <w:rStyle w:val="FootnoteReference"/>
        </w:rPr>
        <w:footnoteRef/>
      </w:r>
      <w:r w:rsidRPr="00FF7717">
        <w:tab/>
        <w:t>ECE/MP.EIA/IC/2017/4, par. 36.</w:t>
      </w:r>
    </w:p>
  </w:footnote>
  <w:footnote w:id="7">
    <w:p w:rsidR="00FF7717" w:rsidRPr="00FF7717" w:rsidRDefault="00FF7717" w:rsidP="00FF7717">
      <w:pPr>
        <w:pStyle w:val="FootnoteText"/>
      </w:pPr>
      <w:r w:rsidRPr="00FF7717">
        <w:tab/>
      </w:r>
      <w:r w:rsidRPr="00FF7717">
        <w:rPr>
          <w:rStyle w:val="FootnoteReference"/>
        </w:rPr>
        <w:footnoteRef/>
      </w:r>
      <w:r w:rsidRPr="00FF7717">
        <w:tab/>
        <w:t>ECE/MP.EIA/IC/2017/6, par. 27 à 36.</w:t>
      </w:r>
    </w:p>
  </w:footnote>
  <w:footnote w:id="8">
    <w:p w:rsidR="00FF7717" w:rsidRPr="00FF7717" w:rsidRDefault="00FF7717" w:rsidP="00FF7717">
      <w:pPr>
        <w:pStyle w:val="FootnoteText"/>
      </w:pPr>
      <w:r w:rsidRPr="00FF7717">
        <w:tab/>
      </w:r>
      <w:r w:rsidRPr="00FF7717">
        <w:rPr>
          <w:rStyle w:val="FootnoteReference"/>
        </w:rPr>
        <w:footnoteRef/>
      </w:r>
      <w:r w:rsidRPr="00FF7717">
        <w:tab/>
        <w:t>ECE/MP.EIA/IC/2018/2, par. 40 à 48.</w:t>
      </w:r>
    </w:p>
  </w:footnote>
  <w:footnote w:id="9">
    <w:p w:rsidR="00FF7717" w:rsidRPr="00FF7717" w:rsidRDefault="00FF7717" w:rsidP="00FF7717">
      <w:pPr>
        <w:pStyle w:val="FootnoteText"/>
      </w:pPr>
      <w:r w:rsidRPr="00FF7717">
        <w:tab/>
      </w:r>
      <w:r w:rsidRPr="00FF7717">
        <w:rPr>
          <w:rStyle w:val="FootnoteReference"/>
        </w:rPr>
        <w:footnoteRef/>
      </w:r>
      <w:r w:rsidRPr="00FF7717">
        <w:tab/>
        <w:t>ECE/MP.EIA/IC/2018/4, par.</w:t>
      </w:r>
      <w:r w:rsidR="00140B8E">
        <w:t> </w:t>
      </w:r>
      <w:r w:rsidRPr="00FF7717">
        <w:t>32 à 40 et annexe.</w:t>
      </w:r>
    </w:p>
  </w:footnote>
  <w:footnote w:id="10">
    <w:p w:rsidR="00FF7717" w:rsidRPr="00FF7717" w:rsidRDefault="00FF7717" w:rsidP="00FF7717">
      <w:pPr>
        <w:pStyle w:val="FootnoteText"/>
      </w:pPr>
      <w:r w:rsidRPr="00FF7717">
        <w:tab/>
      </w:r>
      <w:r w:rsidRPr="00FF7717">
        <w:rPr>
          <w:rStyle w:val="FootnoteReference"/>
        </w:rPr>
        <w:footnoteRef/>
      </w:r>
      <w:r w:rsidRPr="00FF7717">
        <w:tab/>
        <w:t>ECE/MP.EIA/IC/2017/2, par. 8.</w:t>
      </w:r>
    </w:p>
  </w:footnote>
  <w:footnote w:id="11">
    <w:p w:rsidR="00FF7717" w:rsidRPr="00FF7717" w:rsidRDefault="00FF7717" w:rsidP="00FF7717">
      <w:pPr>
        <w:pStyle w:val="FootnoteText"/>
      </w:pPr>
      <w:r w:rsidRPr="00FF7717">
        <w:tab/>
      </w:r>
      <w:r w:rsidRPr="00FF7717">
        <w:rPr>
          <w:rStyle w:val="FootnoteReference"/>
        </w:rPr>
        <w:footnoteRef/>
      </w:r>
      <w:r w:rsidRPr="00FF7717">
        <w:tab/>
        <w:t>ECE/MP.EIA/IC/2017/2, par. 9.</w:t>
      </w:r>
    </w:p>
  </w:footnote>
  <w:footnote w:id="12">
    <w:p w:rsidR="00FF7717" w:rsidRPr="00FF7717" w:rsidRDefault="00FF7717" w:rsidP="00FF7717">
      <w:pPr>
        <w:pStyle w:val="FootnoteText"/>
      </w:pPr>
      <w:r w:rsidRPr="00FF7717">
        <w:tab/>
      </w:r>
      <w:r w:rsidRPr="00FF7717">
        <w:rPr>
          <w:rStyle w:val="FootnoteReference"/>
        </w:rPr>
        <w:footnoteRef/>
      </w:r>
      <w:r w:rsidRPr="00FF7717">
        <w:tab/>
        <w:t>ECE/MP.EIA/IC/2018/4, annexe, par. 15 à 19.</w:t>
      </w:r>
    </w:p>
  </w:footnote>
  <w:footnote w:id="13">
    <w:p w:rsidR="00FF7717" w:rsidRPr="00FF7717" w:rsidRDefault="00FF7717" w:rsidP="00FF7717">
      <w:pPr>
        <w:pStyle w:val="FootnoteText"/>
      </w:pPr>
      <w:r w:rsidRPr="00FF7717">
        <w:tab/>
      </w:r>
      <w:r w:rsidRPr="00FF7717">
        <w:rPr>
          <w:rStyle w:val="FootnoteReference"/>
        </w:rPr>
        <w:footnoteRef/>
      </w:r>
      <w:r w:rsidRPr="00FF7717">
        <w:tab/>
        <w:t>Décision III/2, appendice (ECE/MP.EIA/6) tel que modifié par la décision VI/2 (ECE/MP.EIA/20/Add.1</w:t>
      </w:r>
      <w:r>
        <w:t>-</w:t>
      </w:r>
      <w:r w:rsidRPr="00FF7717">
        <w:t>ECE/MP.EIA/SEA/4/Add.1), par. 7 d).</w:t>
      </w:r>
    </w:p>
  </w:footnote>
  <w:footnote w:id="14">
    <w:p w:rsidR="00FF7717" w:rsidRPr="00FF7717" w:rsidRDefault="00FF7717" w:rsidP="00FF7717">
      <w:pPr>
        <w:pStyle w:val="FootnoteText"/>
      </w:pPr>
      <w:r w:rsidRPr="00FF7717">
        <w:tab/>
      </w:r>
      <w:r w:rsidRPr="00FF7717">
        <w:rPr>
          <w:rStyle w:val="FootnoteReference"/>
        </w:rPr>
        <w:footnoteRef/>
      </w:r>
      <w:r w:rsidRPr="00FF7717">
        <w:tab/>
        <w:t>ECE/MP.EIA/IC/2018/4, annexe, par. 21 à 24.</w:t>
      </w:r>
    </w:p>
  </w:footnote>
  <w:footnote w:id="15">
    <w:p w:rsidR="00FF7717" w:rsidRPr="00FF7717" w:rsidRDefault="00FF7717" w:rsidP="00FF7717">
      <w:pPr>
        <w:pStyle w:val="FootnoteText"/>
      </w:pPr>
      <w:r w:rsidRPr="00FF7717">
        <w:tab/>
      </w:r>
      <w:r w:rsidRPr="00FF7717">
        <w:rPr>
          <w:rStyle w:val="FootnoteReference"/>
        </w:rPr>
        <w:footnoteRef/>
      </w:r>
      <w:r w:rsidRPr="00FF7717">
        <w:tab/>
        <w:t>Ibid., par. 28 a).</w:t>
      </w:r>
    </w:p>
  </w:footnote>
  <w:footnote w:id="16">
    <w:p w:rsidR="00FF7717" w:rsidRPr="00FF7717" w:rsidRDefault="00FF7717" w:rsidP="00FF7717">
      <w:pPr>
        <w:pStyle w:val="FootnoteText"/>
      </w:pPr>
      <w:r w:rsidRPr="00FF7717">
        <w:tab/>
      </w:r>
      <w:r w:rsidRPr="00FF7717">
        <w:rPr>
          <w:rStyle w:val="FootnoteReference"/>
        </w:rPr>
        <w:footnoteRef/>
      </w:r>
      <w:r w:rsidRPr="00FF7717">
        <w:tab/>
        <w:t>Ibid., par. 25, 26 et 28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5CE" w:rsidRPr="002715CE" w:rsidRDefault="00550E1E">
    <w:pPr>
      <w:pStyle w:val="Header"/>
    </w:pPr>
    <w:r>
      <w:fldChar w:fldCharType="begin"/>
    </w:r>
    <w:r>
      <w:instrText xml:space="preserve"> TITLE  \* MERGEFORMAT </w:instrText>
    </w:r>
    <w:r>
      <w:fldChar w:fldCharType="separate"/>
    </w:r>
    <w:r w:rsidR="00E40244">
      <w:t>ECE/MP.EIA/2019/5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5CE" w:rsidRPr="002715CE" w:rsidRDefault="00550E1E" w:rsidP="002715CE">
    <w:pPr>
      <w:pStyle w:val="Header"/>
      <w:jc w:val="right"/>
    </w:pPr>
    <w:r>
      <w:fldChar w:fldCharType="begin"/>
    </w:r>
    <w:r>
      <w:instrText xml:space="preserve"> TITLE  \* MERGEFORMAT </w:instrText>
    </w:r>
    <w:r>
      <w:fldChar w:fldCharType="separate"/>
    </w:r>
    <w:r w:rsidR="00E40244">
      <w:t>ECE/MP.EIA/2019/5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0B8"/>
    <w:rsid w:val="00017F94"/>
    <w:rsid w:val="00023842"/>
    <w:rsid w:val="00031189"/>
    <w:rsid w:val="000334F9"/>
    <w:rsid w:val="0007796D"/>
    <w:rsid w:val="000B7790"/>
    <w:rsid w:val="00111F2F"/>
    <w:rsid w:val="00140B8E"/>
    <w:rsid w:val="0014365E"/>
    <w:rsid w:val="00176178"/>
    <w:rsid w:val="001F525A"/>
    <w:rsid w:val="00223272"/>
    <w:rsid w:val="002370B8"/>
    <w:rsid w:val="0024779E"/>
    <w:rsid w:val="002715CE"/>
    <w:rsid w:val="002832AC"/>
    <w:rsid w:val="002B3073"/>
    <w:rsid w:val="002B40F9"/>
    <w:rsid w:val="002D7C93"/>
    <w:rsid w:val="002F6291"/>
    <w:rsid w:val="003F04E8"/>
    <w:rsid w:val="00441C3B"/>
    <w:rsid w:val="00446FE5"/>
    <w:rsid w:val="00452396"/>
    <w:rsid w:val="00496936"/>
    <w:rsid w:val="004E468C"/>
    <w:rsid w:val="005505B7"/>
    <w:rsid w:val="00550E1E"/>
    <w:rsid w:val="00573BE5"/>
    <w:rsid w:val="00586ED3"/>
    <w:rsid w:val="00596AA9"/>
    <w:rsid w:val="006743E3"/>
    <w:rsid w:val="006C0E3B"/>
    <w:rsid w:val="0071601D"/>
    <w:rsid w:val="007A5FC4"/>
    <w:rsid w:val="007A62E6"/>
    <w:rsid w:val="007B4358"/>
    <w:rsid w:val="007E6F62"/>
    <w:rsid w:val="0080684C"/>
    <w:rsid w:val="00871C75"/>
    <w:rsid w:val="008776DC"/>
    <w:rsid w:val="008D6B3F"/>
    <w:rsid w:val="009705C8"/>
    <w:rsid w:val="009901E5"/>
    <w:rsid w:val="009912C0"/>
    <w:rsid w:val="009C1CF4"/>
    <w:rsid w:val="009E26EA"/>
    <w:rsid w:val="00A14420"/>
    <w:rsid w:val="00A30353"/>
    <w:rsid w:val="00A978D8"/>
    <w:rsid w:val="00AC3823"/>
    <w:rsid w:val="00AE323C"/>
    <w:rsid w:val="00B00181"/>
    <w:rsid w:val="00B00B0D"/>
    <w:rsid w:val="00B765F7"/>
    <w:rsid w:val="00BA0CA9"/>
    <w:rsid w:val="00C02897"/>
    <w:rsid w:val="00C554CE"/>
    <w:rsid w:val="00C67224"/>
    <w:rsid w:val="00D3439C"/>
    <w:rsid w:val="00D421F6"/>
    <w:rsid w:val="00D503D3"/>
    <w:rsid w:val="00DB1831"/>
    <w:rsid w:val="00DD3BFD"/>
    <w:rsid w:val="00DF5712"/>
    <w:rsid w:val="00DF6678"/>
    <w:rsid w:val="00E40244"/>
    <w:rsid w:val="00E96BD6"/>
    <w:rsid w:val="00EE22F9"/>
    <w:rsid w:val="00EF2E22"/>
    <w:rsid w:val="00EF3E58"/>
    <w:rsid w:val="00F1435F"/>
    <w:rsid w:val="00F660DF"/>
    <w:rsid w:val="00F91360"/>
    <w:rsid w:val="00F95C08"/>
    <w:rsid w:val="00FF771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71050B9-83E6-4CD3-9ED0-43FC80CB9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E22F9"/>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E22F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E22F9"/>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E22F9"/>
    <w:pPr>
      <w:spacing w:line="240" w:lineRule="auto"/>
    </w:pPr>
    <w:rPr>
      <w:sz w:val="16"/>
    </w:rPr>
  </w:style>
  <w:style w:type="character" w:customStyle="1" w:styleId="FooterChar">
    <w:name w:val="Footer Char"/>
    <w:aliases w:val="3_G Char"/>
    <w:basedOn w:val="DefaultParagraphFont"/>
    <w:link w:val="Footer"/>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E22F9"/>
    <w:pPr>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E22F9"/>
    <w:rPr>
      <w:rFonts w:ascii="Times New Roman" w:hAnsi="Times New Roman"/>
      <w:sz w:val="18"/>
      <w:vertAlign w:val="superscript"/>
      <w:lang w:val="fr-CH"/>
    </w:rPr>
  </w:style>
  <w:style w:type="character" w:styleId="EndnoteReference">
    <w:name w:val="endnote reference"/>
    <w:aliases w:val="1_G"/>
    <w:basedOn w:val="FootnoteReference"/>
    <w:qFormat/>
    <w:rsid w:val="00EE22F9"/>
    <w:rPr>
      <w:rFonts w:ascii="Times New Roman" w:hAnsi="Times New Roman"/>
      <w:sz w:val="18"/>
      <w:vertAlign w:val="superscript"/>
      <w:lang w:val="fr-CH"/>
    </w:rPr>
  </w:style>
  <w:style w:type="table" w:styleId="TableGrid">
    <w:name w:val="Table Grid"/>
    <w:basedOn w:val="Table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E22F9"/>
    <w:rPr>
      <w:color w:val="0000FF"/>
      <w:u w:val="none"/>
    </w:rPr>
  </w:style>
  <w:style w:type="character" w:styleId="FollowedHyperlink">
    <w:name w:val="FollowedHyperlink"/>
    <w:basedOn w:val="DefaultParagraphFont"/>
    <w:unhideWhenUsed/>
    <w:rsid w:val="00EE22F9"/>
    <w:rPr>
      <w:color w:val="0000FF"/>
      <w:u w:val="none"/>
    </w:rPr>
  </w:style>
  <w:style w:type="paragraph" w:styleId="FootnoteText">
    <w:name w:val="footnote text"/>
    <w:aliases w:val="5_G"/>
    <w:basedOn w:val="Normal"/>
    <w:link w:val="FootnoteTextChar"/>
    <w:qFormat/>
    <w:rsid w:val="00EE22F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E22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E22F9"/>
  </w:style>
  <w:style w:type="character" w:customStyle="1" w:styleId="EndnoteTextChar">
    <w:name w:val="Endnote Text Char"/>
    <w:aliases w:val="2_G Char"/>
    <w:basedOn w:val="DefaultParagraphFont"/>
    <w:link w:val="EndnoteText"/>
    <w:rsid w:val="00EE22F9"/>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E22F9"/>
    <w:rPr>
      <w:rFonts w:ascii="Times New Roman" w:hAnsi="Times New Roman"/>
      <w:b/>
      <w:sz w:val="18"/>
      <w:lang w:val="fr-CH"/>
    </w:rPr>
  </w:style>
  <w:style w:type="character" w:customStyle="1" w:styleId="Heading1Char">
    <w:name w:val="Heading 1 Char"/>
    <w:aliases w:val="Table_G Char"/>
    <w:basedOn w:val="DefaultParagraphFont"/>
    <w:link w:val="Heading1"/>
    <w:rsid w:val="00EE22F9"/>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A144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420"/>
    <w:rPr>
      <w:rFonts w:ascii="Tahoma" w:hAnsi="Tahoma" w:cs="Tahoma"/>
      <w:sz w:val="16"/>
      <w:szCs w:val="16"/>
      <w:lang w:eastAsia="en-US"/>
    </w:rPr>
  </w:style>
  <w:style w:type="character" w:customStyle="1" w:styleId="SingleTxtGChar">
    <w:name w:val="_ Single Txt_G Char"/>
    <w:link w:val="SingleTxtG"/>
    <w:rsid w:val="007E6F62"/>
    <w:rPr>
      <w:rFonts w:ascii="Times New Roman" w:eastAsiaTheme="minorHAnsi" w:hAnsi="Times New Roman" w:cs="Times New Roman"/>
      <w:sz w:val="20"/>
      <w:szCs w:val="20"/>
      <w:lang w:eastAsia="en-US"/>
    </w:rPr>
  </w:style>
  <w:style w:type="character" w:styleId="UnresolvedMention">
    <w:name w:val="Unresolved Mention"/>
    <w:basedOn w:val="DefaultParagraphFont"/>
    <w:uiPriority w:val="99"/>
    <w:semiHidden/>
    <w:unhideWhenUsed/>
    <w:rsid w:val="00FF77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unece.org/index.php?id=48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1433</Words>
  <Characters>8172</Characters>
  <Application>Microsoft Office Word</Application>
  <DocSecurity>4</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ECE/MP.EIA/2019/5</vt:lpstr>
      <vt:lpstr/>
    </vt:vector>
  </TitlesOfParts>
  <Company>DCM</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ECE/MP.EIA/2019/5</dc:title>
  <dc:subject/>
  <dc:creator>Maud DARICHE</dc:creator>
  <cp:keywords/>
  <cp:lastModifiedBy>Elisabeth James</cp:lastModifiedBy>
  <cp:revision>2</cp:revision>
  <cp:lastPrinted>2018-12-17T15:24:00Z</cp:lastPrinted>
  <dcterms:created xsi:type="dcterms:W3CDTF">2018-12-19T01:06:00Z</dcterms:created>
  <dcterms:modified xsi:type="dcterms:W3CDTF">2018-12-19T01:06:00Z</dcterms:modified>
</cp:coreProperties>
</file>