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0706D5" w14:paraId="6FA74DFE" w14:textId="77777777" w:rsidTr="00B6553F">
        <w:trPr>
          <w:cantSplit/>
          <w:trHeight w:hRule="exact" w:val="851"/>
        </w:trPr>
        <w:tc>
          <w:tcPr>
            <w:tcW w:w="1276" w:type="dxa"/>
            <w:tcBorders>
              <w:bottom w:val="single" w:sz="4" w:space="0" w:color="auto"/>
            </w:tcBorders>
            <w:vAlign w:val="bottom"/>
          </w:tcPr>
          <w:p w14:paraId="532AEA34" w14:textId="77777777" w:rsidR="00B56E9C" w:rsidRPr="000706D5" w:rsidRDefault="00B56E9C" w:rsidP="00B6553F">
            <w:pPr>
              <w:spacing w:after="80"/>
            </w:pPr>
            <w:bookmarkStart w:id="0" w:name="_GoBack"/>
            <w:bookmarkEnd w:id="0"/>
          </w:p>
        </w:tc>
        <w:tc>
          <w:tcPr>
            <w:tcW w:w="2268" w:type="dxa"/>
            <w:tcBorders>
              <w:bottom w:val="single" w:sz="4" w:space="0" w:color="auto"/>
            </w:tcBorders>
            <w:vAlign w:val="bottom"/>
          </w:tcPr>
          <w:p w14:paraId="3067A9F4" w14:textId="77777777" w:rsidR="00B56E9C" w:rsidRPr="000706D5" w:rsidRDefault="00B56E9C" w:rsidP="00B6553F">
            <w:pPr>
              <w:spacing w:after="80" w:line="300" w:lineRule="exact"/>
              <w:rPr>
                <w:b/>
                <w:sz w:val="24"/>
                <w:szCs w:val="24"/>
              </w:rPr>
            </w:pPr>
            <w:r w:rsidRPr="000706D5">
              <w:rPr>
                <w:sz w:val="28"/>
                <w:szCs w:val="28"/>
              </w:rPr>
              <w:t>United Nations</w:t>
            </w:r>
          </w:p>
        </w:tc>
        <w:tc>
          <w:tcPr>
            <w:tcW w:w="6095" w:type="dxa"/>
            <w:gridSpan w:val="2"/>
            <w:tcBorders>
              <w:bottom w:val="single" w:sz="4" w:space="0" w:color="auto"/>
            </w:tcBorders>
            <w:vAlign w:val="bottom"/>
          </w:tcPr>
          <w:p w14:paraId="13EFC00C" w14:textId="77777777" w:rsidR="00B56E9C" w:rsidRPr="000706D5" w:rsidRDefault="00556575" w:rsidP="00556575">
            <w:pPr>
              <w:jc w:val="right"/>
            </w:pPr>
            <w:r w:rsidRPr="000706D5">
              <w:rPr>
                <w:sz w:val="40"/>
              </w:rPr>
              <w:t>ECE</w:t>
            </w:r>
            <w:r w:rsidRPr="000706D5">
              <w:t>/MP.EIA/2019/5</w:t>
            </w:r>
          </w:p>
        </w:tc>
      </w:tr>
      <w:tr w:rsidR="00B56E9C" w:rsidRPr="000706D5" w14:paraId="7C908843" w14:textId="77777777" w:rsidTr="00B6553F">
        <w:trPr>
          <w:cantSplit/>
          <w:trHeight w:hRule="exact" w:val="2835"/>
        </w:trPr>
        <w:tc>
          <w:tcPr>
            <w:tcW w:w="1276" w:type="dxa"/>
            <w:tcBorders>
              <w:top w:val="single" w:sz="4" w:space="0" w:color="auto"/>
              <w:bottom w:val="single" w:sz="12" w:space="0" w:color="auto"/>
            </w:tcBorders>
          </w:tcPr>
          <w:p w14:paraId="00680DFA" w14:textId="77777777" w:rsidR="00B56E9C" w:rsidRPr="000706D5" w:rsidRDefault="00A87DBB" w:rsidP="00B6553F">
            <w:pPr>
              <w:spacing w:before="120"/>
            </w:pPr>
            <w:r w:rsidRPr="000706D5">
              <w:rPr>
                <w:noProof/>
                <w:lang w:eastAsia="zh-CN"/>
              </w:rPr>
              <w:drawing>
                <wp:inline distT="0" distB="0" distL="0" distR="0" wp14:anchorId="119BAB58" wp14:editId="1C09136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ECD74F" w14:textId="77777777" w:rsidR="00B56E9C" w:rsidRPr="000706D5" w:rsidRDefault="00D773DF" w:rsidP="00D773DF">
            <w:pPr>
              <w:spacing w:before="120" w:line="420" w:lineRule="exact"/>
              <w:rPr>
                <w:sz w:val="40"/>
                <w:szCs w:val="40"/>
              </w:rPr>
            </w:pPr>
            <w:r w:rsidRPr="000706D5">
              <w:rPr>
                <w:b/>
                <w:sz w:val="40"/>
                <w:szCs w:val="40"/>
              </w:rPr>
              <w:t>Economic and Social Council</w:t>
            </w:r>
          </w:p>
        </w:tc>
        <w:tc>
          <w:tcPr>
            <w:tcW w:w="2835" w:type="dxa"/>
            <w:tcBorders>
              <w:top w:val="single" w:sz="4" w:space="0" w:color="auto"/>
              <w:bottom w:val="single" w:sz="12" w:space="0" w:color="auto"/>
            </w:tcBorders>
          </w:tcPr>
          <w:p w14:paraId="430CC0FA" w14:textId="77777777" w:rsidR="00B56E9C" w:rsidRPr="000706D5" w:rsidRDefault="00556575" w:rsidP="00556575">
            <w:pPr>
              <w:spacing w:before="240" w:line="240" w:lineRule="exact"/>
            </w:pPr>
            <w:r w:rsidRPr="000706D5">
              <w:t>Distr.: General</w:t>
            </w:r>
          </w:p>
          <w:p w14:paraId="5B53FF6D" w14:textId="7C11E252" w:rsidR="00556575" w:rsidRPr="000706D5" w:rsidRDefault="000B6A73" w:rsidP="00556575">
            <w:pPr>
              <w:spacing w:line="240" w:lineRule="exact"/>
            </w:pPr>
            <w:r>
              <w:t>16</w:t>
            </w:r>
            <w:r w:rsidR="00C9046E" w:rsidRPr="000706D5">
              <w:t xml:space="preserve"> November 2018</w:t>
            </w:r>
          </w:p>
          <w:p w14:paraId="407AD2D0" w14:textId="77777777" w:rsidR="00556575" w:rsidRPr="000706D5" w:rsidRDefault="00556575" w:rsidP="00556575">
            <w:pPr>
              <w:spacing w:line="240" w:lineRule="exact"/>
            </w:pPr>
          </w:p>
          <w:p w14:paraId="42F643B6" w14:textId="77777777" w:rsidR="00556575" w:rsidRPr="000706D5" w:rsidRDefault="00556575" w:rsidP="00556575">
            <w:pPr>
              <w:spacing w:line="240" w:lineRule="exact"/>
            </w:pPr>
            <w:r w:rsidRPr="000706D5">
              <w:t>Original: English</w:t>
            </w:r>
          </w:p>
        </w:tc>
      </w:tr>
    </w:tbl>
    <w:p w14:paraId="4FC868CD" w14:textId="77777777" w:rsidR="00556575" w:rsidRPr="000706D5" w:rsidRDefault="00556575" w:rsidP="00556575">
      <w:pPr>
        <w:spacing w:before="120"/>
        <w:rPr>
          <w:b/>
          <w:sz w:val="28"/>
          <w:szCs w:val="28"/>
        </w:rPr>
      </w:pPr>
      <w:r w:rsidRPr="000706D5">
        <w:rPr>
          <w:b/>
          <w:sz w:val="28"/>
          <w:szCs w:val="28"/>
        </w:rPr>
        <w:t>Economic Commission for Europe</w:t>
      </w:r>
    </w:p>
    <w:p w14:paraId="5669610E" w14:textId="77777777" w:rsidR="00556575" w:rsidRPr="000706D5" w:rsidRDefault="00556575" w:rsidP="00556575">
      <w:pPr>
        <w:spacing w:before="120"/>
        <w:rPr>
          <w:bCs/>
          <w:sz w:val="28"/>
          <w:szCs w:val="28"/>
        </w:rPr>
      </w:pPr>
      <w:r w:rsidRPr="000706D5">
        <w:rPr>
          <w:bCs/>
          <w:sz w:val="28"/>
          <w:szCs w:val="28"/>
        </w:rPr>
        <w:t xml:space="preserve">Meeting of the Parties to the Convention </w:t>
      </w:r>
      <w:r w:rsidRPr="000706D5">
        <w:rPr>
          <w:bCs/>
          <w:sz w:val="28"/>
          <w:szCs w:val="28"/>
        </w:rPr>
        <w:br/>
        <w:t xml:space="preserve">on Environmental Impact Assessment </w:t>
      </w:r>
      <w:r w:rsidRPr="000706D5">
        <w:rPr>
          <w:bCs/>
          <w:sz w:val="28"/>
          <w:szCs w:val="28"/>
        </w:rPr>
        <w:br/>
        <w:t>in a Transboundary Context</w:t>
      </w:r>
    </w:p>
    <w:p w14:paraId="23BD3519" w14:textId="77777777" w:rsidR="000706D5" w:rsidRPr="00A0384A" w:rsidRDefault="000706D5" w:rsidP="000706D5">
      <w:pPr>
        <w:spacing w:before="120"/>
        <w:rPr>
          <w:b/>
        </w:rPr>
      </w:pPr>
      <w:r w:rsidRPr="00A0384A">
        <w:rPr>
          <w:b/>
        </w:rPr>
        <w:t>Intermediary session</w:t>
      </w:r>
    </w:p>
    <w:p w14:paraId="2CAABFD9" w14:textId="77777777" w:rsidR="000706D5" w:rsidRPr="00A0384A" w:rsidRDefault="000706D5" w:rsidP="000706D5">
      <w:pPr>
        <w:spacing w:line="240" w:lineRule="auto"/>
      </w:pPr>
      <w:r w:rsidRPr="00A0384A">
        <w:t>Geneva, 5–7 February 2019</w:t>
      </w:r>
    </w:p>
    <w:p w14:paraId="2D8EB16A" w14:textId="77777777" w:rsidR="000706D5" w:rsidRPr="00A0384A" w:rsidRDefault="000706D5" w:rsidP="000706D5">
      <w:pPr>
        <w:spacing w:line="240" w:lineRule="auto"/>
      </w:pPr>
      <w:r w:rsidRPr="00A0384A">
        <w:t>Item 3 (a) and 8 of the provisional agenda</w:t>
      </w:r>
    </w:p>
    <w:p w14:paraId="5638F138" w14:textId="77777777" w:rsidR="000706D5" w:rsidRPr="00A0384A" w:rsidRDefault="000706D5" w:rsidP="000706D5">
      <w:pPr>
        <w:pStyle w:val="HChG"/>
        <w:spacing w:before="120" w:line="240" w:lineRule="auto"/>
        <w:ind w:left="0" w:firstLine="0"/>
        <w:rPr>
          <w:bCs/>
          <w:sz w:val="20"/>
        </w:rPr>
      </w:pPr>
      <w:r w:rsidRPr="00A0384A">
        <w:rPr>
          <w:bCs/>
          <w:sz w:val="20"/>
        </w:rPr>
        <w:t xml:space="preserve">Outstanding issues: draft decisions </w:t>
      </w:r>
    </w:p>
    <w:p w14:paraId="618AD6A5" w14:textId="77777777" w:rsidR="000706D5" w:rsidRPr="00A0384A" w:rsidRDefault="000706D5" w:rsidP="000706D5">
      <w:pPr>
        <w:pStyle w:val="HChG"/>
        <w:spacing w:before="120" w:line="240" w:lineRule="auto"/>
        <w:ind w:left="0" w:firstLine="0"/>
        <w:rPr>
          <w:bCs/>
          <w:sz w:val="20"/>
        </w:rPr>
      </w:pPr>
      <w:r w:rsidRPr="00A0384A">
        <w:rPr>
          <w:bCs/>
          <w:sz w:val="20"/>
        </w:rPr>
        <w:t xml:space="preserve">Adoption of decisions by the Meeting of the </w:t>
      </w:r>
      <w:r w:rsidRPr="00A0384A">
        <w:rPr>
          <w:bCs/>
          <w:sz w:val="20"/>
        </w:rPr>
        <w:br/>
        <w:t>Parties to the Convention</w:t>
      </w:r>
    </w:p>
    <w:p w14:paraId="66209033" w14:textId="2387D62D" w:rsidR="00556575" w:rsidRPr="000706D5" w:rsidRDefault="00556575" w:rsidP="0097792B">
      <w:pPr>
        <w:pStyle w:val="HChG"/>
        <w:spacing w:before="120" w:after="120"/>
      </w:pPr>
      <w:bookmarkStart w:id="1" w:name="_Hlk529195935"/>
      <w:r w:rsidRPr="000706D5">
        <w:tab/>
      </w:r>
      <w:r w:rsidRPr="000706D5">
        <w:tab/>
        <w:t>Draft decision IS/1d on compliance by Belarus with its obligations under the Convention in respect of the Belarusian</w:t>
      </w:r>
      <w:r w:rsidR="00693980">
        <w:t> </w:t>
      </w:r>
      <w:r w:rsidRPr="000706D5">
        <w:t>nuclear power plant in Ostrovets</w:t>
      </w:r>
    </w:p>
    <w:p w14:paraId="0A48E78C" w14:textId="77777777" w:rsidR="00556575" w:rsidRPr="000706D5" w:rsidRDefault="00556575" w:rsidP="0097792B">
      <w:pPr>
        <w:pStyle w:val="H1G"/>
        <w:spacing w:before="120" w:after="120"/>
      </w:pPr>
      <w:r w:rsidRPr="000706D5">
        <w:tab/>
      </w:r>
      <w:r w:rsidRPr="000706D5">
        <w:tab/>
        <w:t>Proposal by the Implementation Committee</w:t>
      </w:r>
      <w:bookmarkEnd w:id="1"/>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56575" w:rsidRPr="000706D5" w14:paraId="33E6F5F1" w14:textId="77777777" w:rsidTr="00556575">
        <w:trPr>
          <w:jc w:val="center"/>
        </w:trPr>
        <w:tc>
          <w:tcPr>
            <w:tcW w:w="9637" w:type="dxa"/>
            <w:shd w:val="clear" w:color="auto" w:fill="auto"/>
          </w:tcPr>
          <w:p w14:paraId="29E7925E" w14:textId="77777777" w:rsidR="00556575" w:rsidRPr="000706D5" w:rsidRDefault="00556575" w:rsidP="00556575">
            <w:pPr>
              <w:spacing w:before="240" w:after="120"/>
              <w:ind w:left="255"/>
              <w:rPr>
                <w:i/>
                <w:sz w:val="24"/>
              </w:rPr>
            </w:pPr>
            <w:r w:rsidRPr="000706D5">
              <w:rPr>
                <w:i/>
                <w:sz w:val="24"/>
              </w:rPr>
              <w:t>Summary</w:t>
            </w:r>
          </w:p>
        </w:tc>
      </w:tr>
      <w:tr w:rsidR="00556575" w:rsidRPr="000706D5" w14:paraId="6B2B1348" w14:textId="77777777" w:rsidTr="00556575">
        <w:trPr>
          <w:jc w:val="center"/>
        </w:trPr>
        <w:tc>
          <w:tcPr>
            <w:tcW w:w="9637" w:type="dxa"/>
            <w:shd w:val="clear" w:color="auto" w:fill="auto"/>
          </w:tcPr>
          <w:p w14:paraId="3E75F791" w14:textId="629F1667" w:rsidR="00693980" w:rsidRDefault="00556575" w:rsidP="0097792B">
            <w:pPr>
              <w:pStyle w:val="SingleTxtG"/>
            </w:pPr>
            <w:r w:rsidRPr="000706D5">
              <w:tab/>
            </w:r>
            <w:r w:rsidR="00693980" w:rsidRPr="00A0384A">
              <w:t xml:space="preserve">The draft decision contained in the present document responds to the request of the Meeting of the Parties to the Convention </w:t>
            </w:r>
            <w:r w:rsidR="00E21FD4">
              <w:t xml:space="preserve">on Environmental Impact Assessment in a Transboundary Context </w:t>
            </w:r>
            <w:r w:rsidR="00693980" w:rsidRPr="00A0384A">
              <w:t>at its seventh session (Minsk, 13–16 June 2017)</w:t>
            </w:r>
            <w:r w:rsidR="00693980" w:rsidRPr="007060F2" w:rsidDel="00E74A45">
              <w:t xml:space="preserve"> </w:t>
            </w:r>
            <w:r w:rsidR="00693980" w:rsidRPr="00A0384A">
              <w:t xml:space="preserve">for the </w:t>
            </w:r>
            <w:r w:rsidR="00E21FD4">
              <w:t xml:space="preserve">Implementation </w:t>
            </w:r>
            <w:r w:rsidR="00693980" w:rsidRPr="00A0384A">
              <w:t>Committee to revise draft decision VII/2 on the review of compliance with the Convention, taking into account the work already carried out and the progress achieved before, during and after the seventh session of the Meeting of the Parties (ECE/MP.EIA/23-ECE/MP.EIA/SEA/7, para. 27).</w:t>
            </w:r>
            <w:r w:rsidR="00693980">
              <w:t xml:space="preserve"> </w:t>
            </w:r>
            <w:r w:rsidR="00E21FD4">
              <w:t>To facilitate its consideration and adoption</w:t>
            </w:r>
            <w:r w:rsidR="00693980">
              <w:t xml:space="preserve">, </w:t>
            </w:r>
            <w:r w:rsidR="00693980" w:rsidRPr="00A0384A">
              <w:t xml:space="preserve">draft decision VII/2 </w:t>
            </w:r>
            <w:r w:rsidR="00E21FD4">
              <w:t xml:space="preserve">has been </w:t>
            </w:r>
            <w:r w:rsidR="00693980" w:rsidRPr="00A0384A">
              <w:t>split into separate draft decisions</w:t>
            </w:r>
            <w:r w:rsidR="00E21FD4">
              <w:t>: a draft decision on general issues of compliance</w:t>
            </w:r>
            <w:r w:rsidR="00693980" w:rsidRPr="00A0384A">
              <w:t xml:space="preserve"> </w:t>
            </w:r>
            <w:r w:rsidR="00693980">
              <w:t xml:space="preserve">and </w:t>
            </w:r>
            <w:r w:rsidR="00E21FD4">
              <w:t xml:space="preserve">draft decisions on </w:t>
            </w:r>
            <w:r w:rsidR="00693980">
              <w:t xml:space="preserve">separate </w:t>
            </w:r>
            <w:r w:rsidR="00E21FD4">
              <w:t>country-specific compliance issues</w:t>
            </w:r>
            <w:r w:rsidR="00693980" w:rsidRPr="00A0384A">
              <w:t>.</w:t>
            </w:r>
          </w:p>
          <w:p w14:paraId="4EA7476C" w14:textId="1DB7239B" w:rsidR="00693980" w:rsidRDefault="00693980" w:rsidP="0097792B">
            <w:pPr>
              <w:pStyle w:val="SingleTxtG"/>
            </w:pPr>
            <w:r>
              <w:tab/>
              <w:t>D</w:t>
            </w:r>
            <w:r w:rsidRPr="00A0384A">
              <w:t xml:space="preserve">raft decision </w:t>
            </w:r>
            <w:r>
              <w:t xml:space="preserve">IS/1d </w:t>
            </w:r>
            <w:r w:rsidRPr="00A0384A">
              <w:t xml:space="preserve">presents a revised version of the </w:t>
            </w:r>
            <w:r w:rsidR="004B51D7">
              <w:t xml:space="preserve">text of </w:t>
            </w:r>
            <w:r w:rsidRPr="00A0384A">
              <w:t xml:space="preserve">draft decision VII/2 </w:t>
            </w:r>
            <w:r>
              <w:t xml:space="preserve">concerning </w:t>
            </w:r>
            <w:r w:rsidRPr="000706D5">
              <w:t>the follow-up by Belarus to decision VI/2</w:t>
            </w:r>
            <w:r>
              <w:t>.</w:t>
            </w:r>
            <w:r w:rsidRPr="00A0384A">
              <w:t xml:space="preserve"> </w:t>
            </w:r>
            <w:r>
              <w:t xml:space="preserve"> </w:t>
            </w:r>
          </w:p>
          <w:p w14:paraId="7EADC352" w14:textId="161C3FD3" w:rsidR="00556575" w:rsidRPr="000706D5" w:rsidRDefault="00556575" w:rsidP="0097792B">
            <w:pPr>
              <w:pStyle w:val="SingleTxtG"/>
            </w:pPr>
            <w:r w:rsidRPr="000706D5">
              <w:tab/>
              <w:t>The Meeting of the Parties is expected to review the draft decision and agree on its adoption.</w:t>
            </w:r>
          </w:p>
        </w:tc>
      </w:tr>
      <w:tr w:rsidR="00556575" w:rsidRPr="000706D5" w14:paraId="14AEA08F" w14:textId="77777777" w:rsidTr="00556575">
        <w:trPr>
          <w:jc w:val="center"/>
        </w:trPr>
        <w:tc>
          <w:tcPr>
            <w:tcW w:w="9637" w:type="dxa"/>
            <w:shd w:val="clear" w:color="auto" w:fill="auto"/>
          </w:tcPr>
          <w:p w14:paraId="6E8F90B0" w14:textId="77777777" w:rsidR="00556575" w:rsidRPr="000706D5" w:rsidRDefault="00556575" w:rsidP="00556575"/>
        </w:tc>
      </w:tr>
    </w:tbl>
    <w:p w14:paraId="0A5241BA" w14:textId="77777777" w:rsidR="00556575" w:rsidRPr="000706D5" w:rsidRDefault="00556575" w:rsidP="00556575">
      <w:pPr>
        <w:pStyle w:val="SingleTxtG"/>
        <w:ind w:firstLine="567"/>
      </w:pPr>
      <w:r w:rsidRPr="000706D5">
        <w:br w:type="page"/>
      </w:r>
      <w:r w:rsidRPr="000706D5">
        <w:rPr>
          <w:i/>
          <w:iCs/>
        </w:rPr>
        <w:lastRenderedPageBreak/>
        <w:t>The Meeting of the Parties</w:t>
      </w:r>
      <w:r w:rsidRPr="000706D5">
        <w:t>,</w:t>
      </w:r>
    </w:p>
    <w:p w14:paraId="10B043C1" w14:textId="7F8B9ECB" w:rsidR="00556575" w:rsidRPr="000706D5" w:rsidRDefault="00556575" w:rsidP="00556575">
      <w:pPr>
        <w:pStyle w:val="SingleTxtG"/>
        <w:ind w:firstLine="567"/>
      </w:pPr>
      <w:r w:rsidRPr="000706D5">
        <w:rPr>
          <w:i/>
          <w:iCs/>
        </w:rPr>
        <w:t>Recalling</w:t>
      </w:r>
      <w:r w:rsidRPr="000706D5">
        <w:t xml:space="preserve"> article 11, paragraph 2, and article 14 bis of the Convention on </w:t>
      </w:r>
      <w:r w:rsidR="004B51D7">
        <w:t>E</w:t>
      </w:r>
      <w:r w:rsidRPr="000706D5">
        <w:t xml:space="preserve">nvironmental Impact Assessment in a Transboundary Context, </w:t>
      </w:r>
    </w:p>
    <w:p w14:paraId="55240C04" w14:textId="77777777" w:rsidR="00556575" w:rsidRPr="000706D5" w:rsidRDefault="00556575" w:rsidP="00556575">
      <w:pPr>
        <w:pStyle w:val="SingleTxtG"/>
        <w:ind w:firstLine="567"/>
      </w:pPr>
      <w:r w:rsidRPr="000706D5">
        <w:rPr>
          <w:i/>
          <w:iCs/>
        </w:rPr>
        <w:t>Recalling</w:t>
      </w:r>
      <w:r w:rsidRPr="000706D5">
        <w:t xml:space="preserve"> </w:t>
      </w:r>
      <w:r w:rsidRPr="000B6A73">
        <w:rPr>
          <w:i/>
          <w:iCs/>
        </w:rPr>
        <w:t>also</w:t>
      </w:r>
      <w:r w:rsidRPr="000706D5">
        <w:t xml:space="preserve"> its decision VI/2, paragraphs 48–64,</w:t>
      </w:r>
      <w:r w:rsidRPr="000706D5">
        <w:rPr>
          <w:vertAlign w:val="superscript"/>
        </w:rPr>
        <w:footnoteReference w:id="2"/>
      </w:r>
      <w:r w:rsidRPr="000706D5">
        <w:t xml:space="preserve"> concerning compliance by Belarus with regard to the construction of the nuclear power plant in Ostrovets, </w:t>
      </w:r>
    </w:p>
    <w:p w14:paraId="62EDEB8A" w14:textId="04917AE0" w:rsidR="00556575" w:rsidRPr="000706D5" w:rsidRDefault="00556575" w:rsidP="00556575">
      <w:pPr>
        <w:pStyle w:val="SingleTxtG"/>
        <w:ind w:firstLine="567"/>
        <w:rPr>
          <w:vertAlign w:val="superscript"/>
        </w:rPr>
      </w:pPr>
      <w:r w:rsidRPr="000706D5">
        <w:rPr>
          <w:i/>
          <w:iCs/>
        </w:rPr>
        <w:t>Recalling</w:t>
      </w:r>
      <w:r w:rsidRPr="000706D5">
        <w:t xml:space="preserve"> </w:t>
      </w:r>
      <w:r w:rsidRPr="000B6A73">
        <w:rPr>
          <w:i/>
          <w:iCs/>
        </w:rPr>
        <w:t>further</w:t>
      </w:r>
      <w:r w:rsidRPr="000706D5">
        <w:t xml:space="preserve"> its decision at its seventh session to finalize its deliberations on the review of compliance with the Convention at an intermediary session, based on a revised draft decision to be prepared by the implementation Committee and taking into account the work carried out and progress achieved before and during the seventh session</w:t>
      </w:r>
      <w:r w:rsidR="00F51DDD" w:rsidRPr="000B6A73">
        <w:t>,</w:t>
      </w:r>
      <w:r w:rsidRPr="000706D5">
        <w:rPr>
          <w:vertAlign w:val="superscript"/>
        </w:rPr>
        <w:footnoteReference w:id="3"/>
      </w:r>
    </w:p>
    <w:p w14:paraId="5C71F129" w14:textId="2A2AECD6" w:rsidR="00556575" w:rsidRPr="000706D5" w:rsidRDefault="00556575" w:rsidP="00556575">
      <w:pPr>
        <w:pStyle w:val="SingleTxtG"/>
        <w:ind w:firstLine="567"/>
      </w:pPr>
      <w:r w:rsidRPr="000706D5">
        <w:rPr>
          <w:i/>
          <w:iCs/>
        </w:rPr>
        <w:t>Having considered</w:t>
      </w:r>
      <w:r w:rsidRPr="000706D5">
        <w:t xml:space="preserve"> </w:t>
      </w:r>
      <w:r w:rsidR="00A64DCB">
        <w:t xml:space="preserve">the sections </w:t>
      </w:r>
      <w:r w:rsidRPr="000706D5">
        <w:t>concerning Belarus in the report on the activities of the Implementation Committee to the Meeting of the Parties to the Convention at its seventh session</w:t>
      </w:r>
      <w:r w:rsidRPr="000706D5">
        <w:rPr>
          <w:vertAlign w:val="superscript"/>
        </w:rPr>
        <w:footnoteReference w:id="4"/>
      </w:r>
      <w:r w:rsidRPr="000706D5">
        <w:rPr>
          <w:vertAlign w:val="superscript"/>
        </w:rPr>
        <w:t xml:space="preserve"> </w:t>
      </w:r>
      <w:r w:rsidRPr="000706D5">
        <w:t xml:space="preserve">and in the reports of the Committee </w:t>
      </w:r>
      <w:r w:rsidRPr="001A6DF4">
        <w:t xml:space="preserve">on its </w:t>
      </w:r>
      <w:r w:rsidR="00F51DDD" w:rsidRPr="001A6DF4">
        <w:t>ad hoc</w:t>
      </w:r>
      <w:r w:rsidR="00F51DDD">
        <w:t>,</w:t>
      </w:r>
      <w:r w:rsidR="00F51DDD" w:rsidRPr="000706D5">
        <w:rPr>
          <w:vertAlign w:val="superscript"/>
        </w:rPr>
        <w:footnoteReference w:id="5"/>
      </w:r>
      <w:r w:rsidR="00F51DDD" w:rsidRPr="000706D5">
        <w:t xml:space="preserve"> </w:t>
      </w:r>
      <w:r w:rsidRPr="000706D5">
        <w:t>thirty-ninth,</w:t>
      </w:r>
      <w:r w:rsidRPr="000706D5">
        <w:rPr>
          <w:vertAlign w:val="superscript"/>
        </w:rPr>
        <w:footnoteReference w:id="6"/>
      </w:r>
      <w:r w:rsidRPr="000706D5">
        <w:t xml:space="preserve"> fortieth,</w:t>
      </w:r>
      <w:r w:rsidRPr="000706D5">
        <w:rPr>
          <w:vertAlign w:val="superscript"/>
        </w:rPr>
        <w:footnoteReference w:id="7"/>
      </w:r>
      <w:r w:rsidRPr="000706D5">
        <w:rPr>
          <w:vertAlign w:val="superscript"/>
        </w:rPr>
        <w:t xml:space="preserve"> </w:t>
      </w:r>
      <w:r w:rsidRPr="000706D5">
        <w:t>forty-first</w:t>
      </w:r>
      <w:r w:rsidRPr="000706D5">
        <w:rPr>
          <w:vertAlign w:val="superscript"/>
        </w:rPr>
        <w:footnoteReference w:id="8"/>
      </w:r>
      <w:r w:rsidRPr="000706D5">
        <w:rPr>
          <w:vertAlign w:val="superscript"/>
        </w:rPr>
        <w:t xml:space="preserve"> </w:t>
      </w:r>
      <w:r w:rsidRPr="000706D5">
        <w:t>and forty-second sessions,</w:t>
      </w:r>
      <w:r w:rsidRPr="000706D5">
        <w:rPr>
          <w:vertAlign w:val="superscript"/>
        </w:rPr>
        <w:footnoteReference w:id="9"/>
      </w:r>
      <w:r w:rsidRPr="000706D5">
        <w:t xml:space="preserve"> </w:t>
      </w:r>
    </w:p>
    <w:p w14:paraId="1A3D9E8B" w14:textId="77777777" w:rsidR="00556575" w:rsidRPr="000706D5" w:rsidRDefault="00556575" w:rsidP="00556575">
      <w:pPr>
        <w:pStyle w:val="SingleTxtG"/>
        <w:ind w:firstLine="567"/>
      </w:pPr>
      <w:r w:rsidRPr="000706D5">
        <w:rPr>
          <w:i/>
          <w:iCs/>
        </w:rPr>
        <w:t>Recalling</w:t>
      </w:r>
      <w:r w:rsidRPr="000706D5">
        <w:t xml:space="preserve"> its decision IS/1 on the review of compliance with the Convention, adopted at the intermediary session, </w:t>
      </w:r>
    </w:p>
    <w:p w14:paraId="48F7FC82" w14:textId="7EC72E2C" w:rsidR="00556575" w:rsidRPr="000706D5" w:rsidRDefault="00556575" w:rsidP="00556575">
      <w:pPr>
        <w:pStyle w:val="SingleTxtG"/>
        <w:ind w:firstLine="567"/>
      </w:pPr>
      <w:r w:rsidRPr="000706D5">
        <w:t>1.</w:t>
      </w:r>
      <w:r w:rsidRPr="000706D5">
        <w:tab/>
      </w:r>
      <w:r w:rsidRPr="000706D5">
        <w:rPr>
          <w:i/>
          <w:iCs/>
        </w:rPr>
        <w:t>Notes</w:t>
      </w:r>
      <w:r w:rsidRPr="000706D5">
        <w:t xml:space="preserve"> the annual reports and information provided by Belarus and Lithuania to the Implementation Committee further to decision VI/2 (para</w:t>
      </w:r>
      <w:r w:rsidR="0016061F">
        <w:t>.</w:t>
      </w:r>
      <w:r w:rsidRPr="000706D5">
        <w:t xml:space="preserve"> 59) since the sixth session of the Meeting of the Parties;</w:t>
      </w:r>
    </w:p>
    <w:p w14:paraId="6C9EE20A" w14:textId="4BCC869D" w:rsidR="00556575" w:rsidRPr="000706D5" w:rsidRDefault="00556575" w:rsidP="00556575">
      <w:pPr>
        <w:pStyle w:val="SingleTxtG"/>
        <w:ind w:firstLine="567"/>
      </w:pPr>
      <w:r w:rsidRPr="000706D5">
        <w:t>2.</w:t>
      </w:r>
      <w:r w:rsidRPr="000706D5">
        <w:tab/>
      </w:r>
      <w:r w:rsidRPr="000706D5">
        <w:rPr>
          <w:i/>
          <w:iCs/>
        </w:rPr>
        <w:t>Welcomes</w:t>
      </w:r>
      <w:r w:rsidRPr="000706D5">
        <w:t xml:space="preserve"> the steps taken by both Parties since the sixth session of the Meeting of the Parties to address the recommendations in decision VI/2 (paras</w:t>
      </w:r>
      <w:r w:rsidR="0016061F">
        <w:t>.</w:t>
      </w:r>
      <w:r w:rsidRPr="000706D5">
        <w:t xml:space="preserve"> 51</w:t>
      </w:r>
      <w:r w:rsidR="0016061F">
        <w:t>–</w:t>
      </w:r>
      <w:r w:rsidRPr="000706D5">
        <w:t>58,</w:t>
      </w:r>
      <w:r w:rsidR="0016061F">
        <w:t xml:space="preserve"> </w:t>
      </w:r>
      <w:r w:rsidRPr="000706D5">
        <w:t>62 and 64);</w:t>
      </w:r>
    </w:p>
    <w:p w14:paraId="2652792B" w14:textId="2DE970EF" w:rsidR="00556575" w:rsidRPr="000706D5" w:rsidRDefault="00556575" w:rsidP="00556575">
      <w:pPr>
        <w:pStyle w:val="SingleTxtG"/>
        <w:ind w:firstLine="567"/>
      </w:pPr>
      <w:r w:rsidRPr="000706D5">
        <w:t>3.</w:t>
      </w:r>
      <w:r w:rsidRPr="000706D5">
        <w:tab/>
      </w:r>
      <w:r w:rsidRPr="000706D5">
        <w:rPr>
          <w:i/>
          <w:iCs/>
        </w:rPr>
        <w:t>Commends</w:t>
      </w:r>
      <w:r w:rsidRPr="000706D5">
        <w:t xml:space="preserve"> the Implementation Committee for its thorough analysis of the steps taken by Belarus after the twenty-seventh session of the Committee, as outlined in the report of the Committee on its activities </w:t>
      </w:r>
      <w:r w:rsidR="0016061F">
        <w:t xml:space="preserve">to the Meeting of the Parties at its seventh session </w:t>
      </w:r>
      <w:r w:rsidRPr="000706D5">
        <w:t>and the reports of the Committee</w:t>
      </w:r>
      <w:r w:rsidR="0016061F">
        <w:t>’</w:t>
      </w:r>
      <w:r w:rsidRPr="000706D5">
        <w:t xml:space="preserve">s </w:t>
      </w:r>
      <w:r w:rsidR="0016061F">
        <w:t xml:space="preserve">ad hoc, </w:t>
      </w:r>
      <w:r w:rsidRPr="000706D5">
        <w:t>thirty-ninth, fortieth, forty-first and forty-second sessions;</w:t>
      </w:r>
    </w:p>
    <w:p w14:paraId="44FF30E0" w14:textId="296D98E8" w:rsidR="00556575" w:rsidRPr="000706D5" w:rsidRDefault="00556575" w:rsidP="00556575">
      <w:pPr>
        <w:pStyle w:val="SingleTxtG"/>
        <w:ind w:firstLine="567"/>
      </w:pPr>
      <w:r w:rsidRPr="000706D5">
        <w:t>4.</w:t>
      </w:r>
      <w:r w:rsidRPr="000706D5">
        <w:tab/>
      </w:r>
      <w:r w:rsidRPr="000706D5">
        <w:rPr>
          <w:i/>
          <w:iCs/>
        </w:rPr>
        <w:t xml:space="preserve">Endorses </w:t>
      </w:r>
      <w:r w:rsidRPr="000706D5">
        <w:t>the finding of the Implementation Committee that Belarus had taken all the required procedural steps to reach the final decision on the planned activity at Ostrovets, as provided for in the Convention</w:t>
      </w:r>
      <w:r w:rsidR="00F51DDD">
        <w:t>;</w:t>
      </w:r>
      <w:r w:rsidRPr="000706D5">
        <w:rPr>
          <w:vertAlign w:val="superscript"/>
        </w:rPr>
        <w:footnoteReference w:id="10"/>
      </w:r>
    </w:p>
    <w:p w14:paraId="0D02DB71" w14:textId="28BD1FA0" w:rsidR="00556575" w:rsidRPr="000706D5" w:rsidRDefault="00556575" w:rsidP="00556575">
      <w:pPr>
        <w:pStyle w:val="SingleTxtG"/>
        <w:ind w:firstLine="567"/>
      </w:pPr>
      <w:r w:rsidRPr="000706D5">
        <w:t>5.</w:t>
      </w:r>
      <w:r w:rsidRPr="000706D5">
        <w:tab/>
      </w:r>
      <w:r w:rsidR="00F51DDD" w:rsidRPr="000B6A73">
        <w:rPr>
          <w:i/>
          <w:iCs/>
        </w:rPr>
        <w:t>Also e</w:t>
      </w:r>
      <w:r w:rsidRPr="000706D5">
        <w:rPr>
          <w:i/>
          <w:iCs/>
        </w:rPr>
        <w:t>ndorses</w:t>
      </w:r>
      <w:r w:rsidRPr="000706D5">
        <w:t xml:space="preserve"> the finding of the Implementation Committee that the essence of the compliance matter </w:t>
      </w:r>
      <w:r w:rsidR="0016061F">
        <w:t xml:space="preserve">concerned </w:t>
      </w:r>
      <w:r w:rsidRPr="000706D5">
        <w:t>unresolved substantive aspects of the environmental impact assessment documentation</w:t>
      </w:r>
      <w:r w:rsidR="0016061F">
        <w:t>,</w:t>
      </w:r>
      <w:r w:rsidRPr="000706D5">
        <w:t xml:space="preserve"> </w:t>
      </w:r>
      <w:r w:rsidR="0016061F">
        <w:t xml:space="preserve">which it addressed </w:t>
      </w:r>
      <w:r w:rsidRPr="000706D5">
        <w:t>in the questions referred to in para</w:t>
      </w:r>
      <w:r w:rsidR="0016061F">
        <w:t>graph</w:t>
      </w:r>
      <w:r w:rsidRPr="000706D5">
        <w:t xml:space="preserve"> 8 below, including reasonable locational alternatives and the methodology and data used in determining the siting;</w:t>
      </w:r>
    </w:p>
    <w:p w14:paraId="41A93E44" w14:textId="658EDE55" w:rsidR="00556575" w:rsidRPr="000706D5" w:rsidRDefault="00556575" w:rsidP="00556575">
      <w:pPr>
        <w:pStyle w:val="SingleTxtG"/>
        <w:ind w:firstLine="567"/>
      </w:pPr>
      <w:r w:rsidRPr="000706D5">
        <w:lastRenderedPageBreak/>
        <w:t>6.</w:t>
      </w:r>
      <w:r w:rsidRPr="000706D5">
        <w:tab/>
      </w:r>
      <w:r w:rsidRPr="000706D5">
        <w:rPr>
          <w:i/>
          <w:iCs/>
        </w:rPr>
        <w:t>Further endorses</w:t>
      </w:r>
      <w:r w:rsidRPr="000706D5">
        <w:t xml:space="preserve"> the finding of the Implementation Committee that </w:t>
      </w:r>
      <w:r w:rsidR="0016061F">
        <w:t xml:space="preserve">to </w:t>
      </w:r>
      <w:r w:rsidRPr="000706D5">
        <w:t xml:space="preserve">reach </w:t>
      </w:r>
      <w:r w:rsidR="0016061F">
        <w:t xml:space="preserve">a </w:t>
      </w:r>
      <w:r w:rsidRPr="000706D5">
        <w:t xml:space="preserve">final conclusion on whether Belarus complied with its obligations under the Convention both procedural and substantive aspects of the </w:t>
      </w:r>
      <w:r w:rsidR="0016061F">
        <w:t xml:space="preserve">environmental impact assessment </w:t>
      </w:r>
      <w:r w:rsidRPr="000706D5">
        <w:t xml:space="preserve">procedure </w:t>
      </w:r>
      <w:r w:rsidR="0016061F">
        <w:t xml:space="preserve">had </w:t>
      </w:r>
      <w:r w:rsidRPr="000706D5">
        <w:t>to be examined</w:t>
      </w:r>
      <w:r w:rsidR="0016061F">
        <w:t>,</w:t>
      </w:r>
      <w:r w:rsidRPr="000706D5">
        <w:t xml:space="preserve"> since these two aspects could not necessarily be treated separately;</w:t>
      </w:r>
      <w:r w:rsidRPr="000706D5">
        <w:rPr>
          <w:vertAlign w:val="superscript"/>
        </w:rPr>
        <w:footnoteReference w:id="11"/>
      </w:r>
    </w:p>
    <w:p w14:paraId="14C683BB" w14:textId="34F45333" w:rsidR="00556575" w:rsidRPr="000706D5" w:rsidRDefault="00556575" w:rsidP="00556575">
      <w:pPr>
        <w:pStyle w:val="SingleTxtG"/>
        <w:ind w:firstLine="567"/>
      </w:pPr>
      <w:r w:rsidRPr="000706D5">
        <w:t>7.</w:t>
      </w:r>
      <w:r w:rsidRPr="000706D5">
        <w:tab/>
      </w:r>
      <w:r w:rsidRPr="000706D5">
        <w:rPr>
          <w:i/>
          <w:iCs/>
        </w:rPr>
        <w:t>Notes</w:t>
      </w:r>
      <w:r w:rsidRPr="000706D5">
        <w:t xml:space="preserve"> that </w:t>
      </w:r>
      <w:r w:rsidR="0016061F">
        <w:t xml:space="preserve">to enable it to reach its </w:t>
      </w:r>
      <w:r w:rsidRPr="000706D5">
        <w:t>final conclusion the Implementation Committee identified the need for additional resources and specific expertise that were not made available to it;</w:t>
      </w:r>
    </w:p>
    <w:p w14:paraId="1EB86C49" w14:textId="1C2889B8" w:rsidR="00556575" w:rsidRPr="000706D5" w:rsidRDefault="00556575" w:rsidP="00556575">
      <w:pPr>
        <w:pStyle w:val="SingleTxtG"/>
        <w:ind w:firstLine="567"/>
      </w:pPr>
      <w:r w:rsidRPr="000706D5">
        <w:t>8.</w:t>
      </w:r>
      <w:r w:rsidRPr="000706D5">
        <w:tab/>
      </w:r>
      <w:r w:rsidRPr="000706D5">
        <w:rPr>
          <w:i/>
          <w:iCs/>
        </w:rPr>
        <w:t xml:space="preserve">Acknowledges </w:t>
      </w:r>
      <w:r w:rsidRPr="000706D5">
        <w:t>the efforts of the Implementation Committee to seek external expert advice, notably on technical and scientific questions related to the environmental impact assessment documentation that it had identified in order to conclude its deliberations on the matter;</w:t>
      </w:r>
      <w:r w:rsidRPr="000706D5">
        <w:rPr>
          <w:vertAlign w:val="superscript"/>
        </w:rPr>
        <w:footnoteReference w:id="12"/>
      </w:r>
    </w:p>
    <w:p w14:paraId="241EEDB6" w14:textId="3983A722" w:rsidR="00556575" w:rsidRPr="000706D5" w:rsidRDefault="00556575" w:rsidP="00556575">
      <w:pPr>
        <w:pStyle w:val="SingleTxtG"/>
        <w:ind w:firstLine="567"/>
      </w:pPr>
      <w:r w:rsidRPr="000706D5">
        <w:t>9.</w:t>
      </w:r>
      <w:r w:rsidRPr="000706D5">
        <w:tab/>
      </w:r>
      <w:r w:rsidRPr="000706D5">
        <w:rPr>
          <w:i/>
          <w:iCs/>
        </w:rPr>
        <w:t>Notes</w:t>
      </w:r>
      <w:r w:rsidRPr="000706D5">
        <w:t xml:space="preserve"> that having exhausted all the avenues for receiving external expert advice, including from the two concerned Parties and </w:t>
      </w:r>
      <w:r w:rsidR="00BE3B3B">
        <w:t xml:space="preserve">the </w:t>
      </w:r>
      <w:r w:rsidRPr="000706D5">
        <w:t xml:space="preserve">International Atomic Energy Agency, and considering the unprecedented circumstances related to the compliance matter, the Committee decided exceptionally to examine the documentation prepared by Belarus under the environmental impact assessment procedure and, as appropriate, seek the services of scientific experts and other technical advice or consult other relevant sources in accordance with </w:t>
      </w:r>
      <w:r w:rsidR="00646B53">
        <w:t xml:space="preserve">the Committee’s </w:t>
      </w:r>
      <w:r w:rsidRPr="000706D5">
        <w:t>structure and functions;</w:t>
      </w:r>
      <w:r w:rsidR="00646B53">
        <w:rPr>
          <w:rStyle w:val="FootnoteReference"/>
        </w:rPr>
        <w:footnoteReference w:id="13"/>
      </w:r>
    </w:p>
    <w:p w14:paraId="519213A4" w14:textId="0F476D0B" w:rsidR="00556575" w:rsidRPr="000706D5" w:rsidRDefault="00556575" w:rsidP="00556575">
      <w:pPr>
        <w:pStyle w:val="SingleTxtG"/>
        <w:ind w:firstLine="567"/>
      </w:pPr>
      <w:r w:rsidRPr="000706D5">
        <w:t>10.</w:t>
      </w:r>
      <w:r w:rsidRPr="000706D5">
        <w:tab/>
      </w:r>
      <w:r w:rsidRPr="000706D5">
        <w:rPr>
          <w:i/>
          <w:iCs/>
        </w:rPr>
        <w:t>Acknowledges</w:t>
      </w:r>
      <w:r w:rsidRPr="000706D5">
        <w:t xml:space="preserve"> the extensive work of the Committee to examine the environmental impact assessment documentation and the decisions taken by Belarus based on the </w:t>
      </w:r>
      <w:r w:rsidR="00BE3B3B">
        <w:t xml:space="preserve">environmental impact assessment </w:t>
      </w:r>
      <w:r w:rsidRPr="000706D5">
        <w:t>procedure</w:t>
      </w:r>
      <w:r w:rsidR="00BE3B3B">
        <w:t>,</w:t>
      </w:r>
      <w:r w:rsidRPr="000706D5">
        <w:t xml:space="preserve"> </w:t>
      </w:r>
      <w:r w:rsidR="00BE3B3B">
        <w:t xml:space="preserve">and also the Committee’s </w:t>
      </w:r>
      <w:r w:rsidRPr="000706D5">
        <w:t>efforts to seek clarifications from Belarus, in particular to cover information gaps regarding the justification of the selection of the Ostrovets site over the alternative sites;</w:t>
      </w:r>
    </w:p>
    <w:p w14:paraId="6C086114" w14:textId="36DA1AF6" w:rsidR="00556575" w:rsidRPr="000706D5" w:rsidRDefault="00556575" w:rsidP="00556575">
      <w:pPr>
        <w:pStyle w:val="SingleTxtG"/>
        <w:ind w:firstLine="567"/>
      </w:pPr>
      <w:r w:rsidRPr="000706D5">
        <w:t>11.</w:t>
      </w:r>
      <w:r w:rsidRPr="000706D5">
        <w:tab/>
      </w:r>
      <w:r w:rsidRPr="000706D5">
        <w:rPr>
          <w:i/>
          <w:iCs/>
        </w:rPr>
        <w:t>Regrets</w:t>
      </w:r>
      <w:r w:rsidRPr="000706D5">
        <w:t xml:space="preserve"> that</w:t>
      </w:r>
      <w:r w:rsidR="00BE3B3B">
        <w:t>,</w:t>
      </w:r>
      <w:r w:rsidRPr="000706D5">
        <w:t xml:space="preserve"> despite several opportunities it was given </w:t>
      </w:r>
      <w:r w:rsidR="00BE3B3B">
        <w:t xml:space="preserve">to do so </w:t>
      </w:r>
      <w:r w:rsidRPr="000706D5">
        <w:t>by the Implementation Committee, Belarus failed to provide the Committee with the information referred to in para</w:t>
      </w:r>
      <w:r w:rsidR="00BE3B3B">
        <w:t>graph</w:t>
      </w:r>
      <w:r w:rsidRPr="000706D5">
        <w:t xml:space="preserve"> 10 above;</w:t>
      </w:r>
    </w:p>
    <w:p w14:paraId="188128B1" w14:textId="77777777" w:rsidR="00556575" w:rsidRPr="000706D5" w:rsidRDefault="00556575" w:rsidP="00556575">
      <w:pPr>
        <w:pStyle w:val="SingleTxtG"/>
        <w:ind w:firstLine="567"/>
      </w:pPr>
      <w:r w:rsidRPr="000706D5">
        <w:t>12.</w:t>
      </w:r>
      <w:r w:rsidRPr="000706D5">
        <w:tab/>
      </w:r>
      <w:r w:rsidRPr="000706D5">
        <w:rPr>
          <w:i/>
          <w:iCs/>
        </w:rPr>
        <w:t>Endorses</w:t>
      </w:r>
      <w:r w:rsidRPr="000706D5">
        <w:t xml:space="preserve"> the findings of the Implementation Committee that, on the basis of its assessment, the environmental impact assessment documentation of Belarus on the Ostrovets nuclear power plant includes information that sufficiently addresses issues referred to in technical and scientific questions related specifically to the Ostrovets site;</w:t>
      </w:r>
      <w:r w:rsidRPr="000706D5">
        <w:rPr>
          <w:vertAlign w:val="superscript"/>
        </w:rPr>
        <w:footnoteReference w:id="14"/>
      </w:r>
    </w:p>
    <w:p w14:paraId="2E02BB7C" w14:textId="20E77D4D" w:rsidR="00556575" w:rsidRPr="000706D5" w:rsidRDefault="00556575" w:rsidP="00556575">
      <w:pPr>
        <w:pStyle w:val="SingleTxtG"/>
        <w:ind w:firstLine="567"/>
      </w:pPr>
      <w:r w:rsidRPr="000706D5">
        <w:t>13.</w:t>
      </w:r>
      <w:r w:rsidRPr="000706D5">
        <w:tab/>
      </w:r>
      <w:r w:rsidR="00F51DDD">
        <w:rPr>
          <w:i/>
          <w:iCs/>
        </w:rPr>
        <w:t>Also e</w:t>
      </w:r>
      <w:r w:rsidRPr="000706D5">
        <w:rPr>
          <w:i/>
          <w:iCs/>
        </w:rPr>
        <w:t>ndorses</w:t>
      </w:r>
      <w:r w:rsidRPr="000706D5">
        <w:t xml:space="preserve"> the findings of the Implementation Committee that the environmental impact assessment documentation, which was made available to the affected parties and the public, makes reference to locational alternatives for a nuclear power plant and to criteria for the site selection, but does not provide sufficient information supporting and justifying the selection of the Ostrovets site to take the final decision on the activity in accordance with the Convention;</w:t>
      </w:r>
      <w:r w:rsidRPr="000706D5">
        <w:rPr>
          <w:vertAlign w:val="superscript"/>
        </w:rPr>
        <w:footnoteReference w:id="15"/>
      </w:r>
    </w:p>
    <w:p w14:paraId="39DF4BD4" w14:textId="68E944E1" w:rsidR="00556575" w:rsidRPr="000706D5" w:rsidRDefault="00556575" w:rsidP="00556575">
      <w:pPr>
        <w:pStyle w:val="SingleTxtG"/>
        <w:ind w:firstLine="567"/>
      </w:pPr>
      <w:r w:rsidRPr="000706D5">
        <w:t>14.</w:t>
      </w:r>
      <w:r w:rsidRPr="000706D5">
        <w:tab/>
      </w:r>
      <w:r w:rsidR="00F51DDD">
        <w:rPr>
          <w:i/>
          <w:iCs/>
        </w:rPr>
        <w:t>Further e</w:t>
      </w:r>
      <w:r w:rsidRPr="000706D5">
        <w:rPr>
          <w:i/>
          <w:iCs/>
        </w:rPr>
        <w:t xml:space="preserve">ndorses </w:t>
      </w:r>
      <w:r w:rsidRPr="000706D5">
        <w:t xml:space="preserve">the findings of the Implementation Committee, that by not providing such evidence in the </w:t>
      </w:r>
      <w:r w:rsidR="00BE3B3B">
        <w:t>environmental impact assessment</w:t>
      </w:r>
      <w:r w:rsidRPr="000706D5">
        <w:t xml:space="preserve"> documentation and the final decision on the activity, Belarus failed to comply with article 4, paragraph 1, article 5, paragraph (a)</w:t>
      </w:r>
      <w:r w:rsidR="00BE3B3B">
        <w:t>,</w:t>
      </w:r>
      <w:r w:rsidRPr="000706D5">
        <w:t xml:space="preserve"> and article 6, paragraph 1, of the Convention;</w:t>
      </w:r>
      <w:r w:rsidRPr="000706D5">
        <w:rPr>
          <w:vertAlign w:val="superscript"/>
        </w:rPr>
        <w:footnoteReference w:id="16"/>
      </w:r>
    </w:p>
    <w:p w14:paraId="466CDE4E" w14:textId="58046160" w:rsidR="00556575" w:rsidRPr="000706D5" w:rsidRDefault="00556575" w:rsidP="00556575">
      <w:pPr>
        <w:pStyle w:val="SingleTxtG"/>
        <w:ind w:firstLine="567"/>
      </w:pPr>
      <w:r w:rsidRPr="000706D5">
        <w:lastRenderedPageBreak/>
        <w:t>15.</w:t>
      </w:r>
      <w:r w:rsidRPr="000706D5">
        <w:tab/>
      </w:r>
      <w:r w:rsidRPr="000706D5">
        <w:rPr>
          <w:i/>
          <w:iCs/>
        </w:rPr>
        <w:t>Urges</w:t>
      </w:r>
      <w:r w:rsidRPr="000706D5">
        <w:t xml:space="preserve"> Belarus to ensure that, in the context of any future decision-making regarding any planned activity that falls under the Convention, the Convention is applied ensuring that the environmental impact assessment documentation contain</w:t>
      </w:r>
      <w:r w:rsidR="00BE3B3B">
        <w:t>s</w:t>
      </w:r>
      <w:r w:rsidRPr="000706D5">
        <w:t xml:space="preserve"> a proper evaluation of reasonable alternatives, including the no-action alternative, and justification for the selection of the option decided upon;</w:t>
      </w:r>
    </w:p>
    <w:p w14:paraId="59992B74" w14:textId="0085D3A3" w:rsidR="00556575" w:rsidRPr="000706D5" w:rsidRDefault="00556575" w:rsidP="00556575">
      <w:pPr>
        <w:pStyle w:val="SingleTxtG"/>
        <w:ind w:firstLine="567"/>
      </w:pPr>
      <w:r w:rsidRPr="000706D5">
        <w:t>16.</w:t>
      </w:r>
      <w:r w:rsidRPr="000706D5">
        <w:tab/>
      </w:r>
      <w:r w:rsidRPr="000706D5">
        <w:rPr>
          <w:i/>
          <w:iCs/>
        </w:rPr>
        <w:t>Expresses</w:t>
      </w:r>
      <w:r w:rsidRPr="000706D5">
        <w:t xml:space="preserve"> </w:t>
      </w:r>
      <w:r w:rsidRPr="000B6A73">
        <w:rPr>
          <w:i/>
          <w:iCs/>
        </w:rPr>
        <w:t>regret</w:t>
      </w:r>
      <w:r w:rsidRPr="000706D5">
        <w:t xml:space="preserve"> that the bilateral agreement for the implementation of the Convention has not yet been concluded, encourages Belarus and Lithuania to accelerate the preparation of such an agreement further to article 8 of the Convention and requests </w:t>
      </w:r>
      <w:r w:rsidR="000D7D5F">
        <w:t xml:space="preserve">Belarus and Lithuania </w:t>
      </w:r>
      <w:r w:rsidRPr="000706D5">
        <w:t xml:space="preserve">to report </w:t>
      </w:r>
      <w:r w:rsidR="00BE3B3B">
        <w:t xml:space="preserve">to the Meeting of the Parties </w:t>
      </w:r>
      <w:r w:rsidRPr="000706D5">
        <w:t xml:space="preserve">at </w:t>
      </w:r>
      <w:r w:rsidR="00BE3B3B">
        <w:t xml:space="preserve">its </w:t>
      </w:r>
      <w:r w:rsidRPr="000706D5">
        <w:t>eight</w:t>
      </w:r>
      <w:r w:rsidR="00F51DDD">
        <w:t>h</w:t>
      </w:r>
      <w:r w:rsidRPr="000706D5">
        <w:t xml:space="preserve"> session</w:t>
      </w:r>
      <w:r w:rsidR="000D7D5F">
        <w:t xml:space="preserve"> </w:t>
      </w:r>
      <w:r w:rsidR="000D7D5F" w:rsidRPr="000706D5">
        <w:t xml:space="preserve">on progress </w:t>
      </w:r>
      <w:r w:rsidR="000D7D5F">
        <w:t>in that regard</w:t>
      </w:r>
      <w:r w:rsidRPr="000706D5">
        <w:t>;</w:t>
      </w:r>
    </w:p>
    <w:p w14:paraId="6424E82A" w14:textId="77777777" w:rsidR="00556575" w:rsidRPr="000706D5" w:rsidRDefault="00556575" w:rsidP="00556575">
      <w:pPr>
        <w:pStyle w:val="SingleTxtG"/>
        <w:ind w:firstLine="567"/>
      </w:pPr>
      <w:r w:rsidRPr="000706D5">
        <w:t>17.</w:t>
      </w:r>
      <w:r w:rsidRPr="000706D5">
        <w:tab/>
      </w:r>
      <w:r w:rsidRPr="000706D5">
        <w:rPr>
          <w:i/>
          <w:iCs/>
        </w:rPr>
        <w:t>Encourages</w:t>
      </w:r>
      <w:r w:rsidRPr="000706D5">
        <w:t xml:space="preserve"> Belarus and Lithuania to continue bilateral expert consultations on issues of disagreement, including on matters that are beyond the scope of the Convention;</w:t>
      </w:r>
    </w:p>
    <w:p w14:paraId="76EB8A17" w14:textId="77777777" w:rsidR="00556575" w:rsidRPr="000706D5" w:rsidRDefault="00556575" w:rsidP="00556575">
      <w:pPr>
        <w:pStyle w:val="SingleTxtG"/>
        <w:ind w:firstLine="567"/>
      </w:pPr>
      <w:r w:rsidRPr="000706D5">
        <w:t>18.</w:t>
      </w:r>
      <w:r w:rsidRPr="000706D5">
        <w:tab/>
      </w:r>
      <w:r w:rsidRPr="000706D5">
        <w:rPr>
          <w:i/>
          <w:iCs/>
        </w:rPr>
        <w:t>Also encourages</w:t>
      </w:r>
      <w:r w:rsidRPr="000706D5">
        <w:t xml:space="preserve"> both Parties to continue working on the post-project analysis and to reach an agreement on establishing a joint bilateral body and the procedures for such analysis, in particular to ensure sufficient public participation in the framework of the post-project analysis regarding the activity at Ostrovets;</w:t>
      </w:r>
    </w:p>
    <w:p w14:paraId="451D97B4" w14:textId="77777777" w:rsidR="00556575" w:rsidRPr="000706D5" w:rsidRDefault="00556575" w:rsidP="00556575">
      <w:pPr>
        <w:pStyle w:val="SingleTxtG"/>
        <w:ind w:firstLine="567"/>
      </w:pPr>
      <w:r w:rsidRPr="000706D5">
        <w:t>19.</w:t>
      </w:r>
      <w:r w:rsidRPr="000706D5">
        <w:tab/>
      </w:r>
      <w:r w:rsidRPr="000706D5">
        <w:rPr>
          <w:i/>
          <w:iCs/>
        </w:rPr>
        <w:t xml:space="preserve">Requests </w:t>
      </w:r>
      <w:r w:rsidRPr="000706D5">
        <w:t>Belarus and Lithuania to report annually to the Implementation Committee on the progress made in implementing the recommendations in paragraphs 16 to 18 above.</w:t>
      </w:r>
    </w:p>
    <w:p w14:paraId="1B51BE44" w14:textId="61E78B0F" w:rsidR="00663EF4" w:rsidRPr="000706D5" w:rsidRDefault="00663EF4" w:rsidP="00663EF4">
      <w:pPr>
        <w:pStyle w:val="SingleTxtG"/>
        <w:spacing w:before="240" w:after="0"/>
        <w:jc w:val="center"/>
        <w:rPr>
          <w:u w:val="single"/>
        </w:rPr>
      </w:pPr>
      <w:r w:rsidRPr="000706D5">
        <w:rPr>
          <w:u w:val="single"/>
        </w:rPr>
        <w:tab/>
      </w:r>
      <w:r w:rsidR="00F51DDD">
        <w:rPr>
          <w:u w:val="single"/>
        </w:rPr>
        <w:tab/>
      </w:r>
      <w:r w:rsidRPr="000706D5">
        <w:rPr>
          <w:u w:val="single"/>
        </w:rPr>
        <w:tab/>
      </w:r>
      <w:r w:rsidRPr="000706D5">
        <w:rPr>
          <w:u w:val="single"/>
        </w:rPr>
        <w:tab/>
      </w:r>
    </w:p>
    <w:sectPr w:rsidR="00663EF4" w:rsidRPr="000706D5" w:rsidSect="0055657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0D2" w14:textId="77777777" w:rsidR="005A1F55" w:rsidRDefault="005A1F55"/>
  </w:endnote>
  <w:endnote w:type="continuationSeparator" w:id="0">
    <w:p w14:paraId="004D1987" w14:textId="77777777" w:rsidR="005A1F55" w:rsidRDefault="005A1F55"/>
  </w:endnote>
  <w:endnote w:type="continuationNotice" w:id="1">
    <w:p w14:paraId="25D9747A" w14:textId="77777777" w:rsidR="005A1F55" w:rsidRDefault="005A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ADE3" w14:textId="5063085D" w:rsidR="00556575" w:rsidRPr="00556575" w:rsidRDefault="00556575" w:rsidP="00556575">
    <w:pPr>
      <w:pStyle w:val="Footer"/>
      <w:tabs>
        <w:tab w:val="right" w:pos="9638"/>
      </w:tabs>
      <w:rPr>
        <w:sz w:val="18"/>
      </w:rPr>
    </w:pPr>
    <w:r w:rsidRPr="00556575">
      <w:rPr>
        <w:b/>
        <w:sz w:val="18"/>
      </w:rPr>
      <w:fldChar w:fldCharType="begin"/>
    </w:r>
    <w:r w:rsidRPr="00556575">
      <w:rPr>
        <w:b/>
        <w:sz w:val="18"/>
      </w:rPr>
      <w:instrText xml:space="preserve"> PAGE  \* MERGEFORMAT </w:instrText>
    </w:r>
    <w:r w:rsidRPr="00556575">
      <w:rPr>
        <w:b/>
        <w:sz w:val="18"/>
      </w:rPr>
      <w:fldChar w:fldCharType="separate"/>
    </w:r>
    <w:r w:rsidR="00EF5864">
      <w:rPr>
        <w:b/>
        <w:noProof/>
        <w:sz w:val="18"/>
      </w:rPr>
      <w:t>2</w:t>
    </w:r>
    <w:r w:rsidRPr="0055657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9976" w14:textId="38315EF6" w:rsidR="00556575" w:rsidRPr="00556575" w:rsidRDefault="00556575" w:rsidP="00556575">
    <w:pPr>
      <w:pStyle w:val="Footer"/>
      <w:tabs>
        <w:tab w:val="right" w:pos="9638"/>
      </w:tabs>
      <w:rPr>
        <w:b/>
        <w:sz w:val="18"/>
      </w:rPr>
    </w:pPr>
    <w:r>
      <w:tab/>
    </w:r>
    <w:r w:rsidRPr="00556575">
      <w:rPr>
        <w:b/>
        <w:sz w:val="18"/>
      </w:rPr>
      <w:fldChar w:fldCharType="begin"/>
    </w:r>
    <w:r w:rsidRPr="00556575">
      <w:rPr>
        <w:b/>
        <w:sz w:val="18"/>
      </w:rPr>
      <w:instrText xml:space="preserve"> PAGE  \* MERGEFORMAT </w:instrText>
    </w:r>
    <w:r w:rsidRPr="00556575">
      <w:rPr>
        <w:b/>
        <w:sz w:val="18"/>
      </w:rPr>
      <w:fldChar w:fldCharType="separate"/>
    </w:r>
    <w:r w:rsidR="0097792B">
      <w:rPr>
        <w:b/>
        <w:noProof/>
        <w:sz w:val="18"/>
      </w:rPr>
      <w:t>3</w:t>
    </w:r>
    <w:r w:rsidRPr="005565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9F0E" w14:textId="6BBB1784" w:rsidR="0097792B" w:rsidRDefault="0097792B" w:rsidP="0097792B">
    <w:pPr>
      <w:pStyle w:val="Footer"/>
    </w:pPr>
    <w:r>
      <w:rPr>
        <w:noProof/>
        <w:lang w:eastAsia="zh-CN"/>
      </w:rPr>
      <w:drawing>
        <wp:anchor distT="0" distB="0" distL="114300" distR="114300" simplePos="0" relativeHeight="251659264" behindDoc="1" locked="1" layoutInCell="1" allowOverlap="1" wp14:anchorId="1E4F81D2" wp14:editId="409CB359">
          <wp:simplePos x="0" y="0"/>
          <wp:positionH relativeFrom="margin">
            <wp:posOffset>4320540</wp:posOffset>
          </wp:positionH>
          <wp:positionV relativeFrom="margin">
            <wp:posOffset>8342630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3821359" w14:textId="3E37F9DF" w:rsidR="0097792B" w:rsidRDefault="0097792B" w:rsidP="0097792B">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14:anchorId="7B72CA5C" wp14:editId="52AE1DB1">
          <wp:simplePos x="0" y="0"/>
          <wp:positionH relativeFrom="margin">
            <wp:posOffset>5478780</wp:posOffset>
          </wp:positionH>
          <wp:positionV relativeFrom="margin">
            <wp:posOffset>8047444</wp:posOffset>
          </wp:positionV>
          <wp:extent cx="638175" cy="638175"/>
          <wp:effectExtent l="0" t="0" r="9525" b="9525"/>
          <wp:wrapNone/>
          <wp:docPr id="2" name="Picture 1" descr="https://undocs.org/m2/QRCode.ashx?DS=ECE/MP.EIA/2019/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GE.18-19568(E)</w:t>
    </w:r>
  </w:p>
  <w:p w14:paraId="54382AE7" w14:textId="4EE18F01" w:rsidR="0097792B" w:rsidRPr="0097792B" w:rsidRDefault="0097792B" w:rsidP="0097792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884A" w14:textId="77777777" w:rsidR="005A1F55" w:rsidRPr="000B175B" w:rsidRDefault="005A1F55" w:rsidP="000B175B">
      <w:pPr>
        <w:tabs>
          <w:tab w:val="right" w:pos="2155"/>
        </w:tabs>
        <w:spacing w:after="80"/>
        <w:ind w:left="680"/>
        <w:rPr>
          <w:u w:val="single"/>
        </w:rPr>
      </w:pPr>
      <w:r>
        <w:rPr>
          <w:u w:val="single"/>
        </w:rPr>
        <w:tab/>
      </w:r>
    </w:p>
  </w:footnote>
  <w:footnote w:type="continuationSeparator" w:id="0">
    <w:p w14:paraId="536D3C4D" w14:textId="77777777" w:rsidR="005A1F55" w:rsidRPr="00FC68B7" w:rsidRDefault="005A1F55" w:rsidP="00FC68B7">
      <w:pPr>
        <w:tabs>
          <w:tab w:val="left" w:pos="2155"/>
        </w:tabs>
        <w:spacing w:after="80"/>
        <w:ind w:left="680"/>
        <w:rPr>
          <w:u w:val="single"/>
        </w:rPr>
      </w:pPr>
      <w:r>
        <w:rPr>
          <w:u w:val="single"/>
        </w:rPr>
        <w:tab/>
      </w:r>
    </w:p>
  </w:footnote>
  <w:footnote w:type="continuationNotice" w:id="1">
    <w:p w14:paraId="7C204C5A" w14:textId="77777777" w:rsidR="005A1F55" w:rsidRDefault="005A1F55"/>
  </w:footnote>
  <w:footnote w:id="2">
    <w:p w14:paraId="1CE0DFA4" w14:textId="77777777" w:rsidR="00556575" w:rsidRPr="00602A36" w:rsidRDefault="00556575" w:rsidP="00556575">
      <w:pPr>
        <w:pStyle w:val="FootnoteText"/>
        <w:tabs>
          <w:tab w:val="clear" w:pos="1021"/>
          <w:tab w:val="right" w:pos="1020"/>
        </w:tabs>
        <w:rPr>
          <w:lang w:val="en-US"/>
        </w:rPr>
      </w:pPr>
      <w:r>
        <w:tab/>
      </w:r>
      <w:r>
        <w:rPr>
          <w:rStyle w:val="FootnoteReference"/>
        </w:rPr>
        <w:footnoteRef/>
      </w:r>
      <w:r>
        <w:tab/>
      </w:r>
      <w:r w:rsidRPr="00F62961">
        <w:t>See ECE/MP.EIA/20/Add.1-ECE/MP.EIA/SEA/4/Add.1.</w:t>
      </w:r>
    </w:p>
  </w:footnote>
  <w:footnote w:id="3">
    <w:p w14:paraId="79F05630" w14:textId="77777777" w:rsidR="00556575" w:rsidRPr="00F62961" w:rsidRDefault="00556575" w:rsidP="00556575">
      <w:pPr>
        <w:pStyle w:val="FootnoteText"/>
      </w:pPr>
      <w:r>
        <w:tab/>
      </w:r>
      <w:r>
        <w:rPr>
          <w:rStyle w:val="FootnoteReference"/>
        </w:rPr>
        <w:footnoteRef/>
      </w:r>
      <w:r>
        <w:tab/>
        <w:t>See ECE/MP.EIA/23-ECE/MP.EIA/SEA/7, para. 27. See also draft decision VII/2 (ECE/MP.EIA/2017/8).</w:t>
      </w:r>
    </w:p>
  </w:footnote>
  <w:footnote w:id="4">
    <w:p w14:paraId="142777CF" w14:textId="095D7758" w:rsidR="00556575" w:rsidRPr="00C95C91" w:rsidRDefault="00556575" w:rsidP="00556575">
      <w:pPr>
        <w:pStyle w:val="FootnoteText"/>
        <w:rPr>
          <w:lang w:val="en-US"/>
        </w:rPr>
      </w:pPr>
      <w:r>
        <w:tab/>
      </w:r>
      <w:r>
        <w:rPr>
          <w:rStyle w:val="FootnoteReference"/>
        </w:rPr>
        <w:footnoteRef/>
      </w:r>
      <w:r>
        <w:tab/>
      </w:r>
      <w:r w:rsidRPr="00F62961">
        <w:t>ECE/MP.EIA/2017/4-ECE/MP.EIA/SEA/2017/4</w:t>
      </w:r>
      <w:r w:rsidR="00A64DCB">
        <w:t>, paras. 36–44</w:t>
      </w:r>
      <w:r w:rsidRPr="00F62961">
        <w:t>.</w:t>
      </w:r>
    </w:p>
  </w:footnote>
  <w:footnote w:id="5">
    <w:p w14:paraId="6E9BEDBA" w14:textId="2139897E" w:rsidR="00F51DDD" w:rsidRPr="00AE60FB" w:rsidRDefault="00F51DDD" w:rsidP="00F51DDD">
      <w:pPr>
        <w:pStyle w:val="FootnoteText"/>
        <w:rPr>
          <w:lang w:val="en-US"/>
        </w:rPr>
      </w:pPr>
      <w:r>
        <w:tab/>
      </w:r>
      <w:r>
        <w:rPr>
          <w:rStyle w:val="FootnoteReference"/>
        </w:rPr>
        <w:footnoteRef/>
      </w:r>
      <w:r>
        <w:tab/>
      </w:r>
      <w:r w:rsidR="00A64DCB">
        <w:t xml:space="preserve">See Informal document </w:t>
      </w:r>
      <w:r w:rsidR="00A64DCB" w:rsidRPr="00B2681E">
        <w:rPr>
          <w:lang w:val="en-US"/>
        </w:rPr>
        <w:t>ECE/MP.EIA/IC/ad-hoc/2017/INF.6</w:t>
      </w:r>
      <w:r w:rsidR="00A64DCB">
        <w:rPr>
          <w:lang w:val="en-US"/>
        </w:rPr>
        <w:t xml:space="preserve">, available from </w:t>
      </w:r>
      <w:hyperlink r:id="rId1" w:history="1">
        <w:r w:rsidR="000B6A73" w:rsidRPr="000A2274">
          <w:rPr>
            <w:rStyle w:val="Hyperlink"/>
            <w:lang w:val="en-US"/>
          </w:rPr>
          <w:t>https://www.unece.org/index.php?id=48313</w:t>
        </w:r>
      </w:hyperlink>
      <w:r w:rsidR="000B6A73" w:rsidRPr="000B6A73">
        <w:rPr>
          <w:lang w:val="en-US"/>
        </w:rPr>
        <w:t>, paras 7–11</w:t>
      </w:r>
      <w:r w:rsidRPr="000B6A73">
        <w:rPr>
          <w:lang w:val="es-ES"/>
        </w:rPr>
        <w:t>.</w:t>
      </w:r>
    </w:p>
  </w:footnote>
  <w:footnote w:id="6">
    <w:p w14:paraId="492C0A27" w14:textId="77777777" w:rsidR="00556575" w:rsidRPr="00A255CD" w:rsidRDefault="00556575" w:rsidP="00556575">
      <w:pPr>
        <w:pStyle w:val="FootnoteText"/>
        <w:rPr>
          <w:lang w:val="en-US"/>
        </w:rPr>
      </w:pPr>
      <w:r>
        <w:tab/>
      </w:r>
      <w:r>
        <w:rPr>
          <w:rStyle w:val="FootnoteReference"/>
        </w:rPr>
        <w:footnoteRef/>
      </w:r>
      <w:r>
        <w:tab/>
      </w:r>
      <w:r w:rsidRPr="00F62961">
        <w:t>ECE/MP.EIA/IC/2017/4, para. 36</w:t>
      </w:r>
      <w:r>
        <w:t>.</w:t>
      </w:r>
    </w:p>
  </w:footnote>
  <w:footnote w:id="7">
    <w:p w14:paraId="25D4AFE8" w14:textId="490FD2AA" w:rsidR="00556575" w:rsidRPr="00A255CD" w:rsidRDefault="00556575" w:rsidP="00556575">
      <w:pPr>
        <w:pStyle w:val="FootnoteText"/>
        <w:rPr>
          <w:lang w:val="en-US"/>
        </w:rPr>
      </w:pPr>
      <w:r>
        <w:tab/>
      </w:r>
      <w:r>
        <w:rPr>
          <w:rStyle w:val="FootnoteReference"/>
        </w:rPr>
        <w:footnoteRef/>
      </w:r>
      <w:r>
        <w:tab/>
      </w:r>
      <w:r w:rsidRPr="00D72F70">
        <w:rPr>
          <w:lang w:val="es-ES"/>
        </w:rPr>
        <w:t>ECE/MP.EIA/IC/2017/6, paras. 27</w:t>
      </w:r>
      <w:r w:rsidR="00F51DDD">
        <w:rPr>
          <w:lang w:val="es-ES"/>
        </w:rPr>
        <w:t>–</w:t>
      </w:r>
      <w:r w:rsidRPr="00D72F70">
        <w:rPr>
          <w:lang w:val="es-ES"/>
        </w:rPr>
        <w:t>36.</w:t>
      </w:r>
    </w:p>
  </w:footnote>
  <w:footnote w:id="8">
    <w:p w14:paraId="6B6D22CF" w14:textId="7F119F64" w:rsidR="00556575" w:rsidRPr="00A255CD" w:rsidRDefault="00556575" w:rsidP="00556575">
      <w:pPr>
        <w:pStyle w:val="FootnoteText"/>
        <w:rPr>
          <w:lang w:val="en-US"/>
        </w:rPr>
      </w:pPr>
      <w:r>
        <w:tab/>
      </w:r>
      <w:r>
        <w:rPr>
          <w:rStyle w:val="FootnoteReference"/>
        </w:rPr>
        <w:footnoteRef/>
      </w:r>
      <w:r>
        <w:tab/>
      </w:r>
      <w:r w:rsidRPr="00D72F70">
        <w:rPr>
          <w:lang w:val="es-ES"/>
        </w:rPr>
        <w:t>ECE/MP.EIA/IC/2018/2, paras.</w:t>
      </w:r>
      <w:r w:rsidR="00A64DCB">
        <w:rPr>
          <w:lang w:val="es-ES"/>
        </w:rPr>
        <w:t xml:space="preserve"> </w:t>
      </w:r>
      <w:r w:rsidRPr="00D72F70">
        <w:rPr>
          <w:lang w:val="es-ES"/>
        </w:rPr>
        <w:t>40</w:t>
      </w:r>
      <w:r w:rsidR="00F51DDD">
        <w:rPr>
          <w:lang w:val="es-ES"/>
        </w:rPr>
        <w:t>–</w:t>
      </w:r>
      <w:r w:rsidRPr="00D72F70">
        <w:rPr>
          <w:lang w:val="es-ES"/>
        </w:rPr>
        <w:t>48</w:t>
      </w:r>
      <w:r>
        <w:rPr>
          <w:lang w:val="es-ES"/>
        </w:rPr>
        <w:t>.</w:t>
      </w:r>
    </w:p>
  </w:footnote>
  <w:footnote w:id="9">
    <w:p w14:paraId="54DD3CA2" w14:textId="04C42C88" w:rsidR="00556575" w:rsidRPr="00A255CD" w:rsidRDefault="00556575" w:rsidP="00556575">
      <w:pPr>
        <w:pStyle w:val="FootnoteText"/>
        <w:rPr>
          <w:lang w:val="en-US"/>
        </w:rPr>
      </w:pPr>
      <w:r>
        <w:tab/>
      </w:r>
      <w:r>
        <w:rPr>
          <w:rStyle w:val="FootnoteReference"/>
        </w:rPr>
        <w:footnoteRef/>
      </w:r>
      <w:r>
        <w:tab/>
      </w:r>
      <w:r w:rsidRPr="00D72F70">
        <w:rPr>
          <w:lang w:val="es-ES"/>
        </w:rPr>
        <w:t>ECE/MP.EIA/2018/4, paras.</w:t>
      </w:r>
      <w:r>
        <w:rPr>
          <w:lang w:val="es-ES"/>
        </w:rPr>
        <w:t xml:space="preserve"> 32</w:t>
      </w:r>
      <w:r w:rsidR="00A64DCB">
        <w:rPr>
          <w:lang w:val="es-ES"/>
        </w:rPr>
        <w:t>–</w:t>
      </w:r>
      <w:r>
        <w:rPr>
          <w:lang w:val="es-ES"/>
        </w:rPr>
        <w:t>40</w:t>
      </w:r>
      <w:r w:rsidR="00F51DDD">
        <w:rPr>
          <w:lang w:val="es-ES"/>
        </w:rPr>
        <w:t>,</w:t>
      </w:r>
      <w:r>
        <w:rPr>
          <w:lang w:val="es-ES"/>
        </w:rPr>
        <w:t xml:space="preserve"> and </w:t>
      </w:r>
      <w:r w:rsidR="00F51DDD">
        <w:rPr>
          <w:lang w:val="es-ES"/>
        </w:rPr>
        <w:t>a</w:t>
      </w:r>
      <w:r>
        <w:rPr>
          <w:lang w:val="es-ES"/>
        </w:rPr>
        <w:t>nnex.</w:t>
      </w:r>
    </w:p>
  </w:footnote>
  <w:footnote w:id="10">
    <w:p w14:paraId="466C002C" w14:textId="74ED1C31" w:rsidR="00556575" w:rsidRPr="008166C9" w:rsidRDefault="00556575" w:rsidP="00556575">
      <w:pPr>
        <w:pStyle w:val="FootnoteText"/>
        <w:rPr>
          <w:lang w:val="en-US"/>
        </w:rPr>
      </w:pPr>
      <w:r>
        <w:tab/>
      </w:r>
      <w:r>
        <w:rPr>
          <w:rStyle w:val="FootnoteReference"/>
        </w:rPr>
        <w:footnoteRef/>
      </w:r>
      <w:r>
        <w:tab/>
      </w:r>
      <w:r w:rsidRPr="008166C9">
        <w:t>ECE/MP.EIA/IC/2017/2, para</w:t>
      </w:r>
      <w:r w:rsidR="00F51DDD">
        <w:t>.</w:t>
      </w:r>
      <w:r w:rsidRPr="008166C9">
        <w:t xml:space="preserve"> 8.</w:t>
      </w:r>
    </w:p>
  </w:footnote>
  <w:footnote w:id="11">
    <w:p w14:paraId="384F7259" w14:textId="0FDD5504" w:rsidR="00556575" w:rsidRPr="008166C9" w:rsidRDefault="00556575" w:rsidP="00556575">
      <w:pPr>
        <w:pStyle w:val="FootnoteText"/>
        <w:rPr>
          <w:lang w:val="en-US"/>
        </w:rPr>
      </w:pPr>
      <w:r>
        <w:tab/>
      </w:r>
      <w:r>
        <w:rPr>
          <w:rStyle w:val="FootnoteReference"/>
        </w:rPr>
        <w:footnoteRef/>
      </w:r>
      <w:r>
        <w:tab/>
      </w:r>
      <w:r>
        <w:rPr>
          <w:lang w:val="es-ES"/>
        </w:rPr>
        <w:t>ECE/MP.EIA/IC/2017</w:t>
      </w:r>
      <w:r w:rsidRPr="00614107">
        <w:rPr>
          <w:lang w:val="es-ES"/>
        </w:rPr>
        <w:t>/2</w:t>
      </w:r>
      <w:r>
        <w:rPr>
          <w:lang w:val="es-ES"/>
        </w:rPr>
        <w:t xml:space="preserve">, </w:t>
      </w:r>
      <w:r w:rsidR="00F51DDD">
        <w:rPr>
          <w:lang w:val="es-ES"/>
        </w:rPr>
        <w:t>p</w:t>
      </w:r>
      <w:r w:rsidRPr="00482651">
        <w:rPr>
          <w:lang w:val="es-ES"/>
        </w:rPr>
        <w:t>ara</w:t>
      </w:r>
      <w:r w:rsidR="00F51DDD">
        <w:rPr>
          <w:lang w:val="es-ES"/>
        </w:rPr>
        <w:t>.</w:t>
      </w:r>
      <w:r w:rsidRPr="00482651">
        <w:rPr>
          <w:lang w:val="es-ES"/>
        </w:rPr>
        <w:t xml:space="preserve"> 9</w:t>
      </w:r>
      <w:r>
        <w:rPr>
          <w:lang w:val="es-ES"/>
        </w:rPr>
        <w:t>.</w:t>
      </w:r>
    </w:p>
  </w:footnote>
  <w:footnote w:id="12">
    <w:p w14:paraId="5AE29C6B" w14:textId="39132E3B" w:rsidR="00556575" w:rsidRPr="002839B2" w:rsidRDefault="00556575" w:rsidP="00556575">
      <w:pPr>
        <w:pStyle w:val="FootnoteText"/>
        <w:rPr>
          <w:lang w:val="en-US"/>
        </w:rPr>
      </w:pPr>
      <w:r>
        <w:tab/>
      </w:r>
      <w:r>
        <w:rPr>
          <w:rStyle w:val="FootnoteReference"/>
        </w:rPr>
        <w:footnoteRef/>
      </w:r>
      <w:r>
        <w:tab/>
      </w:r>
      <w:r w:rsidRPr="009C07D7">
        <w:t>ECE/MP.EIA/IC/2018/4</w:t>
      </w:r>
      <w:r>
        <w:t xml:space="preserve">, </w:t>
      </w:r>
      <w:r w:rsidR="00F51DDD">
        <w:t>a</w:t>
      </w:r>
      <w:r>
        <w:t>nnex</w:t>
      </w:r>
      <w:r w:rsidR="00F51DDD">
        <w:t>,</w:t>
      </w:r>
      <w:r>
        <w:t xml:space="preserve"> paras 15–19.</w:t>
      </w:r>
    </w:p>
  </w:footnote>
  <w:footnote w:id="13">
    <w:p w14:paraId="05749F1F" w14:textId="2C608D78" w:rsidR="00646B53" w:rsidRDefault="00646B53" w:rsidP="00646B53">
      <w:pPr>
        <w:pStyle w:val="FootnoteText"/>
      </w:pPr>
      <w:r>
        <w:tab/>
      </w:r>
      <w:r>
        <w:rPr>
          <w:rStyle w:val="FootnoteReference"/>
        </w:rPr>
        <w:footnoteRef/>
      </w:r>
      <w:r>
        <w:tab/>
      </w:r>
      <w:r w:rsidR="000B6A73" w:rsidRPr="000B6A73">
        <w:t>Decision III/2, appendix (ECE/MP.EIA/6) as amended by decision VI/2 (ECE/MP.EIA/20/Add.1−ECE/MP.EIA/SEA/4/Add.1), para 7</w:t>
      </w:r>
      <w:r w:rsidR="000B6A73">
        <w:t xml:space="preserve"> (d)</w:t>
      </w:r>
      <w:r w:rsidR="000B6A73" w:rsidRPr="000B6A73">
        <w:t>.</w:t>
      </w:r>
    </w:p>
  </w:footnote>
  <w:footnote w:id="14">
    <w:p w14:paraId="4CA67E24" w14:textId="6F8B1B28" w:rsidR="00556575" w:rsidRPr="00261150" w:rsidRDefault="00556575" w:rsidP="00556575">
      <w:pPr>
        <w:pStyle w:val="FootnoteText"/>
        <w:rPr>
          <w:lang w:val="en-US"/>
        </w:rPr>
      </w:pPr>
      <w:r>
        <w:tab/>
      </w:r>
      <w:r>
        <w:rPr>
          <w:rStyle w:val="FootnoteReference"/>
        </w:rPr>
        <w:footnoteRef/>
      </w:r>
      <w:r>
        <w:tab/>
      </w:r>
      <w:r w:rsidRPr="009C07D7">
        <w:t>ECE/MP.EIA/IC/2018/4</w:t>
      </w:r>
      <w:r>
        <w:t xml:space="preserve">, </w:t>
      </w:r>
      <w:r w:rsidR="00F51DDD">
        <w:t>a</w:t>
      </w:r>
      <w:r>
        <w:t>nnex</w:t>
      </w:r>
      <w:r w:rsidR="00F51DDD">
        <w:t>,</w:t>
      </w:r>
      <w:r>
        <w:t xml:space="preserve"> paras</w:t>
      </w:r>
      <w:r w:rsidR="00F51DDD">
        <w:t>.</w:t>
      </w:r>
      <w:r>
        <w:t xml:space="preserve"> 21</w:t>
      </w:r>
      <w:r w:rsidR="00F51DDD">
        <w:t>–</w:t>
      </w:r>
      <w:r>
        <w:t>24.</w:t>
      </w:r>
    </w:p>
  </w:footnote>
  <w:footnote w:id="15">
    <w:p w14:paraId="2A42048B" w14:textId="2AD14653" w:rsidR="00556575" w:rsidRPr="00261150" w:rsidRDefault="00556575" w:rsidP="00556575">
      <w:pPr>
        <w:pStyle w:val="FootnoteText"/>
        <w:rPr>
          <w:lang w:val="en-US"/>
        </w:rPr>
      </w:pPr>
      <w:r>
        <w:tab/>
      </w:r>
      <w:r>
        <w:rPr>
          <w:rStyle w:val="FootnoteReference"/>
        </w:rPr>
        <w:footnoteRef/>
      </w:r>
      <w:r>
        <w:tab/>
      </w:r>
      <w:r w:rsidR="00F51DDD">
        <w:t>Ibid.,</w:t>
      </w:r>
      <w:r>
        <w:t xml:space="preserve"> para</w:t>
      </w:r>
      <w:r w:rsidR="00F51DDD">
        <w:t>.</w:t>
      </w:r>
      <w:r>
        <w:t xml:space="preserve"> 28 (a).</w:t>
      </w:r>
    </w:p>
  </w:footnote>
  <w:footnote w:id="16">
    <w:p w14:paraId="5C40D6EE" w14:textId="68C0E313" w:rsidR="00556575" w:rsidRPr="00261150" w:rsidRDefault="00556575" w:rsidP="00F51DDD">
      <w:pPr>
        <w:pStyle w:val="FootnoteText"/>
        <w:rPr>
          <w:lang w:val="en-US"/>
        </w:rPr>
      </w:pPr>
      <w:r>
        <w:tab/>
      </w:r>
      <w:r>
        <w:rPr>
          <w:rStyle w:val="FootnoteReference"/>
        </w:rPr>
        <w:footnoteRef/>
      </w:r>
      <w:r>
        <w:tab/>
      </w:r>
      <w:r w:rsidR="00F51DDD">
        <w:t xml:space="preserve">Ibid., </w:t>
      </w:r>
      <w:r>
        <w:t>paras</w:t>
      </w:r>
      <w:r w:rsidR="00F51DDD">
        <w:t>.</w:t>
      </w:r>
      <w:r>
        <w:t xml:space="preserve"> 25,</w:t>
      </w:r>
      <w:r w:rsidR="00F51DDD">
        <w:t xml:space="preserve"> </w:t>
      </w:r>
      <w:r>
        <w:t>26 and 28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AE22" w14:textId="77777777" w:rsidR="00556575" w:rsidRPr="00556575" w:rsidRDefault="00556575">
    <w:pPr>
      <w:pStyle w:val="Header"/>
    </w:pPr>
    <w:r>
      <w:t>ECE/MP.EIA/2019/5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7366" w14:textId="77777777" w:rsidR="00556575" w:rsidRPr="00556575" w:rsidRDefault="00556575" w:rsidP="00556575">
    <w:pPr>
      <w:pStyle w:val="Header"/>
      <w:jc w:val="right"/>
    </w:pPr>
    <w:r>
      <w:t>ECE/MP.EIA/2019/5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75"/>
    <w:rsid w:val="000463DC"/>
    <w:rsid w:val="00046B1F"/>
    <w:rsid w:val="0004735A"/>
    <w:rsid w:val="00050F6B"/>
    <w:rsid w:val="00057E97"/>
    <w:rsid w:val="000706D5"/>
    <w:rsid w:val="00072C8C"/>
    <w:rsid w:val="000733B5"/>
    <w:rsid w:val="00081815"/>
    <w:rsid w:val="000931C0"/>
    <w:rsid w:val="000B0595"/>
    <w:rsid w:val="000B175B"/>
    <w:rsid w:val="000B3A0F"/>
    <w:rsid w:val="000B4EF7"/>
    <w:rsid w:val="000B6A73"/>
    <w:rsid w:val="000C2C03"/>
    <w:rsid w:val="000C2D2E"/>
    <w:rsid w:val="000D7D5F"/>
    <w:rsid w:val="000E0415"/>
    <w:rsid w:val="001103AA"/>
    <w:rsid w:val="0011666B"/>
    <w:rsid w:val="00154FD9"/>
    <w:rsid w:val="0016061F"/>
    <w:rsid w:val="00165F3A"/>
    <w:rsid w:val="00173C4F"/>
    <w:rsid w:val="001969F4"/>
    <w:rsid w:val="001A3336"/>
    <w:rsid w:val="001A6DF4"/>
    <w:rsid w:val="001B4B04"/>
    <w:rsid w:val="001C6663"/>
    <w:rsid w:val="001C7895"/>
    <w:rsid w:val="001D0C8C"/>
    <w:rsid w:val="001D1419"/>
    <w:rsid w:val="001D26DF"/>
    <w:rsid w:val="001D3A03"/>
    <w:rsid w:val="001E7B67"/>
    <w:rsid w:val="00202DA8"/>
    <w:rsid w:val="00211E0B"/>
    <w:rsid w:val="00230C33"/>
    <w:rsid w:val="0024772E"/>
    <w:rsid w:val="00250DB3"/>
    <w:rsid w:val="0025576E"/>
    <w:rsid w:val="00255D3D"/>
    <w:rsid w:val="00267F5F"/>
    <w:rsid w:val="00286B4D"/>
    <w:rsid w:val="002D4643"/>
    <w:rsid w:val="002F175C"/>
    <w:rsid w:val="002F2B7D"/>
    <w:rsid w:val="00302E18"/>
    <w:rsid w:val="003229D8"/>
    <w:rsid w:val="00352709"/>
    <w:rsid w:val="003619B5"/>
    <w:rsid w:val="00365763"/>
    <w:rsid w:val="00371178"/>
    <w:rsid w:val="003751E1"/>
    <w:rsid w:val="00392E47"/>
    <w:rsid w:val="003A6810"/>
    <w:rsid w:val="003B4680"/>
    <w:rsid w:val="003C2CC4"/>
    <w:rsid w:val="003D4B23"/>
    <w:rsid w:val="00410C89"/>
    <w:rsid w:val="00412141"/>
    <w:rsid w:val="00422E03"/>
    <w:rsid w:val="00426B9B"/>
    <w:rsid w:val="004325CB"/>
    <w:rsid w:val="00436788"/>
    <w:rsid w:val="00442A83"/>
    <w:rsid w:val="0045495B"/>
    <w:rsid w:val="00466275"/>
    <w:rsid w:val="0048397A"/>
    <w:rsid w:val="00485CBB"/>
    <w:rsid w:val="004866B7"/>
    <w:rsid w:val="004B51D7"/>
    <w:rsid w:val="004C2461"/>
    <w:rsid w:val="004C7462"/>
    <w:rsid w:val="004E77B2"/>
    <w:rsid w:val="00504B2D"/>
    <w:rsid w:val="0052136D"/>
    <w:rsid w:val="0052775E"/>
    <w:rsid w:val="005420F2"/>
    <w:rsid w:val="00556575"/>
    <w:rsid w:val="005628B6"/>
    <w:rsid w:val="0059724D"/>
    <w:rsid w:val="005A1F55"/>
    <w:rsid w:val="005B3DB3"/>
    <w:rsid w:val="005B4E13"/>
    <w:rsid w:val="005C342F"/>
    <w:rsid w:val="005D2609"/>
    <w:rsid w:val="005E6D67"/>
    <w:rsid w:val="005F7B75"/>
    <w:rsid w:val="006001EE"/>
    <w:rsid w:val="00605042"/>
    <w:rsid w:val="00611FC4"/>
    <w:rsid w:val="006176FB"/>
    <w:rsid w:val="00640B26"/>
    <w:rsid w:val="00646B53"/>
    <w:rsid w:val="00652D0A"/>
    <w:rsid w:val="00662BB6"/>
    <w:rsid w:val="00663EF4"/>
    <w:rsid w:val="006661F3"/>
    <w:rsid w:val="00676606"/>
    <w:rsid w:val="00684C21"/>
    <w:rsid w:val="00693980"/>
    <w:rsid w:val="006A2530"/>
    <w:rsid w:val="006C3589"/>
    <w:rsid w:val="006D37AF"/>
    <w:rsid w:val="006D51D0"/>
    <w:rsid w:val="006D5FB9"/>
    <w:rsid w:val="006E564B"/>
    <w:rsid w:val="006E7191"/>
    <w:rsid w:val="006F1502"/>
    <w:rsid w:val="00703577"/>
    <w:rsid w:val="00705894"/>
    <w:rsid w:val="0072632A"/>
    <w:rsid w:val="007327D5"/>
    <w:rsid w:val="007629C8"/>
    <w:rsid w:val="0077047D"/>
    <w:rsid w:val="007B6BA5"/>
    <w:rsid w:val="007C3390"/>
    <w:rsid w:val="007C4F4B"/>
    <w:rsid w:val="007E01E9"/>
    <w:rsid w:val="007E4C63"/>
    <w:rsid w:val="007E63F3"/>
    <w:rsid w:val="007F6611"/>
    <w:rsid w:val="00811920"/>
    <w:rsid w:val="00815AD0"/>
    <w:rsid w:val="008242D7"/>
    <w:rsid w:val="008257B1"/>
    <w:rsid w:val="00832334"/>
    <w:rsid w:val="00835DBD"/>
    <w:rsid w:val="00843767"/>
    <w:rsid w:val="008604DE"/>
    <w:rsid w:val="008679D9"/>
    <w:rsid w:val="0087321B"/>
    <w:rsid w:val="008878DE"/>
    <w:rsid w:val="008979B1"/>
    <w:rsid w:val="008A6B25"/>
    <w:rsid w:val="008A6C4F"/>
    <w:rsid w:val="008B2335"/>
    <w:rsid w:val="008E0678"/>
    <w:rsid w:val="009223CA"/>
    <w:rsid w:val="00940F93"/>
    <w:rsid w:val="009760F3"/>
    <w:rsid w:val="00976CFB"/>
    <w:rsid w:val="0097792B"/>
    <w:rsid w:val="009A0830"/>
    <w:rsid w:val="009A0E8D"/>
    <w:rsid w:val="009B26E7"/>
    <w:rsid w:val="009B60F3"/>
    <w:rsid w:val="00A00697"/>
    <w:rsid w:val="00A00A3F"/>
    <w:rsid w:val="00A01489"/>
    <w:rsid w:val="00A3026E"/>
    <w:rsid w:val="00A338F1"/>
    <w:rsid w:val="00A35BE0"/>
    <w:rsid w:val="00A64DCB"/>
    <w:rsid w:val="00A72F22"/>
    <w:rsid w:val="00A7360F"/>
    <w:rsid w:val="00A748A6"/>
    <w:rsid w:val="00A769F4"/>
    <w:rsid w:val="00A776B4"/>
    <w:rsid w:val="00A8283C"/>
    <w:rsid w:val="00A83E7E"/>
    <w:rsid w:val="00A87DBB"/>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E3B3B"/>
    <w:rsid w:val="00BF68A8"/>
    <w:rsid w:val="00C11A03"/>
    <w:rsid w:val="00C22C0C"/>
    <w:rsid w:val="00C35F1F"/>
    <w:rsid w:val="00C4527F"/>
    <w:rsid w:val="00C463DD"/>
    <w:rsid w:val="00C4724C"/>
    <w:rsid w:val="00C629A0"/>
    <w:rsid w:val="00C64629"/>
    <w:rsid w:val="00C745C3"/>
    <w:rsid w:val="00C9046E"/>
    <w:rsid w:val="00C96DF2"/>
    <w:rsid w:val="00CB3E03"/>
    <w:rsid w:val="00CC5A26"/>
    <w:rsid w:val="00CE4A8F"/>
    <w:rsid w:val="00D02901"/>
    <w:rsid w:val="00D2031B"/>
    <w:rsid w:val="00D25FE2"/>
    <w:rsid w:val="00D43252"/>
    <w:rsid w:val="00D44F86"/>
    <w:rsid w:val="00D47EEA"/>
    <w:rsid w:val="00D61F09"/>
    <w:rsid w:val="00D773DF"/>
    <w:rsid w:val="00D8123E"/>
    <w:rsid w:val="00D95303"/>
    <w:rsid w:val="00D978C6"/>
    <w:rsid w:val="00DA3C1C"/>
    <w:rsid w:val="00DC5061"/>
    <w:rsid w:val="00E046DF"/>
    <w:rsid w:val="00E21FD4"/>
    <w:rsid w:val="00E27346"/>
    <w:rsid w:val="00E50885"/>
    <w:rsid w:val="00E71BC8"/>
    <w:rsid w:val="00E7260F"/>
    <w:rsid w:val="00E73F5D"/>
    <w:rsid w:val="00E77E4E"/>
    <w:rsid w:val="00E96630"/>
    <w:rsid w:val="00ED7A2A"/>
    <w:rsid w:val="00EF1D7F"/>
    <w:rsid w:val="00EF5864"/>
    <w:rsid w:val="00F31E5F"/>
    <w:rsid w:val="00F51DDD"/>
    <w:rsid w:val="00F6100A"/>
    <w:rsid w:val="00F93781"/>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CAFD9F"/>
  <w15:docId w15:val="{3EE4982B-2DB5-43F0-8030-A610FD03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4_GR"/>
    <w:basedOn w:val="DefaultParagraphFont"/>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FootnoteTextChar">
    <w:name w:val="Footnote Text Char"/>
    <w:aliases w:val="5_G Char"/>
    <w:link w:val="FootnoteText"/>
    <w:rsid w:val="00556575"/>
    <w:rPr>
      <w:sz w:val="18"/>
      <w:lang w:eastAsia="en-US"/>
    </w:rPr>
  </w:style>
  <w:style w:type="paragraph" w:styleId="CommentSubject">
    <w:name w:val="annotation subject"/>
    <w:basedOn w:val="CommentText"/>
    <w:next w:val="CommentText"/>
    <w:link w:val="CommentSubjectChar"/>
    <w:semiHidden/>
    <w:unhideWhenUsed/>
    <w:rsid w:val="000706D5"/>
    <w:pPr>
      <w:spacing w:line="240" w:lineRule="auto"/>
    </w:pPr>
    <w:rPr>
      <w:b/>
      <w:bCs/>
    </w:rPr>
  </w:style>
  <w:style w:type="character" w:customStyle="1" w:styleId="CommentTextChar">
    <w:name w:val="Comment Text Char"/>
    <w:basedOn w:val="DefaultParagraphFont"/>
    <w:link w:val="CommentText"/>
    <w:semiHidden/>
    <w:rsid w:val="000706D5"/>
    <w:rPr>
      <w:lang w:eastAsia="en-US"/>
    </w:rPr>
  </w:style>
  <w:style w:type="character" w:customStyle="1" w:styleId="CommentSubjectChar">
    <w:name w:val="Comment Subject Char"/>
    <w:basedOn w:val="CommentTextChar"/>
    <w:link w:val="CommentSubject"/>
    <w:semiHidden/>
    <w:rsid w:val="000706D5"/>
    <w:rPr>
      <w:b/>
      <w:bCs/>
      <w:lang w:eastAsia="en-US"/>
    </w:rPr>
  </w:style>
  <w:style w:type="paragraph" w:styleId="BalloonText">
    <w:name w:val="Balloon Text"/>
    <w:basedOn w:val="Normal"/>
    <w:link w:val="BalloonTextChar"/>
    <w:rsid w:val="000706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706D5"/>
    <w:rPr>
      <w:rFonts w:ascii="Segoe UI" w:hAnsi="Segoe UI" w:cs="Segoe UI"/>
      <w:sz w:val="18"/>
      <w:szCs w:val="18"/>
      <w:lang w:eastAsia="en-US"/>
    </w:rPr>
  </w:style>
  <w:style w:type="character" w:customStyle="1" w:styleId="HChGChar">
    <w:name w:val="_ H _Ch_G Char"/>
    <w:link w:val="HChG"/>
    <w:rsid w:val="000706D5"/>
    <w:rPr>
      <w:b/>
      <w:sz w:val="28"/>
      <w:lang w:eastAsia="en-US"/>
    </w:rPr>
  </w:style>
  <w:style w:type="paragraph" w:styleId="Revision">
    <w:name w:val="Revision"/>
    <w:hidden/>
    <w:uiPriority w:val="99"/>
    <w:semiHidden/>
    <w:rsid w:val="00693980"/>
    <w:rPr>
      <w:lang w:eastAsia="en-US"/>
    </w:rPr>
  </w:style>
  <w:style w:type="character" w:customStyle="1" w:styleId="UnresolvedMention1">
    <w:name w:val="Unresolved Mention1"/>
    <w:basedOn w:val="DefaultParagraphFont"/>
    <w:uiPriority w:val="99"/>
    <w:semiHidden/>
    <w:unhideWhenUsed/>
    <w:rsid w:val="000B6A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index.php?id=483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6469-9D30-4280-9305-96399C4F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4</Pages>
  <Words>1293</Words>
  <Characters>7375</Characters>
  <Application>Microsoft Office Word</Application>
  <DocSecurity>4</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ECE/MP.EIA/2019/5</vt:lpstr>
      <vt:lpstr>United Nations</vt:lpstr>
    </vt:vector>
  </TitlesOfParts>
  <Company>CSD</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ECE/MP.EIA/2019/5</dc:title>
  <dc:subject>1819568</dc:subject>
  <dc:creator>Generic Desk Anglais</dc:creator>
  <cp:keywords/>
  <dc:description/>
  <cp:lastModifiedBy>Elisabeth James</cp:lastModifiedBy>
  <cp:revision>2</cp:revision>
  <cp:lastPrinted>2009-10-26T10:54:00Z</cp:lastPrinted>
  <dcterms:created xsi:type="dcterms:W3CDTF">2018-12-19T01:05:00Z</dcterms:created>
  <dcterms:modified xsi:type="dcterms:W3CDTF">2018-12-19T01:05:00Z</dcterms:modified>
</cp:coreProperties>
</file>