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465C67">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465C67" w:rsidP="00465C67">
            <w:pPr>
              <w:jc w:val="right"/>
            </w:pPr>
            <w:r w:rsidRPr="00465C67">
              <w:rPr>
                <w:sz w:val="40"/>
              </w:rPr>
              <w:t>ECE</w:t>
            </w:r>
            <w:r>
              <w:t>/MP.EIA/2019/1</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465C67" w:rsidP="00DF5712">
            <w:pPr>
              <w:spacing w:before="240"/>
            </w:pPr>
            <w:r>
              <w:t>Distr. générale</w:t>
            </w:r>
          </w:p>
          <w:p w:rsidR="00465C67" w:rsidRDefault="00465C67" w:rsidP="00465C67">
            <w:pPr>
              <w:spacing w:line="240" w:lineRule="exact"/>
            </w:pPr>
            <w:r>
              <w:t>15 novembre 2018</w:t>
            </w:r>
          </w:p>
          <w:p w:rsidR="00465C67" w:rsidRDefault="00465C67" w:rsidP="00465C67">
            <w:pPr>
              <w:spacing w:line="240" w:lineRule="exact"/>
            </w:pPr>
            <w:r>
              <w:t>Français</w:t>
            </w:r>
          </w:p>
          <w:p w:rsidR="00465C67" w:rsidRPr="00DB58B5" w:rsidRDefault="00465C67" w:rsidP="00465C67">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465C67">
        <w:rPr>
          <w:b/>
          <w:sz w:val="28"/>
          <w:szCs w:val="28"/>
        </w:rPr>
        <w:t>’</w:t>
      </w:r>
      <w:r w:rsidRPr="000312C0">
        <w:rPr>
          <w:b/>
          <w:sz w:val="28"/>
          <w:szCs w:val="28"/>
        </w:rPr>
        <w:t>Europe</w:t>
      </w:r>
    </w:p>
    <w:p w:rsidR="00465C67" w:rsidRPr="00C554CE" w:rsidRDefault="00465C67" w:rsidP="00C554CE">
      <w:pPr>
        <w:spacing w:before="120"/>
        <w:rPr>
          <w:sz w:val="28"/>
          <w:szCs w:val="28"/>
          <w:lang w:val="fr-FR"/>
        </w:rPr>
      </w:pPr>
      <w:r w:rsidRPr="00C554CE">
        <w:rPr>
          <w:sz w:val="28"/>
          <w:szCs w:val="28"/>
          <w:lang w:val="fr-FR"/>
        </w:rPr>
        <w:t>Réunion des Parties à la Convention sur</w:t>
      </w:r>
      <w:r w:rsidRPr="00C554CE">
        <w:rPr>
          <w:sz w:val="28"/>
          <w:szCs w:val="28"/>
          <w:lang w:val="fr-FR"/>
        </w:rPr>
        <w:br/>
        <w:t>l</w:t>
      </w:r>
      <w:r>
        <w:rPr>
          <w:sz w:val="28"/>
          <w:szCs w:val="28"/>
          <w:lang w:val="fr-FR"/>
        </w:rPr>
        <w:t>’</w:t>
      </w:r>
      <w:r w:rsidRPr="00C554CE">
        <w:rPr>
          <w:sz w:val="28"/>
          <w:szCs w:val="28"/>
          <w:lang w:val="fr-FR"/>
        </w:rPr>
        <w:t>évaluation de l</w:t>
      </w:r>
      <w:r>
        <w:rPr>
          <w:sz w:val="28"/>
          <w:szCs w:val="28"/>
          <w:lang w:val="fr-FR"/>
        </w:rPr>
        <w:t>’</w:t>
      </w:r>
      <w:r w:rsidRPr="00C554CE">
        <w:rPr>
          <w:sz w:val="28"/>
          <w:szCs w:val="28"/>
          <w:lang w:val="fr-FR"/>
        </w:rPr>
        <w:t>impact sur l</w:t>
      </w:r>
      <w:r>
        <w:rPr>
          <w:sz w:val="28"/>
          <w:szCs w:val="28"/>
          <w:lang w:val="fr-FR"/>
        </w:rPr>
        <w:t>’</w:t>
      </w:r>
      <w:r w:rsidRPr="00C554CE">
        <w:rPr>
          <w:sz w:val="28"/>
          <w:szCs w:val="28"/>
          <w:lang w:val="fr-FR"/>
        </w:rPr>
        <w:t>environnement</w:t>
      </w:r>
      <w:r w:rsidRPr="00C554CE">
        <w:rPr>
          <w:sz w:val="28"/>
          <w:szCs w:val="28"/>
          <w:lang w:val="fr-FR"/>
        </w:rPr>
        <w:br/>
        <w:t>dans un contexte transfrontière</w:t>
      </w:r>
    </w:p>
    <w:p w:rsidR="00465C67" w:rsidRPr="00C554CE" w:rsidRDefault="00465C67" w:rsidP="00C554CE">
      <w:pPr>
        <w:spacing w:before="120"/>
        <w:rPr>
          <w:b/>
          <w:sz w:val="24"/>
          <w:szCs w:val="24"/>
        </w:rPr>
      </w:pPr>
      <w:r>
        <w:rPr>
          <w:b/>
          <w:bCs/>
          <w:lang w:val="fr-FR"/>
        </w:rPr>
        <w:t>Session intermédiaire</w:t>
      </w:r>
    </w:p>
    <w:p w:rsidR="00465C67" w:rsidRDefault="00465C67" w:rsidP="00C554CE">
      <w:r>
        <w:t xml:space="preserve">Genève, </w:t>
      </w:r>
      <w:r w:rsidRPr="00465C67">
        <w:rPr>
          <w:lang w:val="fr-FR"/>
        </w:rPr>
        <w:t>5-7 février 2019</w:t>
      </w:r>
    </w:p>
    <w:p w:rsidR="00465C67" w:rsidRDefault="00465C67" w:rsidP="00C554CE">
      <w:r w:rsidRPr="00465C67">
        <w:rPr>
          <w:lang w:val="fr-FR"/>
        </w:rPr>
        <w:t>Points</w:t>
      </w:r>
      <w:r>
        <w:rPr>
          <w:lang w:val="fr-FR"/>
        </w:rPr>
        <w:t> </w:t>
      </w:r>
      <w:r w:rsidRPr="00465C67">
        <w:rPr>
          <w:lang w:val="fr-FR"/>
        </w:rPr>
        <w:t>3</w:t>
      </w:r>
      <w:r>
        <w:rPr>
          <w:lang w:val="fr-FR"/>
        </w:rPr>
        <w:t> </w:t>
      </w:r>
      <w:r w:rsidRPr="00465C67">
        <w:rPr>
          <w:lang w:val="fr-FR"/>
        </w:rPr>
        <w:t>a) et 8 de l</w:t>
      </w:r>
      <w:r>
        <w:rPr>
          <w:lang w:val="fr-FR"/>
        </w:rPr>
        <w:t>’</w:t>
      </w:r>
      <w:r w:rsidRPr="00465C67">
        <w:rPr>
          <w:lang w:val="fr-FR"/>
        </w:rPr>
        <w:t>ordre du jour provisoire</w:t>
      </w:r>
    </w:p>
    <w:p w:rsidR="00E96BD6" w:rsidRDefault="00465C67" w:rsidP="00465C67">
      <w:pPr>
        <w:spacing w:before="120"/>
        <w:rPr>
          <w:b/>
          <w:bCs/>
          <w:lang w:val="fr-FR"/>
        </w:rPr>
      </w:pPr>
      <w:r>
        <w:rPr>
          <w:b/>
          <w:bCs/>
          <w:lang w:val="fr-FR"/>
        </w:rPr>
        <w:t>Questions en suspens </w:t>
      </w:r>
      <w:r w:rsidRPr="00465C67">
        <w:rPr>
          <w:b/>
          <w:bCs/>
          <w:lang w:val="fr-FR"/>
        </w:rPr>
        <w:t>: projets de décision</w:t>
      </w:r>
    </w:p>
    <w:p w:rsidR="00465C67" w:rsidRDefault="00465C67" w:rsidP="00465C67">
      <w:pPr>
        <w:spacing w:before="120"/>
        <w:rPr>
          <w:b/>
          <w:bCs/>
          <w:lang w:val="fr-FR"/>
        </w:rPr>
      </w:pPr>
      <w:r w:rsidRPr="00465C67">
        <w:rPr>
          <w:b/>
          <w:bCs/>
          <w:lang w:val="fr-FR"/>
        </w:rPr>
        <w:t>Adoption des décisions de la Réunion des Parties à la Convention</w:t>
      </w:r>
    </w:p>
    <w:p w:rsidR="00465C67" w:rsidRPr="005D206B" w:rsidRDefault="00465C67" w:rsidP="00465C67">
      <w:pPr>
        <w:pStyle w:val="HChG"/>
      </w:pPr>
      <w:r>
        <w:rPr>
          <w:lang w:val="fr-FR"/>
        </w:rPr>
        <w:tab/>
      </w:r>
      <w:r>
        <w:rPr>
          <w:lang w:val="fr-FR"/>
        </w:rPr>
        <w:tab/>
        <w:t xml:space="preserve">Projet de décision IS/1 sur les questions générales </w:t>
      </w:r>
      <w:r>
        <w:rPr>
          <w:lang w:val="fr-FR"/>
        </w:rPr>
        <w:br/>
        <w:t>concernant le respect des dispositions de la Convention</w:t>
      </w:r>
      <w:bookmarkStart w:id="1" w:name="_Hlk529195935"/>
    </w:p>
    <w:p w:rsidR="00465C67" w:rsidRDefault="00465C67" w:rsidP="00465C67">
      <w:pPr>
        <w:pStyle w:val="H1G"/>
        <w:rPr>
          <w:lang w:val="fr-FR"/>
        </w:rPr>
      </w:pPr>
      <w:r>
        <w:rPr>
          <w:lang w:val="fr-FR"/>
        </w:rPr>
        <w:tab/>
      </w:r>
      <w:r>
        <w:rPr>
          <w:lang w:val="fr-FR"/>
        </w:rPr>
        <w:tab/>
        <w:t>Proposition du Comité d’application</w:t>
      </w:r>
      <w:bookmarkEnd w:id="1"/>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65C67">
        <w:trPr>
          <w:jc w:val="center"/>
        </w:trPr>
        <w:tc>
          <w:tcPr>
            <w:tcW w:w="9637" w:type="dxa"/>
            <w:shd w:val="clear" w:color="auto" w:fill="auto"/>
          </w:tcPr>
          <w:p w:rsidR="00465C67" w:rsidRDefault="00465C67">
            <w:pPr>
              <w:spacing w:before="240" w:after="120"/>
              <w:ind w:left="255"/>
              <w:rPr>
                <w:i/>
                <w:sz w:val="24"/>
              </w:rPr>
            </w:pPr>
            <w:r>
              <w:rPr>
                <w:i/>
                <w:sz w:val="24"/>
              </w:rPr>
              <w:t>Résumé</w:t>
            </w:r>
          </w:p>
        </w:tc>
      </w:tr>
      <w:tr w:rsidR="00465C67">
        <w:trPr>
          <w:jc w:val="center"/>
        </w:trPr>
        <w:tc>
          <w:tcPr>
            <w:tcW w:w="9637" w:type="dxa"/>
            <w:shd w:val="clear" w:color="auto" w:fill="auto"/>
          </w:tcPr>
          <w:p w:rsidR="00465C67" w:rsidRDefault="00465C67" w:rsidP="00465C67">
            <w:pPr>
              <w:pStyle w:val="SingleTxtG"/>
              <w:ind w:firstLine="567"/>
            </w:pPr>
            <w:r w:rsidRPr="00465C67">
              <w:rPr>
                <w:lang w:val="fr-FR"/>
              </w:rPr>
              <w:t>Le projet de décision figurant dans le présent document a été établi par le Comité d</w:t>
            </w:r>
            <w:r>
              <w:rPr>
                <w:lang w:val="fr-FR"/>
              </w:rPr>
              <w:t>’</w:t>
            </w:r>
            <w:r w:rsidRPr="00465C67">
              <w:rPr>
                <w:lang w:val="fr-FR"/>
              </w:rPr>
              <w:t>application de la Convention sur l</w:t>
            </w:r>
            <w:r>
              <w:rPr>
                <w:lang w:val="fr-FR"/>
              </w:rPr>
              <w:t>’</w:t>
            </w:r>
            <w:r w:rsidRPr="00465C67">
              <w:rPr>
                <w:lang w:val="fr-FR"/>
              </w:rPr>
              <w:t>évaluation de l</w:t>
            </w:r>
            <w:r>
              <w:rPr>
                <w:lang w:val="fr-FR"/>
              </w:rPr>
              <w:t>’</w:t>
            </w:r>
            <w:r w:rsidRPr="00465C67">
              <w:rPr>
                <w:lang w:val="fr-FR"/>
              </w:rPr>
              <w:t>impact sur l</w:t>
            </w:r>
            <w:r>
              <w:rPr>
                <w:lang w:val="fr-FR"/>
              </w:rPr>
              <w:t>’</w:t>
            </w:r>
            <w:r w:rsidRPr="00465C67">
              <w:rPr>
                <w:lang w:val="fr-FR"/>
              </w:rPr>
              <w:t>environnement dans un contexte transfrontière et de son Protocole sur l</w:t>
            </w:r>
            <w:r>
              <w:rPr>
                <w:lang w:val="fr-FR"/>
              </w:rPr>
              <w:t>’</w:t>
            </w:r>
            <w:r w:rsidRPr="00465C67">
              <w:rPr>
                <w:lang w:val="fr-FR"/>
              </w:rPr>
              <w:t>évaluation stratégique environnementale. Il fait suite à la demande formulée par la Réunion des Parties à la Convention à</w:t>
            </w:r>
            <w:r>
              <w:rPr>
                <w:lang w:val="fr-FR"/>
              </w:rPr>
              <w:t xml:space="preserve"> sa septième session (Minsk, 13-</w:t>
            </w:r>
            <w:r w:rsidRPr="00465C67">
              <w:rPr>
                <w:lang w:val="fr-FR"/>
              </w:rPr>
              <w:t>16</w:t>
            </w:r>
            <w:r>
              <w:rPr>
                <w:lang w:val="fr-FR"/>
              </w:rPr>
              <w:t> </w:t>
            </w:r>
            <w:r w:rsidRPr="00465C67">
              <w:rPr>
                <w:lang w:val="fr-FR"/>
              </w:rPr>
              <w:t>juin 2017) que le Comi</w:t>
            </w:r>
            <w:r>
              <w:rPr>
                <w:lang w:val="fr-FR"/>
              </w:rPr>
              <w:t>té révise le projet de décision </w:t>
            </w:r>
            <w:r w:rsidRPr="00465C67">
              <w:rPr>
                <w:lang w:val="fr-FR"/>
              </w:rPr>
              <w:t>VII/2 sur l</w:t>
            </w:r>
            <w:r>
              <w:rPr>
                <w:lang w:val="fr-FR"/>
              </w:rPr>
              <w:t>’</w:t>
            </w:r>
            <w:r w:rsidRPr="00465C67">
              <w:rPr>
                <w:lang w:val="fr-FR"/>
              </w:rPr>
              <w:t>examen du respect des dispositions de la Convention, en tenant compte des travaux et des progrès réalisés avant, pendant et après la septième session de la Réunion des Parties (ECE/M</w:t>
            </w:r>
            <w:r>
              <w:rPr>
                <w:lang w:val="fr-FR"/>
              </w:rPr>
              <w:t>P.EIA/23-ECE/MP.EIA/SEA/7, par. </w:t>
            </w:r>
            <w:r w:rsidRPr="00465C67">
              <w:rPr>
                <w:lang w:val="fr-FR"/>
              </w:rPr>
              <w:t>27).</w:t>
            </w:r>
          </w:p>
        </w:tc>
      </w:tr>
      <w:tr w:rsidR="00465C67">
        <w:trPr>
          <w:jc w:val="center"/>
        </w:trPr>
        <w:tc>
          <w:tcPr>
            <w:tcW w:w="9637" w:type="dxa"/>
            <w:shd w:val="clear" w:color="auto" w:fill="auto"/>
          </w:tcPr>
          <w:p w:rsidR="00465C67" w:rsidRDefault="00465C67" w:rsidP="00465C67">
            <w:pPr>
              <w:pStyle w:val="SingleTxtG"/>
              <w:ind w:firstLine="567"/>
            </w:pPr>
            <w:r w:rsidRPr="00465C67">
              <w:rPr>
                <w:lang w:val="fr-FR"/>
              </w:rPr>
              <w:t>Le projet de décision IS/1 est axé sur les questions générales de respect des dispositions et présente une version révisée des paragraphes pertinents du projet de décision</w:t>
            </w:r>
            <w:r>
              <w:rPr>
                <w:lang w:val="fr-FR"/>
              </w:rPr>
              <w:t xml:space="preserve"> VII/2 (ECE/MP.EIA/2017/8, par. 1 à </w:t>
            </w:r>
            <w:r w:rsidRPr="00465C67">
              <w:rPr>
                <w:lang w:val="fr-FR"/>
              </w:rPr>
              <w:t>12). Les problématiques de respect des dispositions propres à certains pays qui étaient abordées dans le projet de décision VII/2 ont été traitées dans des projets de décision distincts (et donc déplacées dans des documents distincts) pour faciliter leur examen et leur adoption.</w:t>
            </w:r>
          </w:p>
        </w:tc>
      </w:tr>
      <w:tr w:rsidR="00465C67">
        <w:trPr>
          <w:jc w:val="center"/>
        </w:trPr>
        <w:tc>
          <w:tcPr>
            <w:tcW w:w="9637" w:type="dxa"/>
            <w:shd w:val="clear" w:color="auto" w:fill="auto"/>
          </w:tcPr>
          <w:p w:rsidR="00465C67" w:rsidRDefault="00465C67" w:rsidP="00465C67">
            <w:pPr>
              <w:pStyle w:val="SingleTxtG"/>
              <w:ind w:firstLine="567"/>
            </w:pPr>
            <w:r w:rsidRPr="00465C67">
              <w:rPr>
                <w:lang w:val="fr-FR"/>
              </w:rPr>
              <w:t>La Réunion des Parties devrait examiner le projet de décision et s</w:t>
            </w:r>
            <w:r>
              <w:rPr>
                <w:lang w:val="fr-FR"/>
              </w:rPr>
              <w:t>’</w:t>
            </w:r>
            <w:r w:rsidRPr="00465C67">
              <w:rPr>
                <w:lang w:val="fr-FR"/>
              </w:rPr>
              <w:t>entendre sur son adoption.</w:t>
            </w:r>
          </w:p>
        </w:tc>
      </w:tr>
      <w:tr w:rsidR="00465C67">
        <w:trPr>
          <w:jc w:val="center"/>
        </w:trPr>
        <w:tc>
          <w:tcPr>
            <w:tcW w:w="9637" w:type="dxa"/>
            <w:shd w:val="clear" w:color="auto" w:fill="auto"/>
          </w:tcPr>
          <w:p w:rsidR="00465C67" w:rsidRDefault="00465C67"/>
        </w:tc>
      </w:tr>
    </w:tbl>
    <w:p w:rsidR="00465C67" w:rsidRDefault="00465C67" w:rsidP="00465C67">
      <w:pPr>
        <w:rPr>
          <w:lang w:val="fr-FR"/>
        </w:rPr>
      </w:pPr>
    </w:p>
    <w:p w:rsidR="00465C67" w:rsidRPr="00465C67" w:rsidRDefault="00465C67" w:rsidP="00465C67">
      <w:pPr>
        <w:pStyle w:val="SingleTxtG"/>
        <w:ind w:firstLine="567"/>
      </w:pPr>
      <w:r>
        <w:rPr>
          <w:lang w:val="fr-FR"/>
        </w:rPr>
        <w:br w:type="page"/>
      </w:r>
      <w:r w:rsidRPr="00465C67">
        <w:rPr>
          <w:i/>
          <w:iCs/>
          <w:lang w:val="fr-FR"/>
        </w:rPr>
        <w:lastRenderedPageBreak/>
        <w:t>La Réunion des Parties à la Convention</w:t>
      </w:r>
      <w:r w:rsidRPr="00465C67">
        <w:rPr>
          <w:lang w:val="fr-FR"/>
        </w:rPr>
        <w:t>,</w:t>
      </w:r>
    </w:p>
    <w:p w:rsidR="00465C67" w:rsidRPr="00465C67" w:rsidRDefault="00465C67" w:rsidP="00465C67">
      <w:pPr>
        <w:pStyle w:val="SingleTxtG"/>
        <w:ind w:firstLine="567"/>
      </w:pPr>
      <w:r w:rsidRPr="00465C67">
        <w:rPr>
          <w:i/>
          <w:iCs/>
          <w:lang w:val="fr-FR"/>
        </w:rPr>
        <w:t xml:space="preserve">Rappelant </w:t>
      </w:r>
      <w:r>
        <w:rPr>
          <w:lang w:val="fr-FR"/>
        </w:rPr>
        <w:t>le paragraphe 2 de l’article 11 et l’article 14 </w:t>
      </w:r>
      <w:r w:rsidRPr="00465C67">
        <w:rPr>
          <w:i/>
          <w:lang w:val="fr-FR"/>
        </w:rPr>
        <w:t>bis</w:t>
      </w:r>
      <w:r w:rsidRPr="00465C67">
        <w:rPr>
          <w:lang w:val="fr-FR"/>
        </w:rPr>
        <w:t xml:space="preserve"> de la Convention sur l</w:t>
      </w:r>
      <w:r>
        <w:rPr>
          <w:lang w:val="fr-FR"/>
        </w:rPr>
        <w:t>’</w:t>
      </w:r>
      <w:r w:rsidRPr="00465C67">
        <w:rPr>
          <w:lang w:val="fr-FR"/>
        </w:rPr>
        <w:t>évaluation de l</w:t>
      </w:r>
      <w:r>
        <w:rPr>
          <w:lang w:val="fr-FR"/>
        </w:rPr>
        <w:t>’</w:t>
      </w:r>
      <w:r w:rsidRPr="00465C67">
        <w:rPr>
          <w:lang w:val="fr-FR"/>
        </w:rPr>
        <w:t>impact sur l</w:t>
      </w:r>
      <w:r>
        <w:rPr>
          <w:lang w:val="fr-FR"/>
        </w:rPr>
        <w:t>’</w:t>
      </w:r>
      <w:r w:rsidRPr="00465C67">
        <w:rPr>
          <w:lang w:val="fr-FR"/>
        </w:rPr>
        <w:t>environnement dans un contexte transfrontière, et ses propres décisions III/2, IV/2, V/4 et VI/2 relatives à l</w:t>
      </w:r>
      <w:r>
        <w:rPr>
          <w:lang w:val="fr-FR"/>
        </w:rPr>
        <w:t>’</w:t>
      </w:r>
      <w:r w:rsidRPr="00465C67">
        <w:rPr>
          <w:lang w:val="fr-FR"/>
        </w:rPr>
        <w:t>examen du respect des dispositions,</w:t>
      </w:r>
    </w:p>
    <w:p w:rsidR="00465C67" w:rsidRPr="00465C67" w:rsidRDefault="00465C67" w:rsidP="00465C67">
      <w:pPr>
        <w:pStyle w:val="SingleTxtG"/>
        <w:ind w:firstLine="567"/>
      </w:pPr>
      <w:r w:rsidRPr="00465C67">
        <w:rPr>
          <w:i/>
          <w:iCs/>
          <w:lang w:val="fr-FR"/>
        </w:rPr>
        <w:t xml:space="preserve">Résolue </w:t>
      </w:r>
      <w:r w:rsidRPr="00465C67">
        <w:rPr>
          <w:lang w:val="fr-FR"/>
        </w:rPr>
        <w:t>à promouvoir et améliorer le respect des dispositions de la Convention,</w:t>
      </w:r>
    </w:p>
    <w:p w:rsidR="00465C67" w:rsidRPr="00465C67" w:rsidRDefault="00465C67" w:rsidP="00465C67">
      <w:pPr>
        <w:pStyle w:val="SingleTxtG"/>
        <w:ind w:firstLine="567"/>
      </w:pPr>
      <w:r w:rsidRPr="00465C67">
        <w:rPr>
          <w:i/>
          <w:iCs/>
          <w:lang w:val="fr-FR"/>
        </w:rPr>
        <w:t xml:space="preserve">Soucieuse </w:t>
      </w:r>
      <w:r w:rsidRPr="00465C67">
        <w:rPr>
          <w:lang w:val="fr-FR"/>
        </w:rPr>
        <w:t>de faire en sorte que les difficultés rencontr</w:t>
      </w:r>
      <w:r w:rsidR="00556571">
        <w:rPr>
          <w:lang w:val="fr-FR"/>
        </w:rPr>
        <w:t xml:space="preserve">ées par les Parties en matière </w:t>
      </w:r>
      <w:r w:rsidRPr="00465C67">
        <w:rPr>
          <w:lang w:val="fr-FR"/>
        </w:rPr>
        <w:t>de respect des dispositions soient mises en évidence dès que possible, et de favoriser l</w:t>
      </w:r>
      <w:r>
        <w:rPr>
          <w:lang w:val="fr-FR"/>
        </w:rPr>
        <w:t>’</w:t>
      </w:r>
      <w:r w:rsidRPr="00465C67">
        <w:rPr>
          <w:lang w:val="fr-FR"/>
        </w:rPr>
        <w:t>adoption des solutions les mieux adaptées et les plus efficaces à ces difficultés,</w:t>
      </w:r>
    </w:p>
    <w:p w:rsidR="00465C67" w:rsidRPr="00465C67" w:rsidRDefault="00465C67" w:rsidP="00465C67">
      <w:pPr>
        <w:pStyle w:val="SingleTxtG"/>
        <w:ind w:firstLine="567"/>
      </w:pPr>
      <w:r w:rsidRPr="00465C67">
        <w:rPr>
          <w:i/>
          <w:iCs/>
          <w:lang w:val="fr-FR"/>
        </w:rPr>
        <w:t>Ayant examiné</w:t>
      </w:r>
      <w:r w:rsidRPr="00465C67">
        <w:rPr>
          <w:lang w:val="fr-FR"/>
        </w:rPr>
        <w:t xml:space="preserve"> l</w:t>
      </w:r>
      <w:r>
        <w:rPr>
          <w:lang w:val="fr-FR"/>
        </w:rPr>
        <w:t>’</w:t>
      </w:r>
      <w:r w:rsidRPr="00465C67">
        <w:rPr>
          <w:lang w:val="fr-FR"/>
        </w:rPr>
        <w:t>analyse des problématiques générales de respect des dispositions faite par le Comité d</w:t>
      </w:r>
      <w:r>
        <w:rPr>
          <w:lang w:val="fr-FR"/>
        </w:rPr>
        <w:t>’</w:t>
      </w:r>
      <w:r w:rsidRPr="00465C67">
        <w:rPr>
          <w:lang w:val="fr-FR"/>
        </w:rPr>
        <w:t>application dans le cadre des quatrième et cinquième examens de l</w:t>
      </w:r>
      <w:r>
        <w:rPr>
          <w:lang w:val="fr-FR"/>
        </w:rPr>
        <w:t>’</w:t>
      </w:r>
      <w:r w:rsidRPr="00465C67">
        <w:rPr>
          <w:lang w:val="fr-FR"/>
        </w:rPr>
        <w:t>application de la Convention, publiés respectivement sous les cotes ECE/MP.EIA/2014/3 et ECE/MP.EIA/2017</w:t>
      </w:r>
      <w:r>
        <w:rPr>
          <w:lang w:val="fr-FR"/>
        </w:rPr>
        <w:t>/9 et adoptés par les décisions </w:t>
      </w:r>
      <w:r w:rsidRPr="00465C67">
        <w:rPr>
          <w:lang w:val="fr-FR"/>
        </w:rPr>
        <w:t>VI/1 et VII/1,</w:t>
      </w:r>
    </w:p>
    <w:p w:rsidR="00465C67" w:rsidRPr="00465C67" w:rsidRDefault="00465C67" w:rsidP="00465C67">
      <w:pPr>
        <w:pStyle w:val="SingleTxtG"/>
        <w:ind w:firstLine="567"/>
      </w:pPr>
      <w:r w:rsidRPr="00465C67">
        <w:rPr>
          <w:i/>
          <w:iCs/>
          <w:lang w:val="fr-FR"/>
        </w:rPr>
        <w:t xml:space="preserve">Ayant également examiné </w:t>
      </w:r>
      <w:r w:rsidRPr="00465C67">
        <w:rPr>
          <w:lang w:val="fr-FR"/>
        </w:rPr>
        <w:t>les conclusions et recommandations du Comité d</w:t>
      </w:r>
      <w:r>
        <w:rPr>
          <w:lang w:val="fr-FR"/>
        </w:rPr>
        <w:t>’</w:t>
      </w:r>
      <w:r w:rsidRPr="00465C67">
        <w:rPr>
          <w:lang w:val="fr-FR"/>
        </w:rPr>
        <w:t>application concernant une initiative du Comité relative au Royaume-Uni de Grande-Bretagne et d</w:t>
      </w:r>
      <w:r>
        <w:rPr>
          <w:lang w:val="fr-FR"/>
        </w:rPr>
        <w:t>’</w:t>
      </w:r>
      <w:r w:rsidRPr="00465C67">
        <w:rPr>
          <w:lang w:val="fr-FR"/>
        </w:rPr>
        <w:t>Irlande du Nord, telles qu</w:t>
      </w:r>
      <w:r>
        <w:rPr>
          <w:lang w:val="fr-FR"/>
        </w:rPr>
        <w:t>’</w:t>
      </w:r>
      <w:r w:rsidRPr="00465C67">
        <w:rPr>
          <w:lang w:val="fr-FR"/>
        </w:rPr>
        <w:t>elles figurent dans le rapport du Comité sur sa trente-cinquième session</w:t>
      </w:r>
      <w:r w:rsidRPr="00465C67">
        <w:rPr>
          <w:rStyle w:val="FootnoteReference"/>
          <w:lang w:val="en-GB"/>
        </w:rPr>
        <w:footnoteReference w:id="2"/>
      </w:r>
      <w:r w:rsidRPr="00465C67">
        <w:rPr>
          <w:lang w:val="fr-FR"/>
        </w:rPr>
        <w:t xml:space="preserve"> et dans le document ECE/MP.EIA/2019/14,</w:t>
      </w:r>
      <w:bookmarkStart w:id="2" w:name="_Hlk529381858"/>
      <w:bookmarkEnd w:id="2"/>
    </w:p>
    <w:p w:rsidR="00465C67" w:rsidRPr="00465C67" w:rsidRDefault="00465C67" w:rsidP="00465C67">
      <w:pPr>
        <w:pStyle w:val="SingleTxtG"/>
        <w:ind w:firstLine="567"/>
      </w:pPr>
      <w:r w:rsidRPr="00465C67">
        <w:rPr>
          <w:i/>
          <w:iCs/>
          <w:lang w:val="fr-FR"/>
        </w:rPr>
        <w:t>Ayant examiné en outre</w:t>
      </w:r>
      <w:r w:rsidRPr="00465C67">
        <w:rPr>
          <w:lang w:val="fr-FR"/>
        </w:rPr>
        <w:t xml:space="preserve"> le rapport sur les activités du Comité d</w:t>
      </w:r>
      <w:r>
        <w:rPr>
          <w:lang w:val="fr-FR"/>
        </w:rPr>
        <w:t>’</w:t>
      </w:r>
      <w:r w:rsidRPr="00465C67">
        <w:rPr>
          <w:lang w:val="fr-FR"/>
        </w:rPr>
        <w:t>application soumis à la Réunion des Parties à la Convention à sa septième session</w:t>
      </w:r>
      <w:r w:rsidRPr="00465C67">
        <w:rPr>
          <w:rStyle w:val="FootnoteReference"/>
          <w:lang w:val="en-GB"/>
        </w:rPr>
        <w:footnoteReference w:id="3"/>
      </w:r>
      <w:r w:rsidRPr="00465C67">
        <w:rPr>
          <w:lang w:val="fr-FR"/>
        </w:rPr>
        <w:t xml:space="preserve"> et les rapports du Comité sur sa session spéciale</w:t>
      </w:r>
      <w:r w:rsidRPr="00465C67">
        <w:rPr>
          <w:rStyle w:val="FootnoteReference"/>
          <w:lang w:val="en-GB"/>
        </w:rPr>
        <w:footnoteReference w:id="4"/>
      </w:r>
      <w:r w:rsidRPr="00465C67">
        <w:rPr>
          <w:lang w:val="fr-FR"/>
        </w:rPr>
        <w:t xml:space="preserve"> ainsi que sur ses trente-neuvième</w:t>
      </w:r>
      <w:r w:rsidRPr="00465C67">
        <w:rPr>
          <w:rStyle w:val="FootnoteReference"/>
          <w:lang w:val="en-GB"/>
        </w:rPr>
        <w:footnoteReference w:id="5"/>
      </w:r>
      <w:r w:rsidRPr="00465C67">
        <w:rPr>
          <w:lang w:val="fr-FR"/>
        </w:rPr>
        <w:t>, quarantième</w:t>
      </w:r>
      <w:r w:rsidRPr="00465C67">
        <w:rPr>
          <w:rStyle w:val="FootnoteReference"/>
          <w:lang w:val="en-GB"/>
        </w:rPr>
        <w:footnoteReference w:id="6"/>
      </w:r>
      <w:r w:rsidRPr="00465C67">
        <w:rPr>
          <w:lang w:val="fr-FR"/>
        </w:rPr>
        <w:t>, quarante et unième</w:t>
      </w:r>
      <w:r w:rsidRPr="00465C67">
        <w:rPr>
          <w:rStyle w:val="FootnoteReference"/>
          <w:lang w:val="en-GB"/>
        </w:rPr>
        <w:footnoteReference w:id="7"/>
      </w:r>
      <w:r w:rsidRPr="00465C67">
        <w:rPr>
          <w:lang w:val="fr-FR"/>
        </w:rPr>
        <w:t xml:space="preserve"> et quarante-deuxième</w:t>
      </w:r>
      <w:r w:rsidRPr="00465C67">
        <w:rPr>
          <w:rStyle w:val="FootnoteReference"/>
          <w:lang w:val="en-GB"/>
        </w:rPr>
        <w:footnoteReference w:id="8"/>
      </w:r>
      <w:r w:rsidRPr="00465C67">
        <w:rPr>
          <w:lang w:val="fr-FR"/>
        </w:rPr>
        <w:t xml:space="preserve"> sessions,</w:t>
      </w:r>
    </w:p>
    <w:p w:rsidR="00465C67" w:rsidRPr="00465C67" w:rsidRDefault="00465C67" w:rsidP="00465C67">
      <w:pPr>
        <w:pStyle w:val="SingleTxtG"/>
        <w:ind w:firstLine="567"/>
      </w:pPr>
      <w:r w:rsidRPr="00465C67">
        <w:rPr>
          <w:i/>
          <w:iCs/>
          <w:lang w:val="fr-FR"/>
        </w:rPr>
        <w:t xml:space="preserve">Rappelant </w:t>
      </w:r>
      <w:r w:rsidRPr="00465C67">
        <w:rPr>
          <w:lang w:val="fr-FR"/>
        </w:rPr>
        <w:t>la décision qu</w:t>
      </w:r>
      <w:r>
        <w:rPr>
          <w:lang w:val="fr-FR"/>
        </w:rPr>
        <w:t>’</w:t>
      </w:r>
      <w:r w:rsidRPr="00465C67">
        <w:rPr>
          <w:lang w:val="fr-FR"/>
        </w:rPr>
        <w:t>elle a prise à sa</w:t>
      </w:r>
      <w:r>
        <w:rPr>
          <w:lang w:val="fr-FR"/>
        </w:rPr>
        <w:t xml:space="preserve"> septième session (Minsk, 13-16 </w:t>
      </w:r>
      <w:r w:rsidRPr="00465C67">
        <w:rPr>
          <w:lang w:val="fr-FR"/>
        </w:rPr>
        <w:t>juin 2017) d</w:t>
      </w:r>
      <w:r>
        <w:rPr>
          <w:lang w:val="fr-FR"/>
        </w:rPr>
        <w:t>’</w:t>
      </w:r>
      <w:r w:rsidRPr="00465C67">
        <w:rPr>
          <w:lang w:val="fr-FR"/>
        </w:rPr>
        <w:t>achever ses délibérations sur l</w:t>
      </w:r>
      <w:r>
        <w:rPr>
          <w:lang w:val="fr-FR"/>
        </w:rPr>
        <w:t>’</w:t>
      </w:r>
      <w:r w:rsidRPr="00465C67">
        <w:rPr>
          <w:lang w:val="fr-FR"/>
        </w:rPr>
        <w:t>examen du respect des dispositions de la Convention à une session intermédiaire, sur la base d</w:t>
      </w:r>
      <w:r>
        <w:rPr>
          <w:lang w:val="fr-FR"/>
        </w:rPr>
        <w:t>’</w:t>
      </w:r>
      <w:r w:rsidRPr="00465C67">
        <w:rPr>
          <w:lang w:val="fr-FR"/>
        </w:rPr>
        <w:t>un projet de décision révisé devant être établi par le Comité d</w:t>
      </w:r>
      <w:r>
        <w:rPr>
          <w:lang w:val="fr-FR"/>
        </w:rPr>
        <w:t>’</w:t>
      </w:r>
      <w:r w:rsidRPr="00465C67">
        <w:rPr>
          <w:lang w:val="fr-FR"/>
        </w:rPr>
        <w:t>application en tenant compte des travaux et des progrès réalisés avant et pendant la septième session</w:t>
      </w:r>
      <w:r w:rsidRPr="00465C67">
        <w:rPr>
          <w:rStyle w:val="FootnoteReference"/>
          <w:lang w:val="en-GB"/>
        </w:rPr>
        <w:footnoteReference w:id="9"/>
      </w:r>
      <w:r w:rsidRPr="00465C67">
        <w:rPr>
          <w:lang w:val="fr-FR"/>
        </w:rPr>
        <w:t xml:space="preserve">, </w:t>
      </w:r>
    </w:p>
    <w:p w:rsidR="00465C67" w:rsidRPr="00465C67" w:rsidRDefault="00465C67" w:rsidP="00465C67">
      <w:pPr>
        <w:pStyle w:val="SingleTxtG"/>
        <w:ind w:firstLine="567"/>
      </w:pPr>
      <w:r w:rsidRPr="00465C67">
        <w:rPr>
          <w:i/>
          <w:iCs/>
          <w:lang w:val="fr-FR"/>
        </w:rPr>
        <w:t>Ayant examiné</w:t>
      </w:r>
      <w:r w:rsidRPr="00465C67">
        <w:rPr>
          <w:lang w:val="fr-FR"/>
        </w:rPr>
        <w:t xml:space="preserve"> la structure et les fonctions du Comité, décrites dans l</w:t>
      </w:r>
      <w:r>
        <w:rPr>
          <w:lang w:val="fr-FR"/>
        </w:rPr>
        <w:t>’</w:t>
      </w:r>
      <w:r w:rsidRPr="00465C67">
        <w:rPr>
          <w:lang w:val="fr-FR"/>
        </w:rPr>
        <w:t>appendice de la décision III/2</w:t>
      </w:r>
      <w:r w:rsidRPr="00465C67">
        <w:rPr>
          <w:rStyle w:val="FootnoteReference"/>
          <w:lang w:val="en-GB"/>
        </w:rPr>
        <w:footnoteReference w:id="10"/>
      </w:r>
      <w:r w:rsidRPr="00465C67">
        <w:rPr>
          <w:lang w:val="fr-FR"/>
        </w:rPr>
        <w:t xml:space="preserve"> et dans l</w:t>
      </w:r>
      <w:r>
        <w:rPr>
          <w:lang w:val="fr-FR"/>
        </w:rPr>
        <w:t>’annexe I à la décision </w:t>
      </w:r>
      <w:r w:rsidRPr="00465C67">
        <w:rPr>
          <w:lang w:val="fr-FR"/>
        </w:rPr>
        <w:t>VI/2</w:t>
      </w:r>
      <w:r w:rsidRPr="00465C67">
        <w:rPr>
          <w:rStyle w:val="FootnoteReference"/>
          <w:lang w:val="en-GB"/>
        </w:rPr>
        <w:footnoteReference w:id="11"/>
      </w:r>
      <w:r w:rsidRPr="00465C67">
        <w:rPr>
          <w:lang w:val="fr-FR"/>
        </w:rPr>
        <w:t xml:space="preserve">, </w:t>
      </w:r>
    </w:p>
    <w:p w:rsidR="00465C67" w:rsidRPr="00465C67" w:rsidRDefault="00465C67" w:rsidP="00465C67">
      <w:pPr>
        <w:pStyle w:val="SingleTxtG"/>
        <w:ind w:firstLine="567"/>
      </w:pPr>
      <w:r w:rsidRPr="00465C67">
        <w:rPr>
          <w:i/>
          <w:iCs/>
          <w:lang w:val="fr-FR"/>
        </w:rPr>
        <w:t xml:space="preserve">Ayant également examiné </w:t>
      </w:r>
      <w:r w:rsidRPr="00465C67">
        <w:rPr>
          <w:lang w:val="fr-FR"/>
        </w:rPr>
        <w:t>le règlement in</w:t>
      </w:r>
      <w:r>
        <w:rPr>
          <w:lang w:val="fr-FR"/>
        </w:rPr>
        <w:t>térieur adopté dans la décision </w:t>
      </w:r>
      <w:r w:rsidRPr="00465C67">
        <w:rPr>
          <w:lang w:val="fr-FR"/>
        </w:rPr>
        <w:t>IV/2</w:t>
      </w:r>
      <w:r w:rsidRPr="00465C67">
        <w:rPr>
          <w:rStyle w:val="FootnoteReference"/>
          <w:lang w:val="en-GB"/>
        </w:rPr>
        <w:footnoteReference w:id="12"/>
      </w:r>
      <w:r w:rsidRPr="00465C67">
        <w:rPr>
          <w:lang w:val="fr-FR"/>
        </w:rPr>
        <w:t>, modifié par l</w:t>
      </w:r>
      <w:r>
        <w:rPr>
          <w:lang w:val="fr-FR"/>
        </w:rPr>
        <w:t>’annexe à la décision </w:t>
      </w:r>
      <w:r w:rsidRPr="00465C67">
        <w:rPr>
          <w:lang w:val="fr-FR"/>
        </w:rPr>
        <w:t>V/4</w:t>
      </w:r>
      <w:r w:rsidRPr="00465C67">
        <w:rPr>
          <w:rStyle w:val="FootnoteReference"/>
          <w:lang w:val="en-GB"/>
        </w:rPr>
        <w:footnoteReference w:id="13"/>
      </w:r>
      <w:r w:rsidR="005D15FF">
        <w:rPr>
          <w:lang w:val="fr-FR"/>
        </w:rPr>
        <w:t xml:space="preserve"> </w:t>
      </w:r>
      <w:r w:rsidRPr="00465C67">
        <w:rPr>
          <w:lang w:val="fr-FR"/>
        </w:rPr>
        <w:t>et l</w:t>
      </w:r>
      <w:r>
        <w:rPr>
          <w:lang w:val="fr-FR"/>
        </w:rPr>
        <w:t>’annexe II à la décision </w:t>
      </w:r>
      <w:r w:rsidRPr="00465C67">
        <w:rPr>
          <w:lang w:val="fr-FR"/>
        </w:rPr>
        <w:t>VI/2</w:t>
      </w:r>
      <w:r w:rsidRPr="00465C67">
        <w:rPr>
          <w:rStyle w:val="FootnoteReference"/>
          <w:lang w:val="en-GB"/>
        </w:rPr>
        <w:footnoteReference w:id="14"/>
      </w:r>
      <w:r w:rsidRPr="00465C67">
        <w:rPr>
          <w:lang w:val="fr-FR"/>
        </w:rPr>
        <w:t>, et consciente qu</w:t>
      </w:r>
      <w:r>
        <w:rPr>
          <w:lang w:val="fr-FR"/>
        </w:rPr>
        <w:t>’</w:t>
      </w:r>
      <w:r w:rsidRPr="00465C67">
        <w:rPr>
          <w:lang w:val="fr-FR"/>
        </w:rPr>
        <w:t>il importe de rendre plus efficaces les méthodes de travail du Comité étant donné le nombre et la complexité croissants des questions relatives au respect des dispositions dont il est saisi,</w:t>
      </w:r>
    </w:p>
    <w:p w:rsidR="00465C67" w:rsidRPr="00465C67" w:rsidRDefault="00465C67" w:rsidP="00465C67">
      <w:pPr>
        <w:pStyle w:val="SingleTxtG"/>
        <w:ind w:firstLine="567"/>
      </w:pPr>
      <w:r w:rsidRPr="00465C67">
        <w:rPr>
          <w:i/>
          <w:iCs/>
          <w:lang w:val="fr-FR"/>
        </w:rPr>
        <w:t>Ayant examiné en outre</w:t>
      </w:r>
      <w:r w:rsidRPr="00465C67">
        <w:rPr>
          <w:lang w:val="fr-FR"/>
        </w:rPr>
        <w:t xml:space="preserve"> les avis du Comité,</w:t>
      </w:r>
    </w:p>
    <w:p w:rsidR="00465C67" w:rsidRPr="00465C67" w:rsidRDefault="00465C67" w:rsidP="00465C67">
      <w:pPr>
        <w:pStyle w:val="SingleTxtG"/>
        <w:ind w:firstLine="567"/>
      </w:pPr>
      <w:r w:rsidRPr="00465C67">
        <w:rPr>
          <w:i/>
          <w:iCs/>
          <w:lang w:val="fr-FR"/>
        </w:rPr>
        <w:t xml:space="preserve">Consciente </w:t>
      </w:r>
      <w:r w:rsidRPr="00465C67">
        <w:rPr>
          <w:lang w:val="fr-FR"/>
        </w:rPr>
        <w:t>qu</w:t>
      </w:r>
      <w:r>
        <w:rPr>
          <w:lang w:val="fr-FR"/>
        </w:rPr>
        <w:t>’</w:t>
      </w:r>
      <w:r w:rsidRPr="00465C67">
        <w:rPr>
          <w:lang w:val="fr-FR"/>
        </w:rPr>
        <w:t>il importe que les Parties rendent compte scrupuleusement du respect des dispositions de la Convention, et prenant note du cinquième examen de l</w:t>
      </w:r>
      <w:r>
        <w:rPr>
          <w:lang w:val="fr-FR"/>
        </w:rPr>
        <w:t>’</w:t>
      </w:r>
      <w:r w:rsidRPr="00465C67">
        <w:rPr>
          <w:lang w:val="fr-FR"/>
        </w:rPr>
        <w:t>application de la Convention fondé sur les réponses des Parties aux questionnaires sur le sujet</w:t>
      </w:r>
      <w:r>
        <w:rPr>
          <w:lang w:val="fr-FR"/>
        </w:rPr>
        <w:t xml:space="preserve"> adoptés dans la décision </w:t>
      </w:r>
      <w:r w:rsidRPr="00465C67">
        <w:rPr>
          <w:lang w:val="fr-FR"/>
        </w:rPr>
        <w:t xml:space="preserve">VII/1, </w:t>
      </w:r>
    </w:p>
    <w:p w:rsidR="00465C67" w:rsidRPr="00465C67" w:rsidRDefault="00465C67" w:rsidP="00465C67">
      <w:pPr>
        <w:pStyle w:val="SingleTxtG"/>
        <w:ind w:firstLine="567"/>
      </w:pPr>
      <w:r w:rsidRPr="00465C67">
        <w:rPr>
          <w:i/>
          <w:iCs/>
          <w:lang w:val="fr-FR"/>
        </w:rPr>
        <w:lastRenderedPageBreak/>
        <w:t xml:space="preserve">Rappelant </w:t>
      </w:r>
      <w:r w:rsidRPr="00465C67">
        <w:rPr>
          <w:lang w:val="fr-FR"/>
        </w:rPr>
        <w:t>que la procédure d</w:t>
      </w:r>
      <w:r>
        <w:rPr>
          <w:lang w:val="fr-FR"/>
        </w:rPr>
        <w:t>’</w:t>
      </w:r>
      <w:r w:rsidRPr="00465C67">
        <w:rPr>
          <w:lang w:val="fr-FR"/>
        </w:rPr>
        <w:t>examen du respect des dispositions est orientée vers l</w:t>
      </w:r>
      <w:r>
        <w:rPr>
          <w:lang w:val="fr-FR"/>
        </w:rPr>
        <w:t>’</w:t>
      </w:r>
      <w:r w:rsidRPr="00465C67">
        <w:rPr>
          <w:lang w:val="fr-FR"/>
        </w:rPr>
        <w:t>assistance et que les Parties peuvent adresser au Comité des communications sur des questions concernant la façon dont elles s</w:t>
      </w:r>
      <w:r>
        <w:rPr>
          <w:lang w:val="fr-FR"/>
        </w:rPr>
        <w:t>’</w:t>
      </w:r>
      <w:r w:rsidRPr="00465C67">
        <w:rPr>
          <w:lang w:val="fr-FR"/>
        </w:rPr>
        <w:t>acquittent des obligations que leur impose la Convention,</w:t>
      </w:r>
    </w:p>
    <w:p w:rsidR="00465C67" w:rsidRPr="00465C67" w:rsidRDefault="00465C67" w:rsidP="00465C67">
      <w:pPr>
        <w:pStyle w:val="SingleTxtG"/>
        <w:ind w:firstLine="567"/>
      </w:pPr>
      <w:r w:rsidRPr="00465C67">
        <w:rPr>
          <w:i/>
          <w:iCs/>
          <w:lang w:val="fr-FR"/>
        </w:rPr>
        <w:t>Rappelant également</w:t>
      </w:r>
      <w:r w:rsidRPr="00465C67">
        <w:rPr>
          <w:lang w:val="fr-FR"/>
        </w:rPr>
        <w:t xml:space="preserve"> ses décisions IS/1a, IS/1b, IS/1c, IS/1d, IS/1e, IS/1f, IS/1g et IS/1h, relatives au respect des dispositions par l</w:t>
      </w:r>
      <w:r>
        <w:rPr>
          <w:lang w:val="fr-FR"/>
        </w:rPr>
        <w:t>’</w:t>
      </w:r>
      <w:r w:rsidRPr="00465C67">
        <w:rPr>
          <w:lang w:val="fr-FR"/>
        </w:rPr>
        <w:t>Arménie, l</w:t>
      </w:r>
      <w:r>
        <w:rPr>
          <w:lang w:val="fr-FR"/>
        </w:rPr>
        <w:t>’</w:t>
      </w:r>
      <w:r w:rsidRPr="00465C67">
        <w:rPr>
          <w:lang w:val="fr-FR"/>
        </w:rPr>
        <w:t>Azerbaïdjan, le Bélarus, le Royaume-Uni de Grande-Bretagne et d</w:t>
      </w:r>
      <w:r>
        <w:rPr>
          <w:lang w:val="fr-FR"/>
        </w:rPr>
        <w:t>’</w:t>
      </w:r>
      <w:r w:rsidRPr="00465C67">
        <w:rPr>
          <w:lang w:val="fr-FR"/>
        </w:rPr>
        <w:t>Irlande du Nord, la Serbie et l</w:t>
      </w:r>
      <w:r>
        <w:rPr>
          <w:lang w:val="fr-FR"/>
        </w:rPr>
        <w:t>’</w:t>
      </w:r>
      <w:r w:rsidRPr="00465C67">
        <w:rPr>
          <w:lang w:val="fr-FR"/>
        </w:rPr>
        <w:t>Ukraine, adoptées à sa session intermédiaire,</w:t>
      </w:r>
      <w:bookmarkStart w:id="3" w:name="_Hlk507582472"/>
      <w:bookmarkEnd w:id="3"/>
    </w:p>
    <w:p w:rsidR="00465C67" w:rsidRPr="00465C67" w:rsidRDefault="00465C67" w:rsidP="00465C67">
      <w:pPr>
        <w:pStyle w:val="SingleTxtG"/>
        <w:ind w:firstLine="567"/>
      </w:pPr>
      <w:r w:rsidRPr="00465C67">
        <w:rPr>
          <w:lang w:val="fr-FR"/>
        </w:rPr>
        <w:t>1.</w:t>
      </w:r>
      <w:r w:rsidRPr="00465C67">
        <w:rPr>
          <w:lang w:val="fr-FR"/>
        </w:rPr>
        <w:tab/>
      </w:r>
      <w:r w:rsidRPr="00465C67">
        <w:rPr>
          <w:i/>
          <w:iCs/>
          <w:lang w:val="fr-FR"/>
        </w:rPr>
        <w:t xml:space="preserve">Adopte </w:t>
      </w:r>
      <w:r w:rsidRPr="00465C67">
        <w:rPr>
          <w:lang w:val="fr-FR"/>
        </w:rPr>
        <w:t>le rapport du Comité d</w:t>
      </w:r>
      <w:r>
        <w:rPr>
          <w:lang w:val="fr-FR"/>
        </w:rPr>
        <w:t>’</w:t>
      </w:r>
      <w:r w:rsidRPr="00465C67">
        <w:rPr>
          <w:lang w:val="fr-FR"/>
        </w:rPr>
        <w:t xml:space="preserve">application sur ses activités publié sous la cote ECE/MP.EIA/2017/4-ECE/MP.EIA/SEA/2017/4, accueille avec satisfaction les rapports du Comité sur ses réunions tenues après la sixième session de la Réunion des Parties à la </w:t>
      </w:r>
      <w:r>
        <w:rPr>
          <w:lang w:val="fr-FR"/>
        </w:rPr>
        <w:t>Convention et charge le Comité :</w:t>
      </w:r>
    </w:p>
    <w:p w:rsidR="00465C67" w:rsidRPr="00465C67" w:rsidRDefault="00465C67" w:rsidP="00465C67">
      <w:pPr>
        <w:pStyle w:val="SingleTxtG"/>
        <w:ind w:firstLine="567"/>
      </w:pPr>
      <w:r w:rsidRPr="00465C67">
        <w:rPr>
          <w:lang w:val="fr-FR"/>
        </w:rPr>
        <w:t>a)</w:t>
      </w:r>
      <w:r w:rsidRPr="00465C67">
        <w:rPr>
          <w:lang w:val="fr-FR"/>
        </w:rPr>
        <w:tab/>
        <w:t>De garder à l</w:t>
      </w:r>
      <w:r>
        <w:rPr>
          <w:lang w:val="fr-FR"/>
        </w:rPr>
        <w:t>’</w:t>
      </w:r>
      <w:r w:rsidRPr="00465C67">
        <w:rPr>
          <w:lang w:val="fr-FR"/>
        </w:rPr>
        <w:t>étude la mise en œuvre et l</w:t>
      </w:r>
      <w:r>
        <w:rPr>
          <w:lang w:val="fr-FR"/>
        </w:rPr>
        <w:t>’application de la Convention ;</w:t>
      </w:r>
    </w:p>
    <w:p w:rsidR="00465C67" w:rsidRPr="00465C67" w:rsidRDefault="00465C67" w:rsidP="00465C67">
      <w:pPr>
        <w:pStyle w:val="SingleTxtG"/>
        <w:ind w:firstLine="567"/>
      </w:pPr>
      <w:r w:rsidRPr="00465C67">
        <w:rPr>
          <w:lang w:val="fr-FR"/>
        </w:rPr>
        <w:t>b)</w:t>
      </w:r>
      <w:r w:rsidRPr="00465C67">
        <w:rPr>
          <w:lang w:val="fr-FR"/>
        </w:rPr>
        <w:tab/>
        <w:t>De promouvoir et d</w:t>
      </w:r>
      <w:r>
        <w:rPr>
          <w:lang w:val="fr-FR"/>
        </w:rPr>
        <w:t>’</w:t>
      </w:r>
      <w:r w:rsidRPr="00465C67">
        <w:rPr>
          <w:lang w:val="fr-FR"/>
        </w:rPr>
        <w:t xml:space="preserve">appuyer le respect des dispositions de la Convention, notamment en fournissant si nécessaire une aide à cet </w:t>
      </w:r>
      <w:r>
        <w:rPr>
          <w:lang w:val="fr-FR"/>
        </w:rPr>
        <w:t>effet ;</w:t>
      </w:r>
    </w:p>
    <w:p w:rsidR="00465C67" w:rsidRPr="00465C67" w:rsidRDefault="00465C67" w:rsidP="00465C67">
      <w:pPr>
        <w:pStyle w:val="SingleTxtG"/>
        <w:ind w:firstLine="567"/>
      </w:pPr>
      <w:r w:rsidRPr="00465C67">
        <w:rPr>
          <w:lang w:val="fr-FR"/>
        </w:rPr>
        <w:t>2.</w:t>
      </w:r>
      <w:r w:rsidRPr="00465C67">
        <w:rPr>
          <w:lang w:val="fr-FR"/>
        </w:rPr>
        <w:tab/>
      </w:r>
      <w:r w:rsidRPr="00465C67">
        <w:rPr>
          <w:i/>
          <w:iCs/>
          <w:lang w:val="fr-FR"/>
        </w:rPr>
        <w:t xml:space="preserve">Se félicite </w:t>
      </w:r>
      <w:r w:rsidRPr="00465C67">
        <w:rPr>
          <w:lang w:val="fr-FR"/>
        </w:rPr>
        <w:t>de l</w:t>
      </w:r>
      <w:r>
        <w:rPr>
          <w:lang w:val="fr-FR"/>
        </w:rPr>
        <w:t>’</w:t>
      </w:r>
      <w:r w:rsidRPr="00465C67">
        <w:rPr>
          <w:lang w:val="fr-FR"/>
        </w:rPr>
        <w:t>examen par le Comité des questions particulières relatives au respect des dispositions concernant Chypre qui avaient été relevées au cours du quatrième examen de l</w:t>
      </w:r>
      <w:r>
        <w:rPr>
          <w:lang w:val="fr-FR"/>
        </w:rPr>
        <w:t>’</w:t>
      </w:r>
      <w:r w:rsidRPr="00465C67">
        <w:rPr>
          <w:lang w:val="fr-FR"/>
        </w:rPr>
        <w:t>application de la Convention, à l</w:t>
      </w:r>
      <w:r>
        <w:rPr>
          <w:lang w:val="fr-FR"/>
        </w:rPr>
        <w:t>’</w:t>
      </w:r>
      <w:r w:rsidRPr="00465C67">
        <w:rPr>
          <w:lang w:val="fr-FR"/>
        </w:rPr>
        <w:t>issue duquel le Comité s</w:t>
      </w:r>
      <w:r>
        <w:rPr>
          <w:lang w:val="fr-FR"/>
        </w:rPr>
        <w:t>’</w:t>
      </w:r>
      <w:r w:rsidRPr="00465C67">
        <w:rPr>
          <w:lang w:val="fr-FR"/>
        </w:rPr>
        <w:t>est déclaré satisfait des éclairc</w:t>
      </w:r>
      <w:r>
        <w:rPr>
          <w:lang w:val="fr-FR"/>
        </w:rPr>
        <w:t>issements donnés par la Partie ;</w:t>
      </w:r>
    </w:p>
    <w:p w:rsidR="00465C67" w:rsidRPr="00465C67" w:rsidRDefault="00465C67" w:rsidP="00465C67">
      <w:pPr>
        <w:pStyle w:val="SingleTxtG"/>
        <w:ind w:firstLine="567"/>
      </w:pPr>
      <w:r w:rsidRPr="00465C67">
        <w:rPr>
          <w:lang w:val="fr-FR"/>
        </w:rPr>
        <w:t>3.</w:t>
      </w:r>
      <w:r w:rsidRPr="00465C67">
        <w:rPr>
          <w:lang w:val="fr-FR"/>
        </w:rPr>
        <w:tab/>
      </w:r>
      <w:r w:rsidRPr="00465C67">
        <w:rPr>
          <w:i/>
          <w:iCs/>
          <w:lang w:val="fr-FR"/>
        </w:rPr>
        <w:t>Se félicite également</w:t>
      </w:r>
      <w:r w:rsidRPr="00465C67">
        <w:rPr>
          <w:lang w:val="fr-FR"/>
        </w:rPr>
        <w:t xml:space="preserve"> de l</w:t>
      </w:r>
      <w:r>
        <w:rPr>
          <w:lang w:val="fr-FR"/>
        </w:rPr>
        <w:t>’</w:t>
      </w:r>
      <w:r w:rsidRPr="00465C67">
        <w:rPr>
          <w:lang w:val="fr-FR"/>
        </w:rPr>
        <w:t>examen par le Comité des informations reçues d</w:t>
      </w:r>
      <w:r>
        <w:rPr>
          <w:lang w:val="fr-FR"/>
        </w:rPr>
        <w:t>’</w:t>
      </w:r>
      <w:r w:rsidRPr="00465C67">
        <w:rPr>
          <w:lang w:val="fr-FR"/>
        </w:rPr>
        <w:t>autres sources, y compris le public, concernant le Bélarus, la Belgique, la Bosnie-Herzégovine (sur deux questions), l</w:t>
      </w:r>
      <w:r>
        <w:rPr>
          <w:lang w:val="fr-FR"/>
        </w:rPr>
        <w:t>’</w:t>
      </w:r>
      <w:r w:rsidRPr="00465C67">
        <w:rPr>
          <w:lang w:val="fr-FR"/>
        </w:rPr>
        <w:t>Espagne (sur deux questions), les Pays-Bas, la Serbie, la Tchéquie et l</w:t>
      </w:r>
      <w:r>
        <w:rPr>
          <w:lang w:val="fr-FR"/>
        </w:rPr>
        <w:t>’</w:t>
      </w:r>
      <w:r w:rsidRPr="00465C67">
        <w:rPr>
          <w:lang w:val="fr-FR"/>
        </w:rPr>
        <w:t xml:space="preserve">Ukraine (sur trois questions), qui a abouti comme suit : </w:t>
      </w:r>
    </w:p>
    <w:p w:rsidR="00465C67" w:rsidRPr="00465C67" w:rsidRDefault="00465C67" w:rsidP="00465C67">
      <w:pPr>
        <w:pStyle w:val="SingleTxtG"/>
        <w:ind w:firstLine="567"/>
      </w:pPr>
      <w:r w:rsidRPr="00465C67">
        <w:rPr>
          <w:lang w:val="fr-FR"/>
        </w:rPr>
        <w:t>a)</w:t>
      </w:r>
      <w:r w:rsidRPr="00465C67">
        <w:rPr>
          <w:lang w:val="fr-FR"/>
        </w:rPr>
        <w:tab/>
        <w:t>Dans un cas, concernant l</w:t>
      </w:r>
      <w:r>
        <w:rPr>
          <w:lang w:val="fr-FR"/>
        </w:rPr>
        <w:t>’</w:t>
      </w:r>
      <w:r w:rsidRPr="00465C67">
        <w:rPr>
          <w:lang w:val="fr-FR"/>
        </w:rPr>
        <w:t>Ukraine, le Comité s</w:t>
      </w:r>
      <w:r>
        <w:rPr>
          <w:lang w:val="fr-FR"/>
        </w:rPr>
        <w:t>’</w:t>
      </w:r>
      <w:r w:rsidRPr="00465C67">
        <w:rPr>
          <w:lang w:val="fr-FR"/>
        </w:rPr>
        <w:t>est déclaré satisfait des éclaircissements qui avaient été fournis par la p</w:t>
      </w:r>
      <w:r>
        <w:rPr>
          <w:lang w:val="fr-FR"/>
        </w:rPr>
        <w:t>artie ;</w:t>
      </w:r>
    </w:p>
    <w:p w:rsidR="00465C67" w:rsidRPr="00465C67" w:rsidRDefault="00465C67" w:rsidP="00465C67">
      <w:pPr>
        <w:pStyle w:val="SingleTxtG"/>
        <w:ind w:firstLine="567"/>
      </w:pPr>
      <w:r w:rsidRPr="00465C67">
        <w:rPr>
          <w:lang w:val="fr-FR"/>
        </w:rPr>
        <w:t>b)</w:t>
      </w:r>
      <w:r w:rsidRPr="00465C67">
        <w:rPr>
          <w:lang w:val="fr-FR"/>
        </w:rPr>
        <w:tab/>
        <w:t>Dans le cas concernant la Serbie, l</w:t>
      </w:r>
      <w:r>
        <w:rPr>
          <w:lang w:val="fr-FR"/>
        </w:rPr>
        <w:t>’</w:t>
      </w:r>
      <w:r w:rsidRPr="00465C67">
        <w:rPr>
          <w:lang w:val="fr-FR"/>
        </w:rPr>
        <w:t>examen a conduit à une initiative du Comité, à la suite de laquelle le Comité est désormais satisfait des éclaircissements fournis et des mesures prises par la Partie</w:t>
      </w:r>
      <w:r w:rsidRPr="00465C67">
        <w:rPr>
          <w:rStyle w:val="FootnoteReference"/>
          <w:lang w:val="en-GB"/>
        </w:rPr>
        <w:footnoteReference w:id="15"/>
      </w:r>
      <w:r w:rsidRPr="00465C67">
        <w:rPr>
          <w:lang w:val="fr-FR"/>
        </w:rPr>
        <w:t>, ainsi qu</w:t>
      </w:r>
      <w:r>
        <w:rPr>
          <w:lang w:val="fr-FR"/>
        </w:rPr>
        <w:t>’</w:t>
      </w:r>
      <w:r w:rsidRPr="00465C67">
        <w:rPr>
          <w:lang w:val="fr-FR"/>
        </w:rPr>
        <w:t>à la collecte d</w:t>
      </w:r>
      <w:r>
        <w:rPr>
          <w:lang w:val="fr-FR"/>
        </w:rPr>
        <w:t>’</w:t>
      </w:r>
      <w:r w:rsidRPr="00465C67">
        <w:rPr>
          <w:lang w:val="fr-FR"/>
        </w:rPr>
        <w:t>informations par le Comité en ce qui concerne le respect des dispositions du Protocole, qu</w:t>
      </w:r>
      <w:r>
        <w:rPr>
          <w:lang w:val="fr-FR"/>
        </w:rPr>
        <w:t>’</w:t>
      </w:r>
      <w:r w:rsidRPr="00465C67">
        <w:rPr>
          <w:lang w:val="fr-FR"/>
        </w:rPr>
        <w:t>il compte poursuivre à ses prochaines sessions</w:t>
      </w:r>
      <w:r w:rsidRPr="00465C67">
        <w:rPr>
          <w:rStyle w:val="FootnoteReference"/>
          <w:lang w:val="en-GB"/>
        </w:rPr>
        <w:footnoteReference w:id="16"/>
      </w:r>
      <w:r>
        <w:rPr>
          <w:lang w:val="fr-FR"/>
        </w:rPr>
        <w:t> ;</w:t>
      </w:r>
    </w:p>
    <w:p w:rsidR="00465C67" w:rsidRPr="00465C67" w:rsidRDefault="00465C67" w:rsidP="00465C67">
      <w:pPr>
        <w:pStyle w:val="SingleTxtG"/>
        <w:ind w:firstLine="567"/>
      </w:pPr>
      <w:r w:rsidRPr="00465C67">
        <w:rPr>
          <w:lang w:val="fr-FR"/>
        </w:rPr>
        <w:t>c)</w:t>
      </w:r>
      <w:r w:rsidRPr="00465C67">
        <w:rPr>
          <w:lang w:val="fr-FR"/>
        </w:rPr>
        <w:tab/>
        <w:t>Dans les cas du Bélarus, de la Belgique, de la Bosnie-Herzégovine (sur deux questions), de l</w:t>
      </w:r>
      <w:r>
        <w:rPr>
          <w:lang w:val="fr-FR"/>
        </w:rPr>
        <w:t>’</w:t>
      </w:r>
      <w:r w:rsidRPr="00465C67">
        <w:rPr>
          <w:lang w:val="fr-FR"/>
        </w:rPr>
        <w:t>Espagne (sur deux questions), des Pays-Bas, de la Tchéquie, et de l</w:t>
      </w:r>
      <w:r>
        <w:rPr>
          <w:lang w:val="fr-FR"/>
        </w:rPr>
        <w:t>’</w:t>
      </w:r>
      <w:r w:rsidRPr="00465C67">
        <w:rPr>
          <w:lang w:val="fr-FR"/>
        </w:rPr>
        <w:t>Ukraine (sur deux questions), les examens doivent être poursuivis par le Co</w:t>
      </w:r>
      <w:r>
        <w:rPr>
          <w:lang w:val="fr-FR"/>
        </w:rPr>
        <w:t>mité à ses prochaines sessions ;</w:t>
      </w:r>
    </w:p>
    <w:p w:rsidR="00465C67" w:rsidRPr="00465C67" w:rsidRDefault="00465C67" w:rsidP="00465C67">
      <w:pPr>
        <w:pStyle w:val="SingleTxtG"/>
        <w:ind w:firstLine="567"/>
      </w:pPr>
      <w:r w:rsidRPr="00465C67">
        <w:rPr>
          <w:lang w:val="fr-FR"/>
        </w:rPr>
        <w:t>4.</w:t>
      </w:r>
      <w:r w:rsidRPr="00465C67">
        <w:rPr>
          <w:lang w:val="fr-FR"/>
        </w:rPr>
        <w:tab/>
      </w:r>
      <w:r w:rsidRPr="00465C67">
        <w:rPr>
          <w:i/>
          <w:iCs/>
          <w:lang w:val="fr-FR"/>
        </w:rPr>
        <w:t xml:space="preserve">Prend note </w:t>
      </w:r>
      <w:r w:rsidRPr="00465C67">
        <w:rPr>
          <w:lang w:val="fr-FR"/>
        </w:rPr>
        <w:t>des nouvelles informations reçues d</w:t>
      </w:r>
      <w:r>
        <w:rPr>
          <w:lang w:val="fr-FR"/>
        </w:rPr>
        <w:t>’</w:t>
      </w:r>
      <w:r w:rsidRPr="00465C67">
        <w:rPr>
          <w:lang w:val="fr-FR"/>
        </w:rPr>
        <w:t>autres sources concernant la Bosnie-Herzégovine (sur deux questions), la Bulgarie et la Suisse, lesquelles doivent être examinées par le Com</w:t>
      </w:r>
      <w:r>
        <w:rPr>
          <w:lang w:val="fr-FR"/>
        </w:rPr>
        <w:t>ité à ses prochaines sessions ;</w:t>
      </w:r>
    </w:p>
    <w:p w:rsidR="00465C67" w:rsidRPr="00465C67" w:rsidRDefault="00465C67" w:rsidP="00465C67">
      <w:pPr>
        <w:pStyle w:val="SingleTxtG"/>
        <w:ind w:firstLine="567"/>
      </w:pPr>
      <w:r w:rsidRPr="00465C67">
        <w:rPr>
          <w:lang w:val="fr-FR"/>
        </w:rPr>
        <w:t>5.</w:t>
      </w:r>
      <w:r w:rsidRPr="00465C67">
        <w:rPr>
          <w:lang w:val="fr-FR"/>
        </w:rPr>
        <w:tab/>
      </w:r>
      <w:r w:rsidRPr="00465C67">
        <w:rPr>
          <w:i/>
          <w:iCs/>
          <w:lang w:val="fr-FR"/>
        </w:rPr>
        <w:t>Estime</w:t>
      </w:r>
      <w:r w:rsidRPr="00465C67">
        <w:rPr>
          <w:lang w:val="fr-FR"/>
        </w:rPr>
        <w:t>, suivant l</w:t>
      </w:r>
      <w:r>
        <w:rPr>
          <w:lang w:val="fr-FR"/>
        </w:rPr>
        <w:t>’avis du Comité :</w:t>
      </w:r>
    </w:p>
    <w:p w:rsidR="00465C67" w:rsidRPr="00465C67" w:rsidRDefault="00465C67" w:rsidP="00465C67">
      <w:pPr>
        <w:pStyle w:val="SingleTxtG"/>
        <w:ind w:firstLine="567"/>
      </w:pPr>
      <w:r w:rsidRPr="00465C67">
        <w:rPr>
          <w:lang w:val="fr-FR"/>
        </w:rPr>
        <w:t>a)</w:t>
      </w:r>
      <w:r w:rsidRPr="00465C67">
        <w:rPr>
          <w:lang w:val="fr-FR"/>
        </w:rPr>
        <w:tab/>
        <w:t>Que la notification rapide à un grand nombre de destinataires conformément à la Convention, quel que soit le nombre de Parties touchées, est un aspect essentiel de la procédure transfrontière, conformément aux principes de précaution et de prévention consacrés par la Convention et à l</w:t>
      </w:r>
      <w:r>
        <w:rPr>
          <w:lang w:val="fr-FR"/>
        </w:rPr>
        <w:t>’</w:t>
      </w:r>
      <w:r w:rsidRPr="00465C67">
        <w:rPr>
          <w:lang w:val="fr-FR"/>
        </w:rPr>
        <w:t>objectif de renforcer la coopération internationale en ce qui concerne l</w:t>
      </w:r>
      <w:r>
        <w:rPr>
          <w:lang w:val="fr-FR"/>
        </w:rPr>
        <w:t>’</w:t>
      </w:r>
      <w:r w:rsidRPr="00465C67">
        <w:rPr>
          <w:lang w:val="fr-FR"/>
        </w:rPr>
        <w:t>évaluation de l</w:t>
      </w:r>
      <w:r>
        <w:rPr>
          <w:lang w:val="fr-FR"/>
        </w:rPr>
        <w:t>’</w:t>
      </w:r>
      <w:r w:rsidRPr="00465C67">
        <w:rPr>
          <w:lang w:val="fr-FR"/>
        </w:rPr>
        <w:t>impact sur l</w:t>
      </w:r>
      <w:r>
        <w:rPr>
          <w:lang w:val="fr-FR"/>
        </w:rPr>
        <w:t>’</w:t>
      </w:r>
      <w:r w:rsidRPr="00465C67">
        <w:rPr>
          <w:lang w:val="fr-FR"/>
        </w:rPr>
        <w:t>environnement, en particulier dans un contexte transfrontière, comme mentionné dans le préambule de la Convention</w:t>
      </w:r>
      <w:r w:rsidRPr="00465C67">
        <w:rPr>
          <w:rStyle w:val="FootnoteReference"/>
          <w:lang w:val="en-GB"/>
        </w:rPr>
        <w:footnoteReference w:id="17"/>
      </w:r>
      <w:r>
        <w:rPr>
          <w:lang w:val="fr-FR"/>
        </w:rPr>
        <w:t> ;</w:t>
      </w:r>
    </w:p>
    <w:p w:rsidR="00465C67" w:rsidRPr="00465C67" w:rsidRDefault="00465C67" w:rsidP="00465C67">
      <w:pPr>
        <w:pStyle w:val="SingleTxtG"/>
        <w:ind w:firstLine="567"/>
      </w:pPr>
      <w:r w:rsidRPr="00465C67">
        <w:rPr>
          <w:lang w:val="fr-FR"/>
        </w:rPr>
        <w:t>b)</w:t>
      </w:r>
      <w:r w:rsidRPr="00465C67">
        <w:rPr>
          <w:lang w:val="fr-FR"/>
        </w:rPr>
        <w:tab/>
        <w:t>Que pour certaines activités, en particulier celles qui sont liées à l</w:t>
      </w:r>
      <w:r>
        <w:rPr>
          <w:lang w:val="fr-FR"/>
        </w:rPr>
        <w:t>’</w:t>
      </w:r>
      <w:r w:rsidRPr="00465C67">
        <w:rPr>
          <w:lang w:val="fr-FR"/>
        </w:rPr>
        <w:t>énergie nucléaire, bien que le risque d</w:t>
      </w:r>
      <w:r>
        <w:rPr>
          <w:lang w:val="fr-FR"/>
        </w:rPr>
        <w:t>’</w:t>
      </w:r>
      <w:r w:rsidRPr="00465C67">
        <w:rPr>
          <w:lang w:val="fr-FR"/>
        </w:rPr>
        <w:t>accident majeur, d</w:t>
      </w:r>
      <w:r>
        <w:rPr>
          <w:lang w:val="fr-FR"/>
        </w:rPr>
        <w:t>’</w:t>
      </w:r>
      <w:r w:rsidRPr="00465C67">
        <w:rPr>
          <w:lang w:val="fr-FR"/>
        </w:rPr>
        <w:t>accident hors dimensionnement ou de catastrophe soit très faible, si un tel événement se produisait la probabilité d</w:t>
      </w:r>
      <w:r>
        <w:rPr>
          <w:lang w:val="fr-FR"/>
        </w:rPr>
        <w:t>’</w:t>
      </w:r>
      <w:r w:rsidRPr="00465C67">
        <w:rPr>
          <w:lang w:val="fr-FR"/>
        </w:rPr>
        <w:t xml:space="preserve">impact transfrontière préjudiciable important et de conséquences graves peut être très élevée. </w:t>
      </w:r>
      <w:r w:rsidRPr="00465C67">
        <w:rPr>
          <w:lang w:val="fr-FR"/>
        </w:rPr>
        <w:lastRenderedPageBreak/>
        <w:t>Par</w:t>
      </w:r>
      <w:r>
        <w:rPr>
          <w:lang w:val="fr-FR"/>
        </w:rPr>
        <w:t> </w:t>
      </w:r>
      <w:r w:rsidRPr="00465C67">
        <w:rPr>
          <w:lang w:val="fr-FR"/>
        </w:rPr>
        <w:t>conséquent, selon le principe de prévention, lorsqu</w:t>
      </w:r>
      <w:r>
        <w:rPr>
          <w:lang w:val="fr-FR"/>
        </w:rPr>
        <w:t>’</w:t>
      </w:r>
      <w:r w:rsidRPr="00465C67">
        <w:rPr>
          <w:lang w:val="fr-FR"/>
        </w:rPr>
        <w:t>elle considère les Parties touchées aux fins de notification, la Partie d</w:t>
      </w:r>
      <w:r>
        <w:rPr>
          <w:lang w:val="fr-FR"/>
        </w:rPr>
        <w:t>’</w:t>
      </w:r>
      <w:r w:rsidRPr="00465C67">
        <w:rPr>
          <w:lang w:val="fr-FR"/>
        </w:rPr>
        <w:t>origine doit se montrer exceptionnellement prévoyante et exhaustive, afin de garantir que toutes les Parties qui pourraient être touchées par un accident, aussi incertain soit-il, soient notifiées. La Partie d</w:t>
      </w:r>
      <w:r>
        <w:rPr>
          <w:lang w:val="fr-FR"/>
        </w:rPr>
        <w:t>’</w:t>
      </w:r>
      <w:r w:rsidRPr="00465C67">
        <w:rPr>
          <w:lang w:val="fr-FR"/>
        </w:rPr>
        <w:t>origine devra procéder selon la méthode la plus prudente en s</w:t>
      </w:r>
      <w:r>
        <w:rPr>
          <w:lang w:val="fr-FR"/>
        </w:rPr>
        <w:t>’</w:t>
      </w:r>
      <w:r w:rsidRPr="00465C67">
        <w:rPr>
          <w:lang w:val="fr-FR"/>
        </w:rPr>
        <w:t>appuyant sur les preuves scientifiques disponibles, méthode qui indique l</w:t>
      </w:r>
      <w:r>
        <w:rPr>
          <w:lang w:val="fr-FR"/>
        </w:rPr>
        <w:t>’</w:t>
      </w:r>
      <w:r w:rsidRPr="00465C67">
        <w:rPr>
          <w:lang w:val="fr-FR"/>
        </w:rPr>
        <w:t>étendue maximum de l</w:t>
      </w:r>
      <w:r>
        <w:rPr>
          <w:lang w:val="fr-FR"/>
        </w:rPr>
        <w:t>’</w:t>
      </w:r>
      <w:r w:rsidRPr="00465C67">
        <w:rPr>
          <w:lang w:val="fr-FR"/>
        </w:rPr>
        <w:t>impact transfrontière important et préjudiciable d</w:t>
      </w:r>
      <w:r>
        <w:rPr>
          <w:lang w:val="fr-FR"/>
        </w:rPr>
        <w:t>’</w:t>
      </w:r>
      <w:r w:rsidRPr="00465C67">
        <w:rPr>
          <w:lang w:val="fr-FR"/>
        </w:rPr>
        <w:t>une activité liée à l</w:t>
      </w:r>
      <w:r>
        <w:rPr>
          <w:lang w:val="fr-FR"/>
        </w:rPr>
        <w:t>’</w:t>
      </w:r>
      <w:r w:rsidRPr="00465C67">
        <w:rPr>
          <w:lang w:val="fr-FR"/>
        </w:rPr>
        <w:t>énergie nucléaire, compte tenu du scénario le plus pessimiste</w:t>
      </w:r>
      <w:r w:rsidRPr="00465C67">
        <w:rPr>
          <w:rStyle w:val="FootnoteReference"/>
          <w:lang w:val="en-GB"/>
        </w:rPr>
        <w:footnoteReference w:id="18"/>
      </w:r>
      <w:r>
        <w:rPr>
          <w:lang w:val="fr-FR"/>
        </w:rPr>
        <w:t> ;</w:t>
      </w:r>
    </w:p>
    <w:p w:rsidR="00465C67" w:rsidRPr="00465C67" w:rsidRDefault="00465C67" w:rsidP="00465C67">
      <w:pPr>
        <w:pStyle w:val="SingleTxtG"/>
        <w:ind w:firstLine="567"/>
      </w:pPr>
      <w:r w:rsidRPr="00465C67">
        <w:rPr>
          <w:lang w:val="fr-FR"/>
        </w:rPr>
        <w:t>c)</w:t>
      </w:r>
      <w:r w:rsidRPr="00465C67">
        <w:rPr>
          <w:lang w:val="fr-FR"/>
        </w:rPr>
        <w:tab/>
        <w:t>Qu</w:t>
      </w:r>
      <w:r>
        <w:rPr>
          <w:lang w:val="fr-FR"/>
        </w:rPr>
        <w:t>’</w:t>
      </w:r>
      <w:r w:rsidRPr="00465C67">
        <w:rPr>
          <w:lang w:val="fr-FR"/>
        </w:rPr>
        <w:t>en l</w:t>
      </w:r>
      <w:r>
        <w:rPr>
          <w:lang w:val="fr-FR"/>
        </w:rPr>
        <w:t>’</w:t>
      </w:r>
      <w:r w:rsidRPr="00465C67">
        <w:rPr>
          <w:lang w:val="fr-FR"/>
        </w:rPr>
        <w:t>absence de notification, en particulier en ce qui concerne les centrales nucléaires, lorsqu</w:t>
      </w:r>
      <w:r>
        <w:rPr>
          <w:lang w:val="fr-FR"/>
        </w:rPr>
        <w:t>’</w:t>
      </w:r>
      <w:r w:rsidRPr="00465C67">
        <w:rPr>
          <w:lang w:val="fr-FR"/>
        </w:rPr>
        <w:t>une Partie potentiellement touchée estime qu</w:t>
      </w:r>
      <w:r>
        <w:rPr>
          <w:lang w:val="fr-FR"/>
        </w:rPr>
        <w:t>’</w:t>
      </w:r>
      <w:r w:rsidRPr="00465C67">
        <w:rPr>
          <w:lang w:val="fr-FR"/>
        </w:rPr>
        <w:t>un impact transfrontière préjudiciable important d</w:t>
      </w:r>
      <w:r>
        <w:rPr>
          <w:lang w:val="fr-FR"/>
        </w:rPr>
        <w:t>’</w:t>
      </w:r>
      <w:r w:rsidRPr="00465C67">
        <w:rPr>
          <w:lang w:val="fr-FR"/>
        </w:rPr>
        <w:t>une activité proposée ne peut être exclu et exprime le souhait d</w:t>
      </w:r>
      <w:r>
        <w:rPr>
          <w:lang w:val="fr-FR"/>
        </w:rPr>
        <w:t>’</w:t>
      </w:r>
      <w:r w:rsidRPr="00465C67">
        <w:rPr>
          <w:lang w:val="fr-FR"/>
        </w:rPr>
        <w:t>être notifiée, la Partie d</w:t>
      </w:r>
      <w:r>
        <w:rPr>
          <w:lang w:val="fr-FR"/>
        </w:rPr>
        <w:t>’</w:t>
      </w:r>
      <w:r w:rsidRPr="00465C67">
        <w:rPr>
          <w:lang w:val="fr-FR"/>
        </w:rPr>
        <w:t>origine devrait appliquer la Convention. Dans une telle situation, le défaut de notification porterait atteinte au droit des Parties potentiellement touchées et de leur public d</w:t>
      </w:r>
      <w:r>
        <w:rPr>
          <w:lang w:val="fr-FR"/>
        </w:rPr>
        <w:t>’</w:t>
      </w:r>
      <w:r w:rsidRPr="00465C67">
        <w:rPr>
          <w:lang w:val="fr-FR"/>
        </w:rPr>
        <w:t>être informés et de participer en temps utile à la procédure d</w:t>
      </w:r>
      <w:r>
        <w:rPr>
          <w:lang w:val="fr-FR"/>
        </w:rPr>
        <w:t>’</w:t>
      </w:r>
      <w:r w:rsidRPr="00465C67">
        <w:rPr>
          <w:lang w:val="fr-FR"/>
        </w:rPr>
        <w:t>évaluation des incidences sur l</w:t>
      </w:r>
      <w:r>
        <w:rPr>
          <w:lang w:val="fr-FR"/>
        </w:rPr>
        <w:t>’</w:t>
      </w:r>
      <w:r w:rsidRPr="00465C67">
        <w:rPr>
          <w:lang w:val="fr-FR"/>
        </w:rPr>
        <w:t>environnement</w:t>
      </w:r>
      <w:r w:rsidRPr="00465C67">
        <w:rPr>
          <w:rStyle w:val="FootnoteReference"/>
          <w:lang w:val="en-GB"/>
        </w:rPr>
        <w:footnoteReference w:id="19"/>
      </w:r>
      <w:r>
        <w:rPr>
          <w:lang w:val="fr-FR"/>
        </w:rPr>
        <w:t> ;</w:t>
      </w:r>
    </w:p>
    <w:p w:rsidR="00465C67" w:rsidRPr="00465C67" w:rsidRDefault="00465C67" w:rsidP="00465C67">
      <w:pPr>
        <w:pStyle w:val="SingleTxtG"/>
        <w:ind w:firstLine="567"/>
      </w:pPr>
      <w:r w:rsidRPr="00465C67">
        <w:rPr>
          <w:lang w:val="fr-FR"/>
        </w:rPr>
        <w:t>d)</w:t>
      </w:r>
      <w:r w:rsidRPr="00465C67">
        <w:rPr>
          <w:lang w:val="fr-FR"/>
        </w:rPr>
        <w:tab/>
        <w:t>Que les aspects procéduraux et techniques des évaluations de l</w:t>
      </w:r>
      <w:r>
        <w:rPr>
          <w:lang w:val="fr-FR"/>
        </w:rPr>
        <w:t>’</w:t>
      </w:r>
      <w:r w:rsidRPr="00465C67">
        <w:rPr>
          <w:lang w:val="fr-FR"/>
        </w:rPr>
        <w:t>impact sur l</w:t>
      </w:r>
      <w:r>
        <w:rPr>
          <w:lang w:val="fr-FR"/>
        </w:rPr>
        <w:t>’</w:t>
      </w:r>
      <w:r w:rsidRPr="00465C67">
        <w:rPr>
          <w:lang w:val="fr-FR"/>
        </w:rPr>
        <w:t>environnement menées conformément à la Convention ne peuvent pas toujours être traités séparément lorsqu</w:t>
      </w:r>
      <w:r>
        <w:rPr>
          <w:lang w:val="fr-FR"/>
        </w:rPr>
        <w:t>’</w:t>
      </w:r>
      <w:r w:rsidRPr="00465C67">
        <w:rPr>
          <w:lang w:val="fr-FR"/>
        </w:rPr>
        <w:t>on évalue le respect des dispositions, en particulier si l</w:t>
      </w:r>
      <w:r>
        <w:rPr>
          <w:lang w:val="fr-FR"/>
        </w:rPr>
        <w:t>’</w:t>
      </w:r>
      <w:r w:rsidRPr="00465C67">
        <w:rPr>
          <w:lang w:val="fr-FR"/>
        </w:rPr>
        <w:t>affaire en question concerne par essence les aspects techniques</w:t>
      </w:r>
      <w:r w:rsidRPr="00465C67">
        <w:rPr>
          <w:rStyle w:val="FootnoteReference"/>
          <w:lang w:val="en-GB"/>
        </w:rPr>
        <w:footnoteReference w:id="20"/>
      </w:r>
      <w:r>
        <w:rPr>
          <w:lang w:val="fr-FR"/>
        </w:rPr>
        <w:t> ;</w:t>
      </w:r>
    </w:p>
    <w:p w:rsidR="00465C67" w:rsidRPr="00465C67" w:rsidRDefault="00465C67" w:rsidP="00465C67">
      <w:pPr>
        <w:pStyle w:val="SingleTxtG"/>
        <w:ind w:firstLine="567"/>
      </w:pPr>
      <w:r w:rsidRPr="00465C67">
        <w:rPr>
          <w:lang w:val="fr-FR"/>
        </w:rPr>
        <w:t>e)</w:t>
      </w:r>
      <w:r w:rsidRPr="00465C67">
        <w:rPr>
          <w:lang w:val="fr-FR"/>
        </w:rPr>
        <w:tab/>
        <w:t>Que toutes les informations, y compris celles de fond, fournies dans les dossiers des études d</w:t>
      </w:r>
      <w:r>
        <w:rPr>
          <w:lang w:val="fr-FR"/>
        </w:rPr>
        <w:t>’</w:t>
      </w:r>
      <w:r w:rsidRPr="00465C67">
        <w:rPr>
          <w:lang w:val="fr-FR"/>
        </w:rPr>
        <w:t>impact sur l</w:t>
      </w:r>
      <w:r>
        <w:rPr>
          <w:lang w:val="fr-FR"/>
        </w:rPr>
        <w:t>’</w:t>
      </w:r>
      <w:r w:rsidRPr="00465C67">
        <w:rPr>
          <w:lang w:val="fr-FR"/>
        </w:rPr>
        <w:t>environnement devraient être suffisantes pour étayer comme il convient la prise de décision</w:t>
      </w:r>
      <w:r>
        <w:rPr>
          <w:lang w:val="fr-FR"/>
        </w:rPr>
        <w:t>s conformément à la Convention ;</w:t>
      </w:r>
    </w:p>
    <w:p w:rsidR="00465C67" w:rsidRPr="00465C67" w:rsidRDefault="00465C67" w:rsidP="00465C67">
      <w:pPr>
        <w:pStyle w:val="SingleTxtG"/>
        <w:ind w:firstLine="567"/>
      </w:pPr>
      <w:r w:rsidRPr="00465C67">
        <w:rPr>
          <w:lang w:val="fr-FR"/>
        </w:rPr>
        <w:t>f)</w:t>
      </w:r>
      <w:r w:rsidRPr="00465C67">
        <w:rPr>
          <w:lang w:val="fr-FR"/>
        </w:rPr>
        <w:tab/>
        <w:t>Que pour les différentes solutions étudiées, les informations fournies dans le dossier d</w:t>
      </w:r>
      <w:r>
        <w:rPr>
          <w:lang w:val="fr-FR"/>
        </w:rPr>
        <w:t>’</w:t>
      </w:r>
      <w:r w:rsidRPr="00465C67">
        <w:rPr>
          <w:lang w:val="fr-FR"/>
        </w:rPr>
        <w:t>évaluation de l</w:t>
      </w:r>
      <w:r>
        <w:rPr>
          <w:lang w:val="fr-FR"/>
        </w:rPr>
        <w:t>’</w:t>
      </w:r>
      <w:r w:rsidRPr="00465C67">
        <w:rPr>
          <w:lang w:val="fr-FR"/>
        </w:rPr>
        <w:t>impact sur l</w:t>
      </w:r>
      <w:r>
        <w:rPr>
          <w:lang w:val="fr-FR"/>
        </w:rPr>
        <w:t>’</w:t>
      </w:r>
      <w:r w:rsidRPr="00465C67">
        <w:rPr>
          <w:lang w:val="fr-FR"/>
        </w:rPr>
        <w:t>environnement devraient être suffisantes pour justifier correctement la solution retenue au cours des étapes</w:t>
      </w:r>
      <w:r>
        <w:rPr>
          <w:lang w:val="fr-FR"/>
        </w:rPr>
        <w:t xml:space="preserve"> ultérieures de la procédure, y </w:t>
      </w:r>
      <w:r w:rsidRPr="00465C67">
        <w:rPr>
          <w:lang w:val="fr-FR"/>
        </w:rPr>
        <w:t>compris la décision finale prise</w:t>
      </w:r>
      <w:r w:rsidRPr="00465C67">
        <w:rPr>
          <w:rStyle w:val="FootnoteReference"/>
          <w:lang w:val="en-GB"/>
        </w:rPr>
        <w:footnoteReference w:id="21"/>
      </w:r>
      <w:r>
        <w:rPr>
          <w:lang w:val="fr-FR"/>
        </w:rPr>
        <w:t> ;</w:t>
      </w:r>
    </w:p>
    <w:p w:rsidR="00465C67" w:rsidRPr="00465C67" w:rsidRDefault="00465C67" w:rsidP="00465C67">
      <w:pPr>
        <w:pStyle w:val="SingleTxtG"/>
        <w:ind w:firstLine="567"/>
      </w:pPr>
      <w:r w:rsidRPr="00465C67">
        <w:rPr>
          <w:lang w:val="fr-FR"/>
        </w:rPr>
        <w:t>6.</w:t>
      </w:r>
      <w:r w:rsidRPr="00465C67">
        <w:rPr>
          <w:lang w:val="fr-FR"/>
        </w:rPr>
        <w:tab/>
      </w:r>
      <w:r w:rsidRPr="00465C67">
        <w:rPr>
          <w:i/>
          <w:iCs/>
          <w:lang w:val="fr-FR"/>
        </w:rPr>
        <w:t xml:space="preserve">Encourage </w:t>
      </w:r>
      <w:r w:rsidRPr="00465C67">
        <w:rPr>
          <w:lang w:val="fr-FR"/>
        </w:rPr>
        <w:t>les Parties à saisir le Comité de questions concernant la façon dont elles-mêmes s</w:t>
      </w:r>
      <w:r>
        <w:rPr>
          <w:lang w:val="fr-FR"/>
        </w:rPr>
        <w:t>’</w:t>
      </w:r>
      <w:r w:rsidRPr="00465C67">
        <w:rPr>
          <w:lang w:val="fr-FR"/>
        </w:rPr>
        <w:t>a</w:t>
      </w:r>
      <w:r>
        <w:rPr>
          <w:lang w:val="fr-FR"/>
        </w:rPr>
        <w:t>cquittent de leurs obligations ;</w:t>
      </w:r>
    </w:p>
    <w:p w:rsidR="00465C67" w:rsidRPr="00465C67" w:rsidRDefault="00465C67" w:rsidP="00465C67">
      <w:pPr>
        <w:pStyle w:val="SingleTxtG"/>
        <w:ind w:firstLine="567"/>
      </w:pPr>
      <w:r w:rsidRPr="00465C67">
        <w:rPr>
          <w:lang w:val="fr-FR"/>
        </w:rPr>
        <w:t>7.</w:t>
      </w:r>
      <w:r w:rsidRPr="00465C67">
        <w:rPr>
          <w:lang w:val="fr-FR"/>
        </w:rPr>
        <w:tab/>
      </w:r>
      <w:r w:rsidRPr="00465C67">
        <w:rPr>
          <w:i/>
          <w:iCs/>
          <w:lang w:val="fr-FR"/>
        </w:rPr>
        <w:t xml:space="preserve">Demande </w:t>
      </w:r>
      <w:r w:rsidRPr="00465C67">
        <w:rPr>
          <w:lang w:val="fr-FR"/>
        </w:rPr>
        <w:t>au Comité de fournir une aide aux Parties qui en ont besoin, selon qu</w:t>
      </w:r>
      <w:r>
        <w:rPr>
          <w:lang w:val="fr-FR"/>
        </w:rPr>
        <w:t>’</w:t>
      </w:r>
      <w:r w:rsidRPr="00465C67">
        <w:rPr>
          <w:lang w:val="fr-FR"/>
        </w:rPr>
        <w:t>il convient et dans la mesure du possible, et à cet égard renvoie à la décision VII/3 sur l</w:t>
      </w:r>
      <w:r>
        <w:rPr>
          <w:lang w:val="fr-FR"/>
        </w:rPr>
        <w:t>’</w:t>
      </w:r>
      <w:r w:rsidRPr="00465C67">
        <w:rPr>
          <w:lang w:val="fr-FR"/>
        </w:rPr>
        <w:t>adoption du plan de travail, où sont énoncées les conditions générales devant être remplies par les Parties qui souhaitent recevoir des conseils techniques des o</w:t>
      </w:r>
      <w:r>
        <w:rPr>
          <w:lang w:val="fr-FR"/>
        </w:rPr>
        <w:t>rganes créés par la Convention ;</w:t>
      </w:r>
    </w:p>
    <w:p w:rsidR="00465C67" w:rsidRPr="00465C67" w:rsidRDefault="00465C67" w:rsidP="00465C67">
      <w:pPr>
        <w:pStyle w:val="SingleTxtG"/>
        <w:ind w:firstLine="567"/>
      </w:pPr>
      <w:r w:rsidRPr="00465C67">
        <w:rPr>
          <w:lang w:val="fr-FR"/>
        </w:rPr>
        <w:t>8.</w:t>
      </w:r>
      <w:r w:rsidRPr="00465C67">
        <w:rPr>
          <w:lang w:val="fr-FR"/>
        </w:rPr>
        <w:tab/>
      </w:r>
      <w:r w:rsidRPr="00465C67">
        <w:rPr>
          <w:i/>
          <w:iCs/>
          <w:lang w:val="fr-FR"/>
        </w:rPr>
        <w:t>Invite instamment</w:t>
      </w:r>
      <w:r w:rsidRPr="00465C67">
        <w:rPr>
          <w:lang w:val="fr-FR"/>
        </w:rPr>
        <w:t xml:space="preserve"> les Parties à tenir compte dans leurs travaux des recommandations visant à améliorer encore l</w:t>
      </w:r>
      <w:r>
        <w:rPr>
          <w:lang w:val="fr-FR"/>
        </w:rPr>
        <w:t>’</w:t>
      </w:r>
      <w:r w:rsidRPr="00465C67">
        <w:rPr>
          <w:lang w:val="fr-FR"/>
        </w:rPr>
        <w:t>application de la Convention et le respect de ses dispositions, notamment grâce à une consolidation de la législation nationale, reposant en particulier mais pas uniquement sur les analyses relatives aux questions générales de respect des dispositions faites au cours de l</w:t>
      </w:r>
      <w:r>
        <w:rPr>
          <w:lang w:val="fr-FR"/>
        </w:rPr>
        <w:t>’</w:t>
      </w:r>
      <w:r w:rsidRPr="00465C67">
        <w:rPr>
          <w:lang w:val="fr-FR"/>
        </w:rPr>
        <w:t>examen de l</w:t>
      </w:r>
      <w:r>
        <w:rPr>
          <w:lang w:val="fr-FR"/>
        </w:rPr>
        <w:t>’</w:t>
      </w:r>
      <w:r w:rsidRPr="00465C67">
        <w:rPr>
          <w:lang w:val="fr-FR"/>
        </w:rPr>
        <w:t>applicat</w:t>
      </w:r>
      <w:r>
        <w:rPr>
          <w:lang w:val="fr-FR"/>
        </w:rPr>
        <w:t>ion, adoptées par les décisions </w:t>
      </w:r>
      <w:r w:rsidRPr="00465C67">
        <w:rPr>
          <w:lang w:val="fr-FR"/>
        </w:rPr>
        <w:t>III/I, IV/I, V/3 et VI/1, en liaison avec la directive générale concernant le renforcement de la compatibilité entre la Convention et l</w:t>
      </w:r>
      <w:r>
        <w:rPr>
          <w:lang w:val="fr-FR"/>
        </w:rPr>
        <w:t>’</w:t>
      </w:r>
      <w:r w:rsidRPr="00465C67">
        <w:rPr>
          <w:lang w:val="fr-FR"/>
        </w:rPr>
        <w:t>évaluation de l</w:t>
      </w:r>
      <w:r>
        <w:rPr>
          <w:lang w:val="fr-FR"/>
        </w:rPr>
        <w:t>’</w:t>
      </w:r>
      <w:r w:rsidRPr="00465C67">
        <w:rPr>
          <w:lang w:val="fr-FR"/>
        </w:rPr>
        <w:t>impact sur l</w:t>
      </w:r>
      <w:r>
        <w:rPr>
          <w:lang w:val="fr-FR"/>
        </w:rPr>
        <w:t>’</w:t>
      </w:r>
      <w:r w:rsidRPr="00465C67">
        <w:rPr>
          <w:lang w:val="fr-FR"/>
        </w:rPr>
        <w:t>environnement dans le cadre de l</w:t>
      </w:r>
      <w:r>
        <w:rPr>
          <w:lang w:val="fr-FR"/>
        </w:rPr>
        <w:t>’</w:t>
      </w:r>
      <w:r w:rsidRPr="00465C67">
        <w:rPr>
          <w:lang w:val="fr-FR"/>
        </w:rPr>
        <w:t>expertise écologique d</w:t>
      </w:r>
      <w:r>
        <w:rPr>
          <w:lang w:val="fr-FR"/>
        </w:rPr>
        <w:t>’</w:t>
      </w:r>
      <w:r w:rsidRPr="00465C67">
        <w:rPr>
          <w:lang w:val="fr-FR"/>
        </w:rPr>
        <w:t>État dans les pays d</w:t>
      </w:r>
      <w:r>
        <w:rPr>
          <w:lang w:val="fr-FR"/>
        </w:rPr>
        <w:t>’</w:t>
      </w:r>
      <w:r w:rsidRPr="00465C67">
        <w:rPr>
          <w:lang w:val="fr-FR"/>
        </w:rPr>
        <w:t>Europe orientale, du Caucase et d</w:t>
      </w:r>
      <w:r>
        <w:rPr>
          <w:lang w:val="fr-FR"/>
        </w:rPr>
        <w:t>’</w:t>
      </w:r>
      <w:r w:rsidRPr="00465C67">
        <w:rPr>
          <w:lang w:val="fr-FR"/>
        </w:rPr>
        <w:t>Asie centrale</w:t>
      </w:r>
      <w:r>
        <w:rPr>
          <w:lang w:val="fr-FR"/>
        </w:rPr>
        <w:t>, adoptée par la décision VI/8 ;</w:t>
      </w:r>
    </w:p>
    <w:p w:rsidR="00465C67" w:rsidRPr="00465C67" w:rsidRDefault="00465C67" w:rsidP="00465C67">
      <w:pPr>
        <w:pStyle w:val="SingleTxtG"/>
        <w:ind w:firstLine="567"/>
      </w:pPr>
      <w:r w:rsidRPr="00465C67">
        <w:rPr>
          <w:lang w:val="fr-FR"/>
        </w:rPr>
        <w:t>9.</w:t>
      </w:r>
      <w:r w:rsidRPr="00465C67">
        <w:rPr>
          <w:lang w:val="fr-FR"/>
        </w:rPr>
        <w:tab/>
      </w:r>
      <w:r w:rsidRPr="00465C67">
        <w:rPr>
          <w:i/>
          <w:iCs/>
          <w:lang w:val="fr-FR"/>
        </w:rPr>
        <w:t xml:space="preserve">Invite instamment aussi </w:t>
      </w:r>
      <w:r w:rsidRPr="00465C67">
        <w:rPr>
          <w:lang w:val="fr-FR"/>
        </w:rPr>
        <w:t>les Parties à garantir l</w:t>
      </w:r>
      <w:r>
        <w:rPr>
          <w:lang w:val="fr-FR"/>
        </w:rPr>
        <w:t>’</w:t>
      </w:r>
      <w:r w:rsidRPr="00465C67">
        <w:rPr>
          <w:lang w:val="fr-FR"/>
        </w:rPr>
        <w:t>application de la Convention dans les activités liées à l</w:t>
      </w:r>
      <w:r>
        <w:rPr>
          <w:lang w:val="fr-FR"/>
        </w:rPr>
        <w:t>’</w:t>
      </w:r>
      <w:r w:rsidRPr="00465C67">
        <w:rPr>
          <w:lang w:val="fr-FR"/>
        </w:rPr>
        <w:t>énergie nucléaire et à cet égard elle rappelle la Déclaration de Genève de 2014 (A)</w:t>
      </w:r>
      <w:r w:rsidRPr="00465C67">
        <w:rPr>
          <w:rStyle w:val="FootnoteReference"/>
          <w:lang w:val="en-GB"/>
        </w:rPr>
        <w:footnoteReference w:id="22"/>
      </w:r>
      <w:r w:rsidRPr="00465C67">
        <w:rPr>
          <w:lang w:val="fr-FR"/>
        </w:rPr>
        <w:t xml:space="preserve"> sur l</w:t>
      </w:r>
      <w:r>
        <w:rPr>
          <w:lang w:val="fr-FR"/>
        </w:rPr>
        <w:t>’</w:t>
      </w:r>
      <w:r w:rsidRPr="00465C67">
        <w:rPr>
          <w:lang w:val="fr-FR"/>
        </w:rPr>
        <w:t>application de la Convention et du Protocole aux questions relatives à l</w:t>
      </w:r>
      <w:r>
        <w:rPr>
          <w:lang w:val="fr-FR"/>
        </w:rPr>
        <w:t>’</w:t>
      </w:r>
      <w:r w:rsidRPr="00465C67">
        <w:rPr>
          <w:lang w:val="fr-FR"/>
        </w:rPr>
        <w:t>énergie nucléair</w:t>
      </w:r>
      <w:r>
        <w:rPr>
          <w:lang w:val="fr-FR"/>
        </w:rPr>
        <w:t>e, et en particulier :</w:t>
      </w:r>
    </w:p>
    <w:p w:rsidR="00465C67" w:rsidRPr="00465C67" w:rsidRDefault="00465C67" w:rsidP="00465C67">
      <w:pPr>
        <w:pStyle w:val="SingleTxtG"/>
        <w:ind w:firstLine="567"/>
      </w:pPr>
      <w:r w:rsidRPr="00465C67">
        <w:rPr>
          <w:lang w:val="fr-FR"/>
        </w:rPr>
        <w:t>a)</w:t>
      </w:r>
      <w:r w:rsidRPr="00465C67">
        <w:rPr>
          <w:lang w:val="fr-FR"/>
        </w:rPr>
        <w:tab/>
        <w:t>Souligne que les Parties à la Convention qui mènent des activités liées à l</w:t>
      </w:r>
      <w:r>
        <w:rPr>
          <w:lang w:val="fr-FR"/>
        </w:rPr>
        <w:t>’</w:t>
      </w:r>
      <w:r w:rsidRPr="00465C67">
        <w:rPr>
          <w:lang w:val="fr-FR"/>
        </w:rPr>
        <w:t>énergie nucléaire doivent le faire conformément à la Convention, d</w:t>
      </w:r>
      <w:r>
        <w:rPr>
          <w:lang w:val="fr-FR"/>
        </w:rPr>
        <w:t>’</w:t>
      </w:r>
      <w:r w:rsidRPr="00465C67">
        <w:rPr>
          <w:lang w:val="fr-FR"/>
        </w:rPr>
        <w:t xml:space="preserve">une manière viable, en tenant compte du principe de précaution et du principe du pollueur-payeur, et en respectant </w:t>
      </w:r>
      <w:r w:rsidRPr="00465C67">
        <w:rPr>
          <w:lang w:val="fr-FR"/>
        </w:rPr>
        <w:lastRenderedPageBreak/>
        <w:t>les normes internationales de sécurité nucléaire et la législation e</w:t>
      </w:r>
      <w:r>
        <w:rPr>
          <w:lang w:val="fr-FR"/>
        </w:rPr>
        <w:t>nvironnementale correspondante ;</w:t>
      </w:r>
    </w:p>
    <w:p w:rsidR="00465C67" w:rsidRPr="00465C67" w:rsidRDefault="00465C67" w:rsidP="00465C67">
      <w:pPr>
        <w:pStyle w:val="SingleTxtG"/>
        <w:ind w:firstLine="567"/>
      </w:pPr>
      <w:r w:rsidRPr="00465C67">
        <w:rPr>
          <w:lang w:val="fr-FR"/>
        </w:rPr>
        <w:t>b)</w:t>
      </w:r>
      <w:r w:rsidRPr="00465C67">
        <w:rPr>
          <w:lang w:val="fr-FR"/>
        </w:rPr>
        <w:tab/>
        <w:t>Souligne également qu</w:t>
      </w:r>
      <w:r>
        <w:rPr>
          <w:lang w:val="fr-FR"/>
        </w:rPr>
        <w:t>’</w:t>
      </w:r>
      <w:r w:rsidRPr="00465C67">
        <w:rPr>
          <w:lang w:val="fr-FR"/>
        </w:rPr>
        <w:t>une coopération étroite et une meilleure compréhension mutuelle des pratiques et des besoins des autres Parties dans le domaine de l</w:t>
      </w:r>
      <w:r>
        <w:rPr>
          <w:lang w:val="fr-FR"/>
        </w:rPr>
        <w:t>’</w:t>
      </w:r>
      <w:r w:rsidRPr="00465C67">
        <w:rPr>
          <w:lang w:val="fr-FR"/>
        </w:rPr>
        <w:t>énergie nucléaire sont de nature à faciliter l</w:t>
      </w:r>
      <w:r>
        <w:rPr>
          <w:lang w:val="fr-FR"/>
        </w:rPr>
        <w:t>’</w:t>
      </w:r>
      <w:r w:rsidRPr="00465C67">
        <w:rPr>
          <w:lang w:val="fr-FR"/>
        </w:rPr>
        <w:t>application des procédures environnementales transfrontière dans le strict respect de la Convention et du Protocole</w:t>
      </w:r>
      <w:r w:rsidRPr="00465C67">
        <w:rPr>
          <w:rStyle w:val="FootnoteReference"/>
          <w:lang w:val="en-GB"/>
        </w:rPr>
        <w:footnoteReference w:id="23"/>
      </w:r>
      <w:r>
        <w:rPr>
          <w:lang w:val="fr-FR"/>
        </w:rPr>
        <w:t> ;</w:t>
      </w:r>
    </w:p>
    <w:p w:rsidR="00465C67" w:rsidRPr="00465C67" w:rsidRDefault="00465C67" w:rsidP="00465C67">
      <w:pPr>
        <w:pStyle w:val="SingleTxtG"/>
        <w:ind w:firstLine="567"/>
      </w:pPr>
      <w:r w:rsidRPr="00465C67">
        <w:rPr>
          <w:lang w:val="fr-FR"/>
        </w:rPr>
        <w:t>c)</w:t>
      </w:r>
      <w:r w:rsidRPr="00465C67">
        <w:rPr>
          <w:lang w:val="fr-FR"/>
        </w:rPr>
        <w:tab/>
        <w:t>Encourage les Parties, les secrétariats de tous les instruments internationaux pertinents et les organisations internationales compétentes à coopérer efficacement afin de tirer parti au maximum des synergies et de renforcer les capacités en vue de garantir la meilleure évaluation environnementale possible et le degré de sécurité le plus élevé dans le domaine de l</w:t>
      </w:r>
      <w:r>
        <w:rPr>
          <w:lang w:val="fr-FR"/>
        </w:rPr>
        <w:t>’</w:t>
      </w:r>
      <w:r w:rsidRPr="00465C67">
        <w:rPr>
          <w:lang w:val="fr-FR"/>
        </w:rPr>
        <w:t>énergie nucléaire, et souligne particulièrement l</w:t>
      </w:r>
      <w:r>
        <w:rPr>
          <w:lang w:val="fr-FR"/>
        </w:rPr>
        <w:t>’</w:t>
      </w:r>
      <w:r w:rsidRPr="00465C67">
        <w:rPr>
          <w:lang w:val="fr-FR"/>
        </w:rPr>
        <w:t>importance des instruments élaborés dans le cadre de l</w:t>
      </w:r>
      <w:r>
        <w:rPr>
          <w:lang w:val="fr-FR"/>
        </w:rPr>
        <w:t>’</w:t>
      </w:r>
      <w:r w:rsidRPr="00465C67">
        <w:rPr>
          <w:lang w:val="fr-FR"/>
        </w:rPr>
        <w:t>Agence internationale de l</w:t>
      </w:r>
      <w:r>
        <w:rPr>
          <w:lang w:val="fr-FR"/>
        </w:rPr>
        <w:t>’</w:t>
      </w:r>
      <w:r w:rsidRPr="00465C67">
        <w:rPr>
          <w:lang w:val="fr-FR"/>
        </w:rPr>
        <w:t>énergie atomique (AIEA)</w:t>
      </w:r>
      <w:r w:rsidRPr="00465C67">
        <w:rPr>
          <w:rStyle w:val="FootnoteReference"/>
          <w:lang w:val="en-GB"/>
        </w:rPr>
        <w:footnoteReference w:id="24"/>
      </w:r>
      <w:r>
        <w:rPr>
          <w:lang w:val="fr-FR"/>
        </w:rPr>
        <w:t> ;</w:t>
      </w:r>
    </w:p>
    <w:p w:rsidR="00465C67" w:rsidRPr="00465C67" w:rsidRDefault="00465C67" w:rsidP="00465C67">
      <w:pPr>
        <w:pStyle w:val="SingleTxtG"/>
        <w:ind w:firstLine="567"/>
      </w:pPr>
      <w:r w:rsidRPr="00465C67">
        <w:rPr>
          <w:lang w:val="fr-FR"/>
        </w:rPr>
        <w:t>10.</w:t>
      </w:r>
      <w:r w:rsidRPr="00465C67">
        <w:rPr>
          <w:lang w:val="fr-FR"/>
        </w:rPr>
        <w:tab/>
      </w:r>
      <w:r w:rsidRPr="00465C67">
        <w:rPr>
          <w:i/>
          <w:iCs/>
          <w:lang w:val="fr-FR"/>
        </w:rPr>
        <w:t>Invite instamment en outre</w:t>
      </w:r>
      <w:r w:rsidRPr="00465C67">
        <w:rPr>
          <w:lang w:val="fr-FR"/>
        </w:rPr>
        <w:t xml:space="preserve"> les Parties à tenir compte dans leurs travaux des avis exprimés par le Comité de 2001 à 2018, et charge le secrétariat d</w:t>
      </w:r>
      <w:r>
        <w:rPr>
          <w:lang w:val="fr-FR"/>
        </w:rPr>
        <w:t>’</w:t>
      </w:r>
      <w:r w:rsidRPr="00465C67">
        <w:rPr>
          <w:lang w:val="fr-FR"/>
        </w:rPr>
        <w:t>organiser la révision de la publication électronique informelle de ces avis afin d</w:t>
      </w:r>
      <w:r>
        <w:rPr>
          <w:lang w:val="fr-FR"/>
        </w:rPr>
        <w:t>’</w:t>
      </w:r>
      <w:r w:rsidRPr="00465C67">
        <w:rPr>
          <w:lang w:val="fr-FR"/>
        </w:rPr>
        <w:t>y incorporer le</w:t>
      </w:r>
      <w:r>
        <w:rPr>
          <w:lang w:val="fr-FR"/>
        </w:rPr>
        <w:t>s avis émis entre 2014 et 2018 ;</w:t>
      </w:r>
    </w:p>
    <w:p w:rsidR="00465C67" w:rsidRPr="00465C67" w:rsidRDefault="00465C67" w:rsidP="00465C67">
      <w:pPr>
        <w:pStyle w:val="SingleTxtG"/>
        <w:ind w:firstLine="567"/>
      </w:pPr>
      <w:r w:rsidRPr="00465C67">
        <w:rPr>
          <w:lang w:val="fr-FR"/>
        </w:rPr>
        <w:t>11.</w:t>
      </w:r>
      <w:r w:rsidRPr="00465C67">
        <w:rPr>
          <w:lang w:val="fr-FR"/>
        </w:rPr>
        <w:tab/>
      </w:r>
      <w:r w:rsidRPr="00465C67">
        <w:rPr>
          <w:i/>
          <w:iCs/>
          <w:lang w:val="fr-FR"/>
        </w:rPr>
        <w:t>Décide</w:t>
      </w:r>
      <w:r w:rsidRPr="00465C67">
        <w:rPr>
          <w:lang w:val="fr-FR"/>
        </w:rPr>
        <w:t xml:space="preserve"> de maintenir à l</w:t>
      </w:r>
      <w:r>
        <w:rPr>
          <w:lang w:val="fr-FR"/>
        </w:rPr>
        <w:t>’</w:t>
      </w:r>
      <w:r w:rsidRPr="00465C67">
        <w:rPr>
          <w:lang w:val="fr-FR"/>
        </w:rPr>
        <w:t>étude, et au besoin d</w:t>
      </w:r>
      <w:r>
        <w:rPr>
          <w:lang w:val="fr-FR"/>
        </w:rPr>
        <w:t>’</w:t>
      </w:r>
      <w:r w:rsidRPr="00465C67">
        <w:rPr>
          <w:lang w:val="fr-FR"/>
        </w:rPr>
        <w:t>étoffer, à sa huitième session la structure et les fonctions du Comité et son règlement intérieur, à la lumière de l</w:t>
      </w:r>
      <w:r>
        <w:rPr>
          <w:lang w:val="fr-FR"/>
        </w:rPr>
        <w:t>’</w:t>
      </w:r>
      <w:r w:rsidRPr="00465C67">
        <w:rPr>
          <w:lang w:val="fr-FR"/>
        </w:rPr>
        <w:t>expérience acquise par le Comité entre-temps, et demande à celui-ci de rédiger toutes les propositions qu</w:t>
      </w:r>
      <w:r>
        <w:rPr>
          <w:lang w:val="fr-FR"/>
        </w:rPr>
        <w:t>’</w:t>
      </w:r>
      <w:r w:rsidRPr="00465C67">
        <w:rPr>
          <w:lang w:val="fr-FR"/>
        </w:rPr>
        <w:t>il jugerait nécessaires, à soumettre à la Réunion des Parties à sa huitième session.</w:t>
      </w:r>
    </w:p>
    <w:p w:rsidR="00465C67" w:rsidRPr="00465C67" w:rsidRDefault="00465C67" w:rsidP="00465C67">
      <w:pPr>
        <w:pStyle w:val="SingleTxtG"/>
        <w:spacing w:before="240" w:after="0"/>
        <w:jc w:val="center"/>
        <w:rPr>
          <w:u w:val="single"/>
          <w:lang w:val="fr-FR"/>
        </w:rPr>
      </w:pPr>
      <w:r>
        <w:rPr>
          <w:u w:val="single"/>
        </w:rPr>
        <w:tab/>
      </w:r>
      <w:r>
        <w:rPr>
          <w:u w:val="single"/>
        </w:rPr>
        <w:tab/>
      </w:r>
      <w:r>
        <w:rPr>
          <w:u w:val="single"/>
        </w:rPr>
        <w:tab/>
      </w:r>
    </w:p>
    <w:sectPr w:rsidR="00465C67" w:rsidRPr="00465C67" w:rsidSect="00465C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88" w:rsidRDefault="00A62D88" w:rsidP="00F95C08">
      <w:pPr>
        <w:spacing w:line="240" w:lineRule="auto"/>
      </w:pPr>
    </w:p>
  </w:endnote>
  <w:endnote w:type="continuationSeparator" w:id="0">
    <w:p w:rsidR="00A62D88" w:rsidRPr="00AC3823" w:rsidRDefault="00A62D88" w:rsidP="00AC3823">
      <w:pPr>
        <w:pStyle w:val="Footer"/>
      </w:pPr>
    </w:p>
  </w:endnote>
  <w:endnote w:type="continuationNotice" w:id="1">
    <w:p w:rsidR="00A62D88" w:rsidRDefault="00A62D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C67" w:rsidRPr="00465C67" w:rsidRDefault="00465C67" w:rsidP="00465C67">
    <w:pPr>
      <w:pStyle w:val="Footer"/>
      <w:tabs>
        <w:tab w:val="right" w:pos="9638"/>
      </w:tabs>
    </w:pPr>
    <w:r w:rsidRPr="00465C67">
      <w:rPr>
        <w:b/>
        <w:sz w:val="18"/>
      </w:rPr>
      <w:fldChar w:fldCharType="begin"/>
    </w:r>
    <w:r w:rsidRPr="00465C67">
      <w:rPr>
        <w:b/>
        <w:sz w:val="18"/>
      </w:rPr>
      <w:instrText xml:space="preserve"> PAGE  \* MERGEFORMAT </w:instrText>
    </w:r>
    <w:r w:rsidRPr="00465C67">
      <w:rPr>
        <w:b/>
        <w:sz w:val="18"/>
      </w:rPr>
      <w:fldChar w:fldCharType="separate"/>
    </w:r>
    <w:r w:rsidR="00ED0FB1">
      <w:rPr>
        <w:b/>
        <w:noProof/>
        <w:sz w:val="18"/>
      </w:rPr>
      <w:t>4</w:t>
    </w:r>
    <w:r w:rsidRPr="00465C67">
      <w:rPr>
        <w:b/>
        <w:sz w:val="18"/>
      </w:rPr>
      <w:fldChar w:fldCharType="end"/>
    </w:r>
    <w:r>
      <w:rPr>
        <w:b/>
        <w:sz w:val="18"/>
      </w:rPr>
      <w:tab/>
    </w:r>
    <w:r>
      <w:t>GE.18-19494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C67" w:rsidRPr="00465C67" w:rsidRDefault="00465C67" w:rsidP="00465C67">
    <w:pPr>
      <w:pStyle w:val="Footer"/>
      <w:tabs>
        <w:tab w:val="right" w:pos="9638"/>
      </w:tabs>
      <w:rPr>
        <w:b/>
        <w:sz w:val="18"/>
      </w:rPr>
    </w:pPr>
    <w:r>
      <w:t>GE.18-19494</w:t>
    </w:r>
    <w:r>
      <w:tab/>
    </w:r>
    <w:r w:rsidRPr="00465C67">
      <w:rPr>
        <w:b/>
        <w:sz w:val="18"/>
      </w:rPr>
      <w:fldChar w:fldCharType="begin"/>
    </w:r>
    <w:r w:rsidRPr="00465C67">
      <w:rPr>
        <w:b/>
        <w:sz w:val="18"/>
      </w:rPr>
      <w:instrText xml:space="preserve"> PAGE  \* MERGEFORMAT </w:instrText>
    </w:r>
    <w:r w:rsidRPr="00465C67">
      <w:rPr>
        <w:b/>
        <w:sz w:val="18"/>
      </w:rPr>
      <w:fldChar w:fldCharType="separate"/>
    </w:r>
    <w:r w:rsidR="00ED0FB1">
      <w:rPr>
        <w:b/>
        <w:noProof/>
        <w:sz w:val="18"/>
      </w:rPr>
      <w:t>5</w:t>
    </w:r>
    <w:r w:rsidRPr="00465C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465C67" w:rsidRDefault="00465C67" w:rsidP="00465C67">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18-19494  (F)    </w:t>
    </w:r>
    <w:r w:rsidRPr="005D15FF">
      <w:rPr>
        <w:sz w:val="20"/>
      </w:rPr>
      <w:t>031218    181218</w:t>
    </w:r>
    <w:r>
      <w:rPr>
        <w:sz w:val="20"/>
      </w:rPr>
      <w:br/>
    </w:r>
    <w:r w:rsidRPr="00465C67">
      <w:rPr>
        <w:rFonts w:ascii="C39T30Lfz" w:hAnsi="C39T30Lfz"/>
        <w:sz w:val="56"/>
      </w:rPr>
      <w:t></w:t>
    </w:r>
    <w:r w:rsidRPr="00465C67">
      <w:rPr>
        <w:rFonts w:ascii="C39T30Lfz" w:hAnsi="C39T30Lfz"/>
        <w:sz w:val="56"/>
      </w:rPr>
      <w:t></w:t>
    </w:r>
    <w:r w:rsidRPr="00465C67">
      <w:rPr>
        <w:rFonts w:ascii="C39T30Lfz" w:hAnsi="C39T30Lfz"/>
        <w:sz w:val="56"/>
      </w:rPr>
      <w:t></w:t>
    </w:r>
    <w:r w:rsidRPr="00465C67">
      <w:rPr>
        <w:rFonts w:ascii="C39T30Lfz" w:hAnsi="C39T30Lfz"/>
        <w:sz w:val="56"/>
      </w:rPr>
      <w:t></w:t>
    </w:r>
    <w:r w:rsidRPr="00465C67">
      <w:rPr>
        <w:rFonts w:ascii="C39T30Lfz" w:hAnsi="C39T30Lfz"/>
        <w:sz w:val="56"/>
      </w:rPr>
      <w:t></w:t>
    </w:r>
    <w:r w:rsidRPr="00465C67">
      <w:rPr>
        <w:rFonts w:ascii="C39T30Lfz" w:hAnsi="C39T30Lfz"/>
        <w:sz w:val="56"/>
      </w:rPr>
      <w:t></w:t>
    </w:r>
    <w:r w:rsidRPr="00465C67">
      <w:rPr>
        <w:rFonts w:ascii="C39T30Lfz" w:hAnsi="C39T30Lfz"/>
        <w:sz w:val="56"/>
      </w:rPr>
      <w:t></w:t>
    </w:r>
    <w:r w:rsidRPr="00465C67">
      <w:rPr>
        <w:rFonts w:ascii="C39T30Lfz" w:hAnsi="C39T30Lfz"/>
        <w:sz w:val="56"/>
      </w:rPr>
      <w:t></w:t>
    </w:r>
    <w:r w:rsidRPr="00465C6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88" w:rsidRPr="00AC3823" w:rsidRDefault="00A62D88" w:rsidP="00AC3823">
      <w:pPr>
        <w:pStyle w:val="Footer"/>
        <w:tabs>
          <w:tab w:val="right" w:pos="2155"/>
        </w:tabs>
        <w:spacing w:after="80" w:line="240" w:lineRule="atLeast"/>
        <w:ind w:left="680"/>
        <w:rPr>
          <w:u w:val="single"/>
        </w:rPr>
      </w:pPr>
      <w:r>
        <w:rPr>
          <w:u w:val="single"/>
        </w:rPr>
        <w:tab/>
      </w:r>
    </w:p>
  </w:footnote>
  <w:footnote w:type="continuationSeparator" w:id="0">
    <w:p w:rsidR="00A62D88" w:rsidRPr="00AC3823" w:rsidRDefault="00A62D88" w:rsidP="00AC3823">
      <w:pPr>
        <w:pStyle w:val="Footer"/>
        <w:tabs>
          <w:tab w:val="right" w:pos="2155"/>
        </w:tabs>
        <w:spacing w:after="80" w:line="240" w:lineRule="atLeast"/>
        <w:ind w:left="680"/>
        <w:rPr>
          <w:u w:val="single"/>
        </w:rPr>
      </w:pPr>
      <w:r>
        <w:rPr>
          <w:u w:val="single"/>
        </w:rPr>
        <w:tab/>
      </w:r>
    </w:p>
  </w:footnote>
  <w:footnote w:type="continuationNotice" w:id="1">
    <w:p w:rsidR="00A62D88" w:rsidRPr="00AC3823" w:rsidRDefault="00A62D88">
      <w:pPr>
        <w:spacing w:line="240" w:lineRule="auto"/>
        <w:rPr>
          <w:sz w:val="2"/>
          <w:szCs w:val="2"/>
        </w:rPr>
      </w:pPr>
    </w:p>
  </w:footnote>
  <w:footnote w:id="2">
    <w:p w:rsidR="00465C67" w:rsidRPr="00E77FFA" w:rsidRDefault="00465C67" w:rsidP="00465C67">
      <w:pPr>
        <w:pStyle w:val="FootnoteText"/>
        <w:rPr>
          <w:lang w:val="en-US"/>
        </w:rPr>
      </w:pPr>
      <w:r w:rsidRPr="00E77FFA">
        <w:rPr>
          <w:lang w:val="fr-FR"/>
        </w:rPr>
        <w:tab/>
      </w:r>
      <w:r w:rsidRPr="00E77FFA">
        <w:rPr>
          <w:rStyle w:val="FootnoteReference"/>
        </w:rPr>
        <w:footnoteRef/>
      </w:r>
      <w:r w:rsidRPr="00E77FFA">
        <w:rPr>
          <w:lang w:val="en-US"/>
        </w:rPr>
        <w:tab/>
        <w:t>ECE/MP.EIA/IC/2016/2, annexe.</w:t>
      </w:r>
    </w:p>
  </w:footnote>
  <w:footnote w:id="3">
    <w:p w:rsidR="00465C67" w:rsidRPr="00E77FFA" w:rsidRDefault="00465C67" w:rsidP="00465C67">
      <w:pPr>
        <w:pStyle w:val="FootnoteText"/>
        <w:rPr>
          <w:lang w:val="es-ES"/>
        </w:rPr>
      </w:pPr>
      <w:r w:rsidRPr="00E77FFA">
        <w:rPr>
          <w:lang w:val="en-US"/>
        </w:rPr>
        <w:tab/>
      </w:r>
      <w:r w:rsidRPr="00E77FFA">
        <w:rPr>
          <w:rStyle w:val="FootnoteReference"/>
        </w:rPr>
        <w:footnoteRef/>
      </w:r>
      <w:r w:rsidRPr="00E77FFA">
        <w:rPr>
          <w:lang w:val="es-ES"/>
        </w:rPr>
        <w:tab/>
        <w:t>ECE/MP.EIA/2017/4-ECE/MP.EIA/SEA/2017/4.</w:t>
      </w:r>
    </w:p>
  </w:footnote>
  <w:footnote w:id="4">
    <w:p w:rsidR="00465C67" w:rsidRPr="00E77FFA" w:rsidRDefault="00465C67" w:rsidP="00465C67">
      <w:pPr>
        <w:pStyle w:val="FootnoteText"/>
      </w:pPr>
      <w:r w:rsidRPr="00E77FFA">
        <w:rPr>
          <w:lang w:val="es-ES"/>
        </w:rPr>
        <w:tab/>
      </w:r>
      <w:r w:rsidRPr="00E77FFA">
        <w:rPr>
          <w:rStyle w:val="FootnoteReference"/>
        </w:rPr>
        <w:footnoteRef/>
      </w:r>
      <w:r w:rsidRPr="00E77FFA">
        <w:rPr>
          <w:lang w:val="fr-FR"/>
        </w:rPr>
        <w:t xml:space="preserve"> </w:t>
      </w:r>
      <w:r w:rsidRPr="00E77FFA">
        <w:rPr>
          <w:lang w:val="fr-FR"/>
        </w:rPr>
        <w:tab/>
        <w:t>Document informel ECE/MP.EIA/IC/ad-hoc/2017/</w:t>
      </w:r>
      <w:r w:rsidR="00556571" w:rsidRPr="00E77FFA">
        <w:rPr>
          <w:lang w:val="fr-FR"/>
        </w:rPr>
        <w:t>INF.6, consultable (en anglais)</w:t>
      </w:r>
      <w:r w:rsidRPr="00E77FFA">
        <w:rPr>
          <w:lang w:val="fr-FR"/>
        </w:rPr>
        <w:t xml:space="preserve"> à l’adresse </w:t>
      </w:r>
      <w:hyperlink r:id="rId1" w:history="1">
        <w:r w:rsidRPr="00E77FFA">
          <w:rPr>
            <w:rStyle w:val="Hyperlink"/>
            <w:color w:val="auto"/>
            <w:lang w:val="fr-FR"/>
          </w:rPr>
          <w:t>https://www.unece.org/index.php?id=48313</w:t>
        </w:r>
      </w:hyperlink>
      <w:r w:rsidRPr="00E77FFA">
        <w:rPr>
          <w:lang w:val="fr-FR"/>
        </w:rPr>
        <w:t>.</w:t>
      </w:r>
    </w:p>
  </w:footnote>
  <w:footnote w:id="5">
    <w:p w:rsidR="00465C67" w:rsidRPr="00E77FFA" w:rsidRDefault="00465C67" w:rsidP="00465C67">
      <w:pPr>
        <w:pStyle w:val="FootnoteText"/>
        <w:rPr>
          <w:lang w:val="en-US"/>
        </w:rPr>
      </w:pPr>
      <w:r w:rsidRPr="00E77FFA">
        <w:rPr>
          <w:lang w:val="fr-FR"/>
        </w:rPr>
        <w:tab/>
      </w:r>
      <w:r w:rsidRPr="00E77FFA">
        <w:rPr>
          <w:rStyle w:val="FootnoteReference"/>
        </w:rPr>
        <w:footnoteRef/>
      </w:r>
      <w:r w:rsidRPr="00E77FFA">
        <w:rPr>
          <w:lang w:val="en-US"/>
        </w:rPr>
        <w:tab/>
        <w:t>ECE/MP.EIA/IC/2017/4.</w:t>
      </w:r>
    </w:p>
  </w:footnote>
  <w:footnote w:id="6">
    <w:p w:rsidR="00465C67" w:rsidRPr="00E77FFA" w:rsidRDefault="00465C67" w:rsidP="00465C67">
      <w:pPr>
        <w:pStyle w:val="FootnoteText"/>
        <w:rPr>
          <w:lang w:val="en-US"/>
        </w:rPr>
      </w:pPr>
      <w:r w:rsidRPr="00E77FFA">
        <w:rPr>
          <w:lang w:val="en-US"/>
        </w:rPr>
        <w:tab/>
      </w:r>
      <w:r w:rsidRPr="00E77FFA">
        <w:rPr>
          <w:rStyle w:val="FootnoteReference"/>
        </w:rPr>
        <w:footnoteRef/>
      </w:r>
      <w:r w:rsidRPr="00E77FFA">
        <w:rPr>
          <w:lang w:val="en-US"/>
        </w:rPr>
        <w:t xml:space="preserve"> </w:t>
      </w:r>
      <w:r w:rsidRPr="00E77FFA">
        <w:rPr>
          <w:lang w:val="en-US"/>
        </w:rPr>
        <w:tab/>
        <w:t>ECE/MP.EIA/IC/2017/6.</w:t>
      </w:r>
    </w:p>
  </w:footnote>
  <w:footnote w:id="7">
    <w:p w:rsidR="00465C67" w:rsidRPr="00E77FFA" w:rsidRDefault="00465C67" w:rsidP="00465C67">
      <w:pPr>
        <w:pStyle w:val="FootnoteText"/>
        <w:rPr>
          <w:lang w:val="es-ES"/>
        </w:rPr>
      </w:pPr>
      <w:r w:rsidRPr="00E77FFA">
        <w:rPr>
          <w:lang w:val="en-US"/>
        </w:rPr>
        <w:tab/>
      </w:r>
      <w:r w:rsidRPr="00E77FFA">
        <w:rPr>
          <w:rStyle w:val="FootnoteReference"/>
        </w:rPr>
        <w:footnoteRef/>
      </w:r>
      <w:r w:rsidRPr="00E77FFA">
        <w:rPr>
          <w:lang w:val="es-ES"/>
        </w:rPr>
        <w:tab/>
        <w:t>ECE/MP.EIA/IC/2018/2.</w:t>
      </w:r>
    </w:p>
  </w:footnote>
  <w:footnote w:id="8">
    <w:p w:rsidR="00465C67" w:rsidRPr="00E77FFA" w:rsidRDefault="00465C67" w:rsidP="00465C67">
      <w:pPr>
        <w:pStyle w:val="FootnoteText"/>
        <w:rPr>
          <w:lang w:val="es-ES"/>
        </w:rPr>
      </w:pPr>
      <w:r w:rsidRPr="00E77FFA">
        <w:rPr>
          <w:lang w:val="es-ES"/>
        </w:rPr>
        <w:tab/>
      </w:r>
      <w:r w:rsidRPr="00E77FFA">
        <w:rPr>
          <w:rStyle w:val="FootnoteReference"/>
        </w:rPr>
        <w:footnoteRef/>
      </w:r>
      <w:r w:rsidRPr="00E77FFA">
        <w:rPr>
          <w:lang w:val="es-ES"/>
        </w:rPr>
        <w:tab/>
        <w:t>ECE/MP.EIA/2018/4.</w:t>
      </w:r>
    </w:p>
  </w:footnote>
  <w:footnote w:id="9">
    <w:p w:rsidR="00465C67" w:rsidRPr="00E77FFA" w:rsidRDefault="00465C67" w:rsidP="00465C67">
      <w:pPr>
        <w:pStyle w:val="FootnoteText"/>
      </w:pPr>
      <w:r w:rsidRPr="00E77FFA">
        <w:rPr>
          <w:lang w:val="es-ES"/>
        </w:rPr>
        <w:tab/>
      </w:r>
      <w:r w:rsidRPr="00E77FFA">
        <w:rPr>
          <w:rStyle w:val="FootnoteReference"/>
        </w:rPr>
        <w:footnoteRef/>
      </w:r>
      <w:r w:rsidRPr="00E77FFA">
        <w:rPr>
          <w:lang w:val="es-ES"/>
        </w:rPr>
        <w:tab/>
        <w:t xml:space="preserve">ECE/MP.EIA/23-ECE/MP.EIA/SEA/7, par. 27. </w:t>
      </w:r>
      <w:r w:rsidRPr="00E77FFA">
        <w:rPr>
          <w:lang w:val="fr-FR"/>
        </w:rPr>
        <w:t>Voir aussi le projet de décision VII/2 (ECE/MP.EIA/2017/8).</w:t>
      </w:r>
    </w:p>
  </w:footnote>
  <w:footnote w:id="10">
    <w:p w:rsidR="00465C67" w:rsidRPr="00E77FFA" w:rsidRDefault="00465C67" w:rsidP="00465C67">
      <w:pPr>
        <w:pStyle w:val="FootnoteText"/>
        <w:rPr>
          <w:lang w:val="en-US"/>
        </w:rPr>
      </w:pPr>
      <w:r w:rsidRPr="00E77FFA">
        <w:rPr>
          <w:lang w:val="fr-FR"/>
        </w:rPr>
        <w:tab/>
      </w:r>
      <w:r w:rsidRPr="00E77FFA">
        <w:rPr>
          <w:rStyle w:val="FootnoteReference"/>
        </w:rPr>
        <w:footnoteRef/>
      </w:r>
      <w:r w:rsidRPr="00E77FFA">
        <w:rPr>
          <w:lang w:val="en-US"/>
        </w:rPr>
        <w:tab/>
        <w:t xml:space="preserve">ECE/MP.EIA/6, annexe II. </w:t>
      </w:r>
    </w:p>
  </w:footnote>
  <w:footnote w:id="11">
    <w:p w:rsidR="00465C67" w:rsidRPr="00E77FFA" w:rsidRDefault="00465C67" w:rsidP="00465C67">
      <w:pPr>
        <w:pStyle w:val="FootnoteText"/>
        <w:rPr>
          <w:lang w:val="es-ES"/>
        </w:rPr>
      </w:pPr>
      <w:r w:rsidRPr="00E77FFA">
        <w:rPr>
          <w:lang w:val="en-US"/>
        </w:rPr>
        <w:tab/>
      </w:r>
      <w:r w:rsidRPr="00E77FFA">
        <w:rPr>
          <w:rStyle w:val="FootnoteReference"/>
        </w:rPr>
        <w:footnoteRef/>
      </w:r>
      <w:r w:rsidRPr="00E77FFA">
        <w:rPr>
          <w:lang w:val="es-ES"/>
        </w:rPr>
        <w:tab/>
        <w:t>Voir ECE/MP.EIA/20/Add.1-ECE/MP.EIA/SEA/4/Add.1.</w:t>
      </w:r>
    </w:p>
  </w:footnote>
  <w:footnote w:id="12">
    <w:p w:rsidR="00465C67" w:rsidRPr="00E77FFA" w:rsidRDefault="00465C67" w:rsidP="00465C67">
      <w:pPr>
        <w:pStyle w:val="FootnoteText"/>
        <w:rPr>
          <w:lang w:val="en-US"/>
        </w:rPr>
      </w:pPr>
      <w:r w:rsidRPr="00E77FFA">
        <w:rPr>
          <w:lang w:val="es-ES"/>
        </w:rPr>
        <w:tab/>
      </w:r>
      <w:r w:rsidRPr="00E77FFA">
        <w:rPr>
          <w:rStyle w:val="FootnoteReference"/>
        </w:rPr>
        <w:footnoteRef/>
      </w:r>
      <w:r w:rsidRPr="00E77FFA">
        <w:rPr>
          <w:lang w:val="en-US"/>
        </w:rPr>
        <w:tab/>
        <w:t>ECE/MP.EIA/10, annexe IV.</w:t>
      </w:r>
    </w:p>
  </w:footnote>
  <w:footnote w:id="13">
    <w:p w:rsidR="00465C67" w:rsidRPr="00E77FFA" w:rsidRDefault="00465C67" w:rsidP="00465C67">
      <w:pPr>
        <w:pStyle w:val="FootnoteText"/>
        <w:rPr>
          <w:lang w:val="es-ES"/>
        </w:rPr>
      </w:pPr>
      <w:r w:rsidRPr="00E77FFA">
        <w:rPr>
          <w:lang w:val="en-US"/>
        </w:rPr>
        <w:tab/>
      </w:r>
      <w:r w:rsidRPr="00E77FFA">
        <w:rPr>
          <w:rStyle w:val="FootnoteReference"/>
        </w:rPr>
        <w:footnoteRef/>
      </w:r>
      <w:r w:rsidRPr="00E77FFA">
        <w:rPr>
          <w:lang w:val="es-ES"/>
        </w:rPr>
        <w:tab/>
        <w:t>Voir ECE/MP.EIA/15.</w:t>
      </w:r>
    </w:p>
  </w:footnote>
  <w:footnote w:id="14">
    <w:p w:rsidR="00465C67" w:rsidRPr="00E77FFA" w:rsidRDefault="00465C67" w:rsidP="00465C67">
      <w:pPr>
        <w:pStyle w:val="FootnoteText"/>
        <w:rPr>
          <w:lang w:val="es-ES"/>
        </w:rPr>
      </w:pPr>
      <w:r w:rsidRPr="00E77FFA">
        <w:rPr>
          <w:lang w:val="es-ES"/>
        </w:rPr>
        <w:tab/>
      </w:r>
      <w:r w:rsidRPr="00E77FFA">
        <w:rPr>
          <w:rStyle w:val="FootnoteReference"/>
        </w:rPr>
        <w:footnoteRef/>
      </w:r>
      <w:r w:rsidRPr="00E77FFA">
        <w:rPr>
          <w:lang w:val="es-ES"/>
        </w:rPr>
        <w:tab/>
        <w:t>Voir ECE/MP.EIA/20/Add.1-ECE/MP.EIA/SEA/4/Add.1.</w:t>
      </w:r>
    </w:p>
  </w:footnote>
  <w:footnote w:id="15">
    <w:p w:rsidR="00465C67" w:rsidRPr="00E77FFA" w:rsidRDefault="00465C67" w:rsidP="00465C67">
      <w:pPr>
        <w:pStyle w:val="FootnoteText"/>
        <w:rPr>
          <w:lang w:val="es-ES"/>
        </w:rPr>
      </w:pPr>
      <w:r w:rsidRPr="00E77FFA">
        <w:rPr>
          <w:lang w:val="es-ES"/>
        </w:rPr>
        <w:tab/>
      </w:r>
      <w:r w:rsidRPr="00E77FFA">
        <w:rPr>
          <w:rStyle w:val="FootnoteReference"/>
        </w:rPr>
        <w:footnoteRef/>
      </w:r>
      <w:r w:rsidRPr="00E77FFA">
        <w:rPr>
          <w:lang w:val="es-ES"/>
        </w:rPr>
        <w:tab/>
        <w:t xml:space="preserve">Voir ECE/MP.EIA/2019/6. </w:t>
      </w:r>
    </w:p>
  </w:footnote>
  <w:footnote w:id="16">
    <w:p w:rsidR="00465C67" w:rsidRPr="00E77FFA" w:rsidRDefault="00465C67" w:rsidP="00465C67">
      <w:pPr>
        <w:pStyle w:val="FootnoteText"/>
        <w:rPr>
          <w:highlight w:val="yellow"/>
          <w:lang w:val="es-ES"/>
        </w:rPr>
      </w:pPr>
      <w:r w:rsidRPr="00E77FFA">
        <w:rPr>
          <w:lang w:val="es-ES"/>
        </w:rPr>
        <w:tab/>
      </w:r>
      <w:r w:rsidRPr="00E77FFA">
        <w:rPr>
          <w:rStyle w:val="FootnoteReference"/>
        </w:rPr>
        <w:footnoteRef/>
      </w:r>
      <w:r w:rsidRPr="00E77FFA">
        <w:rPr>
          <w:lang w:val="es-ES"/>
        </w:rPr>
        <w:tab/>
        <w:t>ECE/MP.EIA/2017/4-ECE/MP.EIA/SEA/2017/4, par. 76.</w:t>
      </w:r>
    </w:p>
  </w:footnote>
  <w:footnote w:id="17">
    <w:p w:rsidR="00465C67" w:rsidRPr="00E77FFA" w:rsidRDefault="00465C67" w:rsidP="00465C67">
      <w:pPr>
        <w:pStyle w:val="FootnoteText"/>
      </w:pPr>
      <w:r w:rsidRPr="00E77FFA">
        <w:rPr>
          <w:lang w:val="es-ES"/>
        </w:rPr>
        <w:tab/>
      </w:r>
      <w:r w:rsidRPr="00E77FFA">
        <w:rPr>
          <w:rStyle w:val="FootnoteReference"/>
        </w:rPr>
        <w:footnoteRef/>
      </w:r>
      <w:r w:rsidRPr="00E77FFA">
        <w:rPr>
          <w:lang w:val="fr-FR"/>
        </w:rPr>
        <w:tab/>
        <w:t>ECE/MP.EIA/2019/14, par. [102].</w:t>
      </w:r>
    </w:p>
  </w:footnote>
  <w:footnote w:id="18">
    <w:p w:rsidR="00465C67" w:rsidRPr="00E77FFA" w:rsidRDefault="00465C67" w:rsidP="00465C67">
      <w:pPr>
        <w:pStyle w:val="FootnoteText"/>
      </w:pPr>
      <w:r w:rsidRPr="00E77FFA">
        <w:rPr>
          <w:lang w:val="fr-FR"/>
        </w:rPr>
        <w:tab/>
      </w:r>
      <w:r w:rsidRPr="00E77FFA">
        <w:rPr>
          <w:rStyle w:val="FootnoteReference"/>
        </w:rPr>
        <w:footnoteRef/>
      </w:r>
      <w:r w:rsidRPr="00E77FFA">
        <w:rPr>
          <w:lang w:val="fr-FR"/>
        </w:rPr>
        <w:t xml:space="preserve"> </w:t>
      </w:r>
      <w:r w:rsidRPr="00E77FFA">
        <w:rPr>
          <w:lang w:val="fr-FR"/>
        </w:rPr>
        <w:tab/>
        <w:t>Ibid., par. [94-95].</w:t>
      </w:r>
    </w:p>
  </w:footnote>
  <w:footnote w:id="19">
    <w:p w:rsidR="00465C67" w:rsidRPr="00E77FFA" w:rsidRDefault="00465C67" w:rsidP="00465C67">
      <w:pPr>
        <w:pStyle w:val="FootnoteText"/>
      </w:pPr>
      <w:r w:rsidRPr="00E77FFA">
        <w:rPr>
          <w:lang w:val="fr-FR"/>
        </w:rPr>
        <w:tab/>
      </w:r>
      <w:r w:rsidRPr="00E77FFA">
        <w:rPr>
          <w:rStyle w:val="FootnoteReference"/>
        </w:rPr>
        <w:footnoteRef/>
      </w:r>
      <w:r w:rsidRPr="00E77FFA">
        <w:rPr>
          <w:lang w:val="fr-FR"/>
        </w:rPr>
        <w:t xml:space="preserve"> </w:t>
      </w:r>
      <w:r w:rsidRPr="00E77FFA">
        <w:rPr>
          <w:lang w:val="fr-FR"/>
        </w:rPr>
        <w:tab/>
        <w:t xml:space="preserve">Ibid., par. [103]. </w:t>
      </w:r>
    </w:p>
  </w:footnote>
  <w:footnote w:id="20">
    <w:p w:rsidR="00465C67" w:rsidRPr="00E77FFA" w:rsidRDefault="00465C67" w:rsidP="00465C67">
      <w:pPr>
        <w:pStyle w:val="FootnoteText"/>
      </w:pPr>
      <w:r w:rsidRPr="00E77FFA">
        <w:rPr>
          <w:lang w:val="fr-FR"/>
        </w:rPr>
        <w:tab/>
      </w:r>
      <w:r w:rsidRPr="00E77FFA">
        <w:rPr>
          <w:rStyle w:val="FootnoteReference"/>
        </w:rPr>
        <w:footnoteRef/>
      </w:r>
      <w:r w:rsidRPr="00E77FFA">
        <w:rPr>
          <w:lang w:val="fr-FR"/>
        </w:rPr>
        <w:tab/>
        <w:t>ECE/MP.EIA/IC/2017/2, par. 9.</w:t>
      </w:r>
    </w:p>
  </w:footnote>
  <w:footnote w:id="21">
    <w:p w:rsidR="00465C67" w:rsidRPr="00E77FFA" w:rsidRDefault="00465C67" w:rsidP="00465C67">
      <w:pPr>
        <w:pStyle w:val="FootnoteText"/>
      </w:pPr>
      <w:r w:rsidRPr="00E77FFA">
        <w:rPr>
          <w:lang w:val="fr-FR"/>
        </w:rPr>
        <w:tab/>
      </w:r>
      <w:r w:rsidRPr="00E77FFA">
        <w:rPr>
          <w:rStyle w:val="FootnoteReference"/>
        </w:rPr>
        <w:footnoteRef/>
      </w:r>
      <w:r w:rsidR="005D15FF">
        <w:rPr>
          <w:lang w:val="fr-FR"/>
        </w:rPr>
        <w:tab/>
        <w:t>ECE/MP.EIA/IC/2018/4, par. </w:t>
      </w:r>
      <w:r w:rsidRPr="00E77FFA">
        <w:rPr>
          <w:lang w:val="fr-FR"/>
        </w:rPr>
        <w:t>34</w:t>
      </w:r>
      <w:r w:rsidR="005D15FF">
        <w:rPr>
          <w:lang w:val="fr-FR"/>
        </w:rPr>
        <w:t>,</w:t>
      </w:r>
      <w:r w:rsidRPr="00E77FFA">
        <w:rPr>
          <w:lang w:val="fr-FR"/>
        </w:rPr>
        <w:t xml:space="preserve"> et annexe, par. 25 et 26.</w:t>
      </w:r>
    </w:p>
  </w:footnote>
  <w:footnote w:id="22">
    <w:p w:rsidR="00465C67" w:rsidRPr="00E77FFA" w:rsidRDefault="00465C67" w:rsidP="00465C67">
      <w:pPr>
        <w:pStyle w:val="FootnoteText"/>
        <w:rPr>
          <w:lang w:val="es-ES"/>
        </w:rPr>
      </w:pPr>
      <w:r w:rsidRPr="00E77FFA">
        <w:rPr>
          <w:lang w:val="fr-FR"/>
        </w:rPr>
        <w:tab/>
      </w:r>
      <w:r w:rsidRPr="00E77FFA">
        <w:rPr>
          <w:rStyle w:val="FootnoteReference"/>
        </w:rPr>
        <w:footnoteRef/>
      </w:r>
      <w:r w:rsidRPr="00E77FFA">
        <w:rPr>
          <w:lang w:val="es-ES"/>
        </w:rPr>
        <w:tab/>
        <w:t xml:space="preserve">Voir ECE/MP.EIA/20/Add.3-ECE/MP.EIA/SEA/4/Add.3. </w:t>
      </w:r>
    </w:p>
  </w:footnote>
  <w:footnote w:id="23">
    <w:p w:rsidR="00465C67" w:rsidRPr="00E77FFA" w:rsidRDefault="00465C67" w:rsidP="00465C67">
      <w:pPr>
        <w:pStyle w:val="FootnoteText"/>
      </w:pPr>
      <w:r w:rsidRPr="00E77FFA">
        <w:rPr>
          <w:lang w:val="es-ES"/>
        </w:rPr>
        <w:tab/>
      </w:r>
      <w:r w:rsidRPr="00E77FFA">
        <w:rPr>
          <w:rStyle w:val="FootnoteReference"/>
        </w:rPr>
        <w:footnoteRef/>
      </w:r>
      <w:r w:rsidRPr="00E77FFA">
        <w:rPr>
          <w:lang w:val="fr-FR"/>
        </w:rPr>
        <w:tab/>
        <w:t xml:space="preserve">Déclaration, par. A9. </w:t>
      </w:r>
    </w:p>
  </w:footnote>
  <w:footnote w:id="24">
    <w:p w:rsidR="00465C67" w:rsidRPr="00E77FFA" w:rsidRDefault="00465C67" w:rsidP="00465C67">
      <w:pPr>
        <w:pStyle w:val="FootnoteText"/>
      </w:pPr>
      <w:r w:rsidRPr="00E77FFA">
        <w:rPr>
          <w:lang w:val="fr-FR"/>
        </w:rPr>
        <w:tab/>
      </w:r>
      <w:r w:rsidRPr="00E77FFA">
        <w:rPr>
          <w:rStyle w:val="FootnoteReference"/>
        </w:rPr>
        <w:footnoteRef/>
      </w:r>
      <w:r w:rsidRPr="00E77FFA">
        <w:rPr>
          <w:lang w:val="fr-FR"/>
        </w:rPr>
        <w:tab/>
        <w:t xml:space="preserve">Déclaration, par. A10.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C67" w:rsidRPr="00465C67" w:rsidRDefault="002E2543">
    <w:pPr>
      <w:pStyle w:val="Header"/>
    </w:pPr>
    <w:r>
      <w:fldChar w:fldCharType="begin"/>
    </w:r>
    <w:r>
      <w:instrText xml:space="preserve"> TITLE  \* MERGEFORMAT </w:instrText>
    </w:r>
    <w:r>
      <w:fldChar w:fldCharType="separate"/>
    </w:r>
    <w:r w:rsidR="00465C67">
      <w:t>ECE/MP.EIA/2019/1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C67" w:rsidRPr="00465C67" w:rsidRDefault="002E2543" w:rsidP="00465C67">
    <w:pPr>
      <w:pStyle w:val="Header"/>
      <w:jc w:val="right"/>
    </w:pPr>
    <w:r>
      <w:fldChar w:fldCharType="begin"/>
    </w:r>
    <w:r>
      <w:instrText xml:space="preserve"> TITLE  \* MERGEFORMAT </w:instrText>
    </w:r>
    <w:r>
      <w:fldChar w:fldCharType="separate"/>
    </w:r>
    <w:r w:rsidR="00465C67">
      <w:t>ECE/MP.EIA/2019/1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88"/>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2E2543"/>
    <w:rsid w:val="00441C3B"/>
    <w:rsid w:val="00446FE5"/>
    <w:rsid w:val="00452396"/>
    <w:rsid w:val="00465C67"/>
    <w:rsid w:val="004E468C"/>
    <w:rsid w:val="005505B7"/>
    <w:rsid w:val="00556571"/>
    <w:rsid w:val="00573BE5"/>
    <w:rsid w:val="00586ED3"/>
    <w:rsid w:val="00596AA9"/>
    <w:rsid w:val="005D15FF"/>
    <w:rsid w:val="006C0E3B"/>
    <w:rsid w:val="0071601D"/>
    <w:rsid w:val="007A5FC4"/>
    <w:rsid w:val="007A62E6"/>
    <w:rsid w:val="0080684C"/>
    <w:rsid w:val="00871C75"/>
    <w:rsid w:val="008776DC"/>
    <w:rsid w:val="008D6B3F"/>
    <w:rsid w:val="009705C8"/>
    <w:rsid w:val="009C1CF4"/>
    <w:rsid w:val="00A14420"/>
    <w:rsid w:val="00A30353"/>
    <w:rsid w:val="00A62D88"/>
    <w:rsid w:val="00AC3823"/>
    <w:rsid w:val="00AE323C"/>
    <w:rsid w:val="00B00181"/>
    <w:rsid w:val="00B00B0D"/>
    <w:rsid w:val="00B765F7"/>
    <w:rsid w:val="00BA0CA9"/>
    <w:rsid w:val="00C02897"/>
    <w:rsid w:val="00C554CE"/>
    <w:rsid w:val="00D3439C"/>
    <w:rsid w:val="00D503D3"/>
    <w:rsid w:val="00DB1831"/>
    <w:rsid w:val="00DD3BFD"/>
    <w:rsid w:val="00DF5712"/>
    <w:rsid w:val="00DF6678"/>
    <w:rsid w:val="00E77FFA"/>
    <w:rsid w:val="00E96BD6"/>
    <w:rsid w:val="00ED0FB1"/>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06885F-1BD8-4022-BFE2-D6CA0736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ChGChar">
    <w:name w:val="_ H _Ch_G Char"/>
    <w:link w:val="HChG"/>
    <w:rsid w:val="00465C6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65C6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index.php?id=48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11701</Characters>
  <Application>Microsoft Office Word</Application>
  <DocSecurity>4</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ECE/MP.EIA/2019/1</vt:lpstr>
      <vt:lpstr/>
    </vt:vector>
  </TitlesOfParts>
  <Company>DCM</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dc:title>
  <dc:subject/>
  <dc:creator>Edith BOURION</dc:creator>
  <cp:keywords/>
  <cp:lastModifiedBy>Elisabeth James</cp:lastModifiedBy>
  <cp:revision>2</cp:revision>
  <cp:lastPrinted>2014-05-14T10:59:00Z</cp:lastPrinted>
  <dcterms:created xsi:type="dcterms:W3CDTF">2018-12-19T00:20:00Z</dcterms:created>
  <dcterms:modified xsi:type="dcterms:W3CDTF">2018-12-19T00:20:00Z</dcterms:modified>
</cp:coreProperties>
</file>