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6F2526" w14:paraId="3AAAF0E5" w14:textId="77777777" w:rsidTr="009E6CB7">
        <w:trPr>
          <w:cantSplit/>
          <w:trHeight w:hRule="exact" w:val="851"/>
        </w:trPr>
        <w:tc>
          <w:tcPr>
            <w:tcW w:w="1276" w:type="dxa"/>
            <w:tcBorders>
              <w:bottom w:val="single" w:sz="4" w:space="0" w:color="auto"/>
            </w:tcBorders>
            <w:vAlign w:val="bottom"/>
          </w:tcPr>
          <w:p w14:paraId="3170B9F2" w14:textId="77777777" w:rsidR="009E6CB7" w:rsidRPr="006F2526" w:rsidRDefault="009E6CB7" w:rsidP="009E6CB7">
            <w:pPr>
              <w:spacing w:after="80"/>
            </w:pPr>
            <w:bookmarkStart w:id="0" w:name="_GoBack"/>
            <w:bookmarkEnd w:id="0"/>
          </w:p>
        </w:tc>
        <w:tc>
          <w:tcPr>
            <w:tcW w:w="2268" w:type="dxa"/>
            <w:tcBorders>
              <w:bottom w:val="single" w:sz="4" w:space="0" w:color="auto"/>
            </w:tcBorders>
            <w:vAlign w:val="bottom"/>
          </w:tcPr>
          <w:p w14:paraId="4C9A3395" w14:textId="77777777" w:rsidR="009E6CB7" w:rsidRPr="006F2526" w:rsidRDefault="009E6CB7" w:rsidP="009E6CB7">
            <w:pPr>
              <w:spacing w:after="80" w:line="300" w:lineRule="exact"/>
              <w:rPr>
                <w:b/>
                <w:sz w:val="24"/>
                <w:szCs w:val="24"/>
              </w:rPr>
            </w:pPr>
            <w:r w:rsidRPr="006F2526">
              <w:rPr>
                <w:sz w:val="28"/>
                <w:szCs w:val="28"/>
              </w:rPr>
              <w:t>United Nations</w:t>
            </w:r>
          </w:p>
        </w:tc>
        <w:tc>
          <w:tcPr>
            <w:tcW w:w="6095" w:type="dxa"/>
            <w:gridSpan w:val="2"/>
            <w:tcBorders>
              <w:bottom w:val="single" w:sz="4" w:space="0" w:color="auto"/>
            </w:tcBorders>
            <w:vAlign w:val="bottom"/>
          </w:tcPr>
          <w:p w14:paraId="52B9BD95" w14:textId="6225F99C" w:rsidR="009E6CB7" w:rsidRPr="006F2526" w:rsidRDefault="00DA1DB7" w:rsidP="00DA1DB7">
            <w:pPr>
              <w:jc w:val="right"/>
            </w:pPr>
            <w:r w:rsidRPr="006F2526">
              <w:rPr>
                <w:sz w:val="40"/>
              </w:rPr>
              <w:t>ECE</w:t>
            </w:r>
            <w:r w:rsidRPr="006F2526">
              <w:t>/MP.EIA/201</w:t>
            </w:r>
            <w:r w:rsidR="00A1530A" w:rsidRPr="006F2526">
              <w:t>9</w:t>
            </w:r>
            <w:r w:rsidRPr="006F2526">
              <w:t>/</w:t>
            </w:r>
            <w:r w:rsidR="00A1530A" w:rsidRPr="006F2526">
              <w:t>11</w:t>
            </w:r>
          </w:p>
        </w:tc>
      </w:tr>
      <w:tr w:rsidR="009E6CB7" w:rsidRPr="006F2526" w14:paraId="097A0F26" w14:textId="77777777" w:rsidTr="009E6CB7">
        <w:trPr>
          <w:cantSplit/>
          <w:trHeight w:hRule="exact" w:val="2835"/>
        </w:trPr>
        <w:tc>
          <w:tcPr>
            <w:tcW w:w="1276" w:type="dxa"/>
            <w:tcBorders>
              <w:top w:val="single" w:sz="4" w:space="0" w:color="auto"/>
              <w:bottom w:val="single" w:sz="12" w:space="0" w:color="auto"/>
            </w:tcBorders>
          </w:tcPr>
          <w:p w14:paraId="4AE84D05" w14:textId="77777777" w:rsidR="009E6CB7" w:rsidRPr="006F2526" w:rsidRDefault="00BC7F91" w:rsidP="009E6CB7">
            <w:pPr>
              <w:spacing w:before="120"/>
            </w:pPr>
            <w:r w:rsidRPr="006F2526">
              <w:rPr>
                <w:noProof/>
                <w:lang w:val="en-US" w:eastAsia="zh-CN"/>
              </w:rPr>
              <w:drawing>
                <wp:inline distT="0" distB="0" distL="0" distR="0" wp14:anchorId="55EA7046" wp14:editId="1DE20CB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DF8BC3" w14:textId="77777777" w:rsidR="009E6CB7" w:rsidRPr="006F2526" w:rsidRDefault="009E6CB7" w:rsidP="009E6CB7">
            <w:pPr>
              <w:spacing w:before="120" w:line="420" w:lineRule="exact"/>
              <w:rPr>
                <w:sz w:val="40"/>
                <w:szCs w:val="40"/>
              </w:rPr>
            </w:pPr>
            <w:r w:rsidRPr="006F2526">
              <w:rPr>
                <w:b/>
                <w:sz w:val="40"/>
                <w:szCs w:val="40"/>
              </w:rPr>
              <w:t>Economic and Social Council</w:t>
            </w:r>
          </w:p>
        </w:tc>
        <w:tc>
          <w:tcPr>
            <w:tcW w:w="2835" w:type="dxa"/>
            <w:tcBorders>
              <w:top w:val="single" w:sz="4" w:space="0" w:color="auto"/>
              <w:bottom w:val="single" w:sz="12" w:space="0" w:color="auto"/>
            </w:tcBorders>
          </w:tcPr>
          <w:p w14:paraId="3701949A" w14:textId="77777777" w:rsidR="009E6CB7" w:rsidRPr="006F2526" w:rsidRDefault="00DA1DB7" w:rsidP="00DA1DB7">
            <w:pPr>
              <w:spacing w:before="240" w:line="240" w:lineRule="exact"/>
            </w:pPr>
            <w:r w:rsidRPr="006F2526">
              <w:t xml:space="preserve">Distr.: General </w:t>
            </w:r>
          </w:p>
          <w:p w14:paraId="52AEACD7" w14:textId="2C383826" w:rsidR="00DA1DB7" w:rsidRPr="006F2526" w:rsidRDefault="00B868AC" w:rsidP="00DA1DB7">
            <w:pPr>
              <w:spacing w:line="240" w:lineRule="exact"/>
            </w:pPr>
            <w:r w:rsidRPr="00A2068D">
              <w:t>1</w:t>
            </w:r>
            <w:r w:rsidR="00A2068D" w:rsidRPr="00A2068D">
              <w:t>3</w:t>
            </w:r>
            <w:r w:rsidR="002D49EA" w:rsidRPr="00A2068D">
              <w:t xml:space="preserve"> </w:t>
            </w:r>
            <w:r w:rsidR="00A1530A" w:rsidRPr="00A2068D">
              <w:t xml:space="preserve">November </w:t>
            </w:r>
            <w:r w:rsidR="00DA1DB7" w:rsidRPr="00A2068D">
              <w:t>2018</w:t>
            </w:r>
          </w:p>
          <w:p w14:paraId="1229863B" w14:textId="77777777" w:rsidR="00DA1DB7" w:rsidRPr="006F2526" w:rsidRDefault="00DA1DB7" w:rsidP="00DA1DB7">
            <w:pPr>
              <w:spacing w:line="240" w:lineRule="exact"/>
            </w:pPr>
          </w:p>
          <w:p w14:paraId="5E0F3BE8" w14:textId="77777777" w:rsidR="00DA1DB7" w:rsidRPr="006F2526" w:rsidRDefault="00DA1DB7" w:rsidP="00DA1DB7">
            <w:pPr>
              <w:spacing w:line="240" w:lineRule="exact"/>
            </w:pPr>
            <w:r w:rsidRPr="006F2526">
              <w:t>Original: English</w:t>
            </w:r>
          </w:p>
        </w:tc>
      </w:tr>
    </w:tbl>
    <w:p w14:paraId="2AA3CC72" w14:textId="77777777" w:rsidR="00DA1DB7" w:rsidRPr="006F2526" w:rsidRDefault="00DA1DB7" w:rsidP="00DA1DB7">
      <w:pPr>
        <w:spacing w:before="120"/>
        <w:rPr>
          <w:b/>
          <w:sz w:val="28"/>
          <w:szCs w:val="28"/>
        </w:rPr>
      </w:pPr>
      <w:r w:rsidRPr="006F2526">
        <w:rPr>
          <w:b/>
          <w:sz w:val="28"/>
          <w:szCs w:val="28"/>
        </w:rPr>
        <w:t>Economic Commission for Europe</w:t>
      </w:r>
    </w:p>
    <w:p w14:paraId="68E6E842" w14:textId="77777777" w:rsidR="00DA1DB7" w:rsidRPr="006F2526" w:rsidRDefault="00DA1DB7" w:rsidP="00DA1DB7">
      <w:pPr>
        <w:spacing w:before="120" w:line="240" w:lineRule="auto"/>
        <w:rPr>
          <w:bCs/>
          <w:sz w:val="28"/>
          <w:szCs w:val="28"/>
        </w:rPr>
      </w:pPr>
      <w:r w:rsidRPr="006F2526">
        <w:rPr>
          <w:bCs/>
          <w:sz w:val="28"/>
          <w:szCs w:val="28"/>
        </w:rPr>
        <w:t xml:space="preserve">Meeting of the Parties to the Convention </w:t>
      </w:r>
      <w:r w:rsidRPr="006F2526">
        <w:rPr>
          <w:bCs/>
          <w:sz w:val="28"/>
          <w:szCs w:val="28"/>
        </w:rPr>
        <w:br/>
        <w:t xml:space="preserve">on Environmental Impact Assessment in </w:t>
      </w:r>
      <w:r w:rsidRPr="006F2526">
        <w:rPr>
          <w:bCs/>
          <w:sz w:val="28"/>
          <w:szCs w:val="28"/>
        </w:rPr>
        <w:br/>
        <w:t>a Transboundary Context</w:t>
      </w:r>
    </w:p>
    <w:p w14:paraId="1777AA0C" w14:textId="25A6C603" w:rsidR="004B149D" w:rsidRPr="006F2526" w:rsidRDefault="00A1530A" w:rsidP="006F2526">
      <w:pPr>
        <w:spacing w:before="120"/>
        <w:rPr>
          <w:b/>
        </w:rPr>
      </w:pPr>
      <w:r w:rsidRPr="006F2526">
        <w:rPr>
          <w:b/>
        </w:rPr>
        <w:t>Intermediary session</w:t>
      </w:r>
    </w:p>
    <w:p w14:paraId="64C355C4" w14:textId="0A277684" w:rsidR="004B149D" w:rsidRPr="006F2526" w:rsidRDefault="004B149D" w:rsidP="006F2526">
      <w:r w:rsidRPr="006F2526">
        <w:t xml:space="preserve">Geneva, </w:t>
      </w:r>
      <w:r w:rsidR="00A1530A" w:rsidRPr="006F2526">
        <w:t>5</w:t>
      </w:r>
      <w:r w:rsidRPr="006F2526">
        <w:t>–</w:t>
      </w:r>
      <w:r w:rsidR="00A1530A" w:rsidRPr="006F2526">
        <w:t>7</w:t>
      </w:r>
      <w:r w:rsidRPr="006F2526">
        <w:t xml:space="preserve"> </w:t>
      </w:r>
      <w:r w:rsidR="00A1530A" w:rsidRPr="006F2526">
        <w:t>February</w:t>
      </w:r>
      <w:r w:rsidRPr="006F2526">
        <w:t xml:space="preserve"> 201</w:t>
      </w:r>
      <w:r w:rsidR="00A1530A" w:rsidRPr="006F2526">
        <w:t>9</w:t>
      </w:r>
    </w:p>
    <w:p w14:paraId="607B4A55" w14:textId="77777777" w:rsidR="00A1530A" w:rsidRPr="006F2526" w:rsidRDefault="00DA1DB7" w:rsidP="007E63EF">
      <w:pPr>
        <w:spacing w:after="120"/>
      </w:pPr>
      <w:r w:rsidRPr="006F2526">
        <w:t>Item</w:t>
      </w:r>
      <w:r w:rsidR="00A1530A" w:rsidRPr="006F2526">
        <w:t>s</w:t>
      </w:r>
      <w:r w:rsidRPr="006F2526">
        <w:t xml:space="preserve"> </w:t>
      </w:r>
      <w:r w:rsidR="00A1530A" w:rsidRPr="006F2526">
        <w:t>3 (a) and 8</w:t>
      </w:r>
      <w:r w:rsidRPr="006F2526">
        <w:t xml:space="preserve"> of the provisional agenda</w:t>
      </w:r>
    </w:p>
    <w:p w14:paraId="18B3E2A8" w14:textId="77FFB63C" w:rsidR="005916AB" w:rsidRPr="006F2526" w:rsidRDefault="00A1530A" w:rsidP="007E63EF">
      <w:pPr>
        <w:spacing w:after="120"/>
        <w:rPr>
          <w:b/>
          <w:bCs/>
        </w:rPr>
      </w:pPr>
      <w:r w:rsidRPr="006F2526">
        <w:rPr>
          <w:b/>
          <w:bCs/>
        </w:rPr>
        <w:t xml:space="preserve">Outstanding issues: </w:t>
      </w:r>
      <w:r w:rsidR="006F2526">
        <w:rPr>
          <w:b/>
          <w:bCs/>
        </w:rPr>
        <w:t>d</w:t>
      </w:r>
      <w:r w:rsidRPr="006F2526">
        <w:rPr>
          <w:b/>
          <w:bCs/>
        </w:rPr>
        <w:t xml:space="preserve">raft decisions </w:t>
      </w:r>
    </w:p>
    <w:p w14:paraId="658A7F72" w14:textId="70E3D157" w:rsidR="00A1530A" w:rsidRPr="006F2526" w:rsidRDefault="00A1530A" w:rsidP="007E63EF">
      <w:pPr>
        <w:rPr>
          <w:b/>
          <w:bCs/>
        </w:rPr>
      </w:pPr>
      <w:r w:rsidRPr="006F2526">
        <w:rPr>
          <w:b/>
          <w:bCs/>
        </w:rPr>
        <w:t>Adoption of decisions by the Meeting of the Parties to the Convention</w:t>
      </w:r>
    </w:p>
    <w:p w14:paraId="480B09DE" w14:textId="6DE521F0" w:rsidR="00DA1DB7" w:rsidRPr="006F2526" w:rsidRDefault="00ED4253" w:rsidP="00ED4253">
      <w:pPr>
        <w:pStyle w:val="HChG"/>
        <w:rPr>
          <w:szCs w:val="28"/>
        </w:rPr>
      </w:pPr>
      <w:r w:rsidRPr="006F2526">
        <w:tab/>
      </w:r>
      <w:r w:rsidRPr="006F2526">
        <w:tab/>
      </w:r>
      <w:r w:rsidR="00FB573F" w:rsidRPr="006F2526">
        <w:rPr>
          <w:szCs w:val="28"/>
        </w:rPr>
        <w:t xml:space="preserve">Draft decision </w:t>
      </w:r>
      <w:r w:rsidR="007808D6" w:rsidRPr="006F2526">
        <w:rPr>
          <w:szCs w:val="28"/>
        </w:rPr>
        <w:t>IS/</w:t>
      </w:r>
      <w:r w:rsidR="00A1530A" w:rsidRPr="006F2526">
        <w:rPr>
          <w:szCs w:val="28"/>
        </w:rPr>
        <w:t>2</w:t>
      </w:r>
      <w:r w:rsidR="007808D6" w:rsidRPr="006F2526">
        <w:rPr>
          <w:szCs w:val="28"/>
        </w:rPr>
        <w:t xml:space="preserve"> </w:t>
      </w:r>
      <w:r w:rsidR="00FB573F" w:rsidRPr="006F2526">
        <w:rPr>
          <w:szCs w:val="28"/>
        </w:rPr>
        <w:t xml:space="preserve">on </w:t>
      </w:r>
      <w:bookmarkStart w:id="1" w:name="_Hlk507429105"/>
      <w:r w:rsidR="004B149D" w:rsidRPr="006F2526">
        <w:rPr>
          <w:szCs w:val="28"/>
        </w:rPr>
        <w:t xml:space="preserve">the </w:t>
      </w:r>
      <w:r w:rsidR="00FB573F" w:rsidRPr="006F2526">
        <w:rPr>
          <w:szCs w:val="28"/>
        </w:rPr>
        <w:t xml:space="preserve">application of the Convention to </w:t>
      </w:r>
      <w:r w:rsidR="00A1530A" w:rsidRPr="006F2526">
        <w:rPr>
          <w:szCs w:val="28"/>
        </w:rPr>
        <w:t>the lifetime extension of nuc</w:t>
      </w:r>
      <w:r w:rsidR="00FB573F" w:rsidRPr="006F2526">
        <w:rPr>
          <w:szCs w:val="28"/>
        </w:rPr>
        <w:t xml:space="preserve">lear </w:t>
      </w:r>
      <w:r w:rsidR="00A1530A" w:rsidRPr="006F2526">
        <w:rPr>
          <w:szCs w:val="28"/>
        </w:rPr>
        <w:t>power plants</w:t>
      </w:r>
      <w:r w:rsidR="00FB573F" w:rsidRPr="006F2526">
        <w:rPr>
          <w:szCs w:val="28"/>
        </w:rPr>
        <w:t xml:space="preserve"> </w:t>
      </w:r>
      <w:bookmarkEnd w:id="1"/>
    </w:p>
    <w:p w14:paraId="6A866462" w14:textId="77777777" w:rsidR="00DA1DB7" w:rsidRPr="006F2526" w:rsidRDefault="00DA1DB7" w:rsidP="00FB573F">
      <w:pPr>
        <w:pStyle w:val="HChG"/>
        <w:rPr>
          <w:bCs/>
          <w:sz w:val="24"/>
        </w:rPr>
      </w:pPr>
      <w:r w:rsidRPr="006F2526">
        <w:tab/>
      </w:r>
      <w:r w:rsidRPr="006F2526">
        <w:tab/>
      </w:r>
      <w:bookmarkStart w:id="2" w:name="_Hlk507427188"/>
      <w:r w:rsidR="00FB573F" w:rsidRPr="006F2526">
        <w:rPr>
          <w:bCs/>
          <w:sz w:val="24"/>
        </w:rPr>
        <w:t>Proposal by the Bureau</w:t>
      </w:r>
      <w:bookmarkEnd w:id="2"/>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6"/>
        <w:gridCol w:w="9628"/>
        <w:gridCol w:w="9"/>
      </w:tblGrid>
      <w:tr w:rsidR="009D7014" w:rsidRPr="006F2526" w14:paraId="075BE9B6" w14:textId="77777777" w:rsidTr="007E768F">
        <w:trPr>
          <w:gridBefore w:val="1"/>
          <w:wBefore w:w="6" w:type="dxa"/>
          <w:jc w:val="center"/>
        </w:trPr>
        <w:tc>
          <w:tcPr>
            <w:tcW w:w="9637" w:type="dxa"/>
            <w:gridSpan w:val="2"/>
            <w:shd w:val="clear" w:color="auto" w:fill="auto"/>
          </w:tcPr>
          <w:p w14:paraId="40C60288" w14:textId="77777777" w:rsidR="009D7014" w:rsidRPr="006F2526" w:rsidRDefault="009D7014" w:rsidP="00930760">
            <w:pPr>
              <w:spacing w:before="240" w:after="120"/>
              <w:ind w:left="255"/>
              <w:rPr>
                <w:i/>
                <w:sz w:val="24"/>
              </w:rPr>
            </w:pPr>
            <w:r w:rsidRPr="006F2526">
              <w:rPr>
                <w:i/>
                <w:sz w:val="24"/>
              </w:rPr>
              <w:t>Summary</w:t>
            </w:r>
          </w:p>
        </w:tc>
      </w:tr>
      <w:tr w:rsidR="009D7014" w:rsidRPr="006F2526" w14:paraId="54B5312D" w14:textId="77777777" w:rsidTr="007E768F">
        <w:tblPrEx>
          <w:tblBorders>
            <w:top w:val="none" w:sz="0" w:space="0" w:color="auto"/>
            <w:bottom w:val="none" w:sz="0" w:space="0" w:color="auto"/>
            <w:insideV w:val="none" w:sz="0" w:space="0" w:color="auto"/>
          </w:tblBorders>
          <w:tblLook w:val="0000" w:firstRow="0" w:lastRow="0" w:firstColumn="0" w:lastColumn="0" w:noHBand="0" w:noVBand="0"/>
        </w:tblPrEx>
        <w:trPr>
          <w:gridAfter w:val="1"/>
          <w:wAfter w:w="9" w:type="dxa"/>
          <w:jc w:val="center"/>
        </w:trPr>
        <w:tc>
          <w:tcPr>
            <w:tcW w:w="9634" w:type="dxa"/>
            <w:gridSpan w:val="2"/>
            <w:shd w:val="clear" w:color="auto" w:fill="auto"/>
            <w:tcMar>
              <w:left w:w="142" w:type="dxa"/>
              <w:right w:w="142" w:type="dxa"/>
            </w:tcMar>
          </w:tcPr>
          <w:p w14:paraId="4CCFD050" w14:textId="7122B679" w:rsidR="00AE73E5" w:rsidRPr="006F2526" w:rsidRDefault="00AE73E5" w:rsidP="00F51D6B">
            <w:pPr>
              <w:pStyle w:val="SingleTxtG"/>
            </w:pPr>
            <w:r w:rsidRPr="006F2526">
              <w:tab/>
            </w:r>
            <w:r w:rsidR="00B660B7" w:rsidRPr="006F2526">
              <w:t xml:space="preserve">In accordance with its mandate, the Working Group on Environmental Impact Assessment and Strategic Environmental Assessment under the Convention on Environmental Impact Assessment in a Transboundary Context and its Protocol on Strategic Environmental Assessment is tasked with making recommendations to the governing bodies of the Convention and the Protocol regarding further work necessary to ensure the effective implementation of those two instruments (ECE/MP.EIA/SEA/2, decision I/5–V/5, para. 4). The </w:t>
            </w:r>
            <w:r w:rsidR="00A1530A" w:rsidRPr="006F2526">
              <w:t>draft decision contained in the present document w</w:t>
            </w:r>
            <w:r w:rsidR="00B660B7" w:rsidRPr="006F2526">
              <w:t>as</w:t>
            </w:r>
            <w:r w:rsidR="00A1530A" w:rsidRPr="006F2526">
              <w:t xml:space="preserve"> prepared by the Bureau of the Meeting of the Parties to the Convention, with the support of the Convention secretariat, </w:t>
            </w:r>
            <w:r w:rsidR="00B660B7" w:rsidRPr="006F2526">
              <w:t xml:space="preserve">as requested by </w:t>
            </w:r>
            <w:r w:rsidR="00A1530A" w:rsidRPr="006F2526">
              <w:t>the Working Group at its seventh meeting (28–30 May 2017)</w:t>
            </w:r>
            <w:r w:rsidR="006F2526">
              <w:t xml:space="preserve">. </w:t>
            </w:r>
            <w:r w:rsidR="00B660B7" w:rsidRPr="006F2526">
              <w:t>The Working Group also invited the secretariat to incorporate into the draft decision the findings of the workshop on the application of the Convention to the lifetime extension of</w:t>
            </w:r>
            <w:r w:rsidR="00F02EB4" w:rsidRPr="006F2526">
              <w:t xml:space="preserve"> nuclear power plants</w:t>
            </w:r>
            <w:r w:rsidR="00B660B7" w:rsidRPr="006F2526">
              <w:t xml:space="preserve"> (ECE/MP.EIA/WG.2/2018/2</w:t>
            </w:r>
            <w:r w:rsidR="00F02EB4" w:rsidRPr="006F2526">
              <w:t>, paras</w:t>
            </w:r>
            <w:r w:rsidR="00A1530A" w:rsidRPr="006F2526">
              <w:t>.</w:t>
            </w:r>
            <w:r w:rsidR="00F02EB4" w:rsidRPr="006F2526">
              <w:t xml:space="preserve"> 26 and 29).</w:t>
            </w:r>
          </w:p>
          <w:p w14:paraId="6D96FEAD" w14:textId="52D3B93A" w:rsidR="009D7014" w:rsidRPr="006F2526" w:rsidRDefault="00B033A3" w:rsidP="00F02EB4">
            <w:pPr>
              <w:pStyle w:val="SingleTxtG"/>
            </w:pPr>
            <w:r w:rsidRPr="006F2526">
              <w:tab/>
            </w:r>
            <w:r w:rsidR="00B660B7" w:rsidRPr="006F2526">
              <w:t xml:space="preserve">The Meeting of the Parties is expected to review the text of the draft decision contained in the present document and agree on its adoption.  </w:t>
            </w:r>
          </w:p>
        </w:tc>
      </w:tr>
      <w:tr w:rsidR="009B7B2B" w:rsidRPr="006F2526" w14:paraId="1E121BF0" w14:textId="77777777" w:rsidTr="007E768F">
        <w:tblPrEx>
          <w:tblBorders>
            <w:top w:val="none" w:sz="0" w:space="0" w:color="auto"/>
            <w:bottom w:val="none" w:sz="0" w:space="0" w:color="auto"/>
            <w:insideV w:val="none" w:sz="0" w:space="0" w:color="auto"/>
          </w:tblBorders>
          <w:tblLook w:val="0000" w:firstRow="0" w:lastRow="0" w:firstColumn="0" w:lastColumn="0" w:noHBand="0" w:noVBand="0"/>
        </w:tblPrEx>
        <w:trPr>
          <w:gridAfter w:val="1"/>
          <w:wAfter w:w="9" w:type="dxa"/>
          <w:jc w:val="center"/>
        </w:trPr>
        <w:tc>
          <w:tcPr>
            <w:tcW w:w="9634" w:type="dxa"/>
            <w:gridSpan w:val="2"/>
            <w:shd w:val="clear" w:color="auto" w:fill="auto"/>
            <w:tcMar>
              <w:left w:w="142" w:type="dxa"/>
              <w:right w:w="142" w:type="dxa"/>
            </w:tcMar>
          </w:tcPr>
          <w:p w14:paraId="03B050A2" w14:textId="77777777" w:rsidR="009B7B2B" w:rsidRPr="006F2526" w:rsidRDefault="009B7B2B" w:rsidP="00F51D6B">
            <w:pPr>
              <w:pStyle w:val="SingleTxtG"/>
            </w:pPr>
          </w:p>
        </w:tc>
      </w:tr>
      <w:tr w:rsidR="009D7014" w:rsidRPr="006F2526" w14:paraId="31A2A38F" w14:textId="77777777" w:rsidTr="00141CEE">
        <w:tblPrEx>
          <w:tblLook w:val="0000" w:firstRow="0" w:lastRow="0" w:firstColumn="0" w:lastColumn="0" w:noHBand="0" w:noVBand="0"/>
        </w:tblPrEx>
        <w:trPr>
          <w:gridAfter w:val="1"/>
          <w:wAfter w:w="9" w:type="dxa"/>
          <w:trHeight w:hRule="exact" w:val="20"/>
          <w:jc w:val="center"/>
        </w:trPr>
        <w:tc>
          <w:tcPr>
            <w:tcW w:w="9634" w:type="dxa"/>
            <w:gridSpan w:val="2"/>
            <w:shd w:val="clear" w:color="auto" w:fill="auto"/>
          </w:tcPr>
          <w:p w14:paraId="462C6EC7" w14:textId="77777777" w:rsidR="009D7014" w:rsidRPr="006F2526" w:rsidRDefault="009D7014" w:rsidP="00F51D6B">
            <w:pPr>
              <w:pStyle w:val="SingleTxtG"/>
            </w:pPr>
          </w:p>
        </w:tc>
      </w:tr>
      <w:tr w:rsidR="009B7B2B" w:rsidRPr="006F2526" w14:paraId="3F3CCDFA" w14:textId="77777777" w:rsidTr="007E768F">
        <w:tblPrEx>
          <w:tblBorders>
            <w:top w:val="none" w:sz="0" w:space="0" w:color="auto"/>
            <w:bottom w:val="none" w:sz="0" w:space="0" w:color="auto"/>
            <w:insideV w:val="none" w:sz="0" w:space="0" w:color="auto"/>
          </w:tblBorders>
          <w:tblLook w:val="0000" w:firstRow="0" w:lastRow="0" w:firstColumn="0" w:lastColumn="0" w:noHBand="0" w:noVBand="0"/>
        </w:tblPrEx>
        <w:trPr>
          <w:gridAfter w:val="1"/>
          <w:wAfter w:w="9" w:type="dxa"/>
          <w:trHeight w:hRule="exact" w:val="20"/>
          <w:jc w:val="center"/>
        </w:trPr>
        <w:tc>
          <w:tcPr>
            <w:tcW w:w="9634" w:type="dxa"/>
            <w:gridSpan w:val="2"/>
            <w:tcBorders>
              <w:bottom w:val="single" w:sz="4" w:space="0" w:color="auto"/>
            </w:tcBorders>
            <w:shd w:val="clear" w:color="auto" w:fill="auto"/>
          </w:tcPr>
          <w:p w14:paraId="209CED00" w14:textId="21E88DD3" w:rsidR="00E72101" w:rsidRDefault="00E72101" w:rsidP="00F51D6B">
            <w:pPr>
              <w:pStyle w:val="SingleTxtG"/>
            </w:pPr>
          </w:p>
          <w:p w14:paraId="389F850B" w14:textId="77777777" w:rsidR="00E72101" w:rsidRPr="00E72101" w:rsidRDefault="00E72101" w:rsidP="00E72101"/>
          <w:p w14:paraId="0A2065E9" w14:textId="77777777" w:rsidR="00E72101" w:rsidRPr="00E72101" w:rsidRDefault="00E72101" w:rsidP="00E72101"/>
          <w:p w14:paraId="47D4B2C9" w14:textId="77777777" w:rsidR="00E72101" w:rsidRPr="00E72101" w:rsidRDefault="00E72101" w:rsidP="00E72101"/>
          <w:p w14:paraId="14A21381" w14:textId="77777777" w:rsidR="00E72101" w:rsidRPr="00E72101" w:rsidRDefault="00E72101" w:rsidP="00E72101"/>
          <w:p w14:paraId="405CC0F5" w14:textId="77777777" w:rsidR="00E72101" w:rsidRPr="00E72101" w:rsidRDefault="00E72101" w:rsidP="00E72101"/>
          <w:p w14:paraId="19B12530" w14:textId="77777777" w:rsidR="00E72101" w:rsidRPr="00E72101" w:rsidRDefault="00E72101" w:rsidP="00E72101"/>
          <w:p w14:paraId="7195A0EE" w14:textId="3BEC5CBB" w:rsidR="009B7B2B" w:rsidRPr="00E72101" w:rsidRDefault="00E72101" w:rsidP="00E72101">
            <w:pPr>
              <w:tabs>
                <w:tab w:val="left" w:pos="7634"/>
              </w:tabs>
            </w:pPr>
            <w:r>
              <w:tab/>
            </w:r>
          </w:p>
        </w:tc>
      </w:tr>
    </w:tbl>
    <w:p w14:paraId="18865678" w14:textId="512F2E15" w:rsidR="00DA1DB7" w:rsidRPr="006F2526" w:rsidRDefault="003474B5" w:rsidP="00141CEE">
      <w:pPr>
        <w:pStyle w:val="SingleTxtG"/>
      </w:pPr>
      <w:r w:rsidRPr="006F2526">
        <w:tab/>
      </w:r>
      <w:r w:rsidR="00DA1DB7" w:rsidRPr="006F2526">
        <w:rPr>
          <w:i/>
        </w:rPr>
        <w:t>The Meeting of the Parties to the Convention</w:t>
      </w:r>
      <w:r w:rsidR="00DA1DB7" w:rsidRPr="006F2526">
        <w:t>,</w:t>
      </w:r>
    </w:p>
    <w:p w14:paraId="74AFFDB3" w14:textId="280EE23F" w:rsidR="00694875" w:rsidRPr="006F2526" w:rsidRDefault="00694875" w:rsidP="00694875">
      <w:pPr>
        <w:pStyle w:val="SingleTxtG"/>
        <w:rPr>
          <w:rStyle w:val="SingleTxtGChar"/>
        </w:rPr>
      </w:pPr>
      <w:r w:rsidRPr="006F2526">
        <w:rPr>
          <w:i/>
        </w:rPr>
        <w:tab/>
      </w:r>
      <w:r w:rsidR="00DA1DB7" w:rsidRPr="006F2526">
        <w:rPr>
          <w:i/>
        </w:rPr>
        <w:t>Recalling</w:t>
      </w:r>
      <w:r w:rsidR="00DA1DB7" w:rsidRPr="006F2526">
        <w:t xml:space="preserve"> </w:t>
      </w:r>
      <w:r w:rsidR="00DA1DB7" w:rsidRPr="006F2526">
        <w:rPr>
          <w:rStyle w:val="SingleTxtGChar"/>
        </w:rPr>
        <w:t xml:space="preserve">its decision VII/3–III/3 on adoption of the workplan </w:t>
      </w:r>
      <w:r w:rsidR="008A4CAB" w:rsidRPr="006F2526">
        <w:rPr>
          <w:rStyle w:val="SingleTxtGChar"/>
        </w:rPr>
        <w:t>for the implementation of the Convention on Environmental Impact Assessment in a Transboundary Context and its Protocol on Strategic Environmental Assessment for the period 2017–2020</w:t>
      </w:r>
      <w:r w:rsidR="00DA1DB7" w:rsidRPr="006F2526">
        <w:rPr>
          <w:rStyle w:val="SingleTxtGChar"/>
        </w:rPr>
        <w:t xml:space="preserve">, and its decisions VI/7 </w:t>
      </w:r>
      <w:r w:rsidR="003474B5" w:rsidRPr="006F2526">
        <w:rPr>
          <w:rStyle w:val="SingleTxtGChar"/>
        </w:rPr>
        <w:t xml:space="preserve">and VII/6 on </w:t>
      </w:r>
      <w:r w:rsidR="00DA1DB7" w:rsidRPr="006F2526">
        <w:rPr>
          <w:rStyle w:val="SingleTxtGChar"/>
        </w:rPr>
        <w:t xml:space="preserve">the application of the Convention to nuclear energy-related activities, </w:t>
      </w:r>
    </w:p>
    <w:p w14:paraId="1EA4C081" w14:textId="032C5F02" w:rsidR="00DA1DB7" w:rsidRPr="006F2526" w:rsidRDefault="00694875" w:rsidP="00694875">
      <w:pPr>
        <w:spacing w:after="120"/>
        <w:ind w:left="1134" w:right="1134" w:firstLine="306"/>
        <w:jc w:val="both"/>
      </w:pPr>
      <w:r w:rsidRPr="006F2526">
        <w:rPr>
          <w:i/>
        </w:rPr>
        <w:tab/>
      </w:r>
      <w:r w:rsidR="008F3C8B">
        <w:rPr>
          <w:i/>
        </w:rPr>
        <w:t>R</w:t>
      </w:r>
      <w:r w:rsidR="00DA1DB7" w:rsidRPr="006F2526">
        <w:rPr>
          <w:i/>
        </w:rPr>
        <w:t xml:space="preserve">ecalling </w:t>
      </w:r>
      <w:r w:rsidR="008F3C8B">
        <w:rPr>
          <w:i/>
        </w:rPr>
        <w:t xml:space="preserve">also </w:t>
      </w:r>
      <w:r w:rsidR="00DA1DB7" w:rsidRPr="006F2526">
        <w:rPr>
          <w:iCs/>
        </w:rPr>
        <w:t>paragraphs 68–71 of</w:t>
      </w:r>
      <w:r w:rsidR="00DA1DB7" w:rsidRPr="006F2526">
        <w:rPr>
          <w:i/>
        </w:rPr>
        <w:t xml:space="preserve"> </w:t>
      </w:r>
      <w:r w:rsidR="00DA1DB7" w:rsidRPr="006F2526">
        <w:t xml:space="preserve">its decision VI/2, regarding </w:t>
      </w:r>
      <w:r w:rsidR="003474B5" w:rsidRPr="006F2526">
        <w:t>c</w:t>
      </w:r>
      <w:r w:rsidR="00DA1DB7" w:rsidRPr="006F2526">
        <w:t>ompliance by Ukraine with its obligations under the Convention with respect to the extension of</w:t>
      </w:r>
      <w:r w:rsidR="003474B5" w:rsidRPr="006F2526">
        <w:t xml:space="preserve"> the</w:t>
      </w:r>
      <w:r w:rsidR="00DA1DB7" w:rsidRPr="006F2526">
        <w:t xml:space="preserve"> lifetime for units 1 and 2 of the Rivne nuclear power plant,</w:t>
      </w:r>
    </w:p>
    <w:p w14:paraId="3179CDBC" w14:textId="53ED2E8F" w:rsidR="00DA1DB7" w:rsidRPr="006F2526" w:rsidRDefault="00DA1DB7" w:rsidP="001B4205">
      <w:pPr>
        <w:pStyle w:val="SingleTxtG"/>
      </w:pPr>
      <w:r w:rsidRPr="006F2526">
        <w:tab/>
      </w:r>
      <w:r w:rsidRPr="006F2526">
        <w:rPr>
          <w:i/>
        </w:rPr>
        <w:t>Having considered</w:t>
      </w:r>
      <w:r w:rsidRPr="006F2526">
        <w:t xml:space="preserve"> the terms of reference for </w:t>
      </w:r>
      <w:bookmarkStart w:id="3" w:name="_Hlk504755157"/>
      <w:r w:rsidRPr="006F2526">
        <w:t xml:space="preserve">guidance </w:t>
      </w:r>
      <w:bookmarkStart w:id="4" w:name="_Hlk505176552"/>
      <w:r w:rsidRPr="006F2526">
        <w:t xml:space="preserve">on the applicability of the Convention with regard to decisions on the lifetime extension of nuclear power </w:t>
      </w:r>
      <w:bookmarkEnd w:id="3"/>
      <w:r w:rsidRPr="006F2526">
        <w:t>plants</w:t>
      </w:r>
      <w:bookmarkEnd w:id="4"/>
      <w:r w:rsidRPr="006F2526">
        <w:t xml:space="preserve"> developed by an ad hoc working group</w:t>
      </w:r>
      <w:r w:rsidR="00872C0B" w:rsidRPr="006F2526">
        <w:rPr>
          <w:rStyle w:val="FootnoteReference"/>
        </w:rPr>
        <w:footnoteReference w:id="2"/>
      </w:r>
      <w:r w:rsidRPr="006F2526">
        <w:t xml:space="preserve"> under the co-chairmanship of Germany and the United Kingdom of Great Britain and Northern Ireland, with support from the secretariat and the European Commission, as adopted by the Working Group on Environmental Impact Assessment and Strategic Environmental Assessment at its seventh meeting (Geneva, 28–30 May 2018), </w:t>
      </w:r>
    </w:p>
    <w:p w14:paraId="28D679F8" w14:textId="450ED911" w:rsidR="00DA1DB7" w:rsidRPr="006F2526" w:rsidRDefault="001B4205" w:rsidP="001B4205">
      <w:pPr>
        <w:pStyle w:val="SingleTxtG"/>
        <w:rPr>
          <w:rStyle w:val="st"/>
          <w:color w:val="000000" w:themeColor="text1"/>
        </w:rPr>
      </w:pPr>
      <w:r w:rsidRPr="006F2526">
        <w:rPr>
          <w:i/>
          <w:iCs/>
        </w:rPr>
        <w:tab/>
      </w:r>
      <w:r w:rsidR="00DA1DB7" w:rsidRPr="006F2526">
        <w:rPr>
          <w:i/>
          <w:iCs/>
        </w:rPr>
        <w:t>Having also considered</w:t>
      </w:r>
      <w:r w:rsidR="00DA1DB7" w:rsidRPr="006F2526">
        <w:t xml:space="preserve"> the outcome of the workshop on </w:t>
      </w:r>
      <w:r w:rsidR="008A4CAB" w:rsidRPr="006F2526">
        <w:t xml:space="preserve">the </w:t>
      </w:r>
      <w:r w:rsidR="00DA1DB7" w:rsidRPr="006F2526">
        <w:t>lifetime extension of nuclear power plants organized by the ad hoc working group</w:t>
      </w:r>
      <w:r w:rsidR="008A4CAB" w:rsidRPr="006F2526">
        <w:t>,</w:t>
      </w:r>
      <w:r w:rsidR="00DA1DB7" w:rsidRPr="006F2526">
        <w:t xml:space="preserve"> as foreseen in the </w:t>
      </w:r>
      <w:r w:rsidR="008A4CAB" w:rsidRPr="006F2526">
        <w:t xml:space="preserve">2017–2020 </w:t>
      </w:r>
      <w:r w:rsidR="00DA1DB7" w:rsidRPr="006F2526">
        <w:t>workplan,</w:t>
      </w:r>
      <w:r w:rsidR="00581202" w:rsidRPr="006F2526">
        <w:rPr>
          <w:rStyle w:val="FootnoteReference"/>
        </w:rPr>
        <w:footnoteReference w:id="3"/>
      </w:r>
      <w:r w:rsidR="00DA1DB7" w:rsidRPr="006F2526">
        <w:t xml:space="preserve"> with </w:t>
      </w:r>
      <w:r w:rsidR="0036347C" w:rsidRPr="006F2526">
        <w:t xml:space="preserve">the </w:t>
      </w:r>
      <w:r w:rsidR="00DA1DB7" w:rsidRPr="006F2526">
        <w:t xml:space="preserve">participation of the Implementation Committee, non-governmental organizations, the International Atomic Energy Agency and the </w:t>
      </w:r>
      <w:r w:rsidR="00DA1DB7" w:rsidRPr="006F2526">
        <w:rPr>
          <w:rStyle w:val="st"/>
          <w:color w:val="000000" w:themeColor="text1"/>
        </w:rPr>
        <w:t>Nuclear Energy Agency</w:t>
      </w:r>
      <w:r w:rsidR="005E3A50" w:rsidRPr="006F2526">
        <w:rPr>
          <w:rStyle w:val="st"/>
          <w:color w:val="000000" w:themeColor="text1"/>
        </w:rPr>
        <w:t xml:space="preserve"> of the Organization for Economic Cooperation and Development</w:t>
      </w:r>
      <w:r w:rsidR="00DA1DB7" w:rsidRPr="006F2526">
        <w:rPr>
          <w:rStyle w:val="st"/>
          <w:color w:val="000000" w:themeColor="text1"/>
        </w:rPr>
        <w:t>,</w:t>
      </w:r>
    </w:p>
    <w:p w14:paraId="4711DC4F" w14:textId="381586D0" w:rsidR="00DA1DB7" w:rsidRPr="006F2526" w:rsidRDefault="00751951" w:rsidP="00751951">
      <w:pPr>
        <w:pStyle w:val="SingleTxtG"/>
      </w:pPr>
      <w:r w:rsidRPr="006F2526">
        <w:rPr>
          <w:i/>
          <w:iCs/>
        </w:rPr>
        <w:tab/>
      </w:r>
      <w:r w:rsidR="00DA1DB7" w:rsidRPr="006F2526">
        <w:rPr>
          <w:i/>
          <w:iCs/>
        </w:rPr>
        <w:t xml:space="preserve">Having further considered </w:t>
      </w:r>
      <w:r w:rsidR="00DA1DB7" w:rsidRPr="006F2526">
        <w:t xml:space="preserve">the </w:t>
      </w:r>
      <w:r w:rsidR="00901E70" w:rsidRPr="006F2526">
        <w:t xml:space="preserve">progress in the work of </w:t>
      </w:r>
      <w:r w:rsidR="00DA1DB7" w:rsidRPr="006F2526">
        <w:t>the ad hoc working group</w:t>
      </w:r>
      <w:r w:rsidR="00901E70" w:rsidRPr="006F2526">
        <w:t xml:space="preserve"> with a view to developing draft guidance under the continued co-chairmanship of Germany and the United Kingdom, based on the terms of reference, as requested by the Working Group, </w:t>
      </w:r>
      <w:r w:rsidR="00DA1DB7" w:rsidRPr="006F2526">
        <w:t xml:space="preserve"> </w:t>
      </w:r>
    </w:p>
    <w:p w14:paraId="133DABE7" w14:textId="77777777" w:rsidR="00DA1DB7" w:rsidRPr="006F2526" w:rsidRDefault="00DA1DB7" w:rsidP="00751951">
      <w:pPr>
        <w:pStyle w:val="SingleTxtG"/>
      </w:pPr>
      <w:r w:rsidRPr="006F2526">
        <w:rPr>
          <w:i/>
        </w:rPr>
        <w:tab/>
      </w:r>
      <w:r w:rsidRPr="006F2526">
        <w:rPr>
          <w:i/>
          <w:iCs/>
        </w:rPr>
        <w:t>Reiterating</w:t>
      </w:r>
      <w:r w:rsidRPr="006F2526">
        <w:t xml:space="preserve"> that the Convention is a key instrument establishing rules for domestic action and international cooperation for preventing, reducing and controlling significant adverse transboundary environmental impacts from proposed activities that include nuclear energy-related activities,</w:t>
      </w:r>
    </w:p>
    <w:p w14:paraId="3FF8714B" w14:textId="2CE19F9F" w:rsidR="00DA1DB7" w:rsidRPr="006F2526" w:rsidRDefault="00DA1DB7" w:rsidP="008B5C8B">
      <w:pPr>
        <w:pStyle w:val="SingleTxtG"/>
        <w:rPr>
          <w:i/>
          <w:iCs/>
        </w:rPr>
      </w:pPr>
      <w:r w:rsidRPr="006F2526">
        <w:rPr>
          <w:i/>
          <w:iCs/>
        </w:rPr>
        <w:tab/>
        <w:t xml:space="preserve">Acknowledging </w:t>
      </w:r>
      <w:r w:rsidRPr="006F2526">
        <w:t>that the Protocol on Strategic Environmental Assessment to the Convention is an essential instrument to ensure the assessment o</w:t>
      </w:r>
      <w:r w:rsidR="008B5C8B" w:rsidRPr="006F2526">
        <w:t xml:space="preserve">f the environmental, including health, effects of plans and programmes, </w:t>
      </w:r>
      <w:r w:rsidRPr="006F2526">
        <w:t>and po</w:t>
      </w:r>
      <w:r w:rsidR="008B5C8B" w:rsidRPr="006F2526">
        <w:t xml:space="preserve">ssibly also policies </w:t>
      </w:r>
      <w:r w:rsidR="008E6D1E" w:rsidRPr="006F2526">
        <w:t>and legislation</w:t>
      </w:r>
      <w:r w:rsidR="008B5C8B" w:rsidRPr="006F2526">
        <w:t xml:space="preserve">, that set the framework </w:t>
      </w:r>
      <w:r w:rsidRPr="006F2526">
        <w:t>f</w:t>
      </w:r>
      <w:r w:rsidR="008B5C8B" w:rsidRPr="006F2526">
        <w:t xml:space="preserve">or future </w:t>
      </w:r>
      <w:r w:rsidRPr="006F2526">
        <w:t>development consent for projects, including in the field of nuclear energy</w:t>
      </w:r>
      <w:r w:rsidRPr="006F2526">
        <w:rPr>
          <w:i/>
          <w:iCs/>
        </w:rPr>
        <w:t>,</w:t>
      </w:r>
    </w:p>
    <w:p w14:paraId="391F22D0" w14:textId="6133BF19" w:rsidR="00DA1DB7" w:rsidRPr="006F2526" w:rsidRDefault="00DA1DB7" w:rsidP="00DA1DB7">
      <w:pPr>
        <w:spacing w:after="120"/>
        <w:ind w:left="1134" w:right="1134"/>
        <w:jc w:val="both"/>
      </w:pPr>
      <w:r w:rsidRPr="006F2526">
        <w:rPr>
          <w:i/>
        </w:rPr>
        <w:tab/>
        <w:t xml:space="preserve">Aware </w:t>
      </w:r>
      <w:r w:rsidRPr="006F2526">
        <w:t>that over the coming years many nuclear power plants in the United Nations Economic Commission for Europe (ECE) region are reaching the end of their operational lifetime,</w:t>
      </w:r>
    </w:p>
    <w:p w14:paraId="7A8753DC" w14:textId="66B56A3B" w:rsidR="00DA1DB7" w:rsidRPr="006F2526" w:rsidRDefault="00DA1DB7" w:rsidP="00DA1DB7">
      <w:pPr>
        <w:spacing w:after="120"/>
        <w:ind w:left="1134" w:right="1134"/>
        <w:jc w:val="both"/>
      </w:pPr>
      <w:r w:rsidRPr="006F2526">
        <w:rPr>
          <w:i/>
        </w:rPr>
        <w:tab/>
        <w:t>A</w:t>
      </w:r>
      <w:r w:rsidR="000F059A">
        <w:rPr>
          <w:i/>
        </w:rPr>
        <w:t>ware a</w:t>
      </w:r>
      <w:r w:rsidRPr="006F2526">
        <w:rPr>
          <w:i/>
        </w:rPr>
        <w:t xml:space="preserve">lso </w:t>
      </w:r>
      <w:r w:rsidRPr="006F2526">
        <w:t xml:space="preserve">of the continuously growing number of information-gathering cases on </w:t>
      </w:r>
      <w:r w:rsidR="0036347C" w:rsidRPr="006F2526">
        <w:t xml:space="preserve">the </w:t>
      </w:r>
      <w:r w:rsidRPr="006F2526">
        <w:t xml:space="preserve">lifetime extension of nuclear power plants before the Implementation Committee and </w:t>
      </w:r>
      <w:r w:rsidRPr="006F2526">
        <w:lastRenderedPageBreak/>
        <w:t xml:space="preserve">the Committee’s call for guidance or criteria on the application of the Convention in this respect to assist it </w:t>
      </w:r>
      <w:r w:rsidR="003D52B1" w:rsidRPr="006F2526">
        <w:t xml:space="preserve">in </w:t>
      </w:r>
      <w:r w:rsidRPr="006F2526">
        <w:t>assessing compliance by Parties with the Convention,</w:t>
      </w:r>
    </w:p>
    <w:p w14:paraId="34A91802" w14:textId="77777777" w:rsidR="00DA1DB7" w:rsidRPr="006F2526" w:rsidRDefault="00DA1DB7" w:rsidP="00DA1DB7">
      <w:pPr>
        <w:spacing w:after="120"/>
        <w:ind w:left="1134" w:right="1134"/>
        <w:jc w:val="both"/>
      </w:pPr>
      <w:r w:rsidRPr="006F2526">
        <w:rPr>
          <w:i/>
        </w:rPr>
        <w:tab/>
        <w:t xml:space="preserve">Wishing </w:t>
      </w:r>
      <w:r w:rsidRPr="006F2526">
        <w:rPr>
          <w:iCs/>
        </w:rPr>
        <w:t>to assist Parties in complying with their obligations under the Convention, and to promote its legal certainty and effective application,</w:t>
      </w:r>
    </w:p>
    <w:p w14:paraId="560ACC95" w14:textId="179BB010" w:rsidR="00DA1DB7" w:rsidRPr="006F2526" w:rsidRDefault="00DA1DB7" w:rsidP="00DA1DB7">
      <w:pPr>
        <w:spacing w:after="120"/>
        <w:ind w:left="1134" w:right="1134"/>
        <w:jc w:val="both"/>
      </w:pPr>
      <w:r w:rsidRPr="006F2526">
        <w:tab/>
        <w:t>1.</w:t>
      </w:r>
      <w:r w:rsidRPr="006F2526">
        <w:tab/>
      </w:r>
      <w:r w:rsidR="003D52B1" w:rsidRPr="006F2526">
        <w:rPr>
          <w:i/>
        </w:rPr>
        <w:t xml:space="preserve">Welcomes </w:t>
      </w:r>
      <w:r w:rsidRPr="006F2526">
        <w:t xml:space="preserve">and </w:t>
      </w:r>
      <w:r w:rsidRPr="006F2526">
        <w:rPr>
          <w:iCs/>
        </w:rPr>
        <w:t>acknowledges</w:t>
      </w:r>
      <w:r w:rsidRPr="006F2526">
        <w:t xml:space="preserve"> the terms of reference for guidance on the applicability of the Convention with regard to decisions on the lifetime extension of nuclear power plants</w:t>
      </w:r>
      <w:r w:rsidR="00C90CD4">
        <w:t xml:space="preserve"> </w:t>
      </w:r>
      <w:r w:rsidR="00C90CD4" w:rsidRPr="006F2526">
        <w:t>adopted by the Working Group</w:t>
      </w:r>
      <w:r w:rsidR="008E6D1E" w:rsidRPr="006F2526">
        <w:t xml:space="preserve">; </w:t>
      </w:r>
    </w:p>
    <w:p w14:paraId="6BDA13F6" w14:textId="1848E685" w:rsidR="00DA1DB7" w:rsidRPr="006F2526" w:rsidRDefault="00D60659" w:rsidP="00C9152F">
      <w:pPr>
        <w:pStyle w:val="SingleTxtG"/>
      </w:pPr>
      <w:r w:rsidRPr="006F2526">
        <w:tab/>
      </w:r>
      <w:r w:rsidR="00C9152F" w:rsidRPr="006F2526">
        <w:t>2</w:t>
      </w:r>
      <w:r w:rsidRPr="006F2526">
        <w:rPr>
          <w:iCs/>
        </w:rPr>
        <w:t>.</w:t>
      </w:r>
      <w:r w:rsidRPr="006F2526">
        <w:rPr>
          <w:iCs/>
        </w:rPr>
        <w:tab/>
      </w:r>
      <w:r w:rsidR="00DA1DB7" w:rsidRPr="006F2526">
        <w:rPr>
          <w:i/>
        </w:rPr>
        <w:t xml:space="preserve">Notes </w:t>
      </w:r>
      <w:r w:rsidR="00DA1DB7" w:rsidRPr="006F2526">
        <w:t xml:space="preserve">the main </w:t>
      </w:r>
      <w:r w:rsidR="00C9152F" w:rsidRPr="006F2526">
        <w:t>conclusions</w:t>
      </w:r>
      <w:r w:rsidR="00DA1DB7" w:rsidRPr="006F2526">
        <w:t xml:space="preserve"> of the workshop on </w:t>
      </w:r>
      <w:r w:rsidR="00121A3C" w:rsidRPr="006F2526">
        <w:t xml:space="preserve">the </w:t>
      </w:r>
      <w:r w:rsidR="00DA1DB7" w:rsidRPr="006F2526">
        <w:t>lifetime extension of nuclear power plants</w:t>
      </w:r>
      <w:r w:rsidR="0036347C" w:rsidRPr="006F2526">
        <w:t xml:space="preserve">, </w:t>
      </w:r>
      <w:r w:rsidR="00DA1DB7" w:rsidRPr="006F2526">
        <w:t>which state, inter alia, that:</w:t>
      </w:r>
    </w:p>
    <w:p w14:paraId="283CABD8" w14:textId="33F447B8" w:rsidR="00DA1DB7" w:rsidRPr="007E63EF" w:rsidRDefault="00DA1DB7" w:rsidP="00DA1DB7">
      <w:pPr>
        <w:spacing w:after="120"/>
        <w:ind w:left="1134" w:right="1134"/>
        <w:jc w:val="both"/>
        <w:rPr>
          <w:lang w:val="en-US"/>
        </w:rPr>
      </w:pPr>
      <w:r w:rsidRPr="006F2526">
        <w:tab/>
        <w:t>(a)</w:t>
      </w:r>
      <w:r w:rsidRPr="006F2526">
        <w:tab/>
      </w:r>
      <w:r w:rsidR="00025E5B" w:rsidRPr="006F2526">
        <w:t xml:space="preserve">The Implementation Committee’s work is </w:t>
      </w:r>
      <w:r w:rsidR="007E63EF">
        <w:t>severely</w:t>
      </w:r>
      <w:r w:rsidR="00025E5B" w:rsidRPr="00A81274">
        <w:t xml:space="preserve"> constrained</w:t>
      </w:r>
      <w:r w:rsidR="00025E5B" w:rsidRPr="006F2526">
        <w:t>. The guidance is therefore urgently needed</w:t>
      </w:r>
      <w:r w:rsidRPr="006F2526">
        <w:t>;</w:t>
      </w:r>
    </w:p>
    <w:p w14:paraId="3A995177" w14:textId="1790D71D" w:rsidR="00DA1DB7" w:rsidRPr="006F2526" w:rsidRDefault="00DA1DB7" w:rsidP="00DA1DB7">
      <w:pPr>
        <w:spacing w:after="120"/>
        <w:ind w:left="1134" w:right="1134"/>
        <w:jc w:val="both"/>
      </w:pPr>
      <w:r w:rsidRPr="006F2526">
        <w:tab/>
        <w:t>(b)</w:t>
      </w:r>
      <w:r w:rsidRPr="006F2526">
        <w:tab/>
      </w:r>
      <w:r w:rsidR="00025E5B" w:rsidRPr="006F2526">
        <w:t>The interpretation of the Convention should be in line with its main purpose and objectives</w:t>
      </w:r>
      <w:r w:rsidRPr="006F2526">
        <w:t xml:space="preserve">; </w:t>
      </w:r>
    </w:p>
    <w:p w14:paraId="26D70D76" w14:textId="44C879A3" w:rsidR="00027248" w:rsidRPr="006F2526" w:rsidRDefault="00DA1DB7" w:rsidP="00DA1DB7">
      <w:pPr>
        <w:spacing w:after="120"/>
        <w:ind w:left="1134" w:right="1134"/>
        <w:jc w:val="both"/>
      </w:pPr>
      <w:r w:rsidRPr="006F2526">
        <w:tab/>
        <w:t>(c)</w:t>
      </w:r>
      <w:r w:rsidRPr="006F2526">
        <w:tab/>
      </w:r>
      <w:r w:rsidR="00025E5B" w:rsidRPr="006F2526">
        <w:t xml:space="preserve">The lifetime extension of nuclear power plants </w:t>
      </w:r>
      <w:r w:rsidR="00C90CD4">
        <w:t xml:space="preserve">concerns </w:t>
      </w:r>
      <w:r w:rsidR="00025E5B" w:rsidRPr="006F2526">
        <w:t>not only nuclear safety, but also the environment</w:t>
      </w:r>
      <w:r w:rsidR="005E6D51">
        <w:t>.</w:t>
      </w:r>
      <w:r w:rsidR="00025E5B" w:rsidRPr="006F2526">
        <w:t xml:space="preserve"> </w:t>
      </w:r>
      <w:r w:rsidR="005E6D51">
        <w:t>A</w:t>
      </w:r>
      <w:r w:rsidR="00025E5B" w:rsidRPr="006F2526">
        <w:t>ny changes in the surrounding environment, such as an increase in population or water scarcity, should be considered</w:t>
      </w:r>
      <w:r w:rsidRPr="006F2526">
        <w:t xml:space="preserve">; </w:t>
      </w:r>
    </w:p>
    <w:p w14:paraId="232C296E" w14:textId="6584F803" w:rsidR="00DA1DB7" w:rsidRPr="006F2526" w:rsidRDefault="00DA1DB7" w:rsidP="00DA1DB7">
      <w:pPr>
        <w:spacing w:after="120"/>
        <w:ind w:left="1134" w:right="1134"/>
        <w:jc w:val="both"/>
      </w:pPr>
      <w:r w:rsidRPr="006F2526">
        <w:tab/>
        <w:t>(d)</w:t>
      </w:r>
      <w:r w:rsidRPr="006F2526">
        <w:tab/>
      </w:r>
      <w:r w:rsidR="00025E5B" w:rsidRPr="006F2526">
        <w:t>Environmental issues must be properly addressed in environmental impact assessment, possibly through a screening assessment</w:t>
      </w:r>
      <w:r w:rsidRPr="006F2526">
        <w:t>;</w:t>
      </w:r>
    </w:p>
    <w:p w14:paraId="510A09D2" w14:textId="59EF3A8E" w:rsidR="00025E5B" w:rsidRPr="006F2526" w:rsidRDefault="00025E5B" w:rsidP="00025E5B">
      <w:pPr>
        <w:spacing w:after="120"/>
        <w:ind w:left="1134" w:right="1134"/>
        <w:jc w:val="both"/>
      </w:pPr>
      <w:r w:rsidRPr="006F2526">
        <w:tab/>
        <w:t>(e)</w:t>
      </w:r>
      <w:r w:rsidRPr="006F2526">
        <w:tab/>
        <w:t>Safety reviews cannot replace transboundary environmental impact assessments</w:t>
      </w:r>
      <w:r w:rsidR="005E6D51">
        <w:t xml:space="preserve">; </w:t>
      </w:r>
      <w:r w:rsidRPr="006F2526">
        <w:t>the two processes are complementary;</w:t>
      </w:r>
    </w:p>
    <w:p w14:paraId="25E779C2" w14:textId="07779BD7" w:rsidR="00025E5B" w:rsidRPr="006F2526" w:rsidRDefault="00025E5B" w:rsidP="00025E5B">
      <w:pPr>
        <w:spacing w:after="120"/>
        <w:ind w:left="1134" w:right="1134"/>
        <w:jc w:val="both"/>
      </w:pPr>
      <w:r w:rsidRPr="006F2526">
        <w:tab/>
        <w:t>(f)</w:t>
      </w:r>
      <w:r w:rsidRPr="006F2526">
        <w:tab/>
        <w:t xml:space="preserve">The Convention is largely aligned with the European Union </w:t>
      </w:r>
      <w:r w:rsidR="00A46C7D">
        <w:t xml:space="preserve">directives </w:t>
      </w:r>
      <w:r w:rsidR="00772133">
        <w:t>on e</w:t>
      </w:r>
      <w:r w:rsidRPr="006F2526">
        <w:t xml:space="preserve">nvironmental </w:t>
      </w:r>
      <w:r w:rsidR="00772133">
        <w:t>i</w:t>
      </w:r>
      <w:r w:rsidRPr="006F2526">
        <w:t xml:space="preserve">mpact </w:t>
      </w:r>
      <w:r w:rsidR="00772133">
        <w:t>a</w:t>
      </w:r>
      <w:r w:rsidRPr="006F2526">
        <w:t>ssessment,</w:t>
      </w:r>
      <w:r w:rsidR="00772133">
        <w:rPr>
          <w:rStyle w:val="FootnoteReference"/>
        </w:rPr>
        <w:footnoteReference w:id="4"/>
      </w:r>
      <w:r w:rsidRPr="006F2526">
        <w:t xml:space="preserve"> but it is a legally distinct instrument; </w:t>
      </w:r>
    </w:p>
    <w:p w14:paraId="6D3D4A3F" w14:textId="77777777" w:rsidR="00025E5B" w:rsidRPr="006F2526" w:rsidRDefault="00025E5B" w:rsidP="00025E5B">
      <w:pPr>
        <w:spacing w:after="120"/>
        <w:ind w:left="1134" w:right="1134"/>
        <w:jc w:val="both"/>
      </w:pPr>
      <w:r w:rsidRPr="006F2526">
        <w:tab/>
        <w:t>(g)</w:t>
      </w:r>
      <w:r w:rsidRPr="006F2526">
        <w:tab/>
        <w:t>The lifetime extension of nuclear power plants also entails ensuring public participation and transparency, including in a transboundary context;</w:t>
      </w:r>
    </w:p>
    <w:p w14:paraId="231DD1E9" w14:textId="77777777" w:rsidR="00025E5B" w:rsidRPr="006F2526" w:rsidRDefault="00025E5B" w:rsidP="00025E5B">
      <w:pPr>
        <w:spacing w:after="120"/>
        <w:ind w:left="1134" w:right="1134"/>
        <w:jc w:val="both"/>
      </w:pPr>
      <w:r w:rsidRPr="006F2526">
        <w:tab/>
        <w:t>(h)</w:t>
      </w:r>
      <w:r w:rsidRPr="006F2526">
        <w:tab/>
        <w:t>Consideration should be given to the impact of multiple short-term extensions;</w:t>
      </w:r>
    </w:p>
    <w:p w14:paraId="446FDF1C" w14:textId="03C76547" w:rsidR="00025E5B" w:rsidRPr="006F2526" w:rsidRDefault="00025E5B" w:rsidP="00025E5B">
      <w:pPr>
        <w:spacing w:after="120"/>
        <w:ind w:left="1134" w:right="1134"/>
        <w:jc w:val="both"/>
      </w:pPr>
      <w:r w:rsidRPr="006F2526">
        <w:tab/>
        <w:t>(i)</w:t>
      </w:r>
      <w:r w:rsidRPr="006F2526">
        <w:tab/>
        <w:t>Not all safety upgrades lead to environmental benefits; they can also have adverse impacts on the environment</w:t>
      </w:r>
      <w:r w:rsidR="00360E06">
        <w:t>;</w:t>
      </w:r>
    </w:p>
    <w:p w14:paraId="703E3853" w14:textId="75DEEA17" w:rsidR="00DA1DB7" w:rsidRPr="006F2526" w:rsidRDefault="00DA1DB7" w:rsidP="00DA1DB7">
      <w:pPr>
        <w:spacing w:after="120"/>
        <w:ind w:left="1134" w:right="1134"/>
        <w:jc w:val="both"/>
      </w:pPr>
      <w:r w:rsidRPr="006F2526">
        <w:tab/>
      </w:r>
      <w:r w:rsidR="00025E5B" w:rsidRPr="006F2526">
        <w:t>3</w:t>
      </w:r>
      <w:r w:rsidRPr="006F2526">
        <w:t>.</w:t>
      </w:r>
      <w:r w:rsidRPr="006F2526">
        <w:tab/>
      </w:r>
      <w:r w:rsidRPr="006F2526">
        <w:rPr>
          <w:i/>
        </w:rPr>
        <w:t>Welcomes</w:t>
      </w:r>
      <w:r w:rsidRPr="006F2526" w:rsidDel="009F6F0B">
        <w:t xml:space="preserve"> </w:t>
      </w:r>
      <w:r w:rsidRPr="006F2526">
        <w:t xml:space="preserve">the active participation and practical experience presented at the workshop by countries and international and non-governmental organizations within the ECE region </w:t>
      </w:r>
      <w:r w:rsidR="00A90A0A">
        <w:t xml:space="preserve">and </w:t>
      </w:r>
      <w:r w:rsidRPr="006F2526">
        <w:t>the written input they provided before and after the workshop;</w:t>
      </w:r>
    </w:p>
    <w:p w14:paraId="1E03C06A" w14:textId="16435F87" w:rsidR="00DA1DB7" w:rsidRPr="006F2526" w:rsidRDefault="00DA1DB7" w:rsidP="00DA1DB7">
      <w:pPr>
        <w:spacing w:after="120"/>
        <w:ind w:left="1134" w:right="1134"/>
        <w:jc w:val="both"/>
      </w:pPr>
      <w:r w:rsidRPr="006F2526">
        <w:tab/>
      </w:r>
      <w:r w:rsidR="00025E5B" w:rsidRPr="006F2526">
        <w:t>4</w:t>
      </w:r>
      <w:r w:rsidRPr="006F2526">
        <w:t>.</w:t>
      </w:r>
      <w:r w:rsidRPr="006F2526">
        <w:rPr>
          <w:i/>
        </w:rPr>
        <w:tab/>
        <w:t xml:space="preserve">Recognizes </w:t>
      </w:r>
      <w:r w:rsidRPr="006F2526">
        <w:t xml:space="preserve">the urgent need for guidance to assist countries in the practical application of the Convention with respect to </w:t>
      </w:r>
      <w:r w:rsidR="0036347C" w:rsidRPr="006F2526">
        <w:t xml:space="preserve">the </w:t>
      </w:r>
      <w:r w:rsidRPr="006F2526">
        <w:t>lifetime extension of nuclear power plants and to guide the Implementation Committee in its assessment of the related compliance cases;</w:t>
      </w:r>
    </w:p>
    <w:p w14:paraId="68B35C66" w14:textId="70142253" w:rsidR="00717EFA" w:rsidRPr="006F2526" w:rsidRDefault="00DA1DB7" w:rsidP="00A90A0A">
      <w:pPr>
        <w:spacing w:after="120"/>
        <w:ind w:left="1134" w:right="1134"/>
        <w:jc w:val="both"/>
      </w:pPr>
      <w:r w:rsidRPr="006F2526">
        <w:tab/>
      </w:r>
      <w:r w:rsidR="00025E5B" w:rsidRPr="006F2526">
        <w:t>5</w:t>
      </w:r>
      <w:r w:rsidRPr="006F2526">
        <w:t>.</w:t>
      </w:r>
      <w:r w:rsidRPr="006F2526">
        <w:tab/>
      </w:r>
      <w:r w:rsidR="00717EFA" w:rsidRPr="007E63EF">
        <w:rPr>
          <w:i/>
          <w:iCs/>
        </w:rPr>
        <w:t>Welcomes</w:t>
      </w:r>
      <w:r w:rsidR="00717EFA" w:rsidRPr="006F2526">
        <w:t xml:space="preserve"> the work carried out by the ad hoc working group with a view to developing the draft guidance and acknowledges the progress report prepared by the group contained in document ECE/MP.EIA/2019/10;</w:t>
      </w:r>
    </w:p>
    <w:p w14:paraId="10F96A84" w14:textId="6AA1DC65" w:rsidR="00DA1DB7" w:rsidRPr="006F2526" w:rsidRDefault="00C9236F" w:rsidP="00DA1DB7">
      <w:pPr>
        <w:spacing w:after="120"/>
        <w:ind w:left="1134" w:right="1134"/>
        <w:jc w:val="both"/>
      </w:pPr>
      <w:r w:rsidRPr="006F2526">
        <w:rPr>
          <w:i/>
          <w:iCs/>
        </w:rPr>
        <w:lastRenderedPageBreak/>
        <w:tab/>
      </w:r>
      <w:r w:rsidRPr="006F2526">
        <w:t>6.</w:t>
      </w:r>
      <w:r w:rsidRPr="006F2526">
        <w:tab/>
      </w:r>
      <w:r w:rsidR="00DA1DB7" w:rsidRPr="006F2526">
        <w:rPr>
          <w:i/>
          <w:iCs/>
        </w:rPr>
        <w:t xml:space="preserve">Decides </w:t>
      </w:r>
      <w:r w:rsidR="00DA1DB7" w:rsidRPr="006F2526">
        <w:t xml:space="preserve">to include in the workplan for 2017–2020 the </w:t>
      </w:r>
      <w:r w:rsidR="00A90A0A">
        <w:t xml:space="preserve">preparation </w:t>
      </w:r>
      <w:r w:rsidR="00DA1DB7" w:rsidRPr="006F2526">
        <w:t>of guidance on the applicability of the Convention to the lifetime extension of nuclear power plants;</w:t>
      </w:r>
    </w:p>
    <w:p w14:paraId="4B7812C8" w14:textId="092E5596" w:rsidR="00DA1DB7" w:rsidRPr="006F2526" w:rsidRDefault="00DA1DB7" w:rsidP="00DA1DB7">
      <w:pPr>
        <w:spacing w:after="120"/>
        <w:ind w:left="1134" w:right="1134"/>
        <w:jc w:val="both"/>
      </w:pPr>
      <w:r w:rsidRPr="006F2526">
        <w:tab/>
        <w:t>7.</w:t>
      </w:r>
      <w:r w:rsidRPr="006F2526">
        <w:tab/>
      </w:r>
      <w:r w:rsidRPr="006F2526">
        <w:rPr>
          <w:i/>
        </w:rPr>
        <w:t xml:space="preserve">Agrees </w:t>
      </w:r>
      <w:r w:rsidRPr="006F2526">
        <w:t xml:space="preserve">that the </w:t>
      </w:r>
      <w:r w:rsidR="00C9236F" w:rsidRPr="006F2526">
        <w:t xml:space="preserve">guidance </w:t>
      </w:r>
      <w:r w:rsidRPr="006F2526">
        <w:t xml:space="preserve">should </w:t>
      </w:r>
      <w:r w:rsidR="00C9236F" w:rsidRPr="006F2526">
        <w:t>be developed in line with the adopted</w:t>
      </w:r>
      <w:r w:rsidRPr="006F2526">
        <w:t xml:space="preserve"> terms of reference</w:t>
      </w:r>
      <w:r w:rsidR="00A90A0A">
        <w:t xml:space="preserve"> and</w:t>
      </w:r>
      <w:r w:rsidRPr="006F2526">
        <w:t xml:space="preserve"> </w:t>
      </w:r>
      <w:r w:rsidR="00C9236F" w:rsidRPr="006F2526">
        <w:t>the work of the ad hoc working group since May 2018</w:t>
      </w:r>
      <w:r w:rsidR="00A90A0A">
        <w:t>,</w:t>
      </w:r>
      <w:r w:rsidR="00C9236F" w:rsidRPr="006F2526">
        <w:t xml:space="preserve"> as reported in its progress report</w:t>
      </w:r>
      <w:r w:rsidRPr="006F2526">
        <w:t xml:space="preserve">, </w:t>
      </w:r>
      <w:r w:rsidR="00A90A0A">
        <w:t xml:space="preserve">also </w:t>
      </w:r>
      <w:r w:rsidRPr="006F2526">
        <w:t>tak</w:t>
      </w:r>
      <w:r w:rsidR="00C9236F" w:rsidRPr="006F2526">
        <w:t xml:space="preserve">ing </w:t>
      </w:r>
      <w:r w:rsidRPr="006F2526">
        <w:t xml:space="preserve">into account the outcomes of the workshop on </w:t>
      </w:r>
      <w:r w:rsidR="00A90A0A">
        <w:t xml:space="preserve">the </w:t>
      </w:r>
      <w:r w:rsidRPr="006F2526">
        <w:t>lifetime extension of nuclear power plants;</w:t>
      </w:r>
    </w:p>
    <w:p w14:paraId="587571C6" w14:textId="51961410" w:rsidR="00DA1DB7" w:rsidRPr="006F2526" w:rsidRDefault="00E4678A" w:rsidP="00DA1DB7">
      <w:pPr>
        <w:spacing w:after="120"/>
        <w:ind w:left="1134" w:right="1134" w:firstLine="306"/>
        <w:jc w:val="both"/>
      </w:pPr>
      <w:r w:rsidRPr="006F2526">
        <w:tab/>
      </w:r>
      <w:r w:rsidR="00DA1DB7" w:rsidRPr="006F2526">
        <w:t>8.</w:t>
      </w:r>
      <w:r w:rsidR="00DA1DB7" w:rsidRPr="006F2526">
        <w:rPr>
          <w:i/>
          <w:iCs/>
        </w:rPr>
        <w:tab/>
        <w:t>Decides</w:t>
      </w:r>
      <w:r w:rsidR="00DA1DB7" w:rsidRPr="006F2526">
        <w:t xml:space="preserve"> that the work should </w:t>
      </w:r>
      <w:r w:rsidR="000E7C44" w:rsidRPr="006F2526">
        <w:t xml:space="preserve">continue to </w:t>
      </w:r>
      <w:r w:rsidR="00DA1DB7" w:rsidRPr="006F2526">
        <w:t xml:space="preserve">be carried out by the ad hoc working group established at its seventh session, </w:t>
      </w:r>
      <w:r w:rsidR="003D52B1" w:rsidRPr="006F2526">
        <w:t xml:space="preserve">co-chaired by Germany and the United Kingdom, </w:t>
      </w:r>
      <w:r w:rsidR="00DA1DB7" w:rsidRPr="006F2526">
        <w:t xml:space="preserve">as extended to include further </w:t>
      </w:r>
      <w:r w:rsidR="000E7C44" w:rsidRPr="006F2526">
        <w:t xml:space="preserve">volunteering </w:t>
      </w:r>
      <w:r w:rsidR="00DA1DB7" w:rsidRPr="006F2526">
        <w:t xml:space="preserve">representatives of States Parties, with support from the secretariat, ensuring that the views of civil society and other stakeholders are taken into account in the process; </w:t>
      </w:r>
    </w:p>
    <w:p w14:paraId="2C9AA115" w14:textId="79958441" w:rsidR="00DA1DB7" w:rsidRPr="006F2526" w:rsidRDefault="00DA1DB7" w:rsidP="00DA1DB7">
      <w:pPr>
        <w:spacing w:after="120"/>
        <w:ind w:left="1134" w:right="1134"/>
        <w:jc w:val="both"/>
      </w:pPr>
      <w:r w:rsidRPr="006F2526">
        <w:tab/>
        <w:t>9.</w:t>
      </w:r>
      <w:r w:rsidRPr="006F2526">
        <w:tab/>
      </w:r>
      <w:r w:rsidR="000F059A">
        <w:rPr>
          <w:i/>
        </w:rPr>
        <w:t xml:space="preserve">Also </w:t>
      </w:r>
      <w:r w:rsidRPr="006F2526">
        <w:rPr>
          <w:i/>
        </w:rPr>
        <w:t xml:space="preserve">decides </w:t>
      </w:r>
      <w:r w:rsidRPr="006F2526">
        <w:t>that the guidance should be finalized for consideration by the Working Group in mid-2020</w:t>
      </w:r>
      <w:r w:rsidR="003D52B1" w:rsidRPr="006F2526">
        <w:t>,</w:t>
      </w:r>
      <w:r w:rsidRPr="006F2526">
        <w:t xml:space="preserve"> before its submission to the Meeting of the Parties to the Convention </w:t>
      </w:r>
      <w:r w:rsidR="00A90A0A">
        <w:t xml:space="preserve">for adoption </w:t>
      </w:r>
      <w:r w:rsidRPr="006F2526">
        <w:t>at its eighth session in late 2020;</w:t>
      </w:r>
    </w:p>
    <w:p w14:paraId="5B59C80B" w14:textId="52059AB7" w:rsidR="0036347C" w:rsidRPr="006F2526" w:rsidRDefault="00DA1DB7" w:rsidP="00AF2476">
      <w:pPr>
        <w:pStyle w:val="SingleTxtG"/>
      </w:pPr>
      <w:r w:rsidRPr="006F2526">
        <w:tab/>
        <w:t>10.</w:t>
      </w:r>
      <w:r w:rsidRPr="006F2526">
        <w:tab/>
      </w:r>
      <w:r w:rsidRPr="006F2526">
        <w:rPr>
          <w:i/>
          <w:iCs/>
        </w:rPr>
        <w:t>Invites</w:t>
      </w:r>
      <w:r w:rsidRPr="006F2526">
        <w:t xml:space="preserve"> the Implementation Committee to continue gathering information on pending cases </w:t>
      </w:r>
      <w:r w:rsidR="00401B04" w:rsidRPr="006F2526">
        <w:t xml:space="preserve">regarding the </w:t>
      </w:r>
      <w:r w:rsidRPr="006F2526">
        <w:t xml:space="preserve">lifetime extension </w:t>
      </w:r>
      <w:r w:rsidR="00E922D5" w:rsidRPr="006F2526">
        <w:t xml:space="preserve">of nuclear power plants </w:t>
      </w:r>
      <w:r w:rsidRPr="006F2526">
        <w:t xml:space="preserve">and to continue </w:t>
      </w:r>
      <w:r w:rsidR="000E7C44" w:rsidRPr="006F2526">
        <w:t>providing inputs</w:t>
      </w:r>
      <w:r w:rsidRPr="006F2526">
        <w:t xml:space="preserve"> to the work of the ad hoc group for the development of the guidance.</w:t>
      </w:r>
    </w:p>
    <w:p w14:paraId="1A113BAB" w14:textId="6953E9DB" w:rsidR="00DA1DB7" w:rsidRPr="006F2526" w:rsidRDefault="00335682" w:rsidP="00AF2476">
      <w:pPr>
        <w:spacing w:before="240"/>
        <w:ind w:left="1134" w:right="1134"/>
        <w:jc w:val="center"/>
        <w:rPr>
          <w:u w:val="single"/>
        </w:rPr>
      </w:pPr>
      <w:r w:rsidRPr="006F2526">
        <w:rPr>
          <w:u w:val="single"/>
        </w:rPr>
        <w:tab/>
      </w:r>
      <w:r w:rsidRPr="006F2526">
        <w:rPr>
          <w:u w:val="single"/>
        </w:rPr>
        <w:tab/>
      </w:r>
      <w:r w:rsidRPr="006F2526">
        <w:rPr>
          <w:u w:val="single"/>
        </w:rPr>
        <w:tab/>
      </w:r>
    </w:p>
    <w:p w14:paraId="222AD82E" w14:textId="4821DD76" w:rsidR="00F507EC" w:rsidRPr="006F2526" w:rsidRDefault="00F507EC" w:rsidP="00335682">
      <w:pPr>
        <w:spacing w:after="120"/>
        <w:ind w:left="1134" w:right="1134"/>
        <w:jc w:val="center"/>
      </w:pPr>
    </w:p>
    <w:sectPr w:rsidR="00F507EC" w:rsidRPr="006F2526" w:rsidSect="00DA1DB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415D4" w14:textId="77777777" w:rsidR="00957C09" w:rsidRDefault="00957C09"/>
  </w:endnote>
  <w:endnote w:type="continuationSeparator" w:id="0">
    <w:p w14:paraId="3C98F23E" w14:textId="77777777" w:rsidR="00957C09" w:rsidRDefault="00957C09"/>
  </w:endnote>
  <w:endnote w:type="continuationNotice" w:id="1">
    <w:p w14:paraId="4A3AA091" w14:textId="77777777" w:rsidR="00957C09" w:rsidRDefault="00957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03893" w14:textId="7EFB15E5" w:rsidR="00930760" w:rsidRPr="00DA1DB7" w:rsidRDefault="00930760" w:rsidP="00DA1DB7">
    <w:pPr>
      <w:pStyle w:val="Footer"/>
      <w:tabs>
        <w:tab w:val="right" w:pos="9638"/>
      </w:tabs>
      <w:rPr>
        <w:sz w:val="18"/>
      </w:rPr>
    </w:pPr>
    <w:r w:rsidRPr="00DA1DB7">
      <w:rPr>
        <w:b/>
        <w:sz w:val="18"/>
      </w:rPr>
      <w:fldChar w:fldCharType="begin"/>
    </w:r>
    <w:r w:rsidRPr="00DA1DB7">
      <w:rPr>
        <w:b/>
        <w:sz w:val="18"/>
      </w:rPr>
      <w:instrText xml:space="preserve"> PAGE  \* MERGEFORMAT </w:instrText>
    </w:r>
    <w:r w:rsidRPr="00DA1DB7">
      <w:rPr>
        <w:b/>
        <w:sz w:val="18"/>
      </w:rPr>
      <w:fldChar w:fldCharType="separate"/>
    </w:r>
    <w:r w:rsidR="00E72101">
      <w:rPr>
        <w:b/>
        <w:noProof/>
        <w:sz w:val="18"/>
      </w:rPr>
      <w:t>2</w:t>
    </w:r>
    <w:r w:rsidRPr="00DA1DB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0D42" w14:textId="66C3A868" w:rsidR="00930760" w:rsidRPr="00DA1DB7" w:rsidRDefault="00930760" w:rsidP="00DA1DB7">
    <w:pPr>
      <w:pStyle w:val="Footer"/>
      <w:tabs>
        <w:tab w:val="right" w:pos="9638"/>
      </w:tabs>
      <w:rPr>
        <w:b/>
        <w:sz w:val="18"/>
      </w:rPr>
    </w:pPr>
    <w:r>
      <w:tab/>
    </w:r>
    <w:r w:rsidRPr="00DA1DB7">
      <w:rPr>
        <w:b/>
        <w:sz w:val="18"/>
      </w:rPr>
      <w:fldChar w:fldCharType="begin"/>
    </w:r>
    <w:r w:rsidRPr="00DA1DB7">
      <w:rPr>
        <w:b/>
        <w:sz w:val="18"/>
      </w:rPr>
      <w:instrText xml:space="preserve"> PAGE  \* MERGEFORMAT </w:instrText>
    </w:r>
    <w:r w:rsidRPr="00DA1DB7">
      <w:rPr>
        <w:b/>
        <w:sz w:val="18"/>
      </w:rPr>
      <w:fldChar w:fldCharType="separate"/>
    </w:r>
    <w:r w:rsidR="00E72101">
      <w:rPr>
        <w:b/>
        <w:noProof/>
        <w:sz w:val="18"/>
      </w:rPr>
      <w:t>3</w:t>
    </w:r>
    <w:r w:rsidRPr="00DA1D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65F97" w14:textId="7113CADA" w:rsidR="00E72101" w:rsidRDefault="00E72101" w:rsidP="00E72101">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5262E4FD" wp14:editId="6D1E40FE">
          <wp:simplePos x="0" y="0"/>
          <wp:positionH relativeFrom="margin">
            <wp:posOffset>5478780</wp:posOffset>
          </wp:positionH>
          <wp:positionV relativeFrom="margin">
            <wp:posOffset>7926098</wp:posOffset>
          </wp:positionV>
          <wp:extent cx="638175" cy="638175"/>
          <wp:effectExtent l="0" t="0" r="9525" b="9525"/>
          <wp:wrapNone/>
          <wp:docPr id="2" name="Picture 1" descr="https://undocs.org/m2/QRCode.ashx?DS=ECE/MP.EIA/2019/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019/1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328841BD" wp14:editId="3CB04B88">
          <wp:simplePos x="0" y="0"/>
          <wp:positionH relativeFrom="margin">
            <wp:posOffset>4320540</wp:posOffset>
          </wp:positionH>
          <wp:positionV relativeFrom="margin">
            <wp:posOffset>8276590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41202BD" w14:textId="2BB5D652" w:rsidR="00E72101" w:rsidRDefault="00E72101" w:rsidP="00E72101">
    <w:pPr>
      <w:pStyle w:val="Footer"/>
      <w:ind w:right="1134"/>
      <w:rPr>
        <w:sz w:val="20"/>
      </w:rPr>
    </w:pPr>
    <w:r>
      <w:rPr>
        <w:sz w:val="20"/>
      </w:rPr>
      <w:t>GE.18-19197(E)</w:t>
    </w:r>
  </w:p>
  <w:p w14:paraId="36F67966" w14:textId="50D7A7F5" w:rsidR="00E72101" w:rsidRPr="00E72101" w:rsidRDefault="00E72101" w:rsidP="00E7210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1C03D" w14:textId="77777777" w:rsidR="00957C09" w:rsidRPr="000B175B" w:rsidRDefault="00957C09" w:rsidP="000B175B">
      <w:pPr>
        <w:tabs>
          <w:tab w:val="right" w:pos="2155"/>
        </w:tabs>
        <w:spacing w:after="80"/>
        <w:ind w:left="680"/>
        <w:rPr>
          <w:u w:val="single"/>
        </w:rPr>
      </w:pPr>
      <w:r>
        <w:rPr>
          <w:u w:val="single"/>
        </w:rPr>
        <w:tab/>
      </w:r>
    </w:p>
  </w:footnote>
  <w:footnote w:type="continuationSeparator" w:id="0">
    <w:p w14:paraId="3BF0773A" w14:textId="77777777" w:rsidR="00957C09" w:rsidRPr="00FC68B7" w:rsidRDefault="00957C09" w:rsidP="00FC68B7">
      <w:pPr>
        <w:tabs>
          <w:tab w:val="left" w:pos="2155"/>
        </w:tabs>
        <w:spacing w:after="80"/>
        <w:ind w:left="680"/>
        <w:rPr>
          <w:u w:val="single"/>
        </w:rPr>
      </w:pPr>
      <w:r>
        <w:rPr>
          <w:u w:val="single"/>
        </w:rPr>
        <w:tab/>
      </w:r>
    </w:p>
  </w:footnote>
  <w:footnote w:type="continuationNotice" w:id="1">
    <w:p w14:paraId="064C8021" w14:textId="77777777" w:rsidR="00957C09" w:rsidRDefault="00957C09"/>
  </w:footnote>
  <w:footnote w:id="2">
    <w:p w14:paraId="3D4A2477" w14:textId="4E022908" w:rsidR="00872C0B" w:rsidRDefault="00872C0B" w:rsidP="00AC10BF">
      <w:pPr>
        <w:pStyle w:val="FootnoteText"/>
        <w:widowControl w:val="0"/>
      </w:pPr>
      <w:r>
        <w:tab/>
      </w:r>
      <w:r>
        <w:rPr>
          <w:rStyle w:val="FootnoteReference"/>
        </w:rPr>
        <w:footnoteRef/>
      </w:r>
      <w:r>
        <w:tab/>
        <w:t>C</w:t>
      </w:r>
      <w:r w:rsidRPr="008C6264">
        <w:t xml:space="preserve">omposed of representatives from Armenia, Austria, Belarus, </w:t>
      </w:r>
      <w:r w:rsidR="00901E70">
        <w:t xml:space="preserve">Belgium, </w:t>
      </w:r>
      <w:r w:rsidRPr="008C6264">
        <w:t xml:space="preserve">Bulgaria, </w:t>
      </w:r>
      <w:r w:rsidR="00901E70">
        <w:t xml:space="preserve">Canada, </w:t>
      </w:r>
      <w:r w:rsidRPr="008C6264">
        <w:t xml:space="preserve">Czechia, Finland, France, </w:t>
      </w:r>
      <w:r w:rsidR="00901E70">
        <w:t xml:space="preserve">Germany, </w:t>
      </w:r>
      <w:r w:rsidRPr="008C6264">
        <w:t xml:space="preserve">Greece, Italy, Lithuania, Luxembourg, </w:t>
      </w:r>
      <w:r w:rsidR="00903006">
        <w:t xml:space="preserve">the </w:t>
      </w:r>
      <w:r w:rsidRPr="008C6264">
        <w:t>Netherlands, Norway, Poland, Portugal, Romania, Slovakia, Slovenia, Spain</w:t>
      </w:r>
      <w:r w:rsidR="00901E70">
        <w:t>,</w:t>
      </w:r>
      <w:r w:rsidRPr="008C6264">
        <w:t xml:space="preserve"> </w:t>
      </w:r>
      <w:r w:rsidR="00903006">
        <w:t xml:space="preserve">the </w:t>
      </w:r>
      <w:r w:rsidR="00901E70" w:rsidRPr="00901E70">
        <w:t xml:space="preserve">United Kingdom of Great Britain and Northern Ireland </w:t>
      </w:r>
      <w:r w:rsidRPr="008C6264">
        <w:t>and Ukraine</w:t>
      </w:r>
      <w:r>
        <w:t xml:space="preserve">. </w:t>
      </w:r>
    </w:p>
  </w:footnote>
  <w:footnote w:id="3">
    <w:p w14:paraId="5E6D021A" w14:textId="77777777" w:rsidR="00930760" w:rsidRDefault="00930760" w:rsidP="00581202">
      <w:pPr>
        <w:pStyle w:val="FootnoteText"/>
      </w:pPr>
      <w:r>
        <w:tab/>
      </w:r>
      <w:r>
        <w:rPr>
          <w:rStyle w:val="FootnoteReference"/>
        </w:rPr>
        <w:footnoteRef/>
      </w:r>
      <w:r>
        <w:tab/>
      </w:r>
      <w:r w:rsidRPr="00AE73E5">
        <w:t>ECE/MP.EIA/23/Add.1</w:t>
      </w:r>
      <w:r>
        <w:t>-</w:t>
      </w:r>
      <w:r w:rsidRPr="00AE73E5">
        <w:t xml:space="preserve">ECE/MP.EIA/SEA/7/Add.1, decision VII/3–III/3, </w:t>
      </w:r>
      <w:r>
        <w:t>annex I.</w:t>
      </w:r>
    </w:p>
  </w:footnote>
  <w:footnote w:id="4">
    <w:p w14:paraId="6C44682D" w14:textId="1EAC9A79" w:rsidR="00772133" w:rsidRPr="007E63EF" w:rsidRDefault="00772133">
      <w:pPr>
        <w:pStyle w:val="FootnoteText"/>
        <w:rPr>
          <w:lang w:val="en-US"/>
        </w:rPr>
      </w:pPr>
      <w:r>
        <w:tab/>
      </w:r>
      <w:r>
        <w:rPr>
          <w:rStyle w:val="FootnoteReference"/>
        </w:rPr>
        <w:footnoteRef/>
      </w:r>
      <w:r>
        <w:tab/>
      </w:r>
      <w:r w:rsidR="00DC251E">
        <w:t>Directive 2011/92/EU of the European Parliament and of the Council of 13 December 2011 on the assessment of the effects of certain public and private projects on the environment, as amended by Directive 2014/52/EU of the European Parliament and of the Council of 16 April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4B29" w14:textId="35FC4FD7" w:rsidR="00930760" w:rsidRPr="00DA1DB7" w:rsidRDefault="00930760">
    <w:pPr>
      <w:pStyle w:val="Header"/>
    </w:pPr>
    <w:r>
      <w:t>ECE/MP.EIA/201</w:t>
    </w:r>
    <w:r w:rsidR="00A1530A">
      <w:t>9</w:t>
    </w:r>
    <w:r>
      <w:t>/</w:t>
    </w:r>
    <w:r w:rsidR="00A1530A">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0719" w14:textId="016CC55E" w:rsidR="00930760" w:rsidRPr="00DA1DB7" w:rsidRDefault="00930760" w:rsidP="00DA1DB7">
    <w:pPr>
      <w:pStyle w:val="Header"/>
      <w:jc w:val="right"/>
    </w:pPr>
    <w:r>
      <w:t>ECE/MP.EIA/201</w:t>
    </w:r>
    <w:r w:rsidR="00A1530A">
      <w:t>9</w:t>
    </w:r>
    <w:r>
      <w:t>/</w:t>
    </w:r>
    <w:r w:rsidR="00A1530A">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A25BC" w14:textId="01C40469" w:rsidR="00A1530A" w:rsidRDefault="00A1530A" w:rsidP="006F2526">
    <w:pPr>
      <w:pStyle w:val="Header"/>
      <w:tabs>
        <w:tab w:val="left" w:pos="851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75A10BB"/>
    <w:multiLevelType w:val="multilevel"/>
    <w:tmpl w:val="F08A9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B7"/>
    <w:rsid w:val="00002A7D"/>
    <w:rsid w:val="000038A8"/>
    <w:rsid w:val="00006790"/>
    <w:rsid w:val="00020049"/>
    <w:rsid w:val="00025E5B"/>
    <w:rsid w:val="00027248"/>
    <w:rsid w:val="00027624"/>
    <w:rsid w:val="00050F6B"/>
    <w:rsid w:val="000678CD"/>
    <w:rsid w:val="00072C8C"/>
    <w:rsid w:val="00081CE0"/>
    <w:rsid w:val="00084D30"/>
    <w:rsid w:val="00090320"/>
    <w:rsid w:val="000931C0"/>
    <w:rsid w:val="000A2E09"/>
    <w:rsid w:val="000A5E85"/>
    <w:rsid w:val="000B175B"/>
    <w:rsid w:val="000B3A0F"/>
    <w:rsid w:val="000D5C81"/>
    <w:rsid w:val="000E0415"/>
    <w:rsid w:val="000E7C44"/>
    <w:rsid w:val="000F059A"/>
    <w:rsid w:val="000F7715"/>
    <w:rsid w:val="00121A3C"/>
    <w:rsid w:val="00141CEE"/>
    <w:rsid w:val="00156B99"/>
    <w:rsid w:val="00157094"/>
    <w:rsid w:val="00166124"/>
    <w:rsid w:val="00184DDA"/>
    <w:rsid w:val="0018673C"/>
    <w:rsid w:val="001900CD"/>
    <w:rsid w:val="001A0452"/>
    <w:rsid w:val="001A0D26"/>
    <w:rsid w:val="001A4567"/>
    <w:rsid w:val="001B4205"/>
    <w:rsid w:val="001B4B04"/>
    <w:rsid w:val="001B5875"/>
    <w:rsid w:val="001C4B9C"/>
    <w:rsid w:val="001C6663"/>
    <w:rsid w:val="001C7895"/>
    <w:rsid w:val="001D26DF"/>
    <w:rsid w:val="001E44C3"/>
    <w:rsid w:val="001F1599"/>
    <w:rsid w:val="001F19C4"/>
    <w:rsid w:val="002043F0"/>
    <w:rsid w:val="00211E0B"/>
    <w:rsid w:val="00232575"/>
    <w:rsid w:val="00247258"/>
    <w:rsid w:val="00257CAC"/>
    <w:rsid w:val="0027237A"/>
    <w:rsid w:val="00290B94"/>
    <w:rsid w:val="002974E9"/>
    <w:rsid w:val="002A7F94"/>
    <w:rsid w:val="002B109A"/>
    <w:rsid w:val="002C6D45"/>
    <w:rsid w:val="002D49EA"/>
    <w:rsid w:val="002D6E53"/>
    <w:rsid w:val="002D797C"/>
    <w:rsid w:val="002F046D"/>
    <w:rsid w:val="00301764"/>
    <w:rsid w:val="0031312A"/>
    <w:rsid w:val="003229D8"/>
    <w:rsid w:val="00334159"/>
    <w:rsid w:val="00335682"/>
    <w:rsid w:val="00336C97"/>
    <w:rsid w:val="00337F88"/>
    <w:rsid w:val="00342432"/>
    <w:rsid w:val="003474B5"/>
    <w:rsid w:val="0035223F"/>
    <w:rsid w:val="00352D4B"/>
    <w:rsid w:val="00353AAC"/>
    <w:rsid w:val="0035638C"/>
    <w:rsid w:val="00360E06"/>
    <w:rsid w:val="0036347C"/>
    <w:rsid w:val="003672C4"/>
    <w:rsid w:val="00374592"/>
    <w:rsid w:val="003948D3"/>
    <w:rsid w:val="003A46BB"/>
    <w:rsid w:val="003A4EC7"/>
    <w:rsid w:val="003A7295"/>
    <w:rsid w:val="003B1F60"/>
    <w:rsid w:val="003C2CC4"/>
    <w:rsid w:val="003D4B23"/>
    <w:rsid w:val="003D52B1"/>
    <w:rsid w:val="003E278A"/>
    <w:rsid w:val="003F7A0A"/>
    <w:rsid w:val="00401B04"/>
    <w:rsid w:val="00413520"/>
    <w:rsid w:val="004325CB"/>
    <w:rsid w:val="00440A07"/>
    <w:rsid w:val="0046144B"/>
    <w:rsid w:val="00462880"/>
    <w:rsid w:val="00476ABF"/>
    <w:rsid w:val="00476F24"/>
    <w:rsid w:val="004B149D"/>
    <w:rsid w:val="004B3F8E"/>
    <w:rsid w:val="004C55B0"/>
    <w:rsid w:val="004F6BA0"/>
    <w:rsid w:val="00503BEA"/>
    <w:rsid w:val="00511975"/>
    <w:rsid w:val="00533616"/>
    <w:rsid w:val="00535ABA"/>
    <w:rsid w:val="0053768B"/>
    <w:rsid w:val="005415A8"/>
    <w:rsid w:val="005420F2"/>
    <w:rsid w:val="0054285C"/>
    <w:rsid w:val="00581202"/>
    <w:rsid w:val="00584173"/>
    <w:rsid w:val="005916AB"/>
    <w:rsid w:val="00595520"/>
    <w:rsid w:val="005A44B9"/>
    <w:rsid w:val="005B1BA0"/>
    <w:rsid w:val="005B3DB3"/>
    <w:rsid w:val="005D15CA"/>
    <w:rsid w:val="005D6212"/>
    <w:rsid w:val="005E1ADE"/>
    <w:rsid w:val="005E3A50"/>
    <w:rsid w:val="005E4187"/>
    <w:rsid w:val="005E6D51"/>
    <w:rsid w:val="005F3066"/>
    <w:rsid w:val="005F3E61"/>
    <w:rsid w:val="00604DDD"/>
    <w:rsid w:val="006115CC"/>
    <w:rsid w:val="00611FC4"/>
    <w:rsid w:val="00612C5A"/>
    <w:rsid w:val="006176FB"/>
    <w:rsid w:val="00623965"/>
    <w:rsid w:val="00623A65"/>
    <w:rsid w:val="00630FCB"/>
    <w:rsid w:val="00640B26"/>
    <w:rsid w:val="006770B2"/>
    <w:rsid w:val="006940E1"/>
    <w:rsid w:val="00694875"/>
    <w:rsid w:val="006A3813"/>
    <w:rsid w:val="006A3C72"/>
    <w:rsid w:val="006A7392"/>
    <w:rsid w:val="006B03A1"/>
    <w:rsid w:val="006B67D9"/>
    <w:rsid w:val="006C5535"/>
    <w:rsid w:val="006D0589"/>
    <w:rsid w:val="006E564B"/>
    <w:rsid w:val="006E6AAD"/>
    <w:rsid w:val="006E7154"/>
    <w:rsid w:val="006F2526"/>
    <w:rsid w:val="007003CD"/>
    <w:rsid w:val="0070701E"/>
    <w:rsid w:val="00707E05"/>
    <w:rsid w:val="00717BFA"/>
    <w:rsid w:val="00717EFA"/>
    <w:rsid w:val="0072632A"/>
    <w:rsid w:val="007358E8"/>
    <w:rsid w:val="00736ECE"/>
    <w:rsid w:val="0074533B"/>
    <w:rsid w:val="00751951"/>
    <w:rsid w:val="007643BC"/>
    <w:rsid w:val="00772133"/>
    <w:rsid w:val="007808D6"/>
    <w:rsid w:val="007835DD"/>
    <w:rsid w:val="007959FE"/>
    <w:rsid w:val="007A0CF1"/>
    <w:rsid w:val="007B6BA5"/>
    <w:rsid w:val="007C3390"/>
    <w:rsid w:val="007C42D8"/>
    <w:rsid w:val="007C4F4B"/>
    <w:rsid w:val="007C50BD"/>
    <w:rsid w:val="007C5ADB"/>
    <w:rsid w:val="007D290E"/>
    <w:rsid w:val="007D58F4"/>
    <w:rsid w:val="007D7362"/>
    <w:rsid w:val="007E63EF"/>
    <w:rsid w:val="007E768F"/>
    <w:rsid w:val="007F585B"/>
    <w:rsid w:val="007F5CE2"/>
    <w:rsid w:val="007F6611"/>
    <w:rsid w:val="00807530"/>
    <w:rsid w:val="00810BAC"/>
    <w:rsid w:val="00811F6B"/>
    <w:rsid w:val="008175E9"/>
    <w:rsid w:val="008242D7"/>
    <w:rsid w:val="0082577B"/>
    <w:rsid w:val="008605F4"/>
    <w:rsid w:val="00866893"/>
    <w:rsid w:val="00866F02"/>
    <w:rsid w:val="00867D18"/>
    <w:rsid w:val="00871F9A"/>
    <w:rsid w:val="00871FD5"/>
    <w:rsid w:val="00872C0B"/>
    <w:rsid w:val="0088172E"/>
    <w:rsid w:val="00881EFA"/>
    <w:rsid w:val="008879CB"/>
    <w:rsid w:val="008979B1"/>
    <w:rsid w:val="008A4CAB"/>
    <w:rsid w:val="008A6B25"/>
    <w:rsid w:val="008A6C4F"/>
    <w:rsid w:val="008B389E"/>
    <w:rsid w:val="008B5C8B"/>
    <w:rsid w:val="008B75F2"/>
    <w:rsid w:val="008C6264"/>
    <w:rsid w:val="008C771E"/>
    <w:rsid w:val="008D045E"/>
    <w:rsid w:val="008D3F25"/>
    <w:rsid w:val="008D4D82"/>
    <w:rsid w:val="008E0E46"/>
    <w:rsid w:val="008E6D1E"/>
    <w:rsid w:val="008E7116"/>
    <w:rsid w:val="008F143B"/>
    <w:rsid w:val="008F3882"/>
    <w:rsid w:val="008F3C8B"/>
    <w:rsid w:val="008F4B7C"/>
    <w:rsid w:val="00901E70"/>
    <w:rsid w:val="00903006"/>
    <w:rsid w:val="0091170D"/>
    <w:rsid w:val="009164AB"/>
    <w:rsid w:val="00926E47"/>
    <w:rsid w:val="00930760"/>
    <w:rsid w:val="00947162"/>
    <w:rsid w:val="00957C09"/>
    <w:rsid w:val="009610D0"/>
    <w:rsid w:val="0096375C"/>
    <w:rsid w:val="009662E6"/>
    <w:rsid w:val="0097095E"/>
    <w:rsid w:val="0098592B"/>
    <w:rsid w:val="00985FC4"/>
    <w:rsid w:val="00990766"/>
    <w:rsid w:val="00991261"/>
    <w:rsid w:val="009964C4"/>
    <w:rsid w:val="009A7B81"/>
    <w:rsid w:val="009B7B2B"/>
    <w:rsid w:val="009D01C0"/>
    <w:rsid w:val="009D34D4"/>
    <w:rsid w:val="009D6A08"/>
    <w:rsid w:val="009D7014"/>
    <w:rsid w:val="009E0A16"/>
    <w:rsid w:val="009E6CB7"/>
    <w:rsid w:val="009E7970"/>
    <w:rsid w:val="009F2EAC"/>
    <w:rsid w:val="009F57E3"/>
    <w:rsid w:val="00A10F4F"/>
    <w:rsid w:val="00A11067"/>
    <w:rsid w:val="00A1530A"/>
    <w:rsid w:val="00A1704A"/>
    <w:rsid w:val="00A2068D"/>
    <w:rsid w:val="00A25385"/>
    <w:rsid w:val="00A4207A"/>
    <w:rsid w:val="00A425EB"/>
    <w:rsid w:val="00A46C7D"/>
    <w:rsid w:val="00A72F22"/>
    <w:rsid w:val="00A733BC"/>
    <w:rsid w:val="00A748A6"/>
    <w:rsid w:val="00A76A69"/>
    <w:rsid w:val="00A81274"/>
    <w:rsid w:val="00A839D4"/>
    <w:rsid w:val="00A879A4"/>
    <w:rsid w:val="00A90A0A"/>
    <w:rsid w:val="00AA061D"/>
    <w:rsid w:val="00AA0FF8"/>
    <w:rsid w:val="00AC0F2C"/>
    <w:rsid w:val="00AC10BF"/>
    <w:rsid w:val="00AC502A"/>
    <w:rsid w:val="00AE52C6"/>
    <w:rsid w:val="00AE73E5"/>
    <w:rsid w:val="00AF2476"/>
    <w:rsid w:val="00AF58C1"/>
    <w:rsid w:val="00B033A3"/>
    <w:rsid w:val="00B04A3F"/>
    <w:rsid w:val="00B06643"/>
    <w:rsid w:val="00B15055"/>
    <w:rsid w:val="00B30179"/>
    <w:rsid w:val="00B34BDA"/>
    <w:rsid w:val="00B37B15"/>
    <w:rsid w:val="00B45C02"/>
    <w:rsid w:val="00B660B7"/>
    <w:rsid w:val="00B72A1E"/>
    <w:rsid w:val="00B81E12"/>
    <w:rsid w:val="00B868AC"/>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10578"/>
    <w:rsid w:val="00C265F1"/>
    <w:rsid w:val="00C311F8"/>
    <w:rsid w:val="00C463DD"/>
    <w:rsid w:val="00C60E8C"/>
    <w:rsid w:val="00C61C32"/>
    <w:rsid w:val="00C66F60"/>
    <w:rsid w:val="00C745C3"/>
    <w:rsid w:val="00C90CD4"/>
    <w:rsid w:val="00C9152F"/>
    <w:rsid w:val="00C9236F"/>
    <w:rsid w:val="00CA24A4"/>
    <w:rsid w:val="00CA350E"/>
    <w:rsid w:val="00CB348D"/>
    <w:rsid w:val="00CD46F5"/>
    <w:rsid w:val="00CE4A8F"/>
    <w:rsid w:val="00CF071D"/>
    <w:rsid w:val="00CF5755"/>
    <w:rsid w:val="00D15B04"/>
    <w:rsid w:val="00D16906"/>
    <w:rsid w:val="00D2031B"/>
    <w:rsid w:val="00D25FE2"/>
    <w:rsid w:val="00D33124"/>
    <w:rsid w:val="00D37DA9"/>
    <w:rsid w:val="00D406A7"/>
    <w:rsid w:val="00D43252"/>
    <w:rsid w:val="00D44D86"/>
    <w:rsid w:val="00D50B7D"/>
    <w:rsid w:val="00D52012"/>
    <w:rsid w:val="00D60659"/>
    <w:rsid w:val="00D6399F"/>
    <w:rsid w:val="00D704E5"/>
    <w:rsid w:val="00D72727"/>
    <w:rsid w:val="00D978C6"/>
    <w:rsid w:val="00DA0956"/>
    <w:rsid w:val="00DA1C0B"/>
    <w:rsid w:val="00DA1DB7"/>
    <w:rsid w:val="00DA357F"/>
    <w:rsid w:val="00DA3E12"/>
    <w:rsid w:val="00DC18AD"/>
    <w:rsid w:val="00DC251E"/>
    <w:rsid w:val="00DF36ED"/>
    <w:rsid w:val="00DF7CAE"/>
    <w:rsid w:val="00E02A64"/>
    <w:rsid w:val="00E12847"/>
    <w:rsid w:val="00E423C0"/>
    <w:rsid w:val="00E4678A"/>
    <w:rsid w:val="00E513EC"/>
    <w:rsid w:val="00E61B5B"/>
    <w:rsid w:val="00E6414C"/>
    <w:rsid w:val="00E72101"/>
    <w:rsid w:val="00E7260F"/>
    <w:rsid w:val="00E8702D"/>
    <w:rsid w:val="00E916A9"/>
    <w:rsid w:val="00E916DE"/>
    <w:rsid w:val="00E922D5"/>
    <w:rsid w:val="00E925AD"/>
    <w:rsid w:val="00E96630"/>
    <w:rsid w:val="00EA3DB9"/>
    <w:rsid w:val="00EB4A77"/>
    <w:rsid w:val="00EC1F0D"/>
    <w:rsid w:val="00ED18DC"/>
    <w:rsid w:val="00ED4253"/>
    <w:rsid w:val="00ED6201"/>
    <w:rsid w:val="00ED7A2A"/>
    <w:rsid w:val="00EE49AD"/>
    <w:rsid w:val="00EE7C1D"/>
    <w:rsid w:val="00EF1D7F"/>
    <w:rsid w:val="00F0137E"/>
    <w:rsid w:val="00F02EB4"/>
    <w:rsid w:val="00F21786"/>
    <w:rsid w:val="00F2714F"/>
    <w:rsid w:val="00F352AF"/>
    <w:rsid w:val="00F3742B"/>
    <w:rsid w:val="00F41FDB"/>
    <w:rsid w:val="00F507EC"/>
    <w:rsid w:val="00F51D6B"/>
    <w:rsid w:val="00F56D63"/>
    <w:rsid w:val="00F5754A"/>
    <w:rsid w:val="00F609A9"/>
    <w:rsid w:val="00F80C99"/>
    <w:rsid w:val="00F867EC"/>
    <w:rsid w:val="00F91B2B"/>
    <w:rsid w:val="00F946BB"/>
    <w:rsid w:val="00FB573F"/>
    <w:rsid w:val="00FC03CD"/>
    <w:rsid w:val="00FC0646"/>
    <w:rsid w:val="00FC68B7"/>
    <w:rsid w:val="00FD1FC9"/>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EBC4CA"/>
  <w15:docId w15:val="{C233B560-8F9B-46D4-8968-9C649A14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t">
    <w:name w:val="st"/>
    <w:rsid w:val="00DA1DB7"/>
  </w:style>
  <w:style w:type="character" w:customStyle="1" w:styleId="SingleTxtGChar">
    <w:name w:val="_ Single Txt_G Char"/>
    <w:link w:val="SingleTxtG"/>
    <w:rsid w:val="00DA1DB7"/>
    <w:rPr>
      <w:lang w:eastAsia="en-US"/>
    </w:rPr>
  </w:style>
  <w:style w:type="paragraph" w:styleId="Quote">
    <w:name w:val="Quote"/>
    <w:basedOn w:val="Normal"/>
    <w:next w:val="Normal"/>
    <w:link w:val="QuoteChar"/>
    <w:uiPriority w:val="29"/>
    <w:qFormat/>
    <w:rsid w:val="00DA1D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A1DB7"/>
    <w:rPr>
      <w:i/>
      <w:iCs/>
      <w:color w:val="404040" w:themeColor="text1" w:themeTint="BF"/>
      <w:lang w:eastAsia="en-US"/>
    </w:rPr>
  </w:style>
  <w:style w:type="character" w:styleId="CommentReference">
    <w:name w:val="annotation reference"/>
    <w:basedOn w:val="DefaultParagraphFont"/>
    <w:semiHidden/>
    <w:unhideWhenUsed/>
    <w:rsid w:val="002D49EA"/>
    <w:rPr>
      <w:sz w:val="16"/>
      <w:szCs w:val="16"/>
    </w:rPr>
  </w:style>
  <w:style w:type="paragraph" w:styleId="CommentText">
    <w:name w:val="annotation text"/>
    <w:basedOn w:val="Normal"/>
    <w:link w:val="CommentTextChar"/>
    <w:semiHidden/>
    <w:unhideWhenUsed/>
    <w:rsid w:val="002D49EA"/>
    <w:pPr>
      <w:spacing w:line="240" w:lineRule="auto"/>
    </w:pPr>
  </w:style>
  <w:style w:type="character" w:customStyle="1" w:styleId="CommentTextChar">
    <w:name w:val="Comment Text Char"/>
    <w:basedOn w:val="DefaultParagraphFont"/>
    <w:link w:val="CommentText"/>
    <w:semiHidden/>
    <w:rsid w:val="002D49EA"/>
    <w:rPr>
      <w:lang w:eastAsia="en-US"/>
    </w:rPr>
  </w:style>
  <w:style w:type="paragraph" w:styleId="CommentSubject">
    <w:name w:val="annotation subject"/>
    <w:basedOn w:val="CommentText"/>
    <w:next w:val="CommentText"/>
    <w:link w:val="CommentSubjectChar"/>
    <w:semiHidden/>
    <w:unhideWhenUsed/>
    <w:rsid w:val="002D49EA"/>
    <w:rPr>
      <w:b/>
      <w:bCs/>
    </w:rPr>
  </w:style>
  <w:style w:type="character" w:customStyle="1" w:styleId="CommentSubjectChar">
    <w:name w:val="Comment Subject Char"/>
    <w:basedOn w:val="CommentTextChar"/>
    <w:link w:val="CommentSubject"/>
    <w:semiHidden/>
    <w:rsid w:val="002D49EA"/>
    <w:rPr>
      <w:b/>
      <w:bCs/>
      <w:lang w:eastAsia="en-US"/>
    </w:rPr>
  </w:style>
  <w:style w:type="paragraph" w:styleId="BalloonText">
    <w:name w:val="Balloon Text"/>
    <w:basedOn w:val="Normal"/>
    <w:link w:val="BalloonTextChar"/>
    <w:semiHidden/>
    <w:unhideWhenUsed/>
    <w:rsid w:val="002D49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D49EA"/>
    <w:rPr>
      <w:rFonts w:ascii="Segoe UI" w:hAnsi="Segoe UI" w:cs="Segoe UI"/>
      <w:sz w:val="18"/>
      <w:szCs w:val="18"/>
      <w:lang w:eastAsia="en-US"/>
    </w:rPr>
  </w:style>
  <w:style w:type="paragraph" w:styleId="Revision">
    <w:name w:val="Revision"/>
    <w:hidden/>
    <w:uiPriority w:val="99"/>
    <w:semiHidden/>
    <w:rsid w:val="00AE73E5"/>
    <w:rPr>
      <w:lang w:eastAsia="en-US"/>
    </w:rPr>
  </w:style>
  <w:style w:type="character" w:customStyle="1" w:styleId="hw">
    <w:name w:val="hw"/>
    <w:basedOn w:val="DefaultParagraphFont"/>
    <w:rsid w:val="005E6D51"/>
  </w:style>
  <w:style w:type="character" w:customStyle="1" w:styleId="pos">
    <w:name w:val="pos"/>
    <w:basedOn w:val="DefaultParagraphFont"/>
    <w:rsid w:val="005E6D51"/>
  </w:style>
  <w:style w:type="paragraph" w:styleId="NormalWeb">
    <w:name w:val="Normal (Web)"/>
    <w:basedOn w:val="Normal"/>
    <w:uiPriority w:val="99"/>
    <w:semiHidden/>
    <w:unhideWhenUsed/>
    <w:rsid w:val="005E6D51"/>
    <w:pPr>
      <w:suppressAutoHyphens w:val="0"/>
      <w:spacing w:before="100" w:beforeAutospacing="1" w:after="100" w:afterAutospacing="1" w:line="240" w:lineRule="auto"/>
    </w:pPr>
    <w:rPr>
      <w:sz w:val="24"/>
      <w:szCs w:val="24"/>
      <w:lang w:eastAsia="zh-CN"/>
    </w:rPr>
  </w:style>
  <w:style w:type="character" w:customStyle="1" w:styleId="iteration">
    <w:name w:val="iteration"/>
    <w:basedOn w:val="DefaultParagraphFont"/>
    <w:rsid w:val="005E6D51"/>
  </w:style>
  <w:style w:type="character" w:customStyle="1" w:styleId="ind">
    <w:name w:val="ind"/>
    <w:basedOn w:val="DefaultParagraphFont"/>
    <w:rsid w:val="005E6D51"/>
  </w:style>
  <w:style w:type="character" w:styleId="Emphasis">
    <w:name w:val="Emphasis"/>
    <w:basedOn w:val="DefaultParagraphFont"/>
    <w:uiPriority w:val="20"/>
    <w:qFormat/>
    <w:rsid w:val="005E6D51"/>
    <w:rPr>
      <w:i/>
      <w:iCs/>
    </w:rPr>
  </w:style>
  <w:style w:type="character" w:customStyle="1" w:styleId="subsenseiteration">
    <w:name w:val="subsenseiteration"/>
    <w:basedOn w:val="DefaultParagraphFont"/>
    <w:rsid w:val="005E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252853">
      <w:bodyDiv w:val="1"/>
      <w:marLeft w:val="0"/>
      <w:marRight w:val="0"/>
      <w:marTop w:val="0"/>
      <w:marBottom w:val="0"/>
      <w:divBdr>
        <w:top w:val="none" w:sz="0" w:space="0" w:color="auto"/>
        <w:left w:val="none" w:sz="0" w:space="0" w:color="auto"/>
        <w:bottom w:val="none" w:sz="0" w:space="0" w:color="auto"/>
        <w:right w:val="none" w:sz="0" w:space="0" w:color="auto"/>
      </w:divBdr>
      <w:divsChild>
        <w:div w:id="269703359">
          <w:marLeft w:val="300"/>
          <w:marRight w:val="300"/>
          <w:marTop w:val="0"/>
          <w:marBottom w:val="135"/>
          <w:divBdr>
            <w:top w:val="single" w:sz="6" w:space="14" w:color="0164A7"/>
            <w:left w:val="none" w:sz="0" w:space="0" w:color="auto"/>
            <w:bottom w:val="none" w:sz="0" w:space="0" w:color="auto"/>
            <w:right w:val="none" w:sz="0" w:space="0" w:color="auto"/>
          </w:divBdr>
        </w:div>
        <w:div w:id="410007158">
          <w:marLeft w:val="0"/>
          <w:marRight w:val="0"/>
          <w:marTop w:val="0"/>
          <w:marBottom w:val="120"/>
          <w:divBdr>
            <w:top w:val="none" w:sz="0" w:space="0" w:color="auto"/>
            <w:left w:val="none" w:sz="0" w:space="0" w:color="auto"/>
            <w:bottom w:val="none" w:sz="0" w:space="0" w:color="auto"/>
            <w:right w:val="none" w:sz="0" w:space="0" w:color="auto"/>
          </w:divBdr>
          <w:divsChild>
            <w:div w:id="1697537407">
              <w:marLeft w:val="0"/>
              <w:marRight w:val="0"/>
              <w:marTop w:val="60"/>
              <w:marBottom w:val="105"/>
              <w:divBdr>
                <w:top w:val="none" w:sz="0" w:space="0" w:color="auto"/>
                <w:left w:val="none" w:sz="0" w:space="0" w:color="auto"/>
                <w:bottom w:val="none" w:sz="0" w:space="0" w:color="auto"/>
                <w:right w:val="none" w:sz="0" w:space="0" w:color="auto"/>
              </w:divBdr>
              <w:divsChild>
                <w:div w:id="2092002748">
                  <w:marLeft w:val="0"/>
                  <w:marRight w:val="0"/>
                  <w:marTop w:val="0"/>
                  <w:marBottom w:val="0"/>
                  <w:divBdr>
                    <w:top w:val="none" w:sz="0" w:space="0" w:color="auto"/>
                    <w:left w:val="none" w:sz="0" w:space="0" w:color="auto"/>
                    <w:bottom w:val="none" w:sz="0" w:space="0" w:color="auto"/>
                    <w:right w:val="none" w:sz="0" w:space="0" w:color="auto"/>
                  </w:divBdr>
                </w:div>
              </w:divsChild>
            </w:div>
            <w:div w:id="1565726002">
              <w:marLeft w:val="0"/>
              <w:marRight w:val="0"/>
              <w:marTop w:val="60"/>
              <w:marBottom w:val="105"/>
              <w:divBdr>
                <w:top w:val="none" w:sz="0" w:space="0" w:color="auto"/>
                <w:left w:val="none" w:sz="0" w:space="0" w:color="auto"/>
                <w:bottom w:val="none" w:sz="0" w:space="0" w:color="auto"/>
                <w:right w:val="none" w:sz="0" w:space="0" w:color="auto"/>
              </w:divBdr>
              <w:divsChild>
                <w:div w:id="1843546450">
                  <w:marLeft w:val="0"/>
                  <w:marRight w:val="0"/>
                  <w:marTop w:val="0"/>
                  <w:marBottom w:val="0"/>
                  <w:divBdr>
                    <w:top w:val="none" w:sz="0" w:space="0" w:color="auto"/>
                    <w:left w:val="none" w:sz="0" w:space="0" w:color="auto"/>
                    <w:bottom w:val="none" w:sz="0" w:space="0" w:color="auto"/>
                    <w:right w:val="none" w:sz="0" w:space="0" w:color="auto"/>
                  </w:divBdr>
                </w:div>
              </w:divsChild>
            </w:div>
            <w:div w:id="1830361503">
              <w:marLeft w:val="0"/>
              <w:marRight w:val="0"/>
              <w:marTop w:val="0"/>
              <w:marBottom w:val="0"/>
              <w:divBdr>
                <w:top w:val="none" w:sz="0" w:space="0" w:color="auto"/>
                <w:left w:val="none" w:sz="0" w:space="0" w:color="auto"/>
                <w:bottom w:val="none" w:sz="0" w:space="0" w:color="auto"/>
                <w:right w:val="none" w:sz="0" w:space="0" w:color="auto"/>
              </w:divBdr>
              <w:divsChild>
                <w:div w:id="994533596">
                  <w:marLeft w:val="0"/>
                  <w:marRight w:val="120"/>
                  <w:marTop w:val="105"/>
                  <w:marBottom w:val="105"/>
                  <w:divBdr>
                    <w:top w:val="none" w:sz="0" w:space="0" w:color="auto"/>
                    <w:left w:val="none" w:sz="0" w:space="0" w:color="auto"/>
                    <w:bottom w:val="none" w:sz="0" w:space="0" w:color="auto"/>
                    <w:right w:val="none" w:sz="0" w:space="0" w:color="auto"/>
                  </w:divBdr>
                </w:div>
              </w:divsChild>
            </w:div>
            <w:div w:id="1819225402">
              <w:marLeft w:val="0"/>
              <w:marRight w:val="0"/>
              <w:marTop w:val="0"/>
              <w:marBottom w:val="120"/>
              <w:divBdr>
                <w:top w:val="none" w:sz="0" w:space="0" w:color="auto"/>
                <w:left w:val="none" w:sz="0" w:space="0" w:color="auto"/>
                <w:bottom w:val="none" w:sz="0" w:space="0" w:color="auto"/>
                <w:right w:val="none" w:sz="0" w:space="0" w:color="auto"/>
              </w:divBdr>
              <w:divsChild>
                <w:div w:id="1710884283">
                  <w:marLeft w:val="0"/>
                  <w:marRight w:val="0"/>
                  <w:marTop w:val="60"/>
                  <w:marBottom w:val="105"/>
                  <w:divBdr>
                    <w:top w:val="none" w:sz="0" w:space="0" w:color="auto"/>
                    <w:left w:val="none" w:sz="0" w:space="0" w:color="auto"/>
                    <w:bottom w:val="none" w:sz="0" w:space="0" w:color="auto"/>
                    <w:right w:val="none" w:sz="0" w:space="0" w:color="auto"/>
                  </w:divBdr>
                  <w:divsChild>
                    <w:div w:id="19077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3E531-078A-40B6-BEE9-362F60F4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4</Pages>
  <Words>1266</Words>
  <Characters>7218</Characters>
  <Application>Microsoft Office Word</Application>
  <DocSecurity>4</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ECE/MP.EIA/2019/11</vt:lpstr>
      <vt:lpstr>United Nations</vt:lpstr>
    </vt:vector>
  </TitlesOfParts>
  <Company>CSD</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ECE/MP.EIA/2019/11</dc:title>
  <dc:subject>1819197</dc:subject>
  <dc:creator>Generic Pdf eng</dc:creator>
  <cp:keywords/>
  <dc:description/>
  <cp:lastModifiedBy>Elisabeth James</cp:lastModifiedBy>
  <cp:revision>2</cp:revision>
  <cp:lastPrinted>2009-02-18T09:36:00Z</cp:lastPrinted>
  <dcterms:created xsi:type="dcterms:W3CDTF">2018-12-19T00:55:00Z</dcterms:created>
  <dcterms:modified xsi:type="dcterms:W3CDTF">2018-12-19T00:55:00Z</dcterms:modified>
</cp:coreProperties>
</file>