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661C23F" w14:textId="77777777" w:rsidTr="00B20551">
        <w:trPr>
          <w:cantSplit/>
          <w:trHeight w:hRule="exact" w:val="851"/>
        </w:trPr>
        <w:tc>
          <w:tcPr>
            <w:tcW w:w="1276" w:type="dxa"/>
            <w:tcBorders>
              <w:bottom w:val="single" w:sz="4" w:space="0" w:color="auto"/>
            </w:tcBorders>
            <w:vAlign w:val="bottom"/>
          </w:tcPr>
          <w:p w14:paraId="124536AA"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044ECD1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E1F6B3C" w14:textId="77777777" w:rsidR="009E6CB7" w:rsidRPr="00D47EEA" w:rsidRDefault="003558BF" w:rsidP="003558BF">
            <w:pPr>
              <w:jc w:val="right"/>
            </w:pPr>
            <w:r w:rsidRPr="003558BF">
              <w:rPr>
                <w:sz w:val="40"/>
              </w:rPr>
              <w:t>ECE</w:t>
            </w:r>
            <w:r>
              <w:t>/MP.EIA/WG.2/2019/3</w:t>
            </w:r>
          </w:p>
        </w:tc>
      </w:tr>
      <w:tr w:rsidR="009E6CB7" w14:paraId="5EBA2B81" w14:textId="77777777" w:rsidTr="00B20551">
        <w:trPr>
          <w:cantSplit/>
          <w:trHeight w:hRule="exact" w:val="2835"/>
        </w:trPr>
        <w:tc>
          <w:tcPr>
            <w:tcW w:w="1276" w:type="dxa"/>
            <w:tcBorders>
              <w:top w:val="single" w:sz="4" w:space="0" w:color="auto"/>
              <w:bottom w:val="single" w:sz="12" w:space="0" w:color="auto"/>
            </w:tcBorders>
          </w:tcPr>
          <w:p w14:paraId="1F65E8D8" w14:textId="77777777" w:rsidR="009E6CB7" w:rsidRDefault="00686A48" w:rsidP="00B20551">
            <w:pPr>
              <w:spacing w:before="120"/>
            </w:pPr>
            <w:r>
              <w:rPr>
                <w:noProof/>
                <w:lang w:val="en-US" w:eastAsia="zh-CN"/>
              </w:rPr>
              <w:drawing>
                <wp:inline distT="0" distB="0" distL="0" distR="0" wp14:anchorId="6B477309" wp14:editId="2F151D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A266F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559416" w14:textId="77777777" w:rsidR="009E6CB7" w:rsidRDefault="003558BF" w:rsidP="003558BF">
            <w:pPr>
              <w:spacing w:before="240" w:line="240" w:lineRule="exact"/>
            </w:pPr>
            <w:r>
              <w:t>Distr.: General</w:t>
            </w:r>
          </w:p>
          <w:p w14:paraId="761ECEDB" w14:textId="2ABF7EB1" w:rsidR="003558BF" w:rsidRDefault="006A0B78" w:rsidP="003558BF">
            <w:pPr>
              <w:spacing w:line="240" w:lineRule="exact"/>
            </w:pPr>
            <w:r>
              <w:t xml:space="preserve">17 September </w:t>
            </w:r>
            <w:r w:rsidR="003558BF">
              <w:t>2019</w:t>
            </w:r>
          </w:p>
          <w:p w14:paraId="16F2909C" w14:textId="77777777" w:rsidR="003558BF" w:rsidRDefault="003558BF" w:rsidP="003558BF">
            <w:pPr>
              <w:spacing w:line="240" w:lineRule="exact"/>
            </w:pPr>
          </w:p>
          <w:p w14:paraId="72A27D9F" w14:textId="77777777" w:rsidR="003558BF" w:rsidRDefault="003558BF" w:rsidP="003558BF">
            <w:pPr>
              <w:spacing w:line="240" w:lineRule="exact"/>
            </w:pPr>
            <w:r>
              <w:t>Original: English</w:t>
            </w:r>
          </w:p>
        </w:tc>
      </w:tr>
    </w:tbl>
    <w:p w14:paraId="2723DFB0" w14:textId="77777777" w:rsidR="0054622F" w:rsidRPr="00136A88" w:rsidRDefault="0054622F" w:rsidP="0094684F">
      <w:pPr>
        <w:spacing w:before="120"/>
        <w:rPr>
          <w:b/>
          <w:sz w:val="28"/>
          <w:szCs w:val="28"/>
        </w:rPr>
      </w:pPr>
      <w:r w:rsidRPr="00136A88">
        <w:rPr>
          <w:b/>
          <w:sz w:val="28"/>
          <w:szCs w:val="28"/>
        </w:rPr>
        <w:t>Economic Commission for Europe</w:t>
      </w:r>
    </w:p>
    <w:p w14:paraId="26492507" w14:textId="77777777" w:rsidR="0054622F" w:rsidRPr="00136A88" w:rsidRDefault="0054622F"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5F1E38F6" w14:textId="77777777" w:rsidR="0054622F" w:rsidRPr="00136A88" w:rsidRDefault="0054622F"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257C10C8" w14:textId="77777777" w:rsidR="0054622F" w:rsidRPr="00136A88" w:rsidRDefault="0054622F"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239C9336" w14:textId="1F1AF8AF" w:rsidR="0054622F" w:rsidRPr="00136A88" w:rsidRDefault="0054622F" w:rsidP="0094684F">
      <w:pPr>
        <w:spacing w:before="120"/>
        <w:rPr>
          <w:b/>
        </w:rPr>
      </w:pPr>
      <w:r>
        <w:rPr>
          <w:b/>
        </w:rPr>
        <w:t>Eight</w:t>
      </w:r>
      <w:r w:rsidR="004B0586">
        <w:rPr>
          <w:b/>
        </w:rPr>
        <w:t>h</w:t>
      </w:r>
      <w:r>
        <w:rPr>
          <w:b/>
        </w:rPr>
        <w:t xml:space="preserve"> </w:t>
      </w:r>
      <w:r w:rsidRPr="00136A88">
        <w:rPr>
          <w:b/>
        </w:rPr>
        <w:t>meeting</w:t>
      </w:r>
    </w:p>
    <w:p w14:paraId="48C84E31" w14:textId="77777777" w:rsidR="0054622F" w:rsidRDefault="0054622F" w:rsidP="0054622F">
      <w:r w:rsidRPr="00136A88">
        <w:t xml:space="preserve">Geneva, </w:t>
      </w:r>
      <w:r>
        <w:t>26–28 November 2019</w:t>
      </w:r>
    </w:p>
    <w:p w14:paraId="476C83E5" w14:textId="2C614279" w:rsidR="0054622F" w:rsidRDefault="0054622F" w:rsidP="0054622F">
      <w:r w:rsidRPr="00136A88">
        <w:t xml:space="preserve">Item </w:t>
      </w:r>
      <w:r w:rsidR="001E57DE">
        <w:t xml:space="preserve">4 </w:t>
      </w:r>
      <w:r w:rsidRPr="00136A88">
        <w:t>of the provisional agenda</w:t>
      </w:r>
    </w:p>
    <w:p w14:paraId="52D2675A" w14:textId="6CD3DA68" w:rsidR="001E57DE" w:rsidRPr="00A059BD" w:rsidRDefault="001E57DE" w:rsidP="0054622F">
      <w:pPr>
        <w:rPr>
          <w:b/>
          <w:bCs/>
        </w:rPr>
      </w:pPr>
      <w:r w:rsidRPr="00A059BD">
        <w:rPr>
          <w:b/>
          <w:bCs/>
        </w:rPr>
        <w:t>Compliance and implementation</w:t>
      </w:r>
    </w:p>
    <w:p w14:paraId="290CB6B8" w14:textId="2424CD11" w:rsidR="0054622F" w:rsidRPr="00F212FA" w:rsidRDefault="0054622F" w:rsidP="0054622F">
      <w:pPr>
        <w:pStyle w:val="HChG"/>
      </w:pPr>
      <w:r>
        <w:tab/>
      </w:r>
      <w:r>
        <w:tab/>
      </w:r>
      <w:r w:rsidRPr="00F212FA">
        <w:t xml:space="preserve">Draft sixth review of implementation of the Convention on Environmental Impact Assessment in a Transboundary Context  </w:t>
      </w:r>
    </w:p>
    <w:p w14:paraId="67CA721B" w14:textId="77777777" w:rsidR="0054622F" w:rsidRPr="00F212FA" w:rsidRDefault="0054622F" w:rsidP="00E54B10">
      <w:pPr>
        <w:pStyle w:val="H1G"/>
      </w:pPr>
      <w:r w:rsidRPr="00F212FA">
        <w:tab/>
      </w:r>
      <w:r w:rsidRPr="00F212FA">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4622F" w14:paraId="7597F723" w14:textId="77777777" w:rsidTr="00695A15">
        <w:trPr>
          <w:jc w:val="center"/>
        </w:trPr>
        <w:tc>
          <w:tcPr>
            <w:tcW w:w="9637" w:type="dxa"/>
            <w:shd w:val="clear" w:color="auto" w:fill="auto"/>
          </w:tcPr>
          <w:p w14:paraId="5C8857AA" w14:textId="77777777" w:rsidR="0054622F" w:rsidRPr="00C6263E" w:rsidRDefault="0054622F" w:rsidP="00695A15">
            <w:pPr>
              <w:spacing w:before="240" w:after="120"/>
              <w:ind w:left="255"/>
              <w:rPr>
                <w:i/>
                <w:sz w:val="24"/>
              </w:rPr>
            </w:pPr>
            <w:r w:rsidRPr="00C6263E">
              <w:rPr>
                <w:i/>
                <w:sz w:val="24"/>
              </w:rPr>
              <w:t>Summary</w:t>
            </w:r>
          </w:p>
        </w:tc>
      </w:tr>
      <w:tr w:rsidR="0054622F" w14:paraId="20A323B5" w14:textId="77777777" w:rsidTr="00695A15">
        <w:trPr>
          <w:jc w:val="center"/>
        </w:trPr>
        <w:tc>
          <w:tcPr>
            <w:tcW w:w="9637" w:type="dxa"/>
            <w:shd w:val="clear" w:color="auto" w:fill="auto"/>
          </w:tcPr>
          <w:p w14:paraId="61F0E682" w14:textId="35BFE861" w:rsidR="0054622F" w:rsidRPr="00F212FA" w:rsidRDefault="0054622F" w:rsidP="0054622F">
            <w:pPr>
              <w:pStyle w:val="SingleTxtG"/>
            </w:pPr>
            <w:r>
              <w:tab/>
            </w:r>
            <w:r>
              <w:tab/>
            </w:r>
            <w:r w:rsidRPr="00F212FA">
              <w:t>The Meeting of the Parties to the Convention on Environmental Impact Assessment in a Transboundary Context decided that a draft sixth review of implementation of the Convention during the period 2016–2018 based on the reports by Parties would be presented at the eighth session of the Meeting of the Parties (ECE/MP.EIA/23.Add.2– ECE/MP.EIA/SEA/7.Add.2, decision VII/1, para. 11).</w:t>
            </w:r>
          </w:p>
          <w:p w14:paraId="71C7FF89" w14:textId="32DBCFCE" w:rsidR="001E57DE" w:rsidRDefault="0054622F" w:rsidP="001E57DE">
            <w:pPr>
              <w:pStyle w:val="SingleTxtG"/>
            </w:pPr>
            <w:r w:rsidRPr="00F212FA">
              <w:tab/>
            </w:r>
            <w:r>
              <w:tab/>
            </w:r>
            <w:r w:rsidRPr="00F212FA">
              <w:t xml:space="preserve">This note presents the draft sixth review based on national reports received by 30 June 2019. The Working Group on Environmental Impact Assessment and Strategic Environmental Assessment </w:t>
            </w:r>
            <w:r w:rsidR="001E57DE">
              <w:t xml:space="preserve">is expected to consider the draft review and agree on its main findings. Delegations are invited to comment </w:t>
            </w:r>
            <w:r w:rsidR="003B5485">
              <w:t xml:space="preserve">on </w:t>
            </w:r>
            <w:r w:rsidR="001E57DE">
              <w:t>the draft</w:t>
            </w:r>
            <w:r w:rsidR="003B5485">
              <w:t>,</w:t>
            </w:r>
            <w:r w:rsidR="001E57DE">
              <w:t xml:space="preserve"> with a view to its finalization in advance of the </w:t>
            </w:r>
            <w:r w:rsidR="00713D2A">
              <w:t>eighth</w:t>
            </w:r>
            <w:r w:rsidR="001E57DE">
              <w:t xml:space="preserve"> session of the Meeting of the Parties</w:t>
            </w:r>
            <w:r w:rsidR="004368F2">
              <w:t>, which is</w:t>
            </w:r>
            <w:r w:rsidR="001E57DE">
              <w:t xml:space="preserve"> </w:t>
            </w:r>
            <w:r w:rsidR="001E57DE" w:rsidRPr="00F212FA">
              <w:t xml:space="preserve">tentatively scheduled to take place in Geneva, </w:t>
            </w:r>
            <w:r w:rsidR="003B5485">
              <w:t xml:space="preserve">from </w:t>
            </w:r>
            <w:r w:rsidR="001E57DE" w:rsidRPr="00F212FA">
              <w:t>8</w:t>
            </w:r>
            <w:r w:rsidR="003B5485">
              <w:t xml:space="preserve"> to </w:t>
            </w:r>
            <w:r w:rsidR="001E57DE" w:rsidRPr="00F212FA">
              <w:t>11 December 2020.</w:t>
            </w:r>
          </w:p>
        </w:tc>
      </w:tr>
      <w:tr w:rsidR="0054622F" w14:paraId="10C9BFBA" w14:textId="77777777" w:rsidTr="00695A15">
        <w:trPr>
          <w:jc w:val="center"/>
        </w:trPr>
        <w:tc>
          <w:tcPr>
            <w:tcW w:w="9637" w:type="dxa"/>
            <w:shd w:val="clear" w:color="auto" w:fill="auto"/>
          </w:tcPr>
          <w:p w14:paraId="2D9D90D3" w14:textId="77777777" w:rsidR="0054622F" w:rsidRDefault="0054622F" w:rsidP="00695A15"/>
        </w:tc>
      </w:tr>
    </w:tbl>
    <w:p w14:paraId="26CD0A94" w14:textId="77777777" w:rsidR="00045675" w:rsidRDefault="00045675">
      <w:pPr>
        <w:suppressAutoHyphens w:val="0"/>
        <w:spacing w:line="240" w:lineRule="auto"/>
      </w:pPr>
      <w:r>
        <w:br w:type="page"/>
      </w:r>
    </w:p>
    <w:p w14:paraId="231B9899" w14:textId="77777777" w:rsidR="001E45D1" w:rsidRDefault="001E45D1" w:rsidP="00695A15">
      <w:pPr>
        <w:spacing w:after="120"/>
        <w:rPr>
          <w:sz w:val="28"/>
        </w:rPr>
      </w:pPr>
      <w:r>
        <w:rPr>
          <w:sz w:val="28"/>
        </w:rPr>
        <w:lastRenderedPageBreak/>
        <w:t>Contents</w:t>
      </w:r>
    </w:p>
    <w:p w14:paraId="74B9EE56" w14:textId="77777777" w:rsidR="001E45D1" w:rsidRDefault="001E45D1" w:rsidP="00695A15">
      <w:pPr>
        <w:tabs>
          <w:tab w:val="right" w:pos="9638"/>
        </w:tabs>
        <w:spacing w:after="120"/>
        <w:ind w:left="283"/>
        <w:rPr>
          <w:sz w:val="18"/>
        </w:rPr>
      </w:pPr>
      <w:r>
        <w:rPr>
          <w:i/>
          <w:sz w:val="18"/>
        </w:rPr>
        <w:tab/>
        <w:t>Page</w:t>
      </w:r>
    </w:p>
    <w:p w14:paraId="444E85C0" w14:textId="2E00B1F2" w:rsidR="001E45D1" w:rsidRDefault="00FA482A" w:rsidP="001E45D1">
      <w:pPr>
        <w:tabs>
          <w:tab w:val="right" w:pos="850"/>
          <w:tab w:val="left" w:pos="1134"/>
          <w:tab w:val="left" w:pos="1559"/>
          <w:tab w:val="left" w:pos="1984"/>
          <w:tab w:val="left" w:leader="dot" w:pos="8929"/>
          <w:tab w:val="right" w:pos="9638"/>
        </w:tabs>
        <w:spacing w:after="120"/>
        <w:ind w:left="1455" w:hanging="720"/>
      </w:pPr>
      <w:r>
        <w:tab/>
      </w:r>
      <w:r w:rsidR="001E45D1">
        <w:tab/>
        <w:t>Introduction</w:t>
      </w:r>
      <w:r w:rsidR="001E45D1">
        <w:tab/>
      </w:r>
      <w:r w:rsidR="001E45D1">
        <w:tab/>
      </w:r>
      <w:r w:rsidR="00A5281E">
        <w:t>3</w:t>
      </w:r>
    </w:p>
    <w:p w14:paraId="136DEA39" w14:textId="6BB7638F" w:rsidR="001E45D1" w:rsidRDefault="001E45D1" w:rsidP="001E45D1">
      <w:pPr>
        <w:tabs>
          <w:tab w:val="right" w:pos="850"/>
          <w:tab w:val="left" w:pos="1134"/>
          <w:tab w:val="left" w:pos="1559"/>
          <w:tab w:val="left" w:pos="1984"/>
          <w:tab w:val="left" w:leader="dot" w:pos="8929"/>
          <w:tab w:val="right" w:pos="9638"/>
        </w:tabs>
        <w:spacing w:after="120"/>
        <w:ind w:left="1455" w:hanging="720"/>
      </w:pPr>
      <w:r>
        <w:tab/>
        <w:t>I.</w:t>
      </w:r>
      <w:r>
        <w:tab/>
        <w:t>Methodology</w:t>
      </w:r>
      <w:r>
        <w:tab/>
      </w:r>
      <w:r>
        <w:tab/>
      </w:r>
      <w:r w:rsidR="00A5281E">
        <w:t>3</w:t>
      </w:r>
    </w:p>
    <w:p w14:paraId="7ABF4D84" w14:textId="75734C33" w:rsidR="001E45D1" w:rsidRDefault="001E45D1" w:rsidP="001E45D1">
      <w:pPr>
        <w:tabs>
          <w:tab w:val="right" w:pos="850"/>
          <w:tab w:val="left" w:pos="1134"/>
          <w:tab w:val="left" w:pos="1559"/>
          <w:tab w:val="left" w:pos="1984"/>
          <w:tab w:val="left" w:leader="dot" w:pos="8929"/>
          <w:tab w:val="right" w:pos="9638"/>
        </w:tabs>
        <w:spacing w:after="120"/>
        <w:ind w:left="1455" w:hanging="720"/>
      </w:pPr>
      <w:r>
        <w:t>II.</w:t>
      </w:r>
      <w:r>
        <w:tab/>
        <w:t>Review of Parties’ implementation</w:t>
      </w:r>
      <w:r>
        <w:tab/>
      </w:r>
      <w:r>
        <w:tab/>
      </w:r>
      <w:r w:rsidR="00A5281E">
        <w:t>4</w:t>
      </w:r>
    </w:p>
    <w:p w14:paraId="180DC5BB" w14:textId="7C024A5B" w:rsidR="001E45D1" w:rsidRDefault="00F867D5" w:rsidP="00F867D5">
      <w:pPr>
        <w:tabs>
          <w:tab w:val="right" w:pos="850"/>
          <w:tab w:val="left" w:pos="1134"/>
          <w:tab w:val="left" w:pos="1559"/>
          <w:tab w:val="left" w:pos="1984"/>
          <w:tab w:val="left" w:leader="dot" w:pos="8929"/>
          <w:tab w:val="right" w:pos="9638"/>
        </w:tabs>
        <w:spacing w:after="120"/>
        <w:ind w:left="1500" w:hanging="360"/>
      </w:pPr>
      <w:r>
        <w:t>A.</w:t>
      </w:r>
      <w:r>
        <w:tab/>
      </w:r>
      <w:r w:rsidR="001E45D1">
        <w:t>Definitions of key concepts</w:t>
      </w:r>
      <w:r w:rsidR="001E45D1">
        <w:tab/>
      </w:r>
      <w:r w:rsidR="001E45D1">
        <w:tab/>
      </w:r>
      <w:r w:rsidR="00A5281E">
        <w:t>4</w:t>
      </w:r>
    </w:p>
    <w:p w14:paraId="63674550" w14:textId="255BC13A" w:rsidR="001E45D1" w:rsidRPr="00C95A94" w:rsidRDefault="00F867D5" w:rsidP="00F867D5">
      <w:pPr>
        <w:tabs>
          <w:tab w:val="right" w:pos="850"/>
          <w:tab w:val="left" w:pos="1134"/>
          <w:tab w:val="left" w:pos="1559"/>
          <w:tab w:val="left" w:pos="1984"/>
          <w:tab w:val="left" w:leader="dot" w:pos="8929"/>
          <w:tab w:val="right" w:pos="9638"/>
        </w:tabs>
        <w:spacing w:after="120"/>
        <w:ind w:left="1500" w:hanging="360"/>
      </w:pPr>
      <w:r w:rsidRPr="00C95A94">
        <w:t>B.</w:t>
      </w:r>
      <w:r w:rsidRPr="00C95A94">
        <w:tab/>
      </w:r>
      <w:r w:rsidR="000D2AFD" w:rsidRPr="00532BF5">
        <w:t xml:space="preserve">General </w:t>
      </w:r>
      <w:r w:rsidR="000D2AFD" w:rsidRPr="00C95A94">
        <w:t>provisions</w:t>
      </w:r>
      <w:r w:rsidR="000D2AFD" w:rsidRPr="00C95A94">
        <w:tab/>
      </w:r>
      <w:r w:rsidR="000D2AFD" w:rsidRPr="00C95A94">
        <w:tab/>
        <w:t>6</w:t>
      </w:r>
    </w:p>
    <w:p w14:paraId="0BDAF89D" w14:textId="36AB8FE4" w:rsidR="000D2AFD" w:rsidRPr="00C95A94" w:rsidRDefault="00F867D5" w:rsidP="00F867D5">
      <w:pPr>
        <w:tabs>
          <w:tab w:val="right" w:pos="850"/>
          <w:tab w:val="left" w:pos="1134"/>
          <w:tab w:val="left" w:pos="1559"/>
          <w:tab w:val="left" w:pos="1984"/>
          <w:tab w:val="left" w:leader="dot" w:pos="8929"/>
          <w:tab w:val="right" w:pos="9638"/>
        </w:tabs>
        <w:spacing w:after="120"/>
        <w:ind w:left="1500" w:hanging="360"/>
      </w:pPr>
      <w:r w:rsidRPr="00C95A94">
        <w:t>C.</w:t>
      </w:r>
      <w:r w:rsidRPr="00C95A94">
        <w:tab/>
      </w:r>
      <w:r w:rsidR="00C95A94" w:rsidRPr="00C95A94">
        <w:t>Notification</w:t>
      </w:r>
      <w:r w:rsidR="000D2AFD" w:rsidRPr="00C95A94">
        <w:tab/>
      </w:r>
      <w:r w:rsidR="000D2AFD" w:rsidRPr="00C95A94">
        <w:tab/>
      </w:r>
      <w:r w:rsidR="00A5281E" w:rsidRPr="00C95A94">
        <w:t>6</w:t>
      </w:r>
    </w:p>
    <w:p w14:paraId="3C0A3433" w14:textId="4013CB6D" w:rsidR="00C95A94" w:rsidRPr="00C95A94" w:rsidRDefault="00F867D5" w:rsidP="00F867D5">
      <w:pPr>
        <w:tabs>
          <w:tab w:val="right" w:pos="850"/>
          <w:tab w:val="left" w:pos="1134"/>
          <w:tab w:val="left" w:pos="1559"/>
          <w:tab w:val="left" w:pos="1984"/>
          <w:tab w:val="left" w:leader="dot" w:pos="8929"/>
          <w:tab w:val="right" w:pos="9638"/>
        </w:tabs>
        <w:spacing w:after="120"/>
        <w:ind w:left="1500" w:hanging="360"/>
      </w:pPr>
      <w:r w:rsidRPr="00C95A94">
        <w:t>D.</w:t>
      </w:r>
      <w:r w:rsidRPr="00C95A94">
        <w:tab/>
      </w:r>
      <w:r w:rsidR="00C95A94" w:rsidRPr="00C95A94">
        <w:t xml:space="preserve">Public participation </w:t>
      </w:r>
      <w:r w:rsidR="00C95A94" w:rsidRPr="00C95A94">
        <w:tab/>
      </w:r>
      <w:r w:rsidR="00C95A94" w:rsidRPr="00C95A94">
        <w:tab/>
        <w:t>8</w:t>
      </w:r>
    </w:p>
    <w:p w14:paraId="71A8D836" w14:textId="07376B8E" w:rsidR="00C95A94" w:rsidRPr="00C95A94" w:rsidRDefault="00F867D5" w:rsidP="00F867D5">
      <w:pPr>
        <w:tabs>
          <w:tab w:val="right" w:pos="850"/>
          <w:tab w:val="left" w:pos="1134"/>
          <w:tab w:val="left" w:pos="1559"/>
          <w:tab w:val="left" w:pos="1984"/>
          <w:tab w:val="left" w:leader="dot" w:pos="8929"/>
          <w:tab w:val="right" w:pos="9638"/>
        </w:tabs>
        <w:spacing w:after="120"/>
        <w:ind w:left="1500" w:hanging="360"/>
      </w:pPr>
      <w:r w:rsidRPr="00C95A94">
        <w:t>E.</w:t>
      </w:r>
      <w:r w:rsidRPr="00C95A94">
        <w:tab/>
      </w:r>
      <w:r w:rsidR="00C95A94" w:rsidRPr="00C95A94">
        <w:t xml:space="preserve">Environmental impact assessment documentation </w:t>
      </w:r>
      <w:r w:rsidR="00C95A94" w:rsidRPr="00C95A94">
        <w:tab/>
      </w:r>
      <w:r w:rsidR="00C95A94" w:rsidRPr="00C95A94">
        <w:tab/>
        <w:t>8</w:t>
      </w:r>
    </w:p>
    <w:p w14:paraId="1DEC41F3" w14:textId="11AD1C0C" w:rsidR="00C95A94" w:rsidRPr="00C95A94" w:rsidRDefault="00F867D5" w:rsidP="00F867D5">
      <w:pPr>
        <w:tabs>
          <w:tab w:val="right" w:pos="850"/>
          <w:tab w:val="left" w:pos="1134"/>
          <w:tab w:val="left" w:pos="1559"/>
          <w:tab w:val="left" w:pos="1984"/>
          <w:tab w:val="left" w:leader="dot" w:pos="8929"/>
          <w:tab w:val="right" w:pos="9638"/>
        </w:tabs>
        <w:spacing w:after="120"/>
        <w:ind w:left="1500" w:hanging="360"/>
      </w:pPr>
      <w:r w:rsidRPr="00C95A94">
        <w:t>F.</w:t>
      </w:r>
      <w:r w:rsidRPr="00C95A94">
        <w:tab/>
      </w:r>
      <w:r w:rsidR="00C95A94" w:rsidRPr="00C95A94">
        <w:t>Consultations on the basis of the environmental impact assessment documentation</w:t>
      </w:r>
      <w:r w:rsidR="00C95A94" w:rsidRPr="00C95A94">
        <w:tab/>
      </w:r>
      <w:r w:rsidR="00C95A94" w:rsidRPr="00C95A94">
        <w:tab/>
        <w:t>9</w:t>
      </w:r>
    </w:p>
    <w:p w14:paraId="1D3DCDC6" w14:textId="310DD7EE" w:rsidR="00C95A94" w:rsidRPr="00C95A94" w:rsidRDefault="00F867D5" w:rsidP="00F867D5">
      <w:pPr>
        <w:tabs>
          <w:tab w:val="right" w:pos="850"/>
          <w:tab w:val="left" w:pos="1134"/>
          <w:tab w:val="left" w:pos="1559"/>
          <w:tab w:val="left" w:pos="1984"/>
          <w:tab w:val="left" w:leader="dot" w:pos="8929"/>
          <w:tab w:val="right" w:pos="9638"/>
        </w:tabs>
        <w:spacing w:after="120"/>
        <w:ind w:left="1500" w:hanging="360"/>
      </w:pPr>
      <w:r w:rsidRPr="00C95A94">
        <w:t>G.</w:t>
      </w:r>
      <w:r w:rsidRPr="00C95A94">
        <w:tab/>
      </w:r>
      <w:r w:rsidR="00C95A94" w:rsidRPr="00C95A94">
        <w:t>Final decision</w:t>
      </w:r>
      <w:r w:rsidR="00C95A94" w:rsidRPr="00C95A94">
        <w:tab/>
      </w:r>
      <w:r w:rsidR="00C95A94" w:rsidRPr="00C95A94">
        <w:tab/>
        <w:t>10</w:t>
      </w:r>
    </w:p>
    <w:p w14:paraId="264FE59D" w14:textId="4B3D7C54" w:rsidR="00C95A94" w:rsidRPr="00C95A94" w:rsidRDefault="00F867D5" w:rsidP="00F867D5">
      <w:pPr>
        <w:tabs>
          <w:tab w:val="right" w:pos="850"/>
          <w:tab w:val="left" w:pos="1134"/>
          <w:tab w:val="left" w:pos="1559"/>
          <w:tab w:val="left" w:pos="1984"/>
          <w:tab w:val="left" w:leader="dot" w:pos="8929"/>
          <w:tab w:val="right" w:pos="9638"/>
        </w:tabs>
        <w:spacing w:after="120"/>
        <w:ind w:left="1500" w:hanging="360"/>
      </w:pPr>
      <w:r w:rsidRPr="00C95A94">
        <w:t>H.</w:t>
      </w:r>
      <w:r w:rsidRPr="00C95A94">
        <w:tab/>
      </w:r>
      <w:r w:rsidR="00C95A94" w:rsidRPr="00C95A94">
        <w:t>Post</w:t>
      </w:r>
      <w:r w:rsidR="0033213E">
        <w:t>-</w:t>
      </w:r>
      <w:r w:rsidR="00C95A94" w:rsidRPr="00C95A94">
        <w:t>project analysis</w:t>
      </w:r>
      <w:r w:rsidR="00C95A94" w:rsidRPr="00C95A94">
        <w:tab/>
      </w:r>
      <w:r w:rsidR="00C95A94" w:rsidRPr="00C95A94">
        <w:tab/>
        <w:t>11</w:t>
      </w:r>
    </w:p>
    <w:p w14:paraId="2FABA1AE" w14:textId="5B65B31C" w:rsidR="00C95A94" w:rsidRPr="00C95A94" w:rsidRDefault="00F867D5" w:rsidP="00F867D5">
      <w:pPr>
        <w:tabs>
          <w:tab w:val="right" w:pos="850"/>
          <w:tab w:val="left" w:pos="1134"/>
          <w:tab w:val="left" w:pos="1559"/>
          <w:tab w:val="left" w:pos="1984"/>
          <w:tab w:val="left" w:leader="dot" w:pos="8929"/>
          <w:tab w:val="right" w:pos="9638"/>
        </w:tabs>
        <w:spacing w:after="120"/>
        <w:ind w:left="1500" w:hanging="360"/>
      </w:pPr>
      <w:r w:rsidRPr="00C95A94">
        <w:t>I.</w:t>
      </w:r>
      <w:r w:rsidRPr="00C95A94">
        <w:tab/>
      </w:r>
      <w:r w:rsidR="00C95A94" w:rsidRPr="00C95A94">
        <w:t>Bilateral and multilateral cooperation</w:t>
      </w:r>
      <w:r w:rsidR="00C95A94" w:rsidRPr="00C95A94">
        <w:tab/>
      </w:r>
      <w:r w:rsidR="00C95A94" w:rsidRPr="00C95A94">
        <w:tab/>
        <w:t>11</w:t>
      </w:r>
    </w:p>
    <w:p w14:paraId="599969DD" w14:textId="08A3C5B9" w:rsidR="000D2AFD" w:rsidRDefault="000D2AFD" w:rsidP="000D2AFD">
      <w:pPr>
        <w:tabs>
          <w:tab w:val="right" w:pos="850"/>
          <w:tab w:val="left" w:pos="1134"/>
          <w:tab w:val="left" w:pos="1559"/>
          <w:tab w:val="left" w:pos="1984"/>
          <w:tab w:val="left" w:leader="dot" w:pos="8929"/>
          <w:tab w:val="right" w:pos="9638"/>
        </w:tabs>
        <w:spacing w:after="120"/>
      </w:pPr>
      <w:r w:rsidRPr="00C95A94">
        <w:tab/>
        <w:t>I</w:t>
      </w:r>
      <w:r w:rsidR="00FA482A">
        <w:t>II</w:t>
      </w:r>
      <w:r w:rsidRPr="00C95A94">
        <w:t>.</w:t>
      </w:r>
      <w:r w:rsidRPr="00C95A94">
        <w:tab/>
        <w:t>Practical application and experiences</w:t>
      </w:r>
      <w:r w:rsidRPr="00C95A94">
        <w:tab/>
      </w:r>
      <w:r w:rsidRPr="00C95A94">
        <w:tab/>
        <w:t>1</w:t>
      </w:r>
      <w:r w:rsidR="00484004">
        <w:t>3</w:t>
      </w:r>
    </w:p>
    <w:p w14:paraId="0EF4B7E6" w14:textId="27DF4AAF" w:rsidR="00622E4E" w:rsidRDefault="00622E4E" w:rsidP="00A46F13">
      <w:pPr>
        <w:tabs>
          <w:tab w:val="right" w:pos="850"/>
          <w:tab w:val="left" w:pos="1134"/>
          <w:tab w:val="left" w:pos="1559"/>
          <w:tab w:val="left" w:pos="1984"/>
          <w:tab w:val="left" w:leader="dot" w:pos="8929"/>
          <w:tab w:val="right" w:pos="9638"/>
        </w:tabs>
      </w:pPr>
      <w:r>
        <w:tab/>
      </w:r>
      <w:r>
        <w:tab/>
      </w:r>
      <w:r w:rsidR="00A46F13">
        <w:t>A.</w:t>
      </w:r>
      <w:r w:rsidR="00A46F13">
        <w:tab/>
      </w:r>
      <w:r w:rsidR="00A46F13" w:rsidRPr="00A46F13">
        <w:t>Translation of environmental impact assessment documentation</w:t>
      </w:r>
      <w:r w:rsidR="00A46F13">
        <w:tab/>
      </w:r>
      <w:r w:rsidR="00A46F13">
        <w:tab/>
        <w:t>13</w:t>
      </w:r>
    </w:p>
    <w:p w14:paraId="3C40DD23" w14:textId="0DE50D7F" w:rsidR="00A46F13" w:rsidRDefault="00A46F13" w:rsidP="00A46F13">
      <w:pPr>
        <w:tabs>
          <w:tab w:val="right" w:pos="850"/>
          <w:tab w:val="left" w:pos="1134"/>
          <w:tab w:val="left" w:pos="1559"/>
          <w:tab w:val="left" w:pos="1984"/>
          <w:tab w:val="left" w:leader="dot" w:pos="8929"/>
          <w:tab w:val="right" w:pos="9638"/>
        </w:tabs>
        <w:ind w:left="1559" w:hanging="1559"/>
      </w:pPr>
      <w:r>
        <w:tab/>
      </w:r>
      <w:r>
        <w:tab/>
        <w:t>B.</w:t>
      </w:r>
      <w:r>
        <w:tab/>
        <w:t>Difficulties experienced during public participation procedures and consultations on</w:t>
      </w:r>
      <w:r>
        <w:br/>
        <w:t>environmental impact assessment documentation</w:t>
      </w:r>
      <w:r>
        <w:tab/>
      </w:r>
      <w:r>
        <w:tab/>
        <w:t>14</w:t>
      </w:r>
    </w:p>
    <w:p w14:paraId="5A9AF797" w14:textId="7B420204" w:rsidR="00A46F13" w:rsidRDefault="00A46F13" w:rsidP="00A46F13">
      <w:pPr>
        <w:tabs>
          <w:tab w:val="right" w:pos="850"/>
          <w:tab w:val="left" w:pos="1134"/>
          <w:tab w:val="left" w:pos="1559"/>
          <w:tab w:val="left" w:pos="1984"/>
          <w:tab w:val="left" w:leader="dot" w:pos="8929"/>
          <w:tab w:val="right" w:pos="9638"/>
        </w:tabs>
        <w:ind w:left="1559" w:hanging="1559"/>
      </w:pPr>
      <w:r>
        <w:tab/>
      </w:r>
      <w:r>
        <w:tab/>
        <w:t>C.</w:t>
      </w:r>
      <w:r>
        <w:tab/>
      </w:r>
      <w:r w:rsidRPr="00A46F13">
        <w:t>Case studies and good practice examples</w:t>
      </w:r>
      <w:r>
        <w:tab/>
      </w:r>
      <w:r>
        <w:tab/>
        <w:t>15</w:t>
      </w:r>
    </w:p>
    <w:p w14:paraId="2E544233" w14:textId="274378F6" w:rsidR="00A46F13" w:rsidRDefault="00A46F13" w:rsidP="00A46F13">
      <w:pPr>
        <w:tabs>
          <w:tab w:val="right" w:pos="850"/>
          <w:tab w:val="left" w:pos="1134"/>
          <w:tab w:val="left" w:pos="1559"/>
          <w:tab w:val="left" w:pos="1984"/>
          <w:tab w:val="left" w:leader="dot" w:pos="8929"/>
          <w:tab w:val="right" w:pos="9638"/>
        </w:tabs>
        <w:ind w:left="1559" w:hanging="1559"/>
      </w:pPr>
      <w:r>
        <w:tab/>
      </w:r>
      <w:r>
        <w:tab/>
        <w:t>D.</w:t>
      </w:r>
      <w:r>
        <w:tab/>
      </w:r>
      <w:r w:rsidRPr="00A46F13">
        <w:t>Post</w:t>
      </w:r>
      <w:r w:rsidR="0033213E">
        <w:t>-</w:t>
      </w:r>
      <w:r w:rsidRPr="00A46F13">
        <w:t>project analyses</w:t>
      </w:r>
      <w:r>
        <w:tab/>
      </w:r>
      <w:r>
        <w:tab/>
        <w:t>16</w:t>
      </w:r>
    </w:p>
    <w:p w14:paraId="6CFA733F" w14:textId="2BC12A5E" w:rsidR="00A46F13" w:rsidRDefault="00A46F13" w:rsidP="00A46F13">
      <w:pPr>
        <w:tabs>
          <w:tab w:val="right" w:pos="850"/>
          <w:tab w:val="left" w:pos="1134"/>
          <w:tab w:val="left" w:pos="1559"/>
          <w:tab w:val="left" w:pos="1984"/>
          <w:tab w:val="left" w:leader="dot" w:pos="8929"/>
          <w:tab w:val="right" w:pos="9638"/>
        </w:tabs>
        <w:ind w:left="1559" w:hanging="1559"/>
      </w:pPr>
      <w:r>
        <w:tab/>
      </w:r>
      <w:r>
        <w:tab/>
        <w:t>E.</w:t>
      </w:r>
      <w:r>
        <w:tab/>
      </w:r>
      <w:r w:rsidRPr="00A46F13">
        <w:t>Experience in using guidanc</w:t>
      </w:r>
      <w:r>
        <w:t>e</w:t>
      </w:r>
      <w:r>
        <w:tab/>
      </w:r>
      <w:r>
        <w:tab/>
        <w:t>16</w:t>
      </w:r>
    </w:p>
    <w:p w14:paraId="2C833045" w14:textId="1D05BB2C" w:rsidR="00A46F13" w:rsidRDefault="00A46F13" w:rsidP="00A46F13">
      <w:pPr>
        <w:tabs>
          <w:tab w:val="right" w:pos="850"/>
          <w:tab w:val="left" w:pos="1134"/>
          <w:tab w:val="left" w:pos="1559"/>
          <w:tab w:val="left" w:pos="1984"/>
          <w:tab w:val="left" w:leader="dot" w:pos="8929"/>
          <w:tab w:val="right" w:pos="9638"/>
        </w:tabs>
        <w:spacing w:after="120"/>
        <w:ind w:left="1559" w:hanging="1559"/>
      </w:pPr>
      <w:r>
        <w:tab/>
      </w:r>
      <w:r>
        <w:tab/>
        <w:t>F.</w:t>
      </w:r>
      <w:r>
        <w:tab/>
      </w:r>
      <w:r w:rsidRPr="00A46F13">
        <w:t>Difficulties in implementing the Convention</w:t>
      </w:r>
      <w:r>
        <w:tab/>
      </w:r>
      <w:r>
        <w:tab/>
        <w:t>17</w:t>
      </w:r>
    </w:p>
    <w:p w14:paraId="6D7F1854" w14:textId="2BCFB4D6" w:rsidR="000D2AFD" w:rsidRDefault="000D2AFD" w:rsidP="00A46F13">
      <w:pPr>
        <w:tabs>
          <w:tab w:val="right" w:pos="850"/>
          <w:tab w:val="left" w:pos="1134"/>
          <w:tab w:val="left" w:pos="1559"/>
          <w:tab w:val="left" w:pos="1984"/>
          <w:tab w:val="left" w:leader="dot" w:pos="8929"/>
          <w:tab w:val="right" w:pos="9638"/>
        </w:tabs>
        <w:spacing w:after="120"/>
      </w:pPr>
      <w:r>
        <w:tab/>
      </w:r>
      <w:r w:rsidR="00FA482A">
        <w:t>I</w:t>
      </w:r>
      <w:r>
        <w:t>V.</w:t>
      </w:r>
      <w:r>
        <w:tab/>
      </w:r>
      <w:r w:rsidRPr="00514F24">
        <w:t>Conclusions</w:t>
      </w:r>
      <w:r>
        <w:tab/>
      </w:r>
      <w:r>
        <w:tab/>
        <w:t>1</w:t>
      </w:r>
      <w:r w:rsidR="00E13394">
        <w:t>8</w:t>
      </w:r>
    </w:p>
    <w:p w14:paraId="3FD52E93" w14:textId="1EC95CFA" w:rsidR="00C32A62" w:rsidRDefault="00C32A62" w:rsidP="00002E85">
      <w:pPr>
        <w:tabs>
          <w:tab w:val="right" w:pos="850"/>
          <w:tab w:val="left" w:pos="1134"/>
          <w:tab w:val="left" w:pos="1559"/>
          <w:tab w:val="left" w:pos="1984"/>
          <w:tab w:val="left" w:leader="dot" w:pos="8929"/>
          <w:tab w:val="right" w:pos="9638"/>
        </w:tabs>
        <w:spacing w:after="120"/>
      </w:pPr>
      <w:r>
        <w:br w:type="page"/>
      </w:r>
    </w:p>
    <w:p w14:paraId="64E5BF21" w14:textId="072F5696" w:rsidR="00A22991" w:rsidRPr="0086535A" w:rsidRDefault="00C32A62" w:rsidP="00F23C4F">
      <w:pPr>
        <w:pStyle w:val="HChG"/>
      </w:pPr>
      <w:r>
        <w:lastRenderedPageBreak/>
        <w:tab/>
      </w:r>
      <w:bookmarkStart w:id="1" w:name="_Toc13428231"/>
      <w:r w:rsidR="00FA482A">
        <w:tab/>
      </w:r>
      <w:r w:rsidR="00A22991" w:rsidRPr="0086535A">
        <w:t>Introduction</w:t>
      </w:r>
      <w:bookmarkEnd w:id="1"/>
    </w:p>
    <w:p w14:paraId="5CE24C46" w14:textId="78B9DDAA" w:rsidR="00A22991" w:rsidRPr="0086535A" w:rsidRDefault="00011283" w:rsidP="00A22991">
      <w:pPr>
        <w:pStyle w:val="SingleTxtG"/>
      </w:pPr>
      <w:r>
        <w:t>1</w:t>
      </w:r>
      <w:r w:rsidR="00A22991" w:rsidRPr="0086535A">
        <w:t>.</w:t>
      </w:r>
      <w:r w:rsidR="00A22991" w:rsidRPr="0086535A">
        <w:tab/>
        <w:t xml:space="preserve">This report presents the </w:t>
      </w:r>
      <w:r w:rsidR="00307387">
        <w:t xml:space="preserve">draft </w:t>
      </w:r>
      <w:r w:rsidR="00BA7AC9">
        <w:t>s</w:t>
      </w:r>
      <w:r w:rsidR="00A22991" w:rsidRPr="0086535A">
        <w:t xml:space="preserve">ixth </w:t>
      </w:r>
      <w:r w:rsidR="006A7037">
        <w:t>r</w:t>
      </w:r>
      <w:r w:rsidR="006A7037" w:rsidRPr="0086535A">
        <w:t xml:space="preserve">eview </w:t>
      </w:r>
      <w:r w:rsidR="00A22991" w:rsidRPr="0086535A">
        <w:t xml:space="preserve">of </w:t>
      </w:r>
      <w:r w:rsidR="00BA7AC9">
        <w:t xml:space="preserve">the </w:t>
      </w:r>
      <w:r w:rsidR="006A7037">
        <w:t>i</w:t>
      </w:r>
      <w:r w:rsidR="006A7037" w:rsidRPr="0086535A">
        <w:t xml:space="preserve">mplementation </w:t>
      </w:r>
      <w:r w:rsidR="00A22991" w:rsidRPr="0086535A">
        <w:t>of the Convention on Environmental Impact Assessment in a Transboundary Context</w:t>
      </w:r>
      <w:r w:rsidR="0097588A">
        <w:t xml:space="preserve"> (Espoo Convention)</w:t>
      </w:r>
      <w:r w:rsidR="00A22991" w:rsidRPr="0086535A">
        <w:t>. It examines responses to a questionnaire on the Parties’ implementation of the Convention and their practical experiences with th</w:t>
      </w:r>
      <w:r w:rsidR="00BA7AC9">
        <w:t>e</w:t>
      </w:r>
      <w:r w:rsidR="0097588A">
        <w:t xml:space="preserve"> </w:t>
      </w:r>
      <w:r w:rsidR="00A22991" w:rsidRPr="0086535A">
        <w:t xml:space="preserve">Convention </w:t>
      </w:r>
      <w:r w:rsidR="00BA7AC9">
        <w:t>from</w:t>
      </w:r>
      <w:r w:rsidR="00BA7AC9" w:rsidRPr="0086535A">
        <w:t xml:space="preserve"> </w:t>
      </w:r>
      <w:r w:rsidR="00A22991" w:rsidRPr="0086535A">
        <w:t>2016</w:t>
      </w:r>
      <w:r w:rsidR="00BA7AC9">
        <w:t xml:space="preserve"> to </w:t>
      </w:r>
      <w:r w:rsidR="00A22991" w:rsidRPr="0086535A">
        <w:t>2018</w:t>
      </w:r>
      <w:r w:rsidR="00BA7AC9">
        <w:t>,</w:t>
      </w:r>
      <w:r w:rsidR="0094060A">
        <w:t xml:space="preserve"> with a view to </w:t>
      </w:r>
      <w:r w:rsidR="0094060A" w:rsidRPr="0094060A">
        <w:t>enhanc</w:t>
      </w:r>
      <w:r w:rsidR="00BA7AC9">
        <w:t>ing</w:t>
      </w:r>
      <w:r w:rsidR="0094060A" w:rsidRPr="0094060A">
        <w:t xml:space="preserve"> the implementation of, and compliance with</w:t>
      </w:r>
      <w:r w:rsidR="00BA7AC9">
        <w:t>,</w:t>
      </w:r>
      <w:r w:rsidR="0094060A" w:rsidRPr="0094060A">
        <w:t xml:space="preserve"> the legal provisions of the Convention</w:t>
      </w:r>
      <w:r w:rsidR="00A22991" w:rsidRPr="0086535A">
        <w:t xml:space="preserve">. </w:t>
      </w:r>
    </w:p>
    <w:p w14:paraId="7094F9DC" w14:textId="0AAFEF05" w:rsidR="00A22991" w:rsidRPr="0086535A" w:rsidRDefault="00011283" w:rsidP="00A22991">
      <w:pPr>
        <w:pStyle w:val="SingleTxtG"/>
      </w:pPr>
      <w:r>
        <w:t>2</w:t>
      </w:r>
      <w:r w:rsidR="00A22991" w:rsidRPr="0086535A">
        <w:t>.</w:t>
      </w:r>
      <w:r w:rsidR="00A22991" w:rsidRPr="0086535A">
        <w:tab/>
        <w:t>The report is structured as follows</w:t>
      </w:r>
      <w:r w:rsidR="00BA7AC9">
        <w:t>: section I, containing an outline of</w:t>
      </w:r>
      <w:r w:rsidR="00A22991" w:rsidRPr="0086535A">
        <w:t xml:space="preserve"> </w:t>
      </w:r>
      <w:r w:rsidR="00BA7AC9">
        <w:t>t</w:t>
      </w:r>
      <w:r w:rsidR="00A22991" w:rsidRPr="0086535A">
        <w:t xml:space="preserve">he methodology underpinning the </w:t>
      </w:r>
      <w:r w:rsidR="00BA7AC9">
        <w:t>s</w:t>
      </w:r>
      <w:r w:rsidR="00A22991" w:rsidRPr="0086535A">
        <w:t xml:space="preserve">ixth </w:t>
      </w:r>
      <w:r w:rsidR="00BA7AC9">
        <w:t>r</w:t>
      </w:r>
      <w:r w:rsidR="00A22991" w:rsidRPr="0086535A">
        <w:t>eview</w:t>
      </w:r>
      <w:r w:rsidR="00BA7AC9">
        <w:t xml:space="preserve">; </w:t>
      </w:r>
      <w:r w:rsidR="00A22991" w:rsidRPr="0086535A">
        <w:t xml:space="preserve">section </w:t>
      </w:r>
      <w:r w:rsidR="00BA7AC9">
        <w:t>II</w:t>
      </w:r>
      <w:r w:rsidR="00A22991" w:rsidRPr="0086535A">
        <w:t xml:space="preserve">, </w:t>
      </w:r>
      <w:r w:rsidR="00BA7AC9">
        <w:t xml:space="preserve">comprising </w:t>
      </w:r>
      <w:r w:rsidR="00A22991" w:rsidRPr="0086535A">
        <w:t>a review of certain aspects of the Parties’ domestic legal and administrative frameworks implementing the Convention</w:t>
      </w:r>
      <w:r w:rsidR="00BA7AC9">
        <w:t>;</w:t>
      </w:r>
      <w:r w:rsidR="00A22991" w:rsidRPr="0086535A">
        <w:t xml:space="preserve"> section </w:t>
      </w:r>
      <w:r w:rsidR="00BA7AC9">
        <w:t>I</w:t>
      </w:r>
      <w:r w:rsidR="00FA482A">
        <w:t>II</w:t>
      </w:r>
      <w:r w:rsidR="00BA7AC9">
        <w:t>, containing</w:t>
      </w:r>
      <w:r w:rsidR="00A22991" w:rsidRPr="0086535A">
        <w:t xml:space="preserve"> a review of the Parties’ practical application of, and experiences with, the Convention during the survey period</w:t>
      </w:r>
      <w:r w:rsidR="00BA7AC9">
        <w:t xml:space="preserve">; and section </w:t>
      </w:r>
      <w:r w:rsidR="00FA482A">
        <w:t>I</w:t>
      </w:r>
      <w:r w:rsidR="00BA7AC9">
        <w:t>V, containing</w:t>
      </w:r>
      <w:r w:rsidR="00A22991" w:rsidRPr="0086535A">
        <w:t xml:space="preserve"> a summary of the </w:t>
      </w:r>
      <w:r w:rsidR="0047472E">
        <w:t>conclusions</w:t>
      </w:r>
      <w:r w:rsidR="00A22991" w:rsidRPr="0086535A">
        <w:t xml:space="preserve"> of the </w:t>
      </w:r>
      <w:r w:rsidR="00BA7AC9">
        <w:t>s</w:t>
      </w:r>
      <w:r w:rsidR="00A22991" w:rsidRPr="0086535A">
        <w:t xml:space="preserve">ixth </w:t>
      </w:r>
      <w:r w:rsidR="00BA7AC9">
        <w:t>r</w:t>
      </w:r>
      <w:r w:rsidR="00A22991" w:rsidRPr="0086535A">
        <w:t xml:space="preserve">eview of </w:t>
      </w:r>
      <w:r w:rsidR="00BA7AC9">
        <w:t>i</w:t>
      </w:r>
      <w:r w:rsidR="00A22991" w:rsidRPr="0086535A">
        <w:t>mplementation.</w:t>
      </w:r>
    </w:p>
    <w:p w14:paraId="1E42645C" w14:textId="7CFC80EA" w:rsidR="00A22991" w:rsidRPr="00A22991" w:rsidRDefault="00A22991" w:rsidP="00A22991">
      <w:pPr>
        <w:pStyle w:val="HChG"/>
      </w:pPr>
      <w:bookmarkStart w:id="2" w:name="_Toc13428232"/>
      <w:r>
        <w:tab/>
      </w:r>
      <w:r w:rsidRPr="00A22991">
        <w:t>I.</w:t>
      </w:r>
      <w:r>
        <w:tab/>
      </w:r>
      <w:r w:rsidRPr="00A22991">
        <w:t>Methodology</w:t>
      </w:r>
      <w:bookmarkEnd w:id="2"/>
    </w:p>
    <w:p w14:paraId="7410E593" w14:textId="0A026EC2" w:rsidR="00A22991" w:rsidRPr="00A22991" w:rsidRDefault="00011283" w:rsidP="00A22991">
      <w:pPr>
        <w:pStyle w:val="SingleTxtG"/>
      </w:pPr>
      <w:r>
        <w:t>3</w:t>
      </w:r>
      <w:r w:rsidR="00A22991" w:rsidRPr="00A22991">
        <w:t>.</w:t>
      </w:r>
      <w:r w:rsidR="00A22991" w:rsidRPr="00A22991">
        <w:tab/>
        <w:t xml:space="preserve">The </w:t>
      </w:r>
      <w:r w:rsidR="00307387">
        <w:t xml:space="preserve">draft </w:t>
      </w:r>
      <w:r w:rsidR="00FA482A">
        <w:t>s</w:t>
      </w:r>
      <w:r w:rsidR="00A22991" w:rsidRPr="00A22991">
        <w:t xml:space="preserve">ixth </w:t>
      </w:r>
      <w:r w:rsidR="006A7037">
        <w:t>r</w:t>
      </w:r>
      <w:r w:rsidR="006A7037" w:rsidRPr="00A22991">
        <w:t xml:space="preserve">eview </w:t>
      </w:r>
      <w:r w:rsidR="00A22991" w:rsidRPr="00A22991">
        <w:t xml:space="preserve">of </w:t>
      </w:r>
      <w:r w:rsidR="006A7037">
        <w:t>i</w:t>
      </w:r>
      <w:r w:rsidR="006A7037" w:rsidRPr="00A22991">
        <w:t xml:space="preserve">mplementation </w:t>
      </w:r>
      <w:r w:rsidR="00A22991" w:rsidRPr="00A22991">
        <w:t>of the Convention was prepared in line with the workplan adopted by the Meeting of the Parties at its seventh session (ECE/MP.EIA/23.Add.1–ECE/MP.EIA/SEA/7.Add.1. decision VII/</w:t>
      </w:r>
      <w:r w:rsidR="006B26D4">
        <w:t>1, para. 11</w:t>
      </w:r>
      <w:r w:rsidR="00A22991" w:rsidRPr="00A22991">
        <w:t xml:space="preserve">). Parties reported on their implementation and practical experiences by completing a questionnaire produced by the Implementation Committee and approved by the Working Group on Environmental Impact Assessment and Strategic Environmental </w:t>
      </w:r>
      <w:r w:rsidR="007233C7">
        <w:t>A</w:t>
      </w:r>
      <w:r w:rsidR="00A22991" w:rsidRPr="00A22991">
        <w:t xml:space="preserve">ssessment. Both blank (in English, French and Russian) and completed versions of the questionnaires are available on the </w:t>
      </w:r>
      <w:r w:rsidR="006B26D4">
        <w:t xml:space="preserve">Convention </w:t>
      </w:r>
      <w:r w:rsidR="00A22991" w:rsidRPr="00A22991">
        <w:t>website</w:t>
      </w:r>
      <w:bookmarkStart w:id="3" w:name="_Ref9933233"/>
      <w:r w:rsidR="00FA482A">
        <w:t>.</w:t>
      </w:r>
      <w:r w:rsidR="00A22991" w:rsidRPr="00C47C9B">
        <w:rPr>
          <w:vertAlign w:val="superscript"/>
        </w:rPr>
        <w:footnoteReference w:id="2"/>
      </w:r>
      <w:bookmarkEnd w:id="3"/>
    </w:p>
    <w:p w14:paraId="47443588" w14:textId="261B262B" w:rsidR="00A22991" w:rsidRPr="00A22991" w:rsidRDefault="00011283" w:rsidP="00A22991">
      <w:pPr>
        <w:pStyle w:val="SingleTxtG"/>
      </w:pPr>
      <w:r>
        <w:t>4</w:t>
      </w:r>
      <w:r w:rsidR="00A22991" w:rsidRPr="00A22991">
        <w:t>.</w:t>
      </w:r>
      <w:r w:rsidR="00A22991" w:rsidRPr="00A22991">
        <w:tab/>
        <w:t>Based on the completed questionnaires received by 2 July 2019, the secretariat, with the assistance of a consultant, prepared a draft review for consideration by the Implementation Committee at its forty-fifth session (Geneva, 10</w:t>
      </w:r>
      <w:r w:rsidR="00BA7AC9">
        <w:t>–</w:t>
      </w:r>
      <w:r w:rsidR="00A22991" w:rsidRPr="00A22991">
        <w:t>13 September 2019) and the Working Group on Environmental Impact Assessment and Strategic Environmental Assessment at its eighth meeting (Geneva, 26</w:t>
      </w:r>
      <w:r w:rsidR="00BA7AC9">
        <w:t>–</w:t>
      </w:r>
      <w:r w:rsidR="00A22991" w:rsidRPr="00A22991">
        <w:t>28 November 2019). The draft review will then be finalized</w:t>
      </w:r>
      <w:r w:rsidR="00A71CB8">
        <w:t>,</w:t>
      </w:r>
      <w:r w:rsidR="00A22991" w:rsidRPr="00A22991">
        <w:t xml:space="preserve"> taking into account any comments made by the Parties during and after the eighth meeting of the Working Group.</w:t>
      </w:r>
    </w:p>
    <w:p w14:paraId="1EC6896F" w14:textId="55005FCA" w:rsidR="00A22991" w:rsidRPr="00A22991" w:rsidRDefault="00011283" w:rsidP="00A22991">
      <w:pPr>
        <w:pStyle w:val="SingleTxtG"/>
      </w:pPr>
      <w:r>
        <w:t>5</w:t>
      </w:r>
      <w:r w:rsidR="00A22991" w:rsidRPr="00A22991">
        <w:t>.</w:t>
      </w:r>
      <w:r w:rsidR="00A22991" w:rsidRPr="00A22991">
        <w:tab/>
        <w:t>Only 50 per cent of the Parties reported by the deadline of 31 March 2019. By 2 July 2019</w:t>
      </w:r>
      <w:r w:rsidR="00BE6D28">
        <w:t>,</w:t>
      </w:r>
      <w:r w:rsidR="00A22991" w:rsidRPr="00A22991">
        <w:t xml:space="preserve"> completed questionnaires had been received from 42 of the 45 Parties to the Convention. The completed questionnaire submitted for Belgium contained the responses from four administrative entities: the </w:t>
      </w:r>
      <w:bookmarkStart w:id="4" w:name="_Hlk18674421"/>
      <w:r w:rsidR="00A22991" w:rsidRPr="00A22991">
        <w:t xml:space="preserve">Flemish, Walloon and Brussels Capital </w:t>
      </w:r>
      <w:bookmarkEnd w:id="4"/>
      <w:r w:rsidR="00A22991" w:rsidRPr="00A22991">
        <w:t>Regions and the Federal Government. The responses submitted by these four administrative entities</w:t>
      </w:r>
      <w:r w:rsidR="004D72A3">
        <w:t xml:space="preserve"> varied significantly</w:t>
      </w:r>
      <w:r w:rsidR="00A22991" w:rsidRPr="00A22991">
        <w:t xml:space="preserve">. Therefore, as was the practice in the </w:t>
      </w:r>
      <w:r w:rsidR="00BE6D28">
        <w:t>f</w:t>
      </w:r>
      <w:r w:rsidR="00A22991" w:rsidRPr="00A22991">
        <w:t xml:space="preserve">ifth </w:t>
      </w:r>
      <w:r w:rsidR="006A7037">
        <w:t>r</w:t>
      </w:r>
      <w:r w:rsidR="006A7037" w:rsidRPr="00A22991">
        <w:t xml:space="preserve">eview </w:t>
      </w:r>
      <w:r w:rsidR="00A22991" w:rsidRPr="00A22991">
        <w:t xml:space="preserve">of </w:t>
      </w:r>
      <w:r w:rsidR="006A7037">
        <w:t>i</w:t>
      </w:r>
      <w:r w:rsidR="006A7037" w:rsidRPr="00A22991">
        <w:t>mplementation</w:t>
      </w:r>
      <w:r w:rsidR="00A22991" w:rsidRPr="00A22991">
        <w:t>, the data from all of these administrative entities has been included in the results presented in th</w:t>
      </w:r>
      <w:r w:rsidR="00BE6D28">
        <w:t>e present</w:t>
      </w:r>
      <w:r w:rsidR="00A22991" w:rsidRPr="00A22991">
        <w:t xml:space="preserve"> report. While the completed questionnaire submitted for Bosnia and Herzegovina contained responses from two administrative entities, there were few variations in their responses and only a single response has been included in the analyses.</w:t>
      </w:r>
    </w:p>
    <w:p w14:paraId="419337CC" w14:textId="65AC3E29" w:rsidR="00A22991" w:rsidRPr="00A22991" w:rsidRDefault="00011283" w:rsidP="00A22991">
      <w:pPr>
        <w:pStyle w:val="SingleTxtG"/>
      </w:pPr>
      <w:r>
        <w:t>6</w:t>
      </w:r>
      <w:r w:rsidR="00A22991" w:rsidRPr="00A22991">
        <w:t>.</w:t>
      </w:r>
      <w:r w:rsidR="00A22991" w:rsidRPr="00A22991">
        <w:tab/>
        <w:t>Georgia is not currently a Party to the Convention</w:t>
      </w:r>
      <w:r w:rsidR="00BE6D28">
        <w:t>;</w:t>
      </w:r>
      <w:r w:rsidR="00A22991" w:rsidRPr="00A22991">
        <w:t xml:space="preserve"> nevertheless</w:t>
      </w:r>
      <w:r w:rsidR="00BE6D28">
        <w:t>,</w:t>
      </w:r>
      <w:r w:rsidR="00A22991" w:rsidRPr="00A22991">
        <w:t xml:space="preserve"> it submitted a completed questionnaire</w:t>
      </w:r>
      <w:r w:rsidR="00A22991" w:rsidRPr="001E57DE">
        <w:t xml:space="preserve">. Georgia has made considerable progress in aligning </w:t>
      </w:r>
      <w:r w:rsidR="001E57DE" w:rsidRPr="001E57DE">
        <w:t xml:space="preserve">its </w:t>
      </w:r>
      <w:r w:rsidR="00A22991" w:rsidRPr="00A15B36">
        <w:t xml:space="preserve">domestic legislation with the </w:t>
      </w:r>
      <w:r w:rsidR="00BE6D28">
        <w:t xml:space="preserve">Convention’s </w:t>
      </w:r>
      <w:r w:rsidR="00A22991" w:rsidRPr="00A15B36">
        <w:t xml:space="preserve">requirements. </w:t>
      </w:r>
      <w:r w:rsidR="00BE6D28">
        <w:t>Thus</w:t>
      </w:r>
      <w:r w:rsidR="00A22991" w:rsidRPr="00A15B36">
        <w:t>, the data from</w:t>
      </w:r>
      <w:r w:rsidR="00A22991" w:rsidRPr="00A22991">
        <w:t xml:space="preserve"> Georgia are included in the analysis. </w:t>
      </w:r>
    </w:p>
    <w:p w14:paraId="47D06A18" w14:textId="76F2CF90" w:rsidR="00A22991" w:rsidRPr="00A22991" w:rsidRDefault="00011283" w:rsidP="001E57DE">
      <w:pPr>
        <w:pStyle w:val="SingleTxtG"/>
      </w:pPr>
      <w:r>
        <w:t>7</w:t>
      </w:r>
      <w:r w:rsidR="00A22991" w:rsidRPr="00A22991">
        <w:t>.</w:t>
      </w:r>
      <w:r w:rsidR="00A22991" w:rsidRPr="00A22991">
        <w:tab/>
        <w:t xml:space="preserve">At the time of writing, Azerbaijan and Germany have not submitted a completed questionnaire. Furthermore, </w:t>
      </w:r>
      <w:r w:rsidR="001E57DE">
        <w:t>the European Union is a Party to the Convention, but, being a regional economic integration organization, felt it inappropriate to return a completed questionnaire</w:t>
      </w:r>
      <w:r w:rsidR="00A22991" w:rsidRPr="00A22991">
        <w:t xml:space="preserve">. Instead, it sent a letter that explained recent changes to the European Union </w:t>
      </w:r>
      <w:r w:rsidR="00A22991" w:rsidRPr="00A22991">
        <w:lastRenderedPageBreak/>
        <w:t xml:space="preserve">legislation on </w:t>
      </w:r>
      <w:r w:rsidR="004D72A3">
        <w:t>e</w:t>
      </w:r>
      <w:r w:rsidR="00A22991" w:rsidRPr="00A22991">
        <w:t xml:space="preserve">nvironmental </w:t>
      </w:r>
      <w:r w:rsidR="004D72A3">
        <w:t>i</w:t>
      </w:r>
      <w:r w:rsidR="00A22991" w:rsidRPr="00A22991">
        <w:t xml:space="preserve">mpact </w:t>
      </w:r>
      <w:r w:rsidR="004D72A3">
        <w:t>a</w:t>
      </w:r>
      <w:r w:rsidR="00A22991" w:rsidRPr="00A22991">
        <w:t>ssessment</w:t>
      </w:r>
      <w:r w:rsidR="00A22991" w:rsidRPr="00A22991">
        <w:rPr>
          <w:vertAlign w:val="superscript"/>
        </w:rPr>
        <w:footnoteReference w:id="3"/>
      </w:r>
      <w:r w:rsidR="00A22991" w:rsidRPr="00A22991">
        <w:t xml:space="preserve"> and its implementation in the </w:t>
      </w:r>
      <w:r w:rsidR="009055F3">
        <w:t>m</w:t>
      </w:r>
      <w:r w:rsidR="00A22991" w:rsidRPr="00A22991">
        <w:t>ember States.</w:t>
      </w:r>
    </w:p>
    <w:p w14:paraId="21830485" w14:textId="397CF9F1" w:rsidR="00A22991" w:rsidRPr="00A22991" w:rsidRDefault="00011283" w:rsidP="00A22991">
      <w:pPr>
        <w:pStyle w:val="SingleTxtG"/>
      </w:pPr>
      <w:r>
        <w:t>8</w:t>
      </w:r>
      <w:r w:rsidR="00A22991" w:rsidRPr="00A22991">
        <w:t>.</w:t>
      </w:r>
      <w:r w:rsidR="00A22991" w:rsidRPr="00A22991">
        <w:tab/>
        <w:t>Not all Parties answered every question</w:t>
      </w:r>
      <w:r w:rsidR="009055F3">
        <w:t>;</w:t>
      </w:r>
      <w:r w:rsidR="00A22991" w:rsidRPr="00A22991">
        <w:t xml:space="preserve"> consequen</w:t>
      </w:r>
      <w:r w:rsidR="009055F3">
        <w:t>tly</w:t>
      </w:r>
      <w:r w:rsidR="00A22991" w:rsidRPr="00A22991">
        <w:t xml:space="preserve">, the number of responses (i.e. </w:t>
      </w:r>
      <w:r w:rsidR="005B204A">
        <w:t>“</w:t>
      </w:r>
      <w:r w:rsidR="00A22991" w:rsidRPr="00A22991">
        <w:t>n</w:t>
      </w:r>
      <w:r w:rsidR="005B204A">
        <w:t>”</w:t>
      </w:r>
      <w:r w:rsidR="00A22991" w:rsidRPr="00A22991">
        <w:t xml:space="preserve">) </w:t>
      </w:r>
      <w:r w:rsidR="00BB18F9">
        <w:t xml:space="preserve">as reported in the present document </w:t>
      </w:r>
      <w:r w:rsidR="00A22991" w:rsidRPr="00A22991">
        <w:t xml:space="preserve">for individual questions is often </w:t>
      </w:r>
      <w:r w:rsidR="00940494">
        <w:t>fewer</w:t>
      </w:r>
      <w:r w:rsidR="00940494" w:rsidRPr="00A22991">
        <w:t xml:space="preserve"> </w:t>
      </w:r>
      <w:r w:rsidR="00A22991" w:rsidRPr="00A22991">
        <w:t>than the maximum. It should be noted that there are questions where the respondents could provide multiple answers</w:t>
      </w:r>
      <w:r w:rsidR="00143C6A">
        <w:t>. In addition,</w:t>
      </w:r>
      <w:r w:rsidR="00A22991" w:rsidRPr="00A22991">
        <w:t xml:space="preserve"> some Parties provided multiple answers to questions for which the response options are meant to be mutually exclusive. </w:t>
      </w:r>
      <w:r w:rsidR="003F1AB2">
        <w:t>Thus</w:t>
      </w:r>
      <w:r w:rsidR="00A22991" w:rsidRPr="00A22991">
        <w:t>, the total number of data points for a question may exceed the number of respondents, with the maximum number of responses for an individual question being 46.</w:t>
      </w:r>
      <w:r w:rsidR="0094060A">
        <w:t xml:space="preserve"> </w:t>
      </w:r>
      <w:r w:rsidR="00343959">
        <w:t xml:space="preserve">In addition, </w:t>
      </w:r>
      <w:r w:rsidR="004D72A3">
        <w:t xml:space="preserve">the </w:t>
      </w:r>
      <w:r w:rsidR="00343959" w:rsidRPr="002D3949">
        <w:t>responses</w:t>
      </w:r>
      <w:r w:rsidR="00343959">
        <w:t xml:space="preserve"> </w:t>
      </w:r>
      <w:r w:rsidR="004D72A3">
        <w:t xml:space="preserve">of </w:t>
      </w:r>
      <w:r w:rsidR="00343959" w:rsidRPr="002D3949">
        <w:t xml:space="preserve">Kazakhstan, Kyrgyzstan and Serbia </w:t>
      </w:r>
      <w:r w:rsidR="004D72A3" w:rsidRPr="004D72A3">
        <w:t xml:space="preserve">to question I.3. </w:t>
      </w:r>
      <w:r w:rsidR="00343959">
        <w:t>and th</w:t>
      </w:r>
      <w:r w:rsidR="004D72A3">
        <w:t xml:space="preserve">at of </w:t>
      </w:r>
      <w:r w:rsidR="00343959">
        <w:t xml:space="preserve">Malta to question I.23 </w:t>
      </w:r>
      <w:r w:rsidR="00343959" w:rsidRPr="002D3949">
        <w:t>could not be classified.</w:t>
      </w:r>
      <w:r w:rsidR="00343959">
        <w:t xml:space="preserve"> The statistics will be updated after the Working Group meeting</w:t>
      </w:r>
      <w:r w:rsidR="003F1AB2">
        <w:t>,</w:t>
      </w:r>
      <w:r w:rsidR="00343959">
        <w:t xml:space="preserve"> further to the clarifications to be provided by these Parties.</w:t>
      </w:r>
    </w:p>
    <w:p w14:paraId="3A512813" w14:textId="2CF45D1B" w:rsidR="00A22991" w:rsidRPr="00A22991" w:rsidRDefault="00011283" w:rsidP="00A22991">
      <w:pPr>
        <w:pStyle w:val="SingleTxtG"/>
      </w:pPr>
      <w:r>
        <w:t>9</w:t>
      </w:r>
      <w:r w:rsidR="00A22991" w:rsidRPr="00A22991">
        <w:t>.</w:t>
      </w:r>
      <w:r w:rsidR="00A22991" w:rsidRPr="00A22991">
        <w:tab/>
        <w:t xml:space="preserve">Due to limitations </w:t>
      </w:r>
      <w:r w:rsidR="0009612D">
        <w:t xml:space="preserve">placed </w:t>
      </w:r>
      <w:r w:rsidR="00A22991" w:rsidRPr="00A22991">
        <w:t>on the length of this report, supplementary data</w:t>
      </w:r>
      <w:r w:rsidR="00A15B36">
        <w:t>, such as a l</w:t>
      </w:r>
      <w:r w:rsidR="00A15B36" w:rsidRPr="00A15B36">
        <w:t xml:space="preserve">ist of transboundary environmental impact assessment procedures </w:t>
      </w:r>
      <w:r w:rsidR="00BD0866">
        <w:t xml:space="preserve">and schemes for procedural steps </w:t>
      </w:r>
      <w:r w:rsidR="00A15B36">
        <w:t xml:space="preserve">provided by some Parties, </w:t>
      </w:r>
      <w:r w:rsidR="00A22991" w:rsidRPr="00A22991">
        <w:t xml:space="preserve">will be made accessible on the </w:t>
      </w:r>
      <w:r w:rsidR="007760B1">
        <w:t xml:space="preserve">Convention </w:t>
      </w:r>
      <w:r w:rsidR="00A22991" w:rsidRPr="00A22991">
        <w:t xml:space="preserve">website. </w:t>
      </w:r>
    </w:p>
    <w:p w14:paraId="567B3EDD" w14:textId="6457CB1C" w:rsidR="00C47C9B" w:rsidRPr="00C47C9B" w:rsidRDefault="00C47C9B" w:rsidP="00C47C9B">
      <w:pPr>
        <w:pStyle w:val="HChG"/>
      </w:pPr>
      <w:bookmarkStart w:id="5" w:name="_Toc13428233"/>
      <w:r>
        <w:tab/>
      </w:r>
      <w:r w:rsidRPr="00C47C9B">
        <w:t>II.</w:t>
      </w:r>
      <w:r>
        <w:tab/>
      </w:r>
      <w:r w:rsidRPr="00C47C9B">
        <w:t>Review of Parties’ implementation</w:t>
      </w:r>
      <w:bookmarkEnd w:id="5"/>
      <w:r w:rsidRPr="00C47C9B">
        <w:t xml:space="preserve"> </w:t>
      </w:r>
    </w:p>
    <w:p w14:paraId="51277595" w14:textId="6D36DAEF" w:rsidR="00C47C9B" w:rsidRPr="00C47C9B" w:rsidRDefault="00011283" w:rsidP="00C47C9B">
      <w:pPr>
        <w:pStyle w:val="SingleTxtG"/>
      </w:pPr>
      <w:r w:rsidRPr="00C47C9B">
        <w:t>1</w:t>
      </w:r>
      <w:r>
        <w:t>0</w:t>
      </w:r>
      <w:r w:rsidR="00C47C9B" w:rsidRPr="00C47C9B">
        <w:t>.</w:t>
      </w:r>
      <w:r w:rsidR="00C47C9B" w:rsidRPr="00C47C9B">
        <w:tab/>
        <w:t>Th</w:t>
      </w:r>
      <w:r w:rsidR="00E5007B">
        <w:t>e present</w:t>
      </w:r>
      <w:r w:rsidR="00C47C9B" w:rsidRPr="00C47C9B">
        <w:t xml:space="preserve"> section of the report examines the key findings from the first part of the questionnaire, which focuses on the Parties’ domestic legal and administrative framework implementing the Convention.</w:t>
      </w:r>
    </w:p>
    <w:p w14:paraId="71D6B20A" w14:textId="77777777" w:rsidR="00C47C9B" w:rsidRPr="00C47C9B" w:rsidRDefault="00C47C9B" w:rsidP="00C47C9B">
      <w:pPr>
        <w:pStyle w:val="H1G"/>
      </w:pPr>
      <w:bookmarkStart w:id="6" w:name="_Toc13428234"/>
      <w:r>
        <w:tab/>
        <w:t>A.</w:t>
      </w:r>
      <w:r>
        <w:tab/>
      </w:r>
      <w:r w:rsidRPr="00C47C9B">
        <w:t>Definitions of key concepts</w:t>
      </w:r>
      <w:bookmarkEnd w:id="6"/>
    </w:p>
    <w:p w14:paraId="54790C76" w14:textId="2B177662" w:rsidR="00C47C9B" w:rsidRPr="00C47C9B" w:rsidRDefault="00011283" w:rsidP="00C47C9B">
      <w:pPr>
        <w:pStyle w:val="SingleTxtG"/>
      </w:pPr>
      <w:r w:rsidRPr="00C47C9B">
        <w:t>1</w:t>
      </w:r>
      <w:r>
        <w:t>1</w:t>
      </w:r>
      <w:r w:rsidR="00C47C9B" w:rsidRPr="00C47C9B">
        <w:t>.</w:t>
      </w:r>
      <w:r w:rsidR="00C47C9B" w:rsidRPr="00C47C9B">
        <w:tab/>
        <w:t xml:space="preserve">The first two questions in the questionnaire (I.1 and I.2) examine how the Parties define </w:t>
      </w:r>
      <w:r w:rsidR="00E5007B">
        <w:t xml:space="preserve">the terms </w:t>
      </w:r>
      <w:r w:rsidR="00E03D6C">
        <w:t>“</w:t>
      </w:r>
      <w:r w:rsidR="00C47C9B" w:rsidRPr="00C47C9B">
        <w:t>impact</w:t>
      </w:r>
      <w:r w:rsidR="00E03D6C">
        <w:t>”</w:t>
      </w:r>
      <w:r w:rsidR="00C47C9B" w:rsidRPr="00C47C9B">
        <w:t xml:space="preserve"> and </w:t>
      </w:r>
      <w:r w:rsidR="00E03D6C">
        <w:t>“</w:t>
      </w:r>
      <w:r w:rsidR="00C47C9B" w:rsidRPr="00C47C9B">
        <w:t>transboundary impact</w:t>
      </w:r>
      <w:r w:rsidR="00E03D6C">
        <w:t>”</w:t>
      </w:r>
      <w:r w:rsidR="00C47C9B" w:rsidRPr="00C47C9B">
        <w:t xml:space="preserve"> in their domestic legislation. The responses indicate that many Parties have</w:t>
      </w:r>
      <w:r w:rsidR="007760B1">
        <w:t xml:space="preserve"> either</w:t>
      </w:r>
      <w:r w:rsidR="00C47C9B" w:rsidRPr="00C47C9B">
        <w:t xml:space="preserve"> transcribed the definitions contained in the Convention in their domestic legislation or use definitions similar to those contained in the Convention (see </w:t>
      </w:r>
      <w:r w:rsidR="007760B1">
        <w:t>f</w:t>
      </w:r>
      <w:r w:rsidR="00C47C9B" w:rsidRPr="00C47C9B">
        <w:t xml:space="preserve">igure </w:t>
      </w:r>
      <w:r w:rsidR="007760B1">
        <w:t>I below</w:t>
      </w:r>
      <w:r w:rsidR="00C47C9B" w:rsidRPr="00C47C9B">
        <w:t>).</w:t>
      </w:r>
    </w:p>
    <w:p w14:paraId="2D7A9BE3" w14:textId="77777777" w:rsidR="00011283" w:rsidRDefault="00011283">
      <w:pPr>
        <w:suppressAutoHyphens w:val="0"/>
        <w:spacing w:line="240" w:lineRule="auto"/>
        <w:rPr>
          <w:lang w:val="en-US"/>
        </w:rPr>
      </w:pPr>
      <w:r>
        <w:rPr>
          <w:lang w:val="en-US"/>
        </w:rPr>
        <w:br w:type="page"/>
      </w:r>
    </w:p>
    <w:p w14:paraId="42DFFB2F" w14:textId="6B1EDFF6" w:rsidR="00C47C9B" w:rsidRDefault="00C47C9B" w:rsidP="002A6051">
      <w:pPr>
        <w:pStyle w:val="SingleTxtG"/>
        <w:spacing w:after="360"/>
        <w:jc w:val="left"/>
        <w:rPr>
          <w:b/>
          <w:bCs/>
          <w:lang w:val="en-US"/>
        </w:rPr>
      </w:pPr>
      <w:r w:rsidRPr="00E14C1B">
        <w:rPr>
          <w:lang w:val="en-US"/>
        </w:rPr>
        <w:lastRenderedPageBreak/>
        <w:t xml:space="preserve">Figure </w:t>
      </w:r>
      <w:r w:rsidR="007760B1" w:rsidRPr="00E14C1B">
        <w:rPr>
          <w:lang w:val="en-US"/>
        </w:rPr>
        <w:t>I</w:t>
      </w:r>
      <w:r w:rsidR="003A5C55" w:rsidRPr="00E14C1B">
        <w:rPr>
          <w:lang w:val="en-US"/>
        </w:rPr>
        <w:br/>
      </w:r>
      <w:r w:rsidRPr="00E14C1B">
        <w:rPr>
          <w:b/>
          <w:bCs/>
          <w:lang w:val="en-US"/>
        </w:rPr>
        <w:t xml:space="preserve">Responses to questions about whether the </w:t>
      </w:r>
      <w:r w:rsidR="005B204A" w:rsidRPr="00E14C1B">
        <w:rPr>
          <w:b/>
          <w:bCs/>
          <w:lang w:val="en-US"/>
        </w:rPr>
        <w:t>definitions of “</w:t>
      </w:r>
      <w:r w:rsidRPr="00E14C1B">
        <w:rPr>
          <w:b/>
          <w:bCs/>
          <w:lang w:val="en-US"/>
        </w:rPr>
        <w:t>impact</w:t>
      </w:r>
      <w:r w:rsidR="005B204A" w:rsidRPr="00E14C1B">
        <w:rPr>
          <w:b/>
          <w:bCs/>
          <w:lang w:val="en-US"/>
        </w:rPr>
        <w:t>”</w:t>
      </w:r>
      <w:r w:rsidRPr="00E14C1B">
        <w:rPr>
          <w:b/>
          <w:bCs/>
          <w:lang w:val="en-US"/>
        </w:rPr>
        <w:t xml:space="preserve"> and </w:t>
      </w:r>
      <w:r w:rsidR="005B204A" w:rsidRPr="00E14C1B">
        <w:rPr>
          <w:b/>
          <w:bCs/>
          <w:lang w:val="en-US"/>
        </w:rPr>
        <w:t>“</w:t>
      </w:r>
      <w:r w:rsidRPr="00E14C1B">
        <w:rPr>
          <w:b/>
          <w:bCs/>
          <w:lang w:val="en-US"/>
        </w:rPr>
        <w:t>transboundary impact</w:t>
      </w:r>
      <w:r w:rsidR="005B204A" w:rsidRPr="00E14C1B">
        <w:rPr>
          <w:b/>
          <w:bCs/>
          <w:lang w:val="en-US"/>
        </w:rPr>
        <w:t>”</w:t>
      </w:r>
      <w:r w:rsidRPr="00E14C1B">
        <w:rPr>
          <w:b/>
          <w:bCs/>
          <w:lang w:val="en-US"/>
        </w:rPr>
        <w:t xml:space="preserve"> </w:t>
      </w:r>
      <w:r w:rsidR="005B204A" w:rsidRPr="00E14C1B">
        <w:rPr>
          <w:b/>
          <w:bCs/>
          <w:lang w:val="en-US"/>
        </w:rPr>
        <w:t xml:space="preserve">for the purposes of the Convention </w:t>
      </w:r>
      <w:r w:rsidRPr="00E14C1B">
        <w:rPr>
          <w:b/>
          <w:bCs/>
          <w:lang w:val="en-US"/>
        </w:rPr>
        <w:t xml:space="preserve">are the same in </w:t>
      </w:r>
      <w:r w:rsidR="005B204A" w:rsidRPr="00E14C1B">
        <w:rPr>
          <w:b/>
          <w:bCs/>
          <w:lang w:val="en-US"/>
        </w:rPr>
        <w:t>domestic legislation</w:t>
      </w:r>
      <w:r w:rsidRPr="00E14C1B">
        <w:rPr>
          <w:b/>
          <w:bCs/>
          <w:lang w:val="en-US"/>
        </w:rPr>
        <w:t xml:space="preserve"> </w:t>
      </w:r>
      <w:r w:rsidR="00BD0866" w:rsidRPr="00E14C1B">
        <w:rPr>
          <w:b/>
          <w:bCs/>
          <w:lang w:val="en-US"/>
        </w:rPr>
        <w:t xml:space="preserve">as in article 1 </w:t>
      </w:r>
      <w:r w:rsidRPr="00E14C1B">
        <w:rPr>
          <w:b/>
          <w:bCs/>
          <w:lang w:val="en-US"/>
        </w:rPr>
        <w:t>(n (i.e. number of responses to the question)=45)</w:t>
      </w:r>
    </w:p>
    <w:p w14:paraId="06196D63" w14:textId="32F6C23E" w:rsidR="000631E5" w:rsidRPr="003A5C55" w:rsidRDefault="000631E5" w:rsidP="00B97C81">
      <w:pPr>
        <w:pStyle w:val="SingleTxtG"/>
        <w:jc w:val="center"/>
        <w:rPr>
          <w:b/>
          <w:bCs/>
          <w:lang w:val="en-US"/>
        </w:rPr>
      </w:pPr>
      <w:r>
        <w:rPr>
          <w:noProof/>
          <w:lang w:val="en-US" w:eastAsia="zh-CN"/>
        </w:rPr>
        <w:drawing>
          <wp:inline distT="0" distB="0" distL="0" distR="0" wp14:anchorId="3F8696DF" wp14:editId="4DD3741A">
            <wp:extent cx="4654550" cy="2698865"/>
            <wp:effectExtent l="0" t="0" r="12700" b="6350"/>
            <wp:docPr id="2" name="Chart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BF3C2A" w14:textId="74968AF8" w:rsidR="00C47C9B" w:rsidRPr="00B97C81" w:rsidRDefault="00C47C9B" w:rsidP="006A0B78">
      <w:pPr>
        <w:spacing w:before="120" w:line="220" w:lineRule="exact"/>
        <w:ind w:left="1134" w:firstLine="170"/>
        <w:rPr>
          <w:rFonts w:ascii="Times" w:hAnsi="Times"/>
          <w:sz w:val="18"/>
          <w:szCs w:val="18"/>
          <w:lang w:val="en-US"/>
        </w:rPr>
      </w:pPr>
      <w:r w:rsidRPr="00B97C81">
        <w:rPr>
          <w:rFonts w:ascii="Times" w:hAnsi="Times"/>
          <w:i/>
          <w:iCs/>
          <w:sz w:val="18"/>
          <w:szCs w:val="18"/>
          <w:lang w:val="en-US"/>
        </w:rPr>
        <w:t xml:space="preserve">Notes: </w:t>
      </w:r>
      <w:r w:rsidRPr="00B97C81">
        <w:rPr>
          <w:rFonts w:ascii="Times" w:hAnsi="Times"/>
          <w:sz w:val="18"/>
          <w:szCs w:val="18"/>
          <w:lang w:val="en-US"/>
        </w:rPr>
        <w:t xml:space="preserve">Albania did not use the response categories provided in the questionnaire, </w:t>
      </w:r>
      <w:r w:rsidR="0009612D">
        <w:rPr>
          <w:rFonts w:ascii="Times" w:hAnsi="Times"/>
          <w:sz w:val="18"/>
          <w:szCs w:val="18"/>
          <w:lang w:val="en-US"/>
        </w:rPr>
        <w:t>preferring to</w:t>
      </w:r>
      <w:r w:rsidRPr="00B97C81">
        <w:rPr>
          <w:rFonts w:ascii="Times" w:hAnsi="Times"/>
          <w:sz w:val="18"/>
          <w:szCs w:val="18"/>
          <w:lang w:val="en-US"/>
        </w:rPr>
        <w:t xml:space="preserve"> note</w:t>
      </w:r>
      <w:r w:rsidR="0009612D">
        <w:rPr>
          <w:rFonts w:ascii="Times" w:hAnsi="Times"/>
          <w:sz w:val="18"/>
          <w:szCs w:val="18"/>
          <w:lang w:val="en-US"/>
        </w:rPr>
        <w:t xml:space="preserve"> that</w:t>
      </w:r>
      <w:r w:rsidRPr="00B97C81">
        <w:rPr>
          <w:rFonts w:ascii="Times" w:hAnsi="Times"/>
          <w:sz w:val="18"/>
          <w:szCs w:val="18"/>
          <w:lang w:val="en-US"/>
        </w:rPr>
        <w:t xml:space="preserve"> the definitions in </w:t>
      </w:r>
      <w:r w:rsidR="00E5007B">
        <w:rPr>
          <w:rFonts w:ascii="Times" w:hAnsi="Times"/>
          <w:sz w:val="18"/>
          <w:szCs w:val="18"/>
          <w:lang w:val="en-US"/>
        </w:rPr>
        <w:t>i</w:t>
      </w:r>
      <w:r w:rsidRPr="00B97C81">
        <w:rPr>
          <w:rFonts w:ascii="Times" w:hAnsi="Times"/>
          <w:sz w:val="18"/>
          <w:szCs w:val="18"/>
          <w:lang w:val="en-US"/>
        </w:rPr>
        <w:t>t</w:t>
      </w:r>
      <w:r w:rsidR="00E5007B">
        <w:rPr>
          <w:rFonts w:ascii="Times" w:hAnsi="Times"/>
          <w:sz w:val="18"/>
          <w:szCs w:val="18"/>
          <w:lang w:val="en-US"/>
        </w:rPr>
        <w:t>s</w:t>
      </w:r>
      <w:r w:rsidRPr="00B97C81">
        <w:rPr>
          <w:rFonts w:ascii="Times" w:hAnsi="Times"/>
          <w:sz w:val="18"/>
          <w:szCs w:val="18"/>
          <w:lang w:val="en-US"/>
        </w:rPr>
        <w:t xml:space="preserve"> domestic legislation mirrored those employed in the European Union legislation on </w:t>
      </w:r>
      <w:r w:rsidR="0097588A">
        <w:rPr>
          <w:rFonts w:ascii="Times" w:hAnsi="Times"/>
          <w:sz w:val="18"/>
          <w:szCs w:val="18"/>
          <w:lang w:val="en-US"/>
        </w:rPr>
        <w:t>e</w:t>
      </w:r>
      <w:r w:rsidRPr="00B97C81">
        <w:rPr>
          <w:rFonts w:ascii="Times" w:hAnsi="Times"/>
          <w:sz w:val="18"/>
          <w:szCs w:val="18"/>
          <w:lang w:val="en-US"/>
        </w:rPr>
        <w:t xml:space="preserve">nvironmental </w:t>
      </w:r>
      <w:r w:rsidR="0097588A">
        <w:rPr>
          <w:rFonts w:ascii="Times" w:hAnsi="Times"/>
          <w:sz w:val="18"/>
          <w:szCs w:val="18"/>
          <w:lang w:val="en-US"/>
        </w:rPr>
        <w:t>i</w:t>
      </w:r>
      <w:r w:rsidRPr="00B97C81">
        <w:rPr>
          <w:rFonts w:ascii="Times" w:hAnsi="Times"/>
          <w:sz w:val="18"/>
          <w:szCs w:val="18"/>
          <w:lang w:val="en-US"/>
        </w:rPr>
        <w:t xml:space="preserve">mpact </w:t>
      </w:r>
      <w:r w:rsidR="0097588A">
        <w:rPr>
          <w:rFonts w:ascii="Times" w:hAnsi="Times"/>
          <w:sz w:val="18"/>
          <w:szCs w:val="18"/>
          <w:lang w:val="en-US"/>
        </w:rPr>
        <w:t>a</w:t>
      </w:r>
      <w:r w:rsidRPr="00B97C81">
        <w:rPr>
          <w:rFonts w:ascii="Times" w:hAnsi="Times"/>
          <w:sz w:val="18"/>
          <w:szCs w:val="18"/>
          <w:lang w:val="en-US"/>
        </w:rPr>
        <w:t>ssessment. Multiple response options were used by some Parties in answering questions I.1 and I.2. In such instances, a subjective judgement was made as to which of the responses should be used in collating the data.</w:t>
      </w:r>
    </w:p>
    <w:p w14:paraId="1DD04826" w14:textId="77777777" w:rsidR="00474236" w:rsidRDefault="00474236" w:rsidP="00462270">
      <w:pPr>
        <w:pStyle w:val="SingleTxtG"/>
      </w:pPr>
    </w:p>
    <w:p w14:paraId="72740480" w14:textId="4BEBFFB0" w:rsidR="00C47C9B" w:rsidRPr="00965849" w:rsidRDefault="00011283" w:rsidP="00462270">
      <w:pPr>
        <w:pStyle w:val="SingleTxtG"/>
      </w:pPr>
      <w:r w:rsidRPr="00965849">
        <w:t>1</w:t>
      </w:r>
      <w:r>
        <w:t>2</w:t>
      </w:r>
      <w:r w:rsidR="00C47C9B" w:rsidRPr="00965849">
        <w:t>.</w:t>
      </w:r>
      <w:r w:rsidR="00C47C9B" w:rsidRPr="00965849">
        <w:tab/>
        <w:t xml:space="preserve">Many Parties (20) do not define </w:t>
      </w:r>
      <w:r w:rsidR="00E5007B">
        <w:t xml:space="preserve">the term </w:t>
      </w:r>
      <w:r w:rsidR="007120D8">
        <w:t>“</w:t>
      </w:r>
      <w:r w:rsidR="00C47C9B" w:rsidRPr="00965849">
        <w:t>transboundary impact</w:t>
      </w:r>
      <w:r w:rsidR="007120D8">
        <w:t>”</w:t>
      </w:r>
      <w:r w:rsidR="00C47C9B" w:rsidRPr="00965849">
        <w:t xml:space="preserve"> in their national legislation. Some </w:t>
      </w:r>
      <w:r w:rsidR="00C47C9B" w:rsidRPr="00462270">
        <w:t>Parties</w:t>
      </w:r>
      <w:r w:rsidR="00C47C9B" w:rsidRPr="00965849">
        <w:t xml:space="preserve"> use alternative terminology (</w:t>
      </w:r>
      <w:r w:rsidR="003B5485">
        <w:t>for example,</w:t>
      </w:r>
      <w:r w:rsidR="00C47C9B" w:rsidRPr="00965849">
        <w:t xml:space="preserve"> Slovakia refers to </w:t>
      </w:r>
      <w:r w:rsidR="007120D8">
        <w:t>“</w:t>
      </w:r>
      <w:r w:rsidR="00C47C9B" w:rsidRPr="00965849">
        <w:t>transboundary impact assessment</w:t>
      </w:r>
      <w:r w:rsidR="007120D8">
        <w:t>”</w:t>
      </w:r>
      <w:r w:rsidR="00C47C9B" w:rsidRPr="00965849">
        <w:t xml:space="preserve">), while Sweden defines the term </w:t>
      </w:r>
      <w:r w:rsidR="007120D8">
        <w:t>“</w:t>
      </w:r>
      <w:r w:rsidR="00C47C9B" w:rsidRPr="00965849">
        <w:t>impact</w:t>
      </w:r>
      <w:r w:rsidR="007120D8">
        <w:t>”</w:t>
      </w:r>
      <w:r w:rsidR="00C47C9B" w:rsidRPr="00965849">
        <w:t xml:space="preserve"> in such a way as to include transboundary impacts. A smaller number of Parties (10) do not define the term </w:t>
      </w:r>
      <w:r w:rsidR="007120D8">
        <w:t>“</w:t>
      </w:r>
      <w:r w:rsidR="00C47C9B" w:rsidRPr="00965849">
        <w:t>impact</w:t>
      </w:r>
      <w:r w:rsidR="007120D8">
        <w:t>”</w:t>
      </w:r>
      <w:r w:rsidR="00C47C9B" w:rsidRPr="00965849">
        <w:t xml:space="preserve">. This generally appears to be because different terminology is used; for example, the term </w:t>
      </w:r>
      <w:r w:rsidR="007120D8">
        <w:t>“</w:t>
      </w:r>
      <w:r w:rsidR="00C47C9B" w:rsidRPr="00965849">
        <w:t>environmental effect</w:t>
      </w:r>
      <w:r w:rsidR="007120D8">
        <w:t>”</w:t>
      </w:r>
      <w:r w:rsidR="00C47C9B" w:rsidRPr="00965849">
        <w:t xml:space="preserve"> is employed in Canadian legislation, instead of </w:t>
      </w:r>
      <w:r w:rsidR="00E5007B">
        <w:t xml:space="preserve">the term </w:t>
      </w:r>
      <w:r w:rsidR="007120D8">
        <w:t>“</w:t>
      </w:r>
      <w:r w:rsidR="00C47C9B" w:rsidRPr="00965849">
        <w:t>impact</w:t>
      </w:r>
      <w:r w:rsidR="007120D8">
        <w:t>”</w:t>
      </w:r>
      <w:r w:rsidR="00C47C9B" w:rsidRPr="00965849">
        <w:t xml:space="preserve">. </w:t>
      </w:r>
    </w:p>
    <w:p w14:paraId="67DD9C68" w14:textId="59531D5E" w:rsidR="00C47C9B" w:rsidRPr="00965849" w:rsidRDefault="00011283" w:rsidP="00965849">
      <w:pPr>
        <w:pStyle w:val="SingleTxtG"/>
      </w:pPr>
      <w:r w:rsidRPr="00965849">
        <w:t>1</w:t>
      </w:r>
      <w:r>
        <w:t>3</w:t>
      </w:r>
      <w:r w:rsidR="00C47C9B" w:rsidRPr="00965849">
        <w:t>.</w:t>
      </w:r>
      <w:r w:rsidR="00C47C9B" w:rsidRPr="00965849">
        <w:tab/>
        <w:t>It is not possible</w:t>
      </w:r>
      <w:r w:rsidR="002A6051">
        <w:t>,</w:t>
      </w:r>
      <w:r w:rsidR="00C47C9B" w:rsidRPr="00965849">
        <w:t xml:space="preserve"> on the basis of the questionnaire data</w:t>
      </w:r>
      <w:r w:rsidR="002A6051">
        <w:t>,</w:t>
      </w:r>
      <w:r w:rsidR="00C47C9B" w:rsidRPr="00965849">
        <w:t xml:space="preserve"> to assess to what extent the Parties’ domestic definitions of </w:t>
      </w:r>
      <w:r w:rsidR="00E5007B">
        <w:t xml:space="preserve">the term </w:t>
      </w:r>
      <w:r w:rsidR="002A6051">
        <w:t>“</w:t>
      </w:r>
      <w:r w:rsidR="00C47C9B" w:rsidRPr="00965849">
        <w:t>impact</w:t>
      </w:r>
      <w:r w:rsidR="002A6051">
        <w:t>”</w:t>
      </w:r>
      <w:r w:rsidR="00C47C9B" w:rsidRPr="00965849">
        <w:t xml:space="preserve"> are compatible, in a strict legal sense, with the definition</w:t>
      </w:r>
      <w:r w:rsidR="002A6051">
        <w:t>s</w:t>
      </w:r>
      <w:r w:rsidR="00C47C9B" w:rsidRPr="00965849">
        <w:t xml:space="preserve"> given in the Convention. However, some Parties note that their domestic definitions of </w:t>
      </w:r>
      <w:r w:rsidR="002A6051">
        <w:t>“</w:t>
      </w:r>
      <w:r w:rsidR="00C47C9B" w:rsidRPr="00965849">
        <w:t>impact</w:t>
      </w:r>
      <w:r w:rsidR="002A6051">
        <w:t>”</w:t>
      </w:r>
      <w:r w:rsidR="00C47C9B" w:rsidRPr="00965849">
        <w:t xml:space="preserve"> are more extensive than the definition </w:t>
      </w:r>
      <w:r w:rsidR="002A6051">
        <w:t xml:space="preserve">contained </w:t>
      </w:r>
      <w:r w:rsidR="00C47C9B" w:rsidRPr="00965849">
        <w:t xml:space="preserve">in the Convention. Examples of the types of additional issues covered include: </w:t>
      </w:r>
    </w:p>
    <w:p w14:paraId="3BC63000" w14:textId="77777777" w:rsidR="00C47C9B" w:rsidRDefault="00C47C9B" w:rsidP="00965849">
      <w:pPr>
        <w:pStyle w:val="SingleTxtG"/>
        <w:ind w:firstLine="567"/>
      </w:pPr>
      <w:r w:rsidRPr="00965849">
        <w:t>(a)</w:t>
      </w:r>
      <w:r w:rsidRPr="00965849">
        <w:tab/>
        <w:t xml:space="preserve">Second order and cumulative impacts; </w:t>
      </w:r>
    </w:p>
    <w:p w14:paraId="3D2C5142" w14:textId="649A74CA" w:rsidR="00AD6EDA" w:rsidRDefault="002B4774" w:rsidP="00965849">
      <w:pPr>
        <w:pStyle w:val="SingleTxtG"/>
        <w:ind w:firstLine="567"/>
      </w:pPr>
      <w:r>
        <w:t>(b)</w:t>
      </w:r>
      <w:r>
        <w:tab/>
      </w:r>
      <w:r w:rsidRPr="00965849">
        <w:t>City structures and townscape;</w:t>
      </w:r>
    </w:p>
    <w:p w14:paraId="683621F9" w14:textId="34CDE3AF" w:rsidR="002B4774" w:rsidRPr="00965849" w:rsidRDefault="002B4774" w:rsidP="00965849">
      <w:pPr>
        <w:pStyle w:val="SingleTxtG"/>
        <w:ind w:firstLine="567"/>
      </w:pPr>
      <w:r>
        <w:t>(c)</w:t>
      </w:r>
      <w:r>
        <w:tab/>
      </w:r>
      <w:r w:rsidRPr="00965849">
        <w:t>Aboriginal people</w:t>
      </w:r>
      <w:r w:rsidR="002A6051">
        <w:t>s</w:t>
      </w:r>
      <w:r w:rsidRPr="00965849">
        <w:t>.</w:t>
      </w:r>
    </w:p>
    <w:p w14:paraId="7FC234DB" w14:textId="77EF0989" w:rsidR="00C47C9B" w:rsidRPr="00965849" w:rsidRDefault="00965849" w:rsidP="002B4774">
      <w:pPr>
        <w:pStyle w:val="SingleTxtG"/>
      </w:pPr>
      <w:r>
        <w:tab/>
      </w:r>
      <w:r w:rsidR="00011283" w:rsidRPr="00011283">
        <w:t>1</w:t>
      </w:r>
      <w:r w:rsidR="00011283">
        <w:t>4</w:t>
      </w:r>
      <w:r w:rsidR="00C47C9B" w:rsidRPr="00011283">
        <w:t>.</w:t>
      </w:r>
      <w:r w:rsidR="00C47C9B" w:rsidRPr="00011283">
        <w:tab/>
        <w:t xml:space="preserve">Three Parties use a different definition of </w:t>
      </w:r>
      <w:r w:rsidR="00302896">
        <w:t xml:space="preserve">the term </w:t>
      </w:r>
      <w:r w:rsidR="007120D8">
        <w:t>“</w:t>
      </w:r>
      <w:r w:rsidR="00C47C9B" w:rsidRPr="00011283">
        <w:t>impact</w:t>
      </w:r>
      <w:r w:rsidR="007120D8">
        <w:t>”</w:t>
      </w:r>
      <w:r w:rsidR="00C47C9B" w:rsidRPr="00011283">
        <w:t xml:space="preserve"> to the Convention. </w:t>
      </w:r>
      <w:r w:rsidR="00C47C9B" w:rsidRPr="00A059BD">
        <w:t xml:space="preserve">Spain states that </w:t>
      </w:r>
      <w:r w:rsidR="00302896">
        <w:t xml:space="preserve">the term </w:t>
      </w:r>
      <w:r w:rsidR="00F976C1">
        <w:t xml:space="preserve">“impact” is defined </w:t>
      </w:r>
      <w:r w:rsidR="00302896">
        <w:t>as follows</w:t>
      </w:r>
      <w:r w:rsidR="00F976C1">
        <w:t xml:space="preserve"> in </w:t>
      </w:r>
      <w:r w:rsidR="00A15B36" w:rsidRPr="00011283">
        <w:t>it</w:t>
      </w:r>
      <w:r w:rsidR="00F976C1">
        <w:t>s</w:t>
      </w:r>
      <w:r w:rsidR="00C47C9B" w:rsidRPr="00FC0BD1">
        <w:t xml:space="preserve"> domestic legislation: “[a]n impact has the feature of being permanent or</w:t>
      </w:r>
      <w:r w:rsidR="00F976C1">
        <w:t xml:space="preserve"> [of]</w:t>
      </w:r>
      <w:r w:rsidR="00C47C9B" w:rsidRPr="00FC0BD1">
        <w:t xml:space="preserve"> long durability”. Kyrgyz</w:t>
      </w:r>
      <w:r w:rsidR="00F976C1">
        <w:t>stan</w:t>
      </w:r>
      <w:r w:rsidR="00C47C9B" w:rsidRPr="00FC0BD1">
        <w:t xml:space="preserve"> states that</w:t>
      </w:r>
      <w:r w:rsidR="00F976C1">
        <w:t>,</w:t>
      </w:r>
      <w:r w:rsidR="00C47C9B" w:rsidRPr="00FC0BD1">
        <w:t xml:space="preserve"> while the definition </w:t>
      </w:r>
      <w:r w:rsidR="00B44D7E">
        <w:t xml:space="preserve">contained </w:t>
      </w:r>
      <w:r w:rsidR="00C47C9B" w:rsidRPr="00FC0BD1">
        <w:t xml:space="preserve">in </w:t>
      </w:r>
      <w:r w:rsidR="002A6051">
        <w:t>its</w:t>
      </w:r>
      <w:r w:rsidR="002A6051" w:rsidRPr="00FC0BD1">
        <w:t xml:space="preserve"> </w:t>
      </w:r>
      <w:r w:rsidR="00C47C9B" w:rsidRPr="00FC0BD1">
        <w:t xml:space="preserve">domestic legislation </w:t>
      </w:r>
      <w:r w:rsidR="002A6051">
        <w:t>differs from</w:t>
      </w:r>
      <w:r w:rsidR="00C47C9B" w:rsidRPr="00FC0BD1">
        <w:t xml:space="preserve"> that </w:t>
      </w:r>
      <w:r w:rsidR="00B44D7E">
        <w:t>in</w:t>
      </w:r>
      <w:r w:rsidR="00B44D7E" w:rsidRPr="00FC0BD1">
        <w:t xml:space="preserve"> </w:t>
      </w:r>
      <w:r w:rsidR="00C47C9B" w:rsidRPr="00FC0BD1">
        <w:t xml:space="preserve">the Convention, a draft law has been prepared that will remedy this issue.  </w:t>
      </w:r>
      <w:r w:rsidR="00C47C9B" w:rsidRPr="00A059BD">
        <w:t xml:space="preserve">Czechia states that </w:t>
      </w:r>
      <w:r w:rsidR="00A15B36" w:rsidRPr="00A059BD">
        <w:t xml:space="preserve">its </w:t>
      </w:r>
      <w:r w:rsidR="00C47C9B" w:rsidRPr="00A059BD">
        <w:t>definition</w:t>
      </w:r>
      <w:r w:rsidR="00C47C9B" w:rsidRPr="00011283">
        <w:t xml:space="preserve"> is different</w:t>
      </w:r>
      <w:r w:rsidR="00C47C9B" w:rsidRPr="00965849">
        <w:t xml:space="preserve"> but appears to use alternative terminology (</w:t>
      </w:r>
      <w:r w:rsidR="007120D8">
        <w:t>“</w:t>
      </w:r>
      <w:r w:rsidR="00C47C9B" w:rsidRPr="00965849">
        <w:t>scope of assessment</w:t>
      </w:r>
      <w:r w:rsidR="007120D8">
        <w:t>”</w:t>
      </w:r>
      <w:r w:rsidR="00C47C9B" w:rsidRPr="00965849">
        <w:t xml:space="preserve">) </w:t>
      </w:r>
      <w:r w:rsidR="002A6051">
        <w:t>that</w:t>
      </w:r>
      <w:r w:rsidR="002A6051" w:rsidRPr="00965849">
        <w:t xml:space="preserve"> </w:t>
      </w:r>
      <w:r w:rsidR="00C47C9B" w:rsidRPr="00965849">
        <w:t xml:space="preserve">encompasses the same issues as the </w:t>
      </w:r>
      <w:r w:rsidR="002A6051">
        <w:t xml:space="preserve">Convention </w:t>
      </w:r>
      <w:r w:rsidR="00C47C9B" w:rsidRPr="00965849">
        <w:t>definition.</w:t>
      </w:r>
    </w:p>
    <w:p w14:paraId="5872A8DF" w14:textId="6A6FBF3C" w:rsidR="00C47C9B" w:rsidRPr="00965849" w:rsidRDefault="00011283" w:rsidP="00965849">
      <w:pPr>
        <w:pStyle w:val="SingleTxtG"/>
      </w:pPr>
      <w:r w:rsidRPr="00965849">
        <w:lastRenderedPageBreak/>
        <w:t>1</w:t>
      </w:r>
      <w:r>
        <w:t>5</w:t>
      </w:r>
      <w:r w:rsidR="00C47C9B" w:rsidRPr="00965849">
        <w:t>.</w:t>
      </w:r>
      <w:r w:rsidR="00C47C9B" w:rsidRPr="00965849">
        <w:tab/>
        <w:t xml:space="preserve">Question I.3 asks the Parties to describe how they define </w:t>
      </w:r>
      <w:r w:rsidR="00302896">
        <w:t xml:space="preserve">the term </w:t>
      </w:r>
      <w:r w:rsidR="00B44D7E">
        <w:t>“</w:t>
      </w:r>
      <w:r w:rsidR="00C47C9B" w:rsidRPr="00965849">
        <w:t>major changes</w:t>
      </w:r>
      <w:r w:rsidR="00B44D7E">
        <w:t>”</w:t>
      </w:r>
      <w:r w:rsidR="00C47C9B" w:rsidRPr="00965849">
        <w:t xml:space="preserve"> in their domestic legislation. A number of Parties (18, n=43)</w:t>
      </w:r>
      <w:r w:rsidR="00C47C9B" w:rsidRPr="00965849">
        <w:rPr>
          <w:vertAlign w:val="superscript"/>
        </w:rPr>
        <w:footnoteReference w:id="4"/>
      </w:r>
      <w:r w:rsidR="00C47C9B" w:rsidRPr="00965849">
        <w:rPr>
          <w:vertAlign w:val="superscript"/>
        </w:rPr>
        <w:t xml:space="preserve"> </w:t>
      </w:r>
      <w:r w:rsidR="00C47C9B" w:rsidRPr="00965849">
        <w:t>(</w:t>
      </w:r>
      <w:r w:rsidR="003B5485">
        <w:t>for example,</w:t>
      </w:r>
      <w:r w:rsidR="00C47C9B" w:rsidRPr="00965849">
        <w:t xml:space="preserve"> Canada and the Netherlands) state explicitly that they do not use the term </w:t>
      </w:r>
      <w:r w:rsidR="00B44D7E">
        <w:t>“</w:t>
      </w:r>
      <w:r w:rsidR="00C47C9B" w:rsidRPr="00965849">
        <w:t>major change</w:t>
      </w:r>
      <w:r w:rsidR="00B44D7E">
        <w:t>”</w:t>
      </w:r>
      <w:r w:rsidR="00C47C9B" w:rsidRPr="00965849">
        <w:t xml:space="preserve"> in their domestic legislation. In all but three cases, this is because alternative approaches are used to assess the need for an environmental impact assessment when changes to an existing activity are proposed. For example, Estonia relies on an analysis of the likelihood of significant impacts occurring when determining the need for an environmental impact assessment for both new activities and changes to existing ones. Similar approaches are employed by a number of other Parties. </w:t>
      </w:r>
    </w:p>
    <w:p w14:paraId="41C561D5" w14:textId="222DA386" w:rsidR="00C47C9B" w:rsidRPr="00965849" w:rsidRDefault="00011283" w:rsidP="00965849">
      <w:pPr>
        <w:pStyle w:val="SingleTxtG"/>
      </w:pPr>
      <w:r w:rsidRPr="00965849">
        <w:t>1</w:t>
      </w:r>
      <w:r>
        <w:t>6</w:t>
      </w:r>
      <w:r w:rsidR="00C47C9B" w:rsidRPr="00965849">
        <w:t>.</w:t>
      </w:r>
      <w:r w:rsidR="00C47C9B" w:rsidRPr="00965849">
        <w:tab/>
      </w:r>
      <w:r w:rsidR="002307A3">
        <w:t>Certain</w:t>
      </w:r>
      <w:r w:rsidR="00C47C9B" w:rsidRPr="00965849">
        <w:t xml:space="preserve"> Parties (</w:t>
      </w:r>
      <w:r w:rsidR="003B5485">
        <w:t>for example,</w:t>
      </w:r>
      <w:r w:rsidR="00C47C9B" w:rsidRPr="00965849">
        <w:t xml:space="preserve"> the United Kingdom </w:t>
      </w:r>
      <w:r w:rsidR="00B44D7E">
        <w:t xml:space="preserve">of Great Britain and Northern Ireland </w:t>
      </w:r>
      <w:r w:rsidR="00C47C9B" w:rsidRPr="00965849">
        <w:t>and Li</w:t>
      </w:r>
      <w:r w:rsidR="002307A3">
        <w:t>e</w:t>
      </w:r>
      <w:r w:rsidR="00C47C9B" w:rsidRPr="00965849">
        <w:t xml:space="preserve">chtenstein) use thresholds to establish what constitutes a </w:t>
      </w:r>
      <w:r w:rsidR="007A193F">
        <w:t>“</w:t>
      </w:r>
      <w:r w:rsidR="00C47C9B" w:rsidRPr="00965849">
        <w:t>major change</w:t>
      </w:r>
      <w:r w:rsidR="007A193F">
        <w:t>”</w:t>
      </w:r>
      <w:r w:rsidR="00C47C9B" w:rsidRPr="00965849">
        <w:t xml:space="preserve"> for certain activities. </w:t>
      </w:r>
      <w:r w:rsidR="007A193F">
        <w:t xml:space="preserve">The </w:t>
      </w:r>
      <w:r w:rsidR="00C47C9B" w:rsidRPr="00965849">
        <w:t xml:space="preserve">answer </w:t>
      </w:r>
      <w:r w:rsidR="007A193F">
        <w:t xml:space="preserve">of </w:t>
      </w:r>
      <w:r w:rsidR="00C47C9B" w:rsidRPr="00965849">
        <w:t>the Republic of Moldova implies that</w:t>
      </w:r>
      <w:r w:rsidR="007A193F">
        <w:t>,</w:t>
      </w:r>
      <w:r w:rsidR="00C47C9B" w:rsidRPr="00965849">
        <w:t xml:space="preserve"> presently</w:t>
      </w:r>
      <w:r w:rsidR="007A193F">
        <w:t>,</w:t>
      </w:r>
      <w:r w:rsidR="00C47C9B" w:rsidRPr="00965849">
        <w:t xml:space="preserve"> th</w:t>
      </w:r>
      <w:r w:rsidR="007A193F">
        <w:t>at Party</w:t>
      </w:r>
      <w:r w:rsidR="00C47C9B" w:rsidRPr="00965849">
        <w:t xml:space="preserve"> ha</w:t>
      </w:r>
      <w:r w:rsidR="007A193F">
        <w:t>s</w:t>
      </w:r>
      <w:r w:rsidR="00C47C9B" w:rsidRPr="00965849">
        <w:t xml:space="preserve"> no provisions in </w:t>
      </w:r>
      <w:r w:rsidR="007A193F">
        <w:t>its</w:t>
      </w:r>
      <w:r w:rsidR="007A193F" w:rsidRPr="00965849">
        <w:t xml:space="preserve"> </w:t>
      </w:r>
      <w:r w:rsidR="00C47C9B" w:rsidRPr="00965849">
        <w:t xml:space="preserve">domestic legislation for addressing major changes to existing activities in that </w:t>
      </w:r>
      <w:r w:rsidR="007A193F">
        <w:t>the Party</w:t>
      </w:r>
      <w:r w:rsidR="007A193F" w:rsidRPr="00965849">
        <w:t xml:space="preserve"> </w:t>
      </w:r>
      <w:r w:rsidR="00C47C9B" w:rsidRPr="00965849">
        <w:t>state</w:t>
      </w:r>
      <w:r w:rsidR="007A193F">
        <w:t>s</w:t>
      </w:r>
      <w:r w:rsidR="00C47C9B" w:rsidRPr="00965849">
        <w:t xml:space="preserve"> that a definition of </w:t>
      </w:r>
      <w:r w:rsidR="007A193F">
        <w:t>the term “</w:t>
      </w:r>
      <w:r w:rsidR="00C47C9B" w:rsidRPr="00965849">
        <w:t>major change</w:t>
      </w:r>
      <w:r w:rsidR="007A193F">
        <w:t>”</w:t>
      </w:r>
      <w:r w:rsidR="00C47C9B" w:rsidRPr="00965849">
        <w:t xml:space="preserve"> w</w:t>
      </w:r>
      <w:r w:rsidR="00874318">
        <w:t>i</w:t>
      </w:r>
      <w:r w:rsidR="00C47C9B" w:rsidRPr="00965849">
        <w:t>l</w:t>
      </w:r>
      <w:r w:rsidR="00874318">
        <w:t>l</w:t>
      </w:r>
      <w:r w:rsidR="00C47C9B" w:rsidRPr="00965849">
        <w:t xml:space="preserve"> be considered during a review of the domestic legislation in 2019. </w:t>
      </w:r>
    </w:p>
    <w:p w14:paraId="4C46F4A8" w14:textId="77777777" w:rsidR="00532BF5" w:rsidRPr="00532BF5" w:rsidRDefault="00532BF5" w:rsidP="00532BF5">
      <w:pPr>
        <w:pStyle w:val="H1G"/>
      </w:pPr>
      <w:bookmarkStart w:id="7" w:name="_Toc13428235"/>
      <w:r>
        <w:tab/>
        <w:t>B.</w:t>
      </w:r>
      <w:r>
        <w:tab/>
      </w:r>
      <w:r w:rsidRPr="00532BF5">
        <w:t>General provisions</w:t>
      </w:r>
      <w:bookmarkEnd w:id="7"/>
    </w:p>
    <w:p w14:paraId="5924A76C" w14:textId="41953C24" w:rsidR="00532BF5" w:rsidRPr="00532BF5" w:rsidRDefault="00011283" w:rsidP="00A15B36">
      <w:pPr>
        <w:pStyle w:val="SingleTxtG"/>
      </w:pPr>
      <w:r w:rsidRPr="00532BF5">
        <w:t>1</w:t>
      </w:r>
      <w:r>
        <w:t>7</w:t>
      </w:r>
      <w:r w:rsidR="00532BF5" w:rsidRPr="00532BF5">
        <w:t>.</w:t>
      </w:r>
      <w:r w:rsidR="00532BF5" w:rsidRPr="00532BF5">
        <w:tab/>
        <w:t>Twenty</w:t>
      </w:r>
      <w:r w:rsidR="00B44D7E">
        <w:t>-</w:t>
      </w:r>
      <w:r w:rsidR="00532BF5" w:rsidRPr="00532BF5">
        <w:t xml:space="preserve">six Parties reported slight differences between the list of activities in their domestic legislation and the contents of </w:t>
      </w:r>
      <w:r w:rsidR="005328A5">
        <w:t>a</w:t>
      </w:r>
      <w:r w:rsidR="00532BF5" w:rsidRPr="00532BF5">
        <w:t xml:space="preserve">ppendix I </w:t>
      </w:r>
      <w:r w:rsidR="00874318">
        <w:t>to</w:t>
      </w:r>
      <w:r w:rsidR="00532BF5" w:rsidRPr="00532BF5">
        <w:t xml:space="preserve"> the Convention (question I.6). The differences mostly arise from their domestic legislation encompassing more types of activities than are listed in </w:t>
      </w:r>
      <w:r w:rsidR="005328A5">
        <w:t>a</w:t>
      </w:r>
      <w:r w:rsidR="00532BF5" w:rsidRPr="00532BF5">
        <w:t xml:space="preserve">ppendix I and/or because they follow the specifications of the European Union legislation on environmental impact assessment. The domestic legislation </w:t>
      </w:r>
      <w:r w:rsidR="00E102FA">
        <w:t>of</w:t>
      </w:r>
      <w:r w:rsidR="00532BF5" w:rsidRPr="00532BF5">
        <w:t xml:space="preserve"> North Macedonia omits activities that are not relevant in the national context (</w:t>
      </w:r>
      <w:r w:rsidR="003B5485">
        <w:t>for example,</w:t>
      </w:r>
      <w:r w:rsidR="00532BF5" w:rsidRPr="00532BF5">
        <w:t xml:space="preserve"> trading ports). In the </w:t>
      </w:r>
      <w:r w:rsidR="00E102FA">
        <w:t>f</w:t>
      </w:r>
      <w:r w:rsidR="00532BF5" w:rsidRPr="00532BF5">
        <w:t xml:space="preserve">ifth </w:t>
      </w:r>
      <w:r w:rsidR="006A7037">
        <w:t>r</w:t>
      </w:r>
      <w:r w:rsidR="006A7037" w:rsidRPr="00532BF5">
        <w:t xml:space="preserve">eview </w:t>
      </w:r>
      <w:r w:rsidR="00532BF5" w:rsidRPr="00532BF5">
        <w:t xml:space="preserve">of </w:t>
      </w:r>
      <w:r w:rsidR="006A7037">
        <w:t>i</w:t>
      </w:r>
      <w:r w:rsidR="006A7037" w:rsidRPr="00532BF5">
        <w:t>mplementation</w:t>
      </w:r>
      <w:r w:rsidR="00532BF5" w:rsidRPr="00532BF5">
        <w:t xml:space="preserve">, the majority of Parties (18, n=29) stated that there were no differences between their domestic legislation and the contents of </w:t>
      </w:r>
      <w:r w:rsidR="00E14C1B">
        <w:br/>
      </w:r>
      <w:r w:rsidR="00E102FA">
        <w:t>a</w:t>
      </w:r>
      <w:r w:rsidR="00532BF5" w:rsidRPr="00532BF5">
        <w:t xml:space="preserve">ppendix I. </w:t>
      </w:r>
    </w:p>
    <w:p w14:paraId="6E37C4A1" w14:textId="18F10132" w:rsidR="00532BF5" w:rsidRPr="00532BF5" w:rsidRDefault="00011283" w:rsidP="00532BF5">
      <w:pPr>
        <w:pStyle w:val="SingleTxtG"/>
      </w:pPr>
      <w:r>
        <w:t>18</w:t>
      </w:r>
      <w:r w:rsidR="00532BF5" w:rsidRPr="00532BF5">
        <w:t>.</w:t>
      </w:r>
      <w:r w:rsidR="00532BF5" w:rsidRPr="00532BF5">
        <w:tab/>
        <w:t xml:space="preserve">Eight Parties do not have an authority responsible for collecting data on transboundary </w:t>
      </w:r>
      <w:r w:rsidR="00DB172A">
        <w:t xml:space="preserve">environmental impact assessment </w:t>
      </w:r>
      <w:r w:rsidR="00532BF5" w:rsidRPr="00532BF5">
        <w:t xml:space="preserve">cases. It is typically a </w:t>
      </w:r>
      <w:r w:rsidR="00DB172A">
        <w:t>m</w:t>
      </w:r>
      <w:r w:rsidR="00532BF5" w:rsidRPr="00532BF5">
        <w:t>inistry, a government agency o</w:t>
      </w:r>
      <w:r w:rsidR="00DB172A">
        <w:t>r</w:t>
      </w:r>
      <w:r w:rsidR="00532BF5" w:rsidRPr="00532BF5">
        <w:t xml:space="preserve"> a federal office that collects this information in the remaining Parties (question I.8).</w:t>
      </w:r>
    </w:p>
    <w:p w14:paraId="6C7F51FE" w14:textId="789D3207" w:rsidR="00532BF5" w:rsidRPr="00532BF5" w:rsidRDefault="00011283" w:rsidP="00532BF5">
      <w:pPr>
        <w:pStyle w:val="SingleTxtG"/>
      </w:pPr>
      <w:r>
        <w:t>19</w:t>
      </w:r>
      <w:r w:rsidR="00532BF5" w:rsidRPr="00532BF5">
        <w:t>.</w:t>
      </w:r>
      <w:r w:rsidR="00532BF5" w:rsidRPr="00532BF5">
        <w:tab/>
      </w:r>
      <w:r w:rsidR="00532BF5" w:rsidRPr="00E14C1B">
        <w:t>Question I.9 explores the Parties</w:t>
      </w:r>
      <w:r w:rsidR="00DB172A" w:rsidRPr="00E14C1B">
        <w:t>’</w:t>
      </w:r>
      <w:r w:rsidR="00532BF5" w:rsidRPr="00E14C1B">
        <w:t xml:space="preserve"> implementation of article 2</w:t>
      </w:r>
      <w:r w:rsidR="007A193F" w:rsidRPr="00E14C1B">
        <w:t xml:space="preserve"> </w:t>
      </w:r>
      <w:r w:rsidR="00532BF5" w:rsidRPr="00E14C1B">
        <w:t>(6) of the Convention, which seeks to ensure that the opportunit</w:t>
      </w:r>
      <w:r w:rsidR="00356D50" w:rsidRPr="00E14C1B">
        <w:t xml:space="preserve">y to participate in transboundary environmental impact assessment procedures provided to the public of the affected Party is equivalent to that provided to the </w:t>
      </w:r>
      <w:r w:rsidR="00BD0866" w:rsidRPr="00E14C1B">
        <w:t xml:space="preserve">public of the </w:t>
      </w:r>
      <w:r w:rsidR="00356D50" w:rsidRPr="00E14C1B">
        <w:t>Party of origin</w:t>
      </w:r>
      <w:r w:rsidR="00532BF5" w:rsidRPr="00E14C1B">
        <w:t>. The Parties’ responses to this question were often quite general, consisting of a statement of compliance</w:t>
      </w:r>
      <w:r w:rsidR="00532BF5" w:rsidRPr="00532BF5">
        <w:t xml:space="preserve"> or a description of the general process by which the Party, when acting as the Party of origin, communicates with the public in affected Parties. A few Parties (</w:t>
      </w:r>
      <w:r w:rsidR="003B5485">
        <w:t>for example,</w:t>
      </w:r>
      <w:r w:rsidR="00532BF5" w:rsidRPr="00532BF5">
        <w:t xml:space="preserve"> the Netherlands) provide detailed listing of their legislative provision</w:t>
      </w:r>
      <w:r w:rsidR="00843BDA">
        <w:t>s</w:t>
      </w:r>
      <w:r w:rsidR="00532BF5" w:rsidRPr="00532BF5">
        <w:t xml:space="preserve"> implementing article 2</w:t>
      </w:r>
      <w:r w:rsidR="00DB172A">
        <w:t xml:space="preserve"> </w:t>
      </w:r>
      <w:r w:rsidR="00532BF5" w:rsidRPr="00532BF5">
        <w:t>(6).</w:t>
      </w:r>
    </w:p>
    <w:p w14:paraId="76572299" w14:textId="62CA8121" w:rsidR="00BF2E43" w:rsidRPr="00BF2E43" w:rsidRDefault="00C95A94" w:rsidP="00C95A94">
      <w:pPr>
        <w:pStyle w:val="H1G"/>
      </w:pPr>
      <w:bookmarkStart w:id="8" w:name="_Toc13428238"/>
      <w:r>
        <w:tab/>
      </w:r>
      <w:r w:rsidR="00BA6089">
        <w:t>C</w:t>
      </w:r>
      <w:r w:rsidR="006A5B77">
        <w:t>.</w:t>
      </w:r>
      <w:r w:rsidR="006A5B77">
        <w:tab/>
      </w:r>
      <w:r w:rsidR="00BF2E43" w:rsidRPr="00BF2E43">
        <w:t>Notification</w:t>
      </w:r>
      <w:bookmarkEnd w:id="8"/>
    </w:p>
    <w:p w14:paraId="07D73295" w14:textId="2CEC8A65" w:rsidR="00BF2E43" w:rsidRPr="00BF2E43" w:rsidRDefault="00011283" w:rsidP="00BF2E43">
      <w:pPr>
        <w:pStyle w:val="SingleTxtG"/>
      </w:pPr>
      <w:r w:rsidRPr="00BF2E43">
        <w:t>2</w:t>
      </w:r>
      <w:r>
        <w:t>0</w:t>
      </w:r>
      <w:r w:rsidR="00BF2E43" w:rsidRPr="00BF2E43">
        <w:t>.</w:t>
      </w:r>
      <w:r w:rsidR="00BF2E43" w:rsidRPr="00BF2E43">
        <w:tab/>
        <w:t>When functioning as the Party of origin, respondents state that they notify affected Parties primarily during scoping (28, n=45)</w:t>
      </w:r>
      <w:r w:rsidR="00D17302">
        <w:t>,</w:t>
      </w:r>
      <w:r w:rsidR="00BF2E43" w:rsidRPr="00BF2E43">
        <w:t xml:space="preserve"> or after the environmental impact assessment documentation has been prepared and “the domestic procedure” commences (16, question I.10). A number of Parties (</w:t>
      </w:r>
      <w:r w:rsidR="003B5485">
        <w:t>for example,</w:t>
      </w:r>
      <w:r w:rsidR="00BF2E43" w:rsidRPr="00BF2E43">
        <w:t xml:space="preserve"> the United Kingdom</w:t>
      </w:r>
      <w:r w:rsidR="00B44D7E">
        <w:t xml:space="preserve"> of Great Britain and Northern Ireland</w:t>
      </w:r>
      <w:r w:rsidR="00BF2E43" w:rsidRPr="00BF2E43">
        <w:t xml:space="preserve">) explain that notification timing is often a function of when their administration first becomes aware of the proposed activity. Thus, when the authorities are involved in scoping, notification will occur at this stage, but it may not occur until they receive the final </w:t>
      </w:r>
      <w:bookmarkStart w:id="9" w:name="_Hlk10801331"/>
      <w:r w:rsidR="00BF2E43" w:rsidRPr="00BF2E43">
        <w:t xml:space="preserve">environmental impact assessment </w:t>
      </w:r>
      <w:bookmarkEnd w:id="9"/>
      <w:r w:rsidR="00BF2E43" w:rsidRPr="00BF2E43">
        <w:t xml:space="preserve">documentation if no prior communication </w:t>
      </w:r>
      <w:r w:rsidR="00A0099E">
        <w:t xml:space="preserve">has </w:t>
      </w:r>
      <w:r w:rsidR="00BF2E43" w:rsidRPr="00BF2E43">
        <w:t>take</w:t>
      </w:r>
      <w:r w:rsidR="00A0099E">
        <w:t>n</w:t>
      </w:r>
      <w:r w:rsidR="00BF2E43" w:rsidRPr="00BF2E43">
        <w:t xml:space="preserve"> place between the developer and the authority. A number of other Parties note that the time at which notification occurs varies, but that it is always initiated before or at the same time as public consultation is initiated domestically. Three Parties comment that notification may </w:t>
      </w:r>
      <w:r w:rsidR="00BF2E43" w:rsidRPr="00BF2E43">
        <w:lastRenderedPageBreak/>
        <w:t>occur after the domestic procedure has been completed (Kazakhstan, Ireland and the United Kingdom</w:t>
      </w:r>
      <w:r w:rsidR="00B44D7E">
        <w:t xml:space="preserve"> of Great Britain and Northern Ireland</w:t>
      </w:r>
      <w:r w:rsidR="00BF2E43" w:rsidRPr="00BF2E43">
        <w:t>), although it appears</w:t>
      </w:r>
      <w:r w:rsidR="00A0099E">
        <w:t xml:space="preserve"> that</w:t>
      </w:r>
      <w:r w:rsidR="00BF2E43" w:rsidRPr="00BF2E43">
        <w:t xml:space="preserve"> Ireland means that affected Parties will be informed of the final decision.</w:t>
      </w:r>
    </w:p>
    <w:p w14:paraId="65BC404A" w14:textId="00BD7F3F" w:rsidR="00BF2E43" w:rsidRPr="00BF2E43" w:rsidRDefault="00011283" w:rsidP="00BF2E43">
      <w:pPr>
        <w:pStyle w:val="SingleTxtG"/>
      </w:pPr>
      <w:r w:rsidRPr="00BF2E43">
        <w:t>2</w:t>
      </w:r>
      <w:r>
        <w:t>1</w:t>
      </w:r>
      <w:r w:rsidR="00BF2E43" w:rsidRPr="00BF2E43">
        <w:t>.</w:t>
      </w:r>
      <w:r w:rsidR="00BF2E43" w:rsidRPr="00BF2E43">
        <w:tab/>
        <w:t>The Parties’ responses to questions I.11 (on the format of the notification) and I.12 (on the information included in the notification) are summari</w:t>
      </w:r>
      <w:r w:rsidR="00243DF8">
        <w:t>z</w:t>
      </w:r>
      <w:r w:rsidR="00BF2E43" w:rsidRPr="00BF2E43">
        <w:t xml:space="preserve">ed in </w:t>
      </w:r>
      <w:r w:rsidR="00D17302">
        <w:t>t</w:t>
      </w:r>
      <w:r w:rsidR="00BF2E43" w:rsidRPr="00BF2E43">
        <w:t xml:space="preserve">ables </w:t>
      </w:r>
      <w:r w:rsidR="00306B33">
        <w:t>1</w:t>
      </w:r>
      <w:r w:rsidR="00306B33" w:rsidRPr="00BF2E43">
        <w:t xml:space="preserve"> </w:t>
      </w:r>
      <w:r w:rsidR="00BF2E43" w:rsidRPr="00BF2E43">
        <w:t xml:space="preserve">and </w:t>
      </w:r>
      <w:r w:rsidR="00306B33">
        <w:t>2</w:t>
      </w:r>
      <w:r w:rsidR="00243DF8">
        <w:t xml:space="preserve"> below</w:t>
      </w:r>
      <w:r w:rsidR="004F7C6A">
        <w:t>, respectively</w:t>
      </w:r>
      <w:r w:rsidR="00BF2E43" w:rsidRPr="00BF2E43">
        <w:t>.</w:t>
      </w:r>
    </w:p>
    <w:p w14:paraId="01FB3FA3" w14:textId="73EB3131" w:rsidR="00234CBC" w:rsidRDefault="00234CBC" w:rsidP="00B97C81">
      <w:pPr>
        <w:pStyle w:val="SingleTxtG"/>
        <w:jc w:val="left"/>
      </w:pPr>
      <w:r w:rsidRPr="00AA766C">
        <w:t xml:space="preserve">Table </w:t>
      </w:r>
      <w:r w:rsidR="00306B33">
        <w:t>1</w:t>
      </w:r>
      <w:r w:rsidR="00306B33" w:rsidRPr="00AA766C">
        <w:t xml:space="preserve"> </w:t>
      </w:r>
      <w:r w:rsidR="00B97C81">
        <w:br/>
      </w:r>
      <w:r w:rsidRPr="00B97C81">
        <w:rPr>
          <w:b/>
          <w:bCs/>
        </w:rPr>
        <w:t>Format for notifications</w:t>
      </w:r>
      <w:r>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2"/>
        <w:gridCol w:w="2118"/>
      </w:tblGrid>
      <w:tr w:rsidR="00234CBC" w:rsidRPr="00234CBC" w14:paraId="02F32692" w14:textId="77777777" w:rsidTr="00234CBC">
        <w:trPr>
          <w:tblHeader/>
        </w:trPr>
        <w:tc>
          <w:tcPr>
            <w:tcW w:w="5252" w:type="dxa"/>
            <w:tcBorders>
              <w:top w:val="single" w:sz="4" w:space="0" w:color="auto"/>
              <w:bottom w:val="single" w:sz="12" w:space="0" w:color="auto"/>
            </w:tcBorders>
            <w:shd w:val="clear" w:color="auto" w:fill="auto"/>
            <w:vAlign w:val="bottom"/>
          </w:tcPr>
          <w:p w14:paraId="1EC50125" w14:textId="77777777" w:rsidR="00234CBC" w:rsidRPr="00234CBC" w:rsidRDefault="00234CBC" w:rsidP="00234CBC">
            <w:pPr>
              <w:suppressAutoHyphens w:val="0"/>
              <w:spacing w:before="80" w:after="80" w:line="200" w:lineRule="exact"/>
              <w:rPr>
                <w:i/>
                <w:sz w:val="16"/>
              </w:rPr>
            </w:pPr>
            <w:r w:rsidRPr="00234CBC">
              <w:rPr>
                <w:i/>
                <w:sz w:val="16"/>
              </w:rPr>
              <w:t>Format</w:t>
            </w:r>
          </w:p>
        </w:tc>
        <w:tc>
          <w:tcPr>
            <w:tcW w:w="2118" w:type="dxa"/>
            <w:tcBorders>
              <w:top w:val="single" w:sz="4" w:space="0" w:color="auto"/>
              <w:bottom w:val="single" w:sz="12" w:space="0" w:color="auto"/>
            </w:tcBorders>
            <w:shd w:val="clear" w:color="auto" w:fill="auto"/>
            <w:vAlign w:val="bottom"/>
          </w:tcPr>
          <w:p w14:paraId="06C9B360" w14:textId="77777777" w:rsidR="00234CBC" w:rsidRPr="00234CBC" w:rsidRDefault="00234CBC" w:rsidP="00234CBC">
            <w:pPr>
              <w:suppressAutoHyphens w:val="0"/>
              <w:spacing w:before="80" w:after="80" w:line="200" w:lineRule="exact"/>
              <w:jc w:val="right"/>
              <w:rPr>
                <w:i/>
                <w:sz w:val="16"/>
              </w:rPr>
            </w:pPr>
            <w:r w:rsidRPr="00234CBC">
              <w:rPr>
                <w:i/>
                <w:sz w:val="16"/>
              </w:rPr>
              <w:t>Number of responses (n=44)</w:t>
            </w:r>
          </w:p>
        </w:tc>
      </w:tr>
      <w:tr w:rsidR="00234CBC" w:rsidRPr="00234CBC" w14:paraId="52B3BE4D" w14:textId="77777777" w:rsidTr="00234CBC">
        <w:tc>
          <w:tcPr>
            <w:tcW w:w="5252" w:type="dxa"/>
            <w:shd w:val="clear" w:color="auto" w:fill="auto"/>
          </w:tcPr>
          <w:p w14:paraId="451B6776" w14:textId="20CB1605" w:rsidR="00234CBC" w:rsidRPr="00234CBC" w:rsidRDefault="00234CBC" w:rsidP="00234CBC">
            <w:pPr>
              <w:suppressAutoHyphens w:val="0"/>
              <w:spacing w:before="40" w:after="40" w:line="220" w:lineRule="exact"/>
              <w:rPr>
                <w:sz w:val="18"/>
              </w:rPr>
            </w:pPr>
            <w:r w:rsidRPr="00234CBC">
              <w:rPr>
                <w:sz w:val="18"/>
              </w:rPr>
              <w:t>Format decided at the first meeting of the Parties in its decision I/4</w:t>
            </w:r>
            <w:r w:rsidR="000B0AFF" w:rsidRPr="009D4EBB">
              <w:rPr>
                <w:sz w:val="18"/>
                <w:vertAlign w:val="superscript"/>
              </w:rPr>
              <w:t>a</w:t>
            </w:r>
            <w:r w:rsidRPr="00234CBC">
              <w:rPr>
                <w:sz w:val="18"/>
              </w:rPr>
              <w:t xml:space="preserve"> </w:t>
            </w:r>
          </w:p>
        </w:tc>
        <w:tc>
          <w:tcPr>
            <w:tcW w:w="2118" w:type="dxa"/>
            <w:shd w:val="clear" w:color="auto" w:fill="auto"/>
            <w:vAlign w:val="bottom"/>
          </w:tcPr>
          <w:p w14:paraId="475CEB17" w14:textId="77777777" w:rsidR="00234CBC" w:rsidRPr="00234CBC" w:rsidRDefault="00234CBC" w:rsidP="00234CBC">
            <w:pPr>
              <w:suppressAutoHyphens w:val="0"/>
              <w:spacing w:before="40" w:after="40" w:line="220" w:lineRule="exact"/>
              <w:jc w:val="right"/>
              <w:rPr>
                <w:sz w:val="18"/>
              </w:rPr>
            </w:pPr>
            <w:r w:rsidRPr="00234CBC">
              <w:rPr>
                <w:sz w:val="18"/>
              </w:rPr>
              <w:t>15</w:t>
            </w:r>
          </w:p>
        </w:tc>
      </w:tr>
      <w:tr w:rsidR="00234CBC" w:rsidRPr="00234CBC" w14:paraId="0CA88749" w14:textId="77777777" w:rsidTr="00234CBC">
        <w:tc>
          <w:tcPr>
            <w:tcW w:w="5252" w:type="dxa"/>
            <w:shd w:val="clear" w:color="auto" w:fill="auto"/>
          </w:tcPr>
          <w:p w14:paraId="54986DDB" w14:textId="2A1882FA" w:rsidR="00234CBC" w:rsidRPr="00234CBC" w:rsidRDefault="00234CBC" w:rsidP="00234CBC">
            <w:pPr>
              <w:suppressAutoHyphens w:val="0"/>
              <w:spacing w:before="40" w:after="40" w:line="220" w:lineRule="exact"/>
              <w:rPr>
                <w:sz w:val="18"/>
              </w:rPr>
            </w:pPr>
            <w:r w:rsidRPr="00234CBC">
              <w:rPr>
                <w:sz w:val="18"/>
              </w:rPr>
              <w:t>Standardi</w:t>
            </w:r>
            <w:r w:rsidR="00243DF8">
              <w:rPr>
                <w:sz w:val="18"/>
              </w:rPr>
              <w:t>z</w:t>
            </w:r>
            <w:r w:rsidRPr="00234CBC">
              <w:rPr>
                <w:sz w:val="18"/>
              </w:rPr>
              <w:t>ed domestic format</w:t>
            </w:r>
          </w:p>
        </w:tc>
        <w:tc>
          <w:tcPr>
            <w:tcW w:w="2118" w:type="dxa"/>
            <w:shd w:val="clear" w:color="auto" w:fill="auto"/>
            <w:vAlign w:val="bottom"/>
          </w:tcPr>
          <w:p w14:paraId="76BB5B3F" w14:textId="77777777" w:rsidR="00234CBC" w:rsidRPr="00234CBC" w:rsidRDefault="00234CBC" w:rsidP="00234CBC">
            <w:pPr>
              <w:suppressAutoHyphens w:val="0"/>
              <w:spacing w:before="40" w:after="40" w:line="220" w:lineRule="exact"/>
              <w:jc w:val="right"/>
              <w:rPr>
                <w:sz w:val="18"/>
              </w:rPr>
            </w:pPr>
            <w:r w:rsidRPr="00234CBC">
              <w:rPr>
                <w:sz w:val="18"/>
              </w:rPr>
              <w:t>4</w:t>
            </w:r>
          </w:p>
        </w:tc>
      </w:tr>
      <w:tr w:rsidR="00234CBC" w:rsidRPr="00234CBC" w14:paraId="0B633169" w14:textId="77777777" w:rsidTr="00234CBC">
        <w:tc>
          <w:tcPr>
            <w:tcW w:w="5252" w:type="dxa"/>
            <w:tcBorders>
              <w:bottom w:val="single" w:sz="12" w:space="0" w:color="auto"/>
            </w:tcBorders>
            <w:shd w:val="clear" w:color="auto" w:fill="auto"/>
          </w:tcPr>
          <w:p w14:paraId="385AB7B0" w14:textId="77777777" w:rsidR="00234CBC" w:rsidRPr="00234CBC" w:rsidRDefault="00234CBC" w:rsidP="00234CBC">
            <w:pPr>
              <w:suppressAutoHyphens w:val="0"/>
              <w:spacing w:before="40" w:after="40" w:line="220" w:lineRule="exact"/>
              <w:rPr>
                <w:sz w:val="18"/>
              </w:rPr>
            </w:pPr>
            <w:r w:rsidRPr="00234CBC">
              <w:rPr>
                <w:sz w:val="18"/>
              </w:rPr>
              <w:t>No official format</w:t>
            </w:r>
          </w:p>
        </w:tc>
        <w:tc>
          <w:tcPr>
            <w:tcW w:w="2118" w:type="dxa"/>
            <w:tcBorders>
              <w:bottom w:val="single" w:sz="12" w:space="0" w:color="auto"/>
            </w:tcBorders>
            <w:shd w:val="clear" w:color="auto" w:fill="auto"/>
            <w:vAlign w:val="bottom"/>
          </w:tcPr>
          <w:p w14:paraId="0B45AF4F" w14:textId="77777777" w:rsidR="00234CBC" w:rsidRPr="00234CBC" w:rsidRDefault="00234CBC" w:rsidP="00234CBC">
            <w:pPr>
              <w:suppressAutoHyphens w:val="0"/>
              <w:spacing w:before="40" w:after="40" w:line="220" w:lineRule="exact"/>
              <w:jc w:val="right"/>
              <w:rPr>
                <w:sz w:val="18"/>
              </w:rPr>
            </w:pPr>
            <w:r w:rsidRPr="00234CBC">
              <w:rPr>
                <w:sz w:val="18"/>
              </w:rPr>
              <w:t>25</w:t>
            </w:r>
          </w:p>
        </w:tc>
      </w:tr>
    </w:tbl>
    <w:p w14:paraId="776B3619" w14:textId="09657D67" w:rsidR="00234CBC" w:rsidRDefault="00234CBC" w:rsidP="00B97C81">
      <w:pPr>
        <w:pStyle w:val="SingleTxtG"/>
        <w:spacing w:before="240"/>
        <w:jc w:val="left"/>
        <w:rPr>
          <w:lang w:val="en-US"/>
        </w:rPr>
      </w:pPr>
      <w:r w:rsidRPr="007C6799">
        <w:rPr>
          <w:lang w:val="en-US"/>
        </w:rPr>
        <w:t xml:space="preserve">Table </w:t>
      </w:r>
      <w:r w:rsidR="00306B33">
        <w:rPr>
          <w:lang w:val="en-US"/>
        </w:rPr>
        <w:t>2</w:t>
      </w:r>
      <w:r w:rsidR="00B97C81">
        <w:rPr>
          <w:lang w:val="en-US"/>
        </w:rPr>
        <w:br/>
      </w:r>
      <w:r w:rsidRPr="00B97C81">
        <w:rPr>
          <w:b/>
          <w:bCs/>
          <w:lang w:val="en-US"/>
        </w:rPr>
        <w:t>Information included in the notification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2"/>
        <w:gridCol w:w="2118"/>
      </w:tblGrid>
      <w:tr w:rsidR="00234CBC" w:rsidRPr="00234CBC" w14:paraId="3EC240F0" w14:textId="77777777" w:rsidTr="00234CBC">
        <w:trPr>
          <w:tblHeader/>
        </w:trPr>
        <w:tc>
          <w:tcPr>
            <w:tcW w:w="5252" w:type="dxa"/>
            <w:tcBorders>
              <w:top w:val="single" w:sz="4" w:space="0" w:color="auto"/>
              <w:bottom w:val="single" w:sz="12" w:space="0" w:color="auto"/>
            </w:tcBorders>
            <w:shd w:val="clear" w:color="auto" w:fill="auto"/>
            <w:vAlign w:val="bottom"/>
          </w:tcPr>
          <w:p w14:paraId="67075CAF" w14:textId="77777777" w:rsidR="00234CBC" w:rsidRPr="00234CBC" w:rsidRDefault="00234CBC" w:rsidP="00234CBC">
            <w:pPr>
              <w:suppressAutoHyphens w:val="0"/>
              <w:spacing w:before="80" w:after="80" w:line="200" w:lineRule="exact"/>
              <w:rPr>
                <w:bCs/>
                <w:i/>
                <w:iCs/>
                <w:sz w:val="16"/>
              </w:rPr>
            </w:pPr>
            <w:r w:rsidRPr="00234CBC">
              <w:rPr>
                <w:bCs/>
                <w:i/>
                <w:iCs/>
                <w:sz w:val="16"/>
              </w:rPr>
              <w:t>Information</w:t>
            </w:r>
          </w:p>
        </w:tc>
        <w:tc>
          <w:tcPr>
            <w:tcW w:w="2118" w:type="dxa"/>
            <w:tcBorders>
              <w:top w:val="single" w:sz="4" w:space="0" w:color="auto"/>
              <w:bottom w:val="single" w:sz="12" w:space="0" w:color="auto"/>
            </w:tcBorders>
            <w:shd w:val="clear" w:color="auto" w:fill="auto"/>
            <w:vAlign w:val="bottom"/>
          </w:tcPr>
          <w:p w14:paraId="207B8C4E" w14:textId="77777777" w:rsidR="00234CBC" w:rsidRPr="00234CBC" w:rsidRDefault="00234CBC" w:rsidP="00234CBC">
            <w:pPr>
              <w:suppressAutoHyphens w:val="0"/>
              <w:spacing w:before="80" w:after="80" w:line="200" w:lineRule="exact"/>
              <w:jc w:val="right"/>
              <w:rPr>
                <w:bCs/>
                <w:i/>
                <w:iCs/>
                <w:sz w:val="16"/>
              </w:rPr>
            </w:pPr>
            <w:r w:rsidRPr="00234CBC">
              <w:rPr>
                <w:bCs/>
                <w:i/>
                <w:iCs/>
                <w:sz w:val="16"/>
              </w:rPr>
              <w:t>Number of responses (n=46)</w:t>
            </w:r>
          </w:p>
        </w:tc>
      </w:tr>
      <w:tr w:rsidR="00234CBC" w:rsidRPr="00234CBC" w14:paraId="5BBBADB4" w14:textId="77777777" w:rsidTr="00234CBC">
        <w:tc>
          <w:tcPr>
            <w:tcW w:w="5252" w:type="dxa"/>
            <w:tcBorders>
              <w:top w:val="single" w:sz="12" w:space="0" w:color="auto"/>
            </w:tcBorders>
            <w:shd w:val="clear" w:color="auto" w:fill="auto"/>
          </w:tcPr>
          <w:p w14:paraId="3D41FE4C" w14:textId="6A8F3A9F" w:rsidR="00234CBC" w:rsidRPr="00234CBC" w:rsidRDefault="00234CBC" w:rsidP="00234CBC">
            <w:pPr>
              <w:suppressAutoHyphens w:val="0"/>
              <w:spacing w:before="40" w:after="40" w:line="220" w:lineRule="exact"/>
              <w:rPr>
                <w:bCs/>
                <w:iCs/>
                <w:sz w:val="18"/>
              </w:rPr>
            </w:pPr>
            <w:r w:rsidRPr="00234CBC">
              <w:rPr>
                <w:bCs/>
                <w:iCs/>
                <w:sz w:val="18"/>
              </w:rPr>
              <w:t>Information required under article 3</w:t>
            </w:r>
            <w:r w:rsidR="004C3F5C">
              <w:rPr>
                <w:bCs/>
                <w:iCs/>
                <w:sz w:val="18"/>
              </w:rPr>
              <w:t xml:space="preserve"> </w:t>
            </w:r>
            <w:r w:rsidRPr="00234CBC">
              <w:rPr>
                <w:bCs/>
                <w:iCs/>
                <w:sz w:val="18"/>
              </w:rPr>
              <w:t>(2)</w:t>
            </w:r>
          </w:p>
        </w:tc>
        <w:tc>
          <w:tcPr>
            <w:tcW w:w="2118" w:type="dxa"/>
            <w:tcBorders>
              <w:top w:val="single" w:sz="12" w:space="0" w:color="auto"/>
            </w:tcBorders>
            <w:shd w:val="clear" w:color="auto" w:fill="auto"/>
            <w:vAlign w:val="bottom"/>
          </w:tcPr>
          <w:p w14:paraId="27C56B8C" w14:textId="77777777" w:rsidR="00234CBC" w:rsidRPr="00234CBC" w:rsidRDefault="00234CBC" w:rsidP="00234CBC">
            <w:pPr>
              <w:suppressAutoHyphens w:val="0"/>
              <w:spacing w:before="40" w:after="40" w:line="220" w:lineRule="exact"/>
              <w:jc w:val="right"/>
              <w:rPr>
                <w:bCs/>
                <w:iCs/>
                <w:sz w:val="18"/>
              </w:rPr>
            </w:pPr>
            <w:r w:rsidRPr="00234CBC">
              <w:rPr>
                <w:bCs/>
                <w:iCs/>
                <w:sz w:val="18"/>
              </w:rPr>
              <w:t>45</w:t>
            </w:r>
          </w:p>
        </w:tc>
      </w:tr>
      <w:tr w:rsidR="00234CBC" w:rsidRPr="00234CBC" w14:paraId="3DEB85E0" w14:textId="77777777" w:rsidTr="00234CBC">
        <w:tc>
          <w:tcPr>
            <w:tcW w:w="5252" w:type="dxa"/>
            <w:shd w:val="clear" w:color="auto" w:fill="auto"/>
          </w:tcPr>
          <w:p w14:paraId="4A03B60C" w14:textId="0CE4016D" w:rsidR="00234CBC" w:rsidRPr="00234CBC" w:rsidRDefault="00234CBC" w:rsidP="00234CBC">
            <w:pPr>
              <w:suppressAutoHyphens w:val="0"/>
              <w:spacing w:before="40" w:after="40" w:line="220" w:lineRule="exact"/>
              <w:rPr>
                <w:bCs/>
                <w:iCs/>
                <w:sz w:val="18"/>
              </w:rPr>
            </w:pPr>
            <w:r w:rsidRPr="00234CBC">
              <w:rPr>
                <w:bCs/>
                <w:iCs/>
                <w:sz w:val="18"/>
              </w:rPr>
              <w:t>Information required under article 3</w:t>
            </w:r>
            <w:r w:rsidR="004C3F5C">
              <w:rPr>
                <w:bCs/>
                <w:iCs/>
                <w:sz w:val="18"/>
              </w:rPr>
              <w:t xml:space="preserve"> </w:t>
            </w:r>
            <w:r w:rsidRPr="00234CBC">
              <w:rPr>
                <w:bCs/>
                <w:iCs/>
                <w:sz w:val="18"/>
              </w:rPr>
              <w:t>(5)</w:t>
            </w:r>
          </w:p>
        </w:tc>
        <w:tc>
          <w:tcPr>
            <w:tcW w:w="2118" w:type="dxa"/>
            <w:shd w:val="clear" w:color="auto" w:fill="auto"/>
            <w:vAlign w:val="bottom"/>
          </w:tcPr>
          <w:p w14:paraId="0B6BB42B" w14:textId="77777777" w:rsidR="00234CBC" w:rsidRPr="00234CBC" w:rsidRDefault="00234CBC" w:rsidP="00234CBC">
            <w:pPr>
              <w:suppressAutoHyphens w:val="0"/>
              <w:spacing w:before="40" w:after="40" w:line="220" w:lineRule="exact"/>
              <w:jc w:val="right"/>
              <w:rPr>
                <w:bCs/>
                <w:iCs/>
                <w:sz w:val="18"/>
              </w:rPr>
            </w:pPr>
            <w:r w:rsidRPr="00234CBC">
              <w:rPr>
                <w:bCs/>
                <w:iCs/>
                <w:sz w:val="18"/>
              </w:rPr>
              <w:t>36</w:t>
            </w:r>
          </w:p>
        </w:tc>
      </w:tr>
      <w:tr w:rsidR="00234CBC" w:rsidRPr="00234CBC" w14:paraId="2CABF85F" w14:textId="77777777" w:rsidTr="00234CBC">
        <w:tc>
          <w:tcPr>
            <w:tcW w:w="5252" w:type="dxa"/>
            <w:tcBorders>
              <w:bottom w:val="single" w:sz="12" w:space="0" w:color="auto"/>
            </w:tcBorders>
            <w:shd w:val="clear" w:color="auto" w:fill="auto"/>
          </w:tcPr>
          <w:p w14:paraId="0F7BBB51" w14:textId="15887DF6" w:rsidR="00234CBC" w:rsidRPr="00234CBC" w:rsidRDefault="00234CBC" w:rsidP="00234CBC">
            <w:pPr>
              <w:suppressAutoHyphens w:val="0"/>
              <w:spacing w:before="40" w:after="40" w:line="220" w:lineRule="exact"/>
              <w:rPr>
                <w:bCs/>
                <w:iCs/>
                <w:sz w:val="18"/>
              </w:rPr>
            </w:pPr>
            <w:r w:rsidRPr="00234CBC">
              <w:rPr>
                <w:bCs/>
                <w:iCs/>
                <w:sz w:val="18"/>
              </w:rPr>
              <w:t>Additional information</w:t>
            </w:r>
          </w:p>
        </w:tc>
        <w:tc>
          <w:tcPr>
            <w:tcW w:w="2118" w:type="dxa"/>
            <w:tcBorders>
              <w:bottom w:val="single" w:sz="12" w:space="0" w:color="auto"/>
            </w:tcBorders>
            <w:shd w:val="clear" w:color="auto" w:fill="auto"/>
            <w:vAlign w:val="bottom"/>
          </w:tcPr>
          <w:p w14:paraId="18CDDD35" w14:textId="77777777" w:rsidR="00234CBC" w:rsidRPr="00234CBC" w:rsidRDefault="00234CBC" w:rsidP="00234CBC">
            <w:pPr>
              <w:suppressAutoHyphens w:val="0"/>
              <w:spacing w:before="40" w:after="40" w:line="220" w:lineRule="exact"/>
              <w:jc w:val="right"/>
              <w:rPr>
                <w:bCs/>
                <w:iCs/>
                <w:sz w:val="18"/>
              </w:rPr>
            </w:pPr>
            <w:r w:rsidRPr="00234CBC">
              <w:rPr>
                <w:bCs/>
                <w:iCs/>
                <w:sz w:val="18"/>
              </w:rPr>
              <w:t>3</w:t>
            </w:r>
          </w:p>
        </w:tc>
      </w:tr>
    </w:tbl>
    <w:p w14:paraId="1F9533EE" w14:textId="1F9B2479" w:rsidR="00F74651" w:rsidRPr="00E14C1B" w:rsidRDefault="00F74651" w:rsidP="00243DF8">
      <w:pPr>
        <w:spacing w:before="120"/>
        <w:ind w:left="1168" w:right="1128" w:firstLine="533"/>
        <w:jc w:val="both"/>
        <w:rPr>
          <w:rFonts w:ascii="Times" w:hAnsi="Times"/>
          <w:bCs/>
          <w:iCs/>
          <w:sz w:val="18"/>
          <w:szCs w:val="18"/>
          <w:vertAlign w:val="superscript"/>
          <w:lang w:val="it-IT"/>
        </w:rPr>
      </w:pPr>
      <w:r w:rsidRPr="00E14C1B">
        <w:rPr>
          <w:rFonts w:ascii="Times" w:hAnsi="Times"/>
          <w:bCs/>
          <w:iCs/>
          <w:sz w:val="18"/>
          <w:szCs w:val="18"/>
          <w:vertAlign w:val="superscript"/>
          <w:lang w:val="it-IT"/>
        </w:rPr>
        <w:t>a</w:t>
      </w:r>
      <w:r w:rsidRPr="00E14C1B">
        <w:rPr>
          <w:lang w:val="it-IT"/>
        </w:rPr>
        <w:t xml:space="preserve"> </w:t>
      </w:r>
      <w:r w:rsidRPr="00E14C1B">
        <w:rPr>
          <w:rFonts w:ascii="Times" w:hAnsi="Times"/>
          <w:bCs/>
          <w:iCs/>
          <w:sz w:val="18"/>
          <w:szCs w:val="18"/>
          <w:lang w:val="it-IT"/>
        </w:rPr>
        <w:t>ECE/MP.EIA/2, annex IV, appendix.</w:t>
      </w:r>
    </w:p>
    <w:p w14:paraId="5C641E3D" w14:textId="576BAE7E" w:rsidR="00234CBC" w:rsidRDefault="00234CBC" w:rsidP="009D4EBB">
      <w:pPr>
        <w:spacing w:before="120"/>
        <w:ind w:left="1168" w:right="1128" w:firstLine="533"/>
        <w:jc w:val="both"/>
        <w:rPr>
          <w:rFonts w:ascii="Times" w:hAnsi="Times"/>
          <w:bCs/>
          <w:iCs/>
          <w:sz w:val="18"/>
          <w:szCs w:val="18"/>
        </w:rPr>
      </w:pPr>
      <w:r w:rsidRPr="00462270">
        <w:rPr>
          <w:rFonts w:ascii="Times" w:hAnsi="Times"/>
          <w:bCs/>
          <w:i/>
          <w:sz w:val="18"/>
          <w:szCs w:val="18"/>
          <w:lang w:val="en-US"/>
        </w:rPr>
        <w:t xml:space="preserve">Notes: </w:t>
      </w:r>
      <w:r w:rsidRPr="007C6799">
        <w:rPr>
          <w:rFonts w:ascii="Times" w:hAnsi="Times"/>
          <w:bCs/>
          <w:iCs/>
          <w:sz w:val="18"/>
          <w:szCs w:val="18"/>
        </w:rPr>
        <w:t>The nature of the additional information provided is either: determined based upon the nature of the activity under consideration (Austria and Kyrgyz</w:t>
      </w:r>
      <w:r w:rsidR="00A33B7C">
        <w:rPr>
          <w:rFonts w:ascii="Times" w:hAnsi="Times"/>
          <w:bCs/>
          <w:iCs/>
          <w:sz w:val="18"/>
          <w:szCs w:val="18"/>
        </w:rPr>
        <w:t>stan</w:t>
      </w:r>
      <w:r w:rsidRPr="007C6799">
        <w:rPr>
          <w:rFonts w:ascii="Times" w:hAnsi="Times"/>
          <w:bCs/>
          <w:iCs/>
          <w:sz w:val="18"/>
          <w:szCs w:val="18"/>
        </w:rPr>
        <w:t>); or</w:t>
      </w:r>
      <w:r w:rsidR="00243DF8">
        <w:rPr>
          <w:rFonts w:ascii="Times" w:hAnsi="Times"/>
          <w:bCs/>
          <w:iCs/>
          <w:sz w:val="18"/>
          <w:szCs w:val="18"/>
        </w:rPr>
        <w:t>,</w:t>
      </w:r>
      <w:r w:rsidRPr="007C6799">
        <w:rPr>
          <w:rFonts w:ascii="Times" w:hAnsi="Times"/>
          <w:bCs/>
          <w:iCs/>
          <w:sz w:val="18"/>
          <w:szCs w:val="18"/>
        </w:rPr>
        <w:t xml:space="preserve"> information on the accredited experts and the coordinator </w:t>
      </w:r>
      <w:r w:rsidR="004F7C6A">
        <w:rPr>
          <w:rFonts w:ascii="Times" w:hAnsi="Times"/>
          <w:bCs/>
          <w:iCs/>
          <w:sz w:val="18"/>
          <w:szCs w:val="18"/>
        </w:rPr>
        <w:t>who</w:t>
      </w:r>
      <w:r w:rsidR="004F7C6A" w:rsidRPr="007C6799">
        <w:rPr>
          <w:rFonts w:ascii="Times" w:hAnsi="Times"/>
          <w:bCs/>
          <w:iCs/>
          <w:sz w:val="18"/>
          <w:szCs w:val="18"/>
        </w:rPr>
        <w:t xml:space="preserve"> </w:t>
      </w:r>
      <w:r w:rsidRPr="007C6799">
        <w:rPr>
          <w:rFonts w:ascii="Times" w:hAnsi="Times"/>
          <w:bCs/>
          <w:iCs/>
          <w:sz w:val="18"/>
          <w:szCs w:val="18"/>
        </w:rPr>
        <w:t xml:space="preserve">will prepare the </w:t>
      </w:r>
      <w:r w:rsidRPr="007C6799">
        <w:rPr>
          <w:rFonts w:ascii="Times" w:hAnsi="Times"/>
          <w:sz w:val="18"/>
          <w:szCs w:val="18"/>
          <w:lang w:val="en-US"/>
        </w:rPr>
        <w:t>environmental impact assessment</w:t>
      </w:r>
      <w:r w:rsidRPr="007C6799">
        <w:rPr>
          <w:rFonts w:ascii="Times" w:hAnsi="Times"/>
          <w:bCs/>
          <w:iCs/>
          <w:sz w:val="18"/>
          <w:szCs w:val="18"/>
        </w:rPr>
        <w:t xml:space="preserve"> </w:t>
      </w:r>
      <w:r>
        <w:rPr>
          <w:rFonts w:ascii="Times" w:hAnsi="Times"/>
          <w:bCs/>
          <w:iCs/>
          <w:sz w:val="18"/>
          <w:szCs w:val="18"/>
        </w:rPr>
        <w:t>documentation</w:t>
      </w:r>
      <w:r w:rsidRPr="007C6799">
        <w:rPr>
          <w:rFonts w:ascii="Times" w:hAnsi="Times"/>
          <w:bCs/>
          <w:iCs/>
          <w:sz w:val="18"/>
          <w:szCs w:val="18"/>
        </w:rPr>
        <w:t xml:space="preserve"> (Belgium Flemish Region).</w:t>
      </w:r>
    </w:p>
    <w:p w14:paraId="07E9002D" w14:textId="69344BE4" w:rsidR="006A5B77" w:rsidRPr="006A5B77" w:rsidRDefault="00011283" w:rsidP="00047B60">
      <w:pPr>
        <w:pStyle w:val="SingleTxtG"/>
        <w:spacing w:before="240"/>
      </w:pPr>
      <w:r w:rsidRPr="006A5B77">
        <w:t>2</w:t>
      </w:r>
      <w:r>
        <w:t>2</w:t>
      </w:r>
      <w:r w:rsidR="006A5B77" w:rsidRPr="006A5B77">
        <w:t>.</w:t>
      </w:r>
      <w:r w:rsidR="006A5B77" w:rsidRPr="006A5B77">
        <w:tab/>
        <w:t xml:space="preserve">The length of time Parties of origin allow for receiving a response to a notification (question I.13) varies. One to two months appears to be the typical time allowed, although many Parties state that their deadlines are flexible. In most cases, the deadline for responses </w:t>
      </w:r>
      <w:r w:rsidR="000D0667">
        <w:t>is</w:t>
      </w:r>
      <w:r w:rsidR="000D0667" w:rsidRPr="006A5B77">
        <w:t xml:space="preserve"> </w:t>
      </w:r>
      <w:r w:rsidR="006A5B77" w:rsidRPr="006A5B77">
        <w:t xml:space="preserve">specified in the domestic legislation of the Party of origin (22), but a reasonable number of Parties (17) establish deadlines on a case-by-case basis through discussions with the affected Party. Irish domestic legislation states that no decision can be made until a response has been received from an affected Party, but it does not specify a time limit for such responses. Few Parties report specific procedural provisions or </w:t>
      </w:r>
      <w:r w:rsidR="004F7C6A">
        <w:t>“</w:t>
      </w:r>
      <w:r w:rsidR="006A5B77" w:rsidRPr="006A5B77">
        <w:t>consequences</w:t>
      </w:r>
      <w:r w:rsidR="004F7C6A">
        <w:t>”</w:t>
      </w:r>
      <w:r w:rsidR="006A5B77" w:rsidRPr="006A5B77">
        <w:t xml:space="preserve"> (in the terminology of the questionnaire) if an affected Party does not respond by the deadline. Most Parties contact the </w:t>
      </w:r>
      <w:r w:rsidR="000D0667">
        <w:t>f</w:t>
      </w:r>
      <w:r w:rsidR="006A5B77" w:rsidRPr="006A5B77">
        <w:t xml:space="preserve">ocal </w:t>
      </w:r>
      <w:r w:rsidR="000D0667">
        <w:t>p</w:t>
      </w:r>
      <w:r w:rsidR="006A5B77" w:rsidRPr="006A5B77">
        <w:t>oint in the affected Party(</w:t>
      </w:r>
      <w:proofErr w:type="spellStart"/>
      <w:r w:rsidR="006A5B77" w:rsidRPr="006A5B77">
        <w:t>ies</w:t>
      </w:r>
      <w:proofErr w:type="spellEnd"/>
      <w:r w:rsidR="006A5B77" w:rsidRPr="006A5B77">
        <w:t>) once again or extend the deadline.</w:t>
      </w:r>
    </w:p>
    <w:p w14:paraId="10B8750C" w14:textId="26EC321E" w:rsidR="006A5B77" w:rsidRPr="006A5B77" w:rsidRDefault="00011283" w:rsidP="006A5B77">
      <w:pPr>
        <w:pStyle w:val="SingleTxtG"/>
      </w:pPr>
      <w:r w:rsidRPr="006A5B77">
        <w:t>2</w:t>
      </w:r>
      <w:r>
        <w:t>3</w:t>
      </w:r>
      <w:r w:rsidR="006A5B77" w:rsidRPr="006A5B77">
        <w:t>.</w:t>
      </w:r>
      <w:r w:rsidR="006A5B77" w:rsidRPr="006A5B77">
        <w:tab/>
        <w:t xml:space="preserve">Parties of origin generally inform the public and authorities </w:t>
      </w:r>
      <w:r w:rsidR="00160BB1">
        <w:t>of</w:t>
      </w:r>
      <w:r w:rsidR="006A5B77" w:rsidRPr="006A5B77">
        <w:t xml:space="preserve"> the affected Party (question I.14) via the point of contact to the Convention listed on the Convention website (35, n=44). Some use additional approaches instead </w:t>
      </w:r>
      <w:r w:rsidR="000D0667">
        <w:t xml:space="preserve">of, </w:t>
      </w:r>
      <w:r w:rsidR="006A5B77" w:rsidRPr="006A5B77">
        <w:t>or as well as</w:t>
      </w:r>
      <w:r w:rsidR="000D0667">
        <w:t>,</w:t>
      </w:r>
      <w:r w:rsidR="006A5B77" w:rsidRPr="006A5B77">
        <w:t xml:space="preserve"> contacting the point of contact (9), including contacting the competent authority (where known), city or regional authorities, or a relevant </w:t>
      </w:r>
      <w:r w:rsidR="00160BB1">
        <w:t>m</w:t>
      </w:r>
      <w:r w:rsidR="006A5B77" w:rsidRPr="006A5B77">
        <w:t>inistry (</w:t>
      </w:r>
      <w:r w:rsidR="003B5485">
        <w:t>for example,</w:t>
      </w:r>
      <w:r w:rsidR="006A5B77" w:rsidRPr="006A5B77">
        <w:t xml:space="preserve"> Georgia, Italy and Switzerland) and publicizing the notification via newspapers and/or the </w:t>
      </w:r>
      <w:r w:rsidR="00160BB1">
        <w:t>I</w:t>
      </w:r>
      <w:r w:rsidR="006A5B77" w:rsidRPr="006A5B77">
        <w:t>nternet (</w:t>
      </w:r>
      <w:r w:rsidR="003B5485">
        <w:t>for example,</w:t>
      </w:r>
      <w:r w:rsidR="006A5B77" w:rsidRPr="006A5B77">
        <w:t xml:space="preserve"> Kazakhstan and </w:t>
      </w:r>
      <w:r w:rsidR="00160BB1">
        <w:t xml:space="preserve">the </w:t>
      </w:r>
      <w:r w:rsidR="006A5B77" w:rsidRPr="006A5B77">
        <w:t>Netherlands).</w:t>
      </w:r>
    </w:p>
    <w:p w14:paraId="5841987E" w14:textId="067F720A" w:rsidR="00306B33" w:rsidRDefault="00011283" w:rsidP="00D14DE9">
      <w:pPr>
        <w:pStyle w:val="SingleTxtG"/>
        <w:rPr>
          <w:rFonts w:eastAsiaTheme="minorHAnsi"/>
          <w:lang w:val="en-US"/>
        </w:rPr>
      </w:pPr>
      <w:r w:rsidRPr="006A5B77">
        <w:rPr>
          <w:rFonts w:eastAsiaTheme="minorHAnsi"/>
        </w:rPr>
        <w:t>2</w:t>
      </w:r>
      <w:r>
        <w:rPr>
          <w:rFonts w:eastAsiaTheme="minorHAnsi"/>
        </w:rPr>
        <w:t>4</w:t>
      </w:r>
      <w:r w:rsidR="006A5B77" w:rsidRPr="006A5B77">
        <w:rPr>
          <w:rFonts w:eastAsiaTheme="minorHAnsi"/>
        </w:rPr>
        <w:t>.</w:t>
      </w:r>
      <w:r w:rsidR="006A5B77" w:rsidRPr="006A5B77">
        <w:rPr>
          <w:rFonts w:eastAsiaTheme="minorHAnsi"/>
        </w:rPr>
        <w:tab/>
      </w:r>
      <w:r w:rsidR="006A5B77" w:rsidRPr="006A5B77">
        <w:t>Decisions on whether or not to participate in transboundary procedures as an affected Party are predominantly made by the notified authority on its own (19, n=42)</w:t>
      </w:r>
      <w:r w:rsidR="00160BB1">
        <w:t>,</w:t>
      </w:r>
      <w:r w:rsidR="006A5B77" w:rsidRPr="006A5B77">
        <w:t xml:space="preserve"> or </w:t>
      </w:r>
      <w:r w:rsidR="00160BB1">
        <w:t>are</w:t>
      </w:r>
      <w:r w:rsidR="006A5B77" w:rsidRPr="006A5B77">
        <w:t xml:space="preserve"> based on the opinions of competent authorities and the public (19, question I.15). The results for question 1.16, which examines how the Party of origin determines the detailed provisions for participation where an affected Party indicates </w:t>
      </w:r>
      <w:r w:rsidR="00160BB1">
        <w:t xml:space="preserve">that </w:t>
      </w:r>
      <w:r w:rsidR="006A5B77" w:rsidRPr="006A5B77">
        <w:t xml:space="preserve">it </w:t>
      </w:r>
      <w:r w:rsidR="00160BB1">
        <w:t>intend</w:t>
      </w:r>
      <w:r w:rsidR="00160BB1" w:rsidRPr="006A5B77">
        <w:t xml:space="preserve">s </w:t>
      </w:r>
      <w:r w:rsidR="006A5B77" w:rsidRPr="006A5B77">
        <w:t xml:space="preserve">to participate, are presented in </w:t>
      </w:r>
      <w:r w:rsidR="00243DF8">
        <w:t>f</w:t>
      </w:r>
      <w:r w:rsidR="006A5B77" w:rsidRPr="006A5B77">
        <w:t xml:space="preserve">igure </w:t>
      </w:r>
      <w:r w:rsidR="00160BB1">
        <w:t>II below</w:t>
      </w:r>
      <w:r w:rsidR="006A5B77" w:rsidRPr="006A5B77">
        <w:t xml:space="preserve">. The other approaches Parties state </w:t>
      </w:r>
      <w:r w:rsidR="00160BB1">
        <w:t xml:space="preserve">that </w:t>
      </w:r>
      <w:r w:rsidR="006A5B77" w:rsidRPr="006A5B77">
        <w:t>they use include</w:t>
      </w:r>
      <w:r w:rsidR="00160BB1">
        <w:t>:</w:t>
      </w:r>
      <w:r w:rsidR="006A5B77" w:rsidRPr="006A5B77">
        <w:t xml:space="preserve"> following the specifications of bi</w:t>
      </w:r>
      <w:r w:rsidR="00B05AC8">
        <w:t>lateral</w:t>
      </w:r>
      <w:r w:rsidR="006A5B77" w:rsidRPr="006A5B77">
        <w:t xml:space="preserve"> and/or multilateral agreements (</w:t>
      </w:r>
      <w:r w:rsidR="003B5485">
        <w:t>for example,</w:t>
      </w:r>
      <w:r w:rsidR="006A5B77" w:rsidRPr="006A5B77">
        <w:t xml:space="preserve"> Li</w:t>
      </w:r>
      <w:r w:rsidR="002307A3">
        <w:t>e</w:t>
      </w:r>
      <w:r w:rsidR="006A5B77" w:rsidRPr="006A5B77">
        <w:t>chtenstein, the Netherlands and Portugal)</w:t>
      </w:r>
      <w:r w:rsidR="00160BB1">
        <w:t>; and,</w:t>
      </w:r>
      <w:r w:rsidR="006A5B77" w:rsidRPr="006A5B77">
        <w:t xml:space="preserve"> deciding on a case-by-case basis (</w:t>
      </w:r>
      <w:r w:rsidR="003B5485">
        <w:t>for example,</w:t>
      </w:r>
      <w:r w:rsidR="006A5B77" w:rsidRPr="006A5B77">
        <w:t xml:space="preserve"> Cyprus and Slovenia).</w:t>
      </w:r>
      <w:r w:rsidR="00306B33">
        <w:rPr>
          <w:rFonts w:eastAsiaTheme="minorHAnsi"/>
          <w:lang w:val="en-US"/>
        </w:rPr>
        <w:br w:type="page"/>
      </w:r>
    </w:p>
    <w:p w14:paraId="33EF7BD7" w14:textId="47656B1B" w:rsidR="006A5B77" w:rsidRPr="00B97C81" w:rsidRDefault="0090364F" w:rsidP="00B97C81">
      <w:pPr>
        <w:pStyle w:val="SingleTxtG"/>
        <w:jc w:val="left"/>
        <w:rPr>
          <w:rFonts w:eastAsiaTheme="minorHAnsi"/>
          <w:b/>
          <w:bCs/>
          <w:lang w:val="en-US"/>
        </w:rPr>
      </w:pPr>
      <w:r>
        <w:rPr>
          <w:rFonts w:eastAsiaTheme="minorHAnsi"/>
          <w:lang w:val="en-US"/>
        </w:rPr>
        <w:lastRenderedPageBreak/>
        <w:tab/>
      </w:r>
      <w:r w:rsidR="006A5B77" w:rsidRPr="007C6799">
        <w:rPr>
          <w:rFonts w:eastAsiaTheme="minorHAnsi"/>
          <w:lang w:val="en-US"/>
        </w:rPr>
        <w:t xml:space="preserve">Figure </w:t>
      </w:r>
      <w:r w:rsidR="00160BB1">
        <w:rPr>
          <w:rFonts w:eastAsiaTheme="minorHAnsi"/>
          <w:lang w:val="en-US"/>
        </w:rPr>
        <w:t>II</w:t>
      </w:r>
      <w:r w:rsidR="00B97C81">
        <w:rPr>
          <w:rFonts w:eastAsiaTheme="minorHAnsi"/>
          <w:lang w:val="en-US"/>
        </w:rPr>
        <w:br/>
      </w:r>
      <w:r w:rsidR="006A5B77" w:rsidRPr="00B97C81">
        <w:rPr>
          <w:rFonts w:eastAsiaTheme="minorHAnsi"/>
          <w:b/>
          <w:bCs/>
          <w:lang w:val="en-US"/>
        </w:rPr>
        <w:t>Approaches used by the Party of origin to determine provisions for participation (n=45)</w:t>
      </w:r>
    </w:p>
    <w:p w14:paraId="056EC572" w14:textId="77777777" w:rsidR="006A5B77" w:rsidRDefault="006A5B77" w:rsidP="006A5B77">
      <w:pPr>
        <w:jc w:val="center"/>
        <w:rPr>
          <w:rFonts w:eastAsiaTheme="minorHAnsi"/>
          <w:color w:val="000000"/>
          <w:lang w:val="en-US"/>
        </w:rPr>
      </w:pPr>
      <w:r>
        <w:rPr>
          <w:noProof/>
          <w:lang w:val="en-US" w:eastAsia="zh-CN"/>
        </w:rPr>
        <w:drawing>
          <wp:inline distT="0" distB="0" distL="0" distR="0" wp14:anchorId="32102E0F" wp14:editId="282B4D9A">
            <wp:extent cx="4640291" cy="2023110"/>
            <wp:effectExtent l="0" t="0" r="8255"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83B32D" w14:textId="62835EA8" w:rsidR="00A15B36" w:rsidRPr="00707E9F" w:rsidRDefault="00A15B36" w:rsidP="000631E5">
      <w:pPr>
        <w:pStyle w:val="H1G"/>
      </w:pPr>
      <w:r>
        <w:tab/>
      </w:r>
      <w:r w:rsidR="00BA6089">
        <w:t>D</w:t>
      </w:r>
      <w:r>
        <w:t>.</w:t>
      </w:r>
      <w:r>
        <w:tab/>
      </w:r>
      <w:r w:rsidRPr="00707E9F">
        <w:t>Public participation</w:t>
      </w:r>
    </w:p>
    <w:p w14:paraId="137DBCB6" w14:textId="21E2A4C6" w:rsidR="00A15B36" w:rsidRPr="00707E9F" w:rsidRDefault="00011283" w:rsidP="00A15B36">
      <w:pPr>
        <w:pStyle w:val="SingleTxtG"/>
      </w:pPr>
      <w:r>
        <w:t>25</w:t>
      </w:r>
      <w:r w:rsidR="00A15B36" w:rsidRPr="00707E9F">
        <w:t>.</w:t>
      </w:r>
      <w:r w:rsidR="00A15B36" w:rsidRPr="00707E9F">
        <w:tab/>
        <w:t>Questions I.17</w:t>
      </w:r>
      <w:r w:rsidR="00243DF8">
        <w:t xml:space="preserve"> to </w:t>
      </w:r>
      <w:r w:rsidR="00A15B36" w:rsidRPr="00707E9F">
        <w:t>I.19 examine legal provisions and practices for public participation under articles 3</w:t>
      </w:r>
      <w:r w:rsidR="00B44D7E">
        <w:t xml:space="preserve"> </w:t>
      </w:r>
      <w:r w:rsidR="00A15B36" w:rsidRPr="00707E9F">
        <w:t>(8) and 4</w:t>
      </w:r>
      <w:r w:rsidR="00B44D7E">
        <w:t xml:space="preserve"> </w:t>
      </w:r>
      <w:r w:rsidR="00A15B36" w:rsidRPr="00707E9F">
        <w:t xml:space="preserve">(2). Table </w:t>
      </w:r>
      <w:r w:rsidR="00306B33">
        <w:t>3</w:t>
      </w:r>
      <w:r w:rsidR="00A15B36" w:rsidRPr="00707E9F">
        <w:t xml:space="preserve"> </w:t>
      </w:r>
      <w:r w:rsidR="00243DF8">
        <w:t xml:space="preserve">below </w:t>
      </w:r>
      <w:r w:rsidR="00A15B36" w:rsidRPr="00707E9F">
        <w:t xml:space="preserve">summarizes the responses to question </w:t>
      </w:r>
      <w:r w:rsidR="00841F1A">
        <w:t xml:space="preserve">I.17 </w:t>
      </w:r>
      <w:r w:rsidR="00A15B36" w:rsidRPr="00707E9F">
        <w:t xml:space="preserve">on the ways in which the public can express its opinion on the environmental impact assessment documentation, either in procedures taking place in the Party of origin or in an affected Party. Under the category </w:t>
      </w:r>
      <w:r w:rsidR="00B05AC8">
        <w:t>“</w:t>
      </w:r>
      <w:r w:rsidR="00A15B36" w:rsidRPr="00707E9F">
        <w:t>other</w:t>
      </w:r>
      <w:r w:rsidR="00B05AC8">
        <w:t>”</w:t>
      </w:r>
      <w:r w:rsidR="00A15B36" w:rsidRPr="00707E9F">
        <w:t xml:space="preserve">, Armenia agrees upon the form(s) of participation on a case-by-case basis, while two regions in Belgium state that comments </w:t>
      </w:r>
      <w:r w:rsidR="00B05AC8" w:rsidRPr="00707E9F">
        <w:t>c</w:t>
      </w:r>
      <w:r w:rsidR="00B05AC8">
        <w:t>an</w:t>
      </w:r>
      <w:r w:rsidR="00B05AC8" w:rsidRPr="00707E9F">
        <w:t xml:space="preserve"> </w:t>
      </w:r>
      <w:r w:rsidR="00A15B36" w:rsidRPr="00707E9F">
        <w:t xml:space="preserve">be sent to the “affected municipality”. </w:t>
      </w:r>
    </w:p>
    <w:p w14:paraId="59BD533B" w14:textId="10732DFF" w:rsidR="00A15B36" w:rsidRDefault="00A15B36" w:rsidP="00A15B36">
      <w:pPr>
        <w:pStyle w:val="SingleTxtG"/>
        <w:jc w:val="left"/>
        <w:rPr>
          <w:rFonts w:eastAsiaTheme="minorHAnsi"/>
          <w:lang w:val="en-US"/>
        </w:rPr>
      </w:pPr>
      <w:r w:rsidRPr="00A539DC">
        <w:rPr>
          <w:rFonts w:eastAsiaTheme="minorHAnsi"/>
          <w:lang w:val="en-US"/>
        </w:rPr>
        <w:t xml:space="preserve">Table </w:t>
      </w:r>
      <w:r w:rsidR="00306B33">
        <w:rPr>
          <w:rFonts w:eastAsiaTheme="minorHAnsi"/>
          <w:lang w:val="en-US"/>
        </w:rPr>
        <w:t>3</w:t>
      </w:r>
      <w:r>
        <w:rPr>
          <w:rFonts w:eastAsiaTheme="minorHAnsi"/>
          <w:lang w:val="en-US"/>
        </w:rPr>
        <w:br/>
      </w:r>
      <w:r w:rsidRPr="00B97C81">
        <w:rPr>
          <w:rFonts w:eastAsiaTheme="minorHAnsi"/>
          <w:b/>
          <w:bCs/>
          <w:lang w:val="en-US"/>
        </w:rPr>
        <w:t>Forms of participation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1"/>
        <w:gridCol w:w="2228"/>
        <w:gridCol w:w="1971"/>
      </w:tblGrid>
      <w:tr w:rsidR="00A15B36" w:rsidRPr="00707E9F" w14:paraId="003364F4" w14:textId="77777777" w:rsidTr="0059319D">
        <w:trPr>
          <w:tblHeader/>
        </w:trPr>
        <w:tc>
          <w:tcPr>
            <w:tcW w:w="3171" w:type="dxa"/>
            <w:tcBorders>
              <w:top w:val="single" w:sz="4" w:space="0" w:color="auto"/>
              <w:bottom w:val="single" w:sz="12" w:space="0" w:color="auto"/>
            </w:tcBorders>
            <w:shd w:val="clear" w:color="auto" w:fill="auto"/>
            <w:vAlign w:val="bottom"/>
          </w:tcPr>
          <w:p w14:paraId="4F2ED25A" w14:textId="77777777" w:rsidR="00A15B36" w:rsidRPr="00707E9F" w:rsidRDefault="00A15B36" w:rsidP="0059319D">
            <w:pPr>
              <w:suppressAutoHyphens w:val="0"/>
              <w:spacing w:before="80" w:after="80" w:line="200" w:lineRule="exact"/>
              <w:rPr>
                <w:rFonts w:eastAsiaTheme="minorHAnsi"/>
                <w:i/>
                <w:sz w:val="16"/>
                <w:lang w:val="en-US"/>
              </w:rPr>
            </w:pPr>
            <w:r w:rsidRPr="00707E9F">
              <w:rPr>
                <w:rFonts w:eastAsiaTheme="minorHAnsi"/>
                <w:i/>
                <w:sz w:val="16"/>
                <w:lang w:val="en-US"/>
              </w:rPr>
              <w:t>Form of participation</w:t>
            </w:r>
          </w:p>
        </w:tc>
        <w:tc>
          <w:tcPr>
            <w:tcW w:w="2228" w:type="dxa"/>
            <w:tcBorders>
              <w:top w:val="single" w:sz="4" w:space="0" w:color="auto"/>
              <w:bottom w:val="single" w:sz="12" w:space="0" w:color="auto"/>
            </w:tcBorders>
            <w:shd w:val="clear" w:color="auto" w:fill="auto"/>
            <w:vAlign w:val="bottom"/>
          </w:tcPr>
          <w:p w14:paraId="5248B151" w14:textId="77777777" w:rsidR="00A15B36" w:rsidRPr="00707E9F" w:rsidRDefault="00A15B36" w:rsidP="0059319D">
            <w:pPr>
              <w:suppressAutoHyphens w:val="0"/>
              <w:spacing w:before="80" w:after="80" w:line="200" w:lineRule="exact"/>
              <w:jc w:val="right"/>
              <w:rPr>
                <w:rFonts w:eastAsiaTheme="minorHAnsi"/>
                <w:i/>
                <w:sz w:val="16"/>
                <w:lang w:val="en-US"/>
              </w:rPr>
            </w:pPr>
            <w:r w:rsidRPr="00707E9F">
              <w:rPr>
                <w:rFonts w:eastAsiaTheme="minorHAnsi"/>
                <w:i/>
                <w:sz w:val="16"/>
                <w:lang w:val="en-US"/>
              </w:rPr>
              <w:t xml:space="preserve">As a Party of origin (n=46) </w:t>
            </w:r>
          </w:p>
        </w:tc>
        <w:tc>
          <w:tcPr>
            <w:tcW w:w="1971" w:type="dxa"/>
            <w:tcBorders>
              <w:top w:val="single" w:sz="4" w:space="0" w:color="auto"/>
              <w:bottom w:val="single" w:sz="12" w:space="0" w:color="auto"/>
            </w:tcBorders>
            <w:shd w:val="clear" w:color="auto" w:fill="auto"/>
            <w:vAlign w:val="bottom"/>
          </w:tcPr>
          <w:p w14:paraId="49C75C79" w14:textId="77777777" w:rsidR="00A15B36" w:rsidRPr="00707E9F" w:rsidRDefault="00A15B36" w:rsidP="0059319D">
            <w:pPr>
              <w:suppressAutoHyphens w:val="0"/>
              <w:spacing w:before="80" w:after="80" w:line="200" w:lineRule="exact"/>
              <w:jc w:val="right"/>
              <w:rPr>
                <w:rFonts w:eastAsiaTheme="minorHAnsi"/>
                <w:i/>
                <w:sz w:val="16"/>
                <w:lang w:val="en-US"/>
              </w:rPr>
            </w:pPr>
            <w:r w:rsidRPr="00707E9F">
              <w:rPr>
                <w:rFonts w:eastAsiaTheme="minorHAnsi"/>
                <w:i/>
                <w:sz w:val="16"/>
                <w:lang w:val="en-US"/>
              </w:rPr>
              <w:t>As an affected Party (n=45)</w:t>
            </w:r>
          </w:p>
        </w:tc>
      </w:tr>
      <w:tr w:rsidR="00A15B36" w:rsidRPr="00707E9F" w14:paraId="7ED70F64" w14:textId="77777777" w:rsidTr="0059319D">
        <w:tc>
          <w:tcPr>
            <w:tcW w:w="3171" w:type="dxa"/>
            <w:shd w:val="clear" w:color="auto" w:fill="auto"/>
          </w:tcPr>
          <w:p w14:paraId="4EB493B2" w14:textId="77777777" w:rsidR="00A15B36" w:rsidRPr="00707E9F" w:rsidRDefault="00A15B36" w:rsidP="0059319D">
            <w:pPr>
              <w:suppressAutoHyphens w:val="0"/>
              <w:spacing w:before="40" w:after="40" w:line="220" w:lineRule="exact"/>
              <w:rPr>
                <w:rFonts w:eastAsiaTheme="minorHAnsi"/>
                <w:sz w:val="18"/>
              </w:rPr>
            </w:pPr>
            <w:r w:rsidRPr="00707E9F">
              <w:rPr>
                <w:sz w:val="18"/>
              </w:rPr>
              <w:t>Sending comments to the competent authority/focal point</w:t>
            </w:r>
          </w:p>
        </w:tc>
        <w:tc>
          <w:tcPr>
            <w:tcW w:w="2228" w:type="dxa"/>
            <w:shd w:val="clear" w:color="auto" w:fill="auto"/>
            <w:vAlign w:val="bottom"/>
          </w:tcPr>
          <w:p w14:paraId="0092F035" w14:textId="77777777" w:rsidR="00A15B36" w:rsidRPr="00707E9F" w:rsidRDefault="00A15B36" w:rsidP="0059319D">
            <w:pPr>
              <w:suppressAutoHyphens w:val="0"/>
              <w:spacing w:before="40" w:after="40" w:line="220" w:lineRule="exact"/>
              <w:jc w:val="right"/>
              <w:rPr>
                <w:rFonts w:eastAsiaTheme="minorHAnsi"/>
                <w:sz w:val="18"/>
              </w:rPr>
            </w:pPr>
            <w:r w:rsidRPr="00707E9F">
              <w:rPr>
                <w:rFonts w:eastAsiaTheme="minorHAnsi"/>
                <w:sz w:val="18"/>
              </w:rPr>
              <w:t>40</w:t>
            </w:r>
          </w:p>
        </w:tc>
        <w:tc>
          <w:tcPr>
            <w:tcW w:w="1971" w:type="dxa"/>
            <w:shd w:val="clear" w:color="auto" w:fill="auto"/>
            <w:vAlign w:val="bottom"/>
          </w:tcPr>
          <w:p w14:paraId="2015C945" w14:textId="77777777" w:rsidR="00A15B36" w:rsidRPr="00707E9F" w:rsidRDefault="00A15B36" w:rsidP="0059319D">
            <w:pPr>
              <w:suppressAutoHyphens w:val="0"/>
              <w:spacing w:before="40" w:after="40" w:line="220" w:lineRule="exact"/>
              <w:jc w:val="right"/>
              <w:rPr>
                <w:rFonts w:eastAsiaTheme="minorHAnsi"/>
                <w:sz w:val="18"/>
              </w:rPr>
            </w:pPr>
            <w:r w:rsidRPr="00707E9F">
              <w:rPr>
                <w:rFonts w:eastAsiaTheme="minorHAnsi"/>
                <w:sz w:val="18"/>
              </w:rPr>
              <w:t>42</w:t>
            </w:r>
          </w:p>
        </w:tc>
      </w:tr>
      <w:tr w:rsidR="00A15B36" w:rsidRPr="00707E9F" w14:paraId="582C8982" w14:textId="77777777" w:rsidTr="0059319D">
        <w:tc>
          <w:tcPr>
            <w:tcW w:w="3171" w:type="dxa"/>
            <w:shd w:val="clear" w:color="auto" w:fill="auto"/>
          </w:tcPr>
          <w:p w14:paraId="1B7664EE" w14:textId="77777777" w:rsidR="00A15B36" w:rsidRPr="00707E9F" w:rsidRDefault="00A15B36" w:rsidP="0059319D">
            <w:pPr>
              <w:suppressAutoHyphens w:val="0"/>
              <w:spacing w:before="40" w:after="40" w:line="220" w:lineRule="exact"/>
              <w:rPr>
                <w:rFonts w:eastAsiaTheme="minorHAnsi"/>
                <w:sz w:val="18"/>
              </w:rPr>
            </w:pPr>
            <w:r w:rsidRPr="00707E9F">
              <w:rPr>
                <w:sz w:val="18"/>
              </w:rPr>
              <w:t>By taking part in a public hearing</w:t>
            </w:r>
          </w:p>
        </w:tc>
        <w:tc>
          <w:tcPr>
            <w:tcW w:w="2228" w:type="dxa"/>
            <w:shd w:val="clear" w:color="auto" w:fill="auto"/>
            <w:vAlign w:val="bottom"/>
          </w:tcPr>
          <w:p w14:paraId="280AC86B" w14:textId="77777777" w:rsidR="00A15B36" w:rsidRPr="00707E9F" w:rsidRDefault="00A15B36" w:rsidP="0059319D">
            <w:pPr>
              <w:suppressAutoHyphens w:val="0"/>
              <w:spacing w:before="40" w:after="40" w:line="220" w:lineRule="exact"/>
              <w:jc w:val="right"/>
              <w:rPr>
                <w:rFonts w:eastAsiaTheme="minorHAnsi"/>
                <w:sz w:val="18"/>
              </w:rPr>
            </w:pPr>
            <w:r w:rsidRPr="00707E9F">
              <w:rPr>
                <w:rFonts w:eastAsiaTheme="minorHAnsi"/>
                <w:sz w:val="18"/>
              </w:rPr>
              <w:t>31</w:t>
            </w:r>
          </w:p>
        </w:tc>
        <w:tc>
          <w:tcPr>
            <w:tcW w:w="1971" w:type="dxa"/>
            <w:shd w:val="clear" w:color="auto" w:fill="auto"/>
            <w:vAlign w:val="bottom"/>
          </w:tcPr>
          <w:p w14:paraId="40B76F10" w14:textId="77777777" w:rsidR="00A15B36" w:rsidRPr="00707E9F" w:rsidRDefault="00A15B36" w:rsidP="0059319D">
            <w:pPr>
              <w:suppressAutoHyphens w:val="0"/>
              <w:spacing w:before="40" w:after="40" w:line="220" w:lineRule="exact"/>
              <w:jc w:val="right"/>
              <w:rPr>
                <w:rFonts w:eastAsiaTheme="minorHAnsi"/>
                <w:sz w:val="18"/>
              </w:rPr>
            </w:pPr>
            <w:r w:rsidRPr="00707E9F">
              <w:rPr>
                <w:rFonts w:eastAsiaTheme="minorHAnsi"/>
                <w:sz w:val="18"/>
              </w:rPr>
              <w:t>29</w:t>
            </w:r>
          </w:p>
        </w:tc>
      </w:tr>
      <w:tr w:rsidR="00A15B36" w:rsidRPr="00707E9F" w14:paraId="33729705" w14:textId="77777777" w:rsidTr="0059319D">
        <w:tc>
          <w:tcPr>
            <w:tcW w:w="3171" w:type="dxa"/>
            <w:tcBorders>
              <w:bottom w:val="single" w:sz="12" w:space="0" w:color="auto"/>
            </w:tcBorders>
            <w:shd w:val="clear" w:color="auto" w:fill="auto"/>
          </w:tcPr>
          <w:p w14:paraId="3FA4321E" w14:textId="77777777" w:rsidR="00A15B36" w:rsidRPr="00707E9F" w:rsidRDefault="00A15B36" w:rsidP="0059319D">
            <w:pPr>
              <w:suppressAutoHyphens w:val="0"/>
              <w:spacing w:before="40" w:after="40" w:line="220" w:lineRule="exact"/>
              <w:rPr>
                <w:rFonts w:eastAsiaTheme="minorHAnsi"/>
                <w:sz w:val="18"/>
              </w:rPr>
            </w:pPr>
            <w:r w:rsidRPr="00707E9F">
              <w:rPr>
                <w:rFonts w:eastAsiaTheme="minorHAnsi"/>
                <w:sz w:val="18"/>
              </w:rPr>
              <w:t>Other</w:t>
            </w:r>
          </w:p>
        </w:tc>
        <w:tc>
          <w:tcPr>
            <w:tcW w:w="2228" w:type="dxa"/>
            <w:tcBorders>
              <w:bottom w:val="single" w:sz="12" w:space="0" w:color="auto"/>
            </w:tcBorders>
            <w:shd w:val="clear" w:color="auto" w:fill="auto"/>
            <w:vAlign w:val="bottom"/>
          </w:tcPr>
          <w:p w14:paraId="19238656" w14:textId="77777777" w:rsidR="00A15B36" w:rsidRPr="00707E9F" w:rsidRDefault="00A15B36" w:rsidP="0059319D">
            <w:pPr>
              <w:suppressAutoHyphens w:val="0"/>
              <w:spacing w:before="40" w:after="40" w:line="220" w:lineRule="exact"/>
              <w:jc w:val="right"/>
              <w:rPr>
                <w:rFonts w:eastAsiaTheme="minorHAnsi"/>
                <w:sz w:val="18"/>
              </w:rPr>
            </w:pPr>
            <w:r w:rsidRPr="00707E9F">
              <w:rPr>
                <w:rFonts w:eastAsiaTheme="minorHAnsi"/>
                <w:sz w:val="18"/>
              </w:rPr>
              <w:t>6</w:t>
            </w:r>
          </w:p>
        </w:tc>
        <w:tc>
          <w:tcPr>
            <w:tcW w:w="1971" w:type="dxa"/>
            <w:tcBorders>
              <w:bottom w:val="single" w:sz="12" w:space="0" w:color="auto"/>
            </w:tcBorders>
            <w:shd w:val="clear" w:color="auto" w:fill="auto"/>
            <w:vAlign w:val="bottom"/>
          </w:tcPr>
          <w:p w14:paraId="02E55821" w14:textId="77777777" w:rsidR="00A15B36" w:rsidRPr="00707E9F" w:rsidRDefault="00A15B36" w:rsidP="0059319D">
            <w:pPr>
              <w:suppressAutoHyphens w:val="0"/>
              <w:spacing w:before="40" w:after="40" w:line="220" w:lineRule="exact"/>
              <w:jc w:val="right"/>
              <w:rPr>
                <w:rFonts w:eastAsiaTheme="minorHAnsi"/>
                <w:sz w:val="18"/>
              </w:rPr>
            </w:pPr>
            <w:r w:rsidRPr="00707E9F">
              <w:rPr>
                <w:rFonts w:eastAsiaTheme="minorHAnsi"/>
                <w:sz w:val="18"/>
              </w:rPr>
              <w:t>6</w:t>
            </w:r>
          </w:p>
        </w:tc>
      </w:tr>
    </w:tbl>
    <w:p w14:paraId="4E187B07" w14:textId="0244083A" w:rsidR="00A15B36" w:rsidRDefault="00011283" w:rsidP="00A15B36">
      <w:pPr>
        <w:pStyle w:val="SingleTxtG"/>
        <w:spacing w:before="240"/>
      </w:pPr>
      <w:r>
        <w:t>26</w:t>
      </w:r>
      <w:r w:rsidR="00A15B36" w:rsidRPr="001B71DC">
        <w:t>.</w:t>
      </w:r>
      <w:r w:rsidR="00A15B36" w:rsidRPr="001B71DC">
        <w:tab/>
        <w:t xml:space="preserve">Eleven Parties (n=43) indicate that, where they are the Party of origin, their domestic environmental impact assessment legislation requires a public hearing to be organized </w:t>
      </w:r>
      <w:r w:rsidR="00841F1A">
        <w:t>i</w:t>
      </w:r>
      <w:r w:rsidR="00A15B36" w:rsidRPr="001B71DC">
        <w:t>n the territory of the affected Party (question I.18). Fifteen Parties (n=42) state that their domestic environmental impact assessment legislation requires them to organize a public hearing in cases where they are an affected Party (question I.19)</w:t>
      </w:r>
      <w:r w:rsidR="000D0667">
        <w:t>.</w:t>
      </w:r>
      <w:r w:rsidR="00A15B36" w:rsidRPr="001B71DC">
        <w:rPr>
          <w:vertAlign w:val="superscript"/>
        </w:rPr>
        <w:footnoteReference w:id="5"/>
      </w:r>
      <w:r w:rsidR="00A15B36" w:rsidRPr="001B71DC">
        <w:t xml:space="preserve"> Several Parties (</w:t>
      </w:r>
      <w:r w:rsidR="003B5485">
        <w:t>for example,</w:t>
      </w:r>
      <w:r w:rsidR="00A15B36" w:rsidRPr="001B71DC">
        <w:t xml:space="preserve"> Albania, Cyprus and Slovenia) determine the need for a public meeting on a case-by-case basis</w:t>
      </w:r>
      <w:r w:rsidR="000D0667">
        <w:t>,</w:t>
      </w:r>
      <w:r w:rsidR="00A15B36" w:rsidRPr="001B71DC">
        <w:t xml:space="preserve"> following consultation with the concerned Parties.</w:t>
      </w:r>
    </w:p>
    <w:p w14:paraId="088E85AA" w14:textId="64D32E5E" w:rsidR="00A15B36" w:rsidRPr="00532BF5" w:rsidRDefault="00A15B36" w:rsidP="000631E5">
      <w:pPr>
        <w:pStyle w:val="H1G"/>
      </w:pPr>
      <w:r>
        <w:tab/>
      </w:r>
      <w:r w:rsidR="00BA6089">
        <w:t>E</w:t>
      </w:r>
      <w:r>
        <w:t>.</w:t>
      </w:r>
      <w:r>
        <w:tab/>
      </w:r>
      <w:r>
        <w:tab/>
      </w:r>
      <w:r w:rsidRPr="00532BF5">
        <w:t xml:space="preserve">Environmental impact assessment documentation </w:t>
      </w:r>
    </w:p>
    <w:p w14:paraId="5EAA85A6" w14:textId="121E8BDA" w:rsidR="00A15B36" w:rsidRPr="00532BF5" w:rsidRDefault="00A15B36" w:rsidP="00A15B36">
      <w:pPr>
        <w:pStyle w:val="SingleTxtG"/>
      </w:pPr>
      <w:r w:rsidRPr="00532BF5">
        <w:t>2</w:t>
      </w:r>
      <w:r w:rsidR="00011283">
        <w:t>7</w:t>
      </w:r>
      <w:r w:rsidRPr="00532BF5">
        <w:t>.</w:t>
      </w:r>
      <w:r w:rsidRPr="00532BF5">
        <w:tab/>
        <w:t xml:space="preserve">Quality control measures that the Parties employ to ensure that environmental impact assessment documentation is of sufficient quality (question I.20) primarily involve an authority in the Party of origin checking the content of the documentation against </w:t>
      </w:r>
      <w:r w:rsidR="00841F1A">
        <w:rPr>
          <w:rStyle w:val="Hyperlink"/>
          <w:color w:val="000000" w:themeColor="text1"/>
        </w:rPr>
        <w:t>a</w:t>
      </w:r>
      <w:r w:rsidRPr="009B6631">
        <w:rPr>
          <w:rStyle w:val="Hyperlink"/>
          <w:color w:val="000000" w:themeColor="text1"/>
        </w:rPr>
        <w:t>ppendix II</w:t>
      </w:r>
      <w:r w:rsidRPr="009B6631">
        <w:rPr>
          <w:color w:val="000000" w:themeColor="text1"/>
        </w:rPr>
        <w:t xml:space="preserve"> of the Convention (40). Quality control checklists are rarely used (6), but eight Parties sta</w:t>
      </w:r>
      <w:r w:rsidRPr="00532BF5">
        <w:t xml:space="preserve">te </w:t>
      </w:r>
      <w:r w:rsidR="00AB332F">
        <w:lastRenderedPageBreak/>
        <w:t xml:space="preserve">that </w:t>
      </w:r>
      <w:r w:rsidRPr="00532BF5">
        <w:t>they employ other quality control measures. Some draw upon additional actors, over and above the domestic competent authority, to assess quality. For example, in the Netherlands and Montenegro</w:t>
      </w:r>
      <w:r w:rsidR="00AB332F">
        <w:t>,</w:t>
      </w:r>
      <w:r w:rsidRPr="00532BF5">
        <w:t xml:space="preserve"> expert commissions are used</w:t>
      </w:r>
      <w:r w:rsidR="00AB332F">
        <w:t xml:space="preserve"> –</w:t>
      </w:r>
      <w:r w:rsidRPr="00532BF5">
        <w:t xml:space="preserve"> at least in certain cases</w:t>
      </w:r>
      <w:r w:rsidR="00AB332F">
        <w:t xml:space="preserve"> –</w:t>
      </w:r>
      <w:r w:rsidRPr="00532BF5">
        <w:t xml:space="preserve"> to evaluate the quality of documentation. Another Party (</w:t>
      </w:r>
      <w:r w:rsidR="00AB332F">
        <w:t xml:space="preserve">the </w:t>
      </w:r>
      <w:r w:rsidRPr="00532BF5">
        <w:t xml:space="preserve">Republic of Moldova) compares the contents of the documentation to the specifications established during scoping, while Belgium Flemish Region refers to </w:t>
      </w:r>
      <w:r w:rsidR="00AB332F">
        <w:t>its</w:t>
      </w:r>
      <w:r w:rsidR="00AB332F" w:rsidRPr="00532BF5">
        <w:t xml:space="preserve"> </w:t>
      </w:r>
      <w:r w:rsidRPr="00532BF5">
        <w:t>domestic guidance on environmental impact assessment when performing quality control checks. In contrast, Switzerland states that it is the responsibility of the applicant to ensure that environmental impact assessment documentation meets the required quality standard; thus, the</w:t>
      </w:r>
      <w:r w:rsidR="00AB332F">
        <w:t xml:space="preserve"> Swiss</w:t>
      </w:r>
      <w:r w:rsidRPr="00532BF5">
        <w:t xml:space="preserve"> authority does not review the documentation.</w:t>
      </w:r>
    </w:p>
    <w:p w14:paraId="4ED628AA" w14:textId="69FF0CDC" w:rsidR="00A15B36" w:rsidRPr="00532BF5" w:rsidRDefault="00A15B36" w:rsidP="00A15B36">
      <w:pPr>
        <w:pStyle w:val="SingleTxtG"/>
      </w:pPr>
      <w:r w:rsidRPr="00532BF5">
        <w:t>2</w:t>
      </w:r>
      <w:r w:rsidR="00011283">
        <w:t>8</w:t>
      </w:r>
      <w:r w:rsidRPr="00532BF5">
        <w:t>.</w:t>
      </w:r>
      <w:r w:rsidRPr="00532BF5">
        <w:tab/>
        <w:t xml:space="preserve">Question 1.21 examines the ways in which Parties determine “the relevant information to be included in the </w:t>
      </w:r>
      <w:r w:rsidR="00DF1B5B">
        <w:t>[environmental impact assessment]</w:t>
      </w:r>
      <w:r w:rsidRPr="00532BF5">
        <w:t xml:space="preserve"> documentation in accordance with </w:t>
      </w:r>
      <w:r w:rsidRPr="009B6631">
        <w:rPr>
          <w:rStyle w:val="Hyperlink"/>
          <w:color w:val="000000" w:themeColor="text1"/>
        </w:rPr>
        <w:t>article 4</w:t>
      </w:r>
      <w:r w:rsidRPr="009B6631">
        <w:rPr>
          <w:color w:val="000000" w:themeColor="text1"/>
        </w:rPr>
        <w:t xml:space="preserve">, paragraph 1”. </w:t>
      </w:r>
      <w:r w:rsidR="00BD0866">
        <w:rPr>
          <w:color w:val="000000" w:themeColor="text1"/>
        </w:rPr>
        <w:t>Article 4 (1) of the Convention</w:t>
      </w:r>
      <w:r w:rsidRPr="009B6631">
        <w:rPr>
          <w:color w:val="000000" w:themeColor="text1"/>
        </w:rPr>
        <w:t xml:space="preserve"> states that “</w:t>
      </w:r>
      <w:r w:rsidR="00F66972">
        <w:rPr>
          <w:color w:val="000000" w:themeColor="text1"/>
        </w:rPr>
        <w:t>T</w:t>
      </w:r>
      <w:r w:rsidRPr="009B6631">
        <w:rPr>
          <w:color w:val="000000" w:themeColor="text1"/>
        </w:rPr>
        <w:t>he environmental impact assessment documentation … shall contain, as a minimum, the information described in </w:t>
      </w:r>
      <w:r w:rsidR="00907FFA">
        <w:rPr>
          <w:rStyle w:val="Hyperlink"/>
          <w:color w:val="000000" w:themeColor="text1"/>
        </w:rPr>
        <w:t>a</w:t>
      </w:r>
      <w:r w:rsidRPr="009B6631">
        <w:rPr>
          <w:rStyle w:val="Hyperlink"/>
          <w:color w:val="000000" w:themeColor="text1"/>
        </w:rPr>
        <w:t>ppendix II</w:t>
      </w:r>
      <w:r w:rsidRPr="009B6631">
        <w:rPr>
          <w:color w:val="000000" w:themeColor="text1"/>
        </w:rPr>
        <w:t xml:space="preserve">”. The </w:t>
      </w:r>
      <w:r w:rsidRPr="00532BF5">
        <w:t xml:space="preserve">approaches used by Parties are presented in </w:t>
      </w:r>
      <w:r w:rsidR="00A947EB">
        <w:t>t</w:t>
      </w:r>
      <w:r w:rsidRPr="00532BF5">
        <w:t xml:space="preserve">able </w:t>
      </w:r>
      <w:r w:rsidR="00306B33">
        <w:t>4</w:t>
      </w:r>
      <w:r w:rsidR="00653708">
        <w:t xml:space="preserve"> below</w:t>
      </w:r>
      <w:r w:rsidRPr="00532BF5">
        <w:t xml:space="preserve">. A number of Parties </w:t>
      </w:r>
      <w:r w:rsidR="00653708">
        <w:t>that</w:t>
      </w:r>
      <w:r w:rsidR="00653708" w:rsidRPr="00532BF5">
        <w:t xml:space="preserve"> </w:t>
      </w:r>
      <w:r w:rsidRPr="00532BF5">
        <w:t xml:space="preserve">selected the response category </w:t>
      </w:r>
      <w:r w:rsidR="00653708">
        <w:t>“</w:t>
      </w:r>
      <w:r w:rsidR="00175CD5">
        <w:t>O</w:t>
      </w:r>
      <w:r w:rsidRPr="00532BF5">
        <w:t>ther</w:t>
      </w:r>
      <w:r w:rsidR="00653708">
        <w:t>”</w:t>
      </w:r>
      <w:r w:rsidRPr="00532BF5">
        <w:t xml:space="preserve"> refer to specifications of what the environmental impact assessment documentation must contain in their domestic legislation. Reference is also made to methodological guidelines and the existence of separate legislation that specifies the requirements for certain activities (</w:t>
      </w:r>
      <w:r w:rsidR="003B5485">
        <w:t>for example,</w:t>
      </w:r>
      <w:r w:rsidRPr="00532BF5">
        <w:t xml:space="preserve"> nuclear p</w:t>
      </w:r>
      <w:r w:rsidR="00FC5C89">
        <w:t>roject</w:t>
      </w:r>
      <w:r w:rsidRPr="00532BF5">
        <w:t>s, Belgium Federal Government).</w:t>
      </w:r>
    </w:p>
    <w:p w14:paraId="08E2E92A" w14:textId="015B19BF" w:rsidR="00A15B36" w:rsidRPr="002F39A4" w:rsidRDefault="00A15B36" w:rsidP="00A15B36">
      <w:pPr>
        <w:pStyle w:val="SingleTxtG"/>
        <w:jc w:val="left"/>
      </w:pPr>
      <w:r w:rsidRPr="009B715D">
        <w:t xml:space="preserve">Table </w:t>
      </w:r>
      <w:r w:rsidR="00306B33">
        <w:t>4</w:t>
      </w:r>
      <w:r>
        <w:br/>
      </w:r>
      <w:r w:rsidRPr="002F39A4">
        <w:rPr>
          <w:b/>
          <w:bCs/>
        </w:rPr>
        <w:t xml:space="preserve">Determining the relevant information to be included in the environmental impact assessment documentation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2"/>
        <w:gridCol w:w="2558"/>
      </w:tblGrid>
      <w:tr w:rsidR="00A15B36" w:rsidRPr="00BF2E43" w14:paraId="3E3AC24A" w14:textId="77777777" w:rsidTr="0059319D">
        <w:trPr>
          <w:tblHeader/>
        </w:trPr>
        <w:tc>
          <w:tcPr>
            <w:tcW w:w="4812" w:type="dxa"/>
            <w:tcBorders>
              <w:top w:val="single" w:sz="4" w:space="0" w:color="auto"/>
              <w:bottom w:val="single" w:sz="12" w:space="0" w:color="auto"/>
            </w:tcBorders>
            <w:shd w:val="clear" w:color="auto" w:fill="auto"/>
            <w:vAlign w:val="bottom"/>
          </w:tcPr>
          <w:p w14:paraId="041796DA" w14:textId="77777777" w:rsidR="00A15B36" w:rsidRPr="00BF2E43" w:rsidRDefault="00A15B36" w:rsidP="0059319D">
            <w:pPr>
              <w:spacing w:before="80" w:after="80" w:line="200" w:lineRule="exact"/>
              <w:ind w:right="113"/>
              <w:rPr>
                <w:i/>
                <w:sz w:val="16"/>
              </w:rPr>
            </w:pPr>
            <w:r w:rsidRPr="00BF2E43">
              <w:rPr>
                <w:i/>
                <w:sz w:val="16"/>
              </w:rPr>
              <w:t>Approach employed</w:t>
            </w:r>
          </w:p>
        </w:tc>
        <w:tc>
          <w:tcPr>
            <w:tcW w:w="2558" w:type="dxa"/>
            <w:tcBorders>
              <w:top w:val="single" w:sz="4" w:space="0" w:color="auto"/>
              <w:bottom w:val="single" w:sz="12" w:space="0" w:color="auto"/>
            </w:tcBorders>
            <w:shd w:val="clear" w:color="auto" w:fill="auto"/>
            <w:vAlign w:val="bottom"/>
          </w:tcPr>
          <w:p w14:paraId="1802CB37" w14:textId="77777777" w:rsidR="00A15B36" w:rsidRPr="00BF2E43" w:rsidRDefault="00A15B36" w:rsidP="0059319D">
            <w:pPr>
              <w:spacing w:before="80" w:after="80" w:line="200" w:lineRule="exact"/>
              <w:ind w:right="113"/>
              <w:rPr>
                <w:i/>
                <w:sz w:val="16"/>
              </w:rPr>
            </w:pPr>
            <w:r w:rsidRPr="00BF2E43">
              <w:rPr>
                <w:i/>
                <w:sz w:val="16"/>
              </w:rPr>
              <w:t>Number of responses (n=45)</w:t>
            </w:r>
          </w:p>
        </w:tc>
      </w:tr>
      <w:tr w:rsidR="00A15B36" w:rsidRPr="00BF2E43" w14:paraId="648FA637" w14:textId="77777777" w:rsidTr="0059319D">
        <w:trPr>
          <w:trHeight w:hRule="exact" w:val="113"/>
        </w:trPr>
        <w:tc>
          <w:tcPr>
            <w:tcW w:w="4812" w:type="dxa"/>
            <w:tcBorders>
              <w:top w:val="single" w:sz="12" w:space="0" w:color="auto"/>
            </w:tcBorders>
            <w:shd w:val="clear" w:color="auto" w:fill="auto"/>
          </w:tcPr>
          <w:p w14:paraId="6F3C6B65" w14:textId="77777777" w:rsidR="00A15B36" w:rsidRPr="00BF2E43" w:rsidRDefault="00A15B36" w:rsidP="0059319D">
            <w:pPr>
              <w:spacing w:before="40" w:after="120"/>
              <w:ind w:right="113"/>
            </w:pPr>
          </w:p>
        </w:tc>
        <w:tc>
          <w:tcPr>
            <w:tcW w:w="2558" w:type="dxa"/>
            <w:tcBorders>
              <w:top w:val="single" w:sz="12" w:space="0" w:color="auto"/>
            </w:tcBorders>
            <w:shd w:val="clear" w:color="auto" w:fill="auto"/>
          </w:tcPr>
          <w:p w14:paraId="7BF0EBB6" w14:textId="77777777" w:rsidR="00A15B36" w:rsidRPr="00BF2E43" w:rsidRDefault="00A15B36" w:rsidP="0059319D">
            <w:pPr>
              <w:spacing w:before="40" w:after="120"/>
              <w:ind w:right="113"/>
            </w:pPr>
          </w:p>
        </w:tc>
      </w:tr>
      <w:tr w:rsidR="00A15B36" w:rsidRPr="00BF2E43" w14:paraId="3693B2AD" w14:textId="77777777" w:rsidTr="0059319D">
        <w:tc>
          <w:tcPr>
            <w:tcW w:w="4812" w:type="dxa"/>
            <w:shd w:val="clear" w:color="auto" w:fill="auto"/>
          </w:tcPr>
          <w:p w14:paraId="75E88AFB" w14:textId="13A3431C" w:rsidR="00A15B36" w:rsidRPr="00BF2E43" w:rsidRDefault="00A15B36" w:rsidP="0059319D">
            <w:pPr>
              <w:spacing w:before="40" w:after="120"/>
              <w:ind w:right="113"/>
            </w:pPr>
            <w:r w:rsidRPr="00BF2E43">
              <w:rPr>
                <w:rFonts w:eastAsiaTheme="minorHAnsi"/>
              </w:rPr>
              <w:t xml:space="preserve">Using </w:t>
            </w:r>
            <w:r w:rsidR="00A036F3">
              <w:rPr>
                <w:rFonts w:eastAsiaTheme="minorHAnsi"/>
              </w:rPr>
              <w:t>a</w:t>
            </w:r>
            <w:r w:rsidRPr="00BF2E43">
              <w:rPr>
                <w:rFonts w:eastAsiaTheme="minorHAnsi"/>
              </w:rPr>
              <w:t xml:space="preserve">ppendix II </w:t>
            </w:r>
            <w:r w:rsidR="00A036F3">
              <w:rPr>
                <w:rFonts w:eastAsiaTheme="minorHAnsi"/>
              </w:rPr>
              <w:t>t</w:t>
            </w:r>
            <w:r w:rsidRPr="00BF2E43">
              <w:rPr>
                <w:rFonts w:eastAsiaTheme="minorHAnsi"/>
              </w:rPr>
              <w:t>o the Convention</w:t>
            </w:r>
          </w:p>
        </w:tc>
        <w:tc>
          <w:tcPr>
            <w:tcW w:w="2558" w:type="dxa"/>
            <w:shd w:val="clear" w:color="auto" w:fill="auto"/>
          </w:tcPr>
          <w:p w14:paraId="7528BAD0" w14:textId="77777777" w:rsidR="00A15B36" w:rsidRPr="00BF2E43" w:rsidRDefault="00A15B36" w:rsidP="0059319D">
            <w:pPr>
              <w:spacing w:before="40" w:after="120"/>
              <w:ind w:right="113"/>
              <w:jc w:val="right"/>
            </w:pPr>
            <w:r w:rsidRPr="00BF2E43">
              <w:t>38</w:t>
            </w:r>
          </w:p>
        </w:tc>
      </w:tr>
      <w:tr w:rsidR="00A15B36" w:rsidRPr="00BF2E43" w14:paraId="72051C4F" w14:textId="77777777" w:rsidTr="0059319D">
        <w:tc>
          <w:tcPr>
            <w:tcW w:w="4812" w:type="dxa"/>
            <w:shd w:val="clear" w:color="auto" w:fill="auto"/>
          </w:tcPr>
          <w:p w14:paraId="5B3A6D17" w14:textId="77777777" w:rsidR="00A15B36" w:rsidRPr="00BF2E43" w:rsidRDefault="00A15B36" w:rsidP="0059319D">
            <w:pPr>
              <w:spacing w:before="40" w:after="120"/>
              <w:ind w:right="113"/>
            </w:pPr>
            <w:r w:rsidRPr="00BF2E43">
              <w:t>Using comments received from the authorities concerned during the scoping phase, if applicable</w:t>
            </w:r>
          </w:p>
        </w:tc>
        <w:tc>
          <w:tcPr>
            <w:tcW w:w="2558" w:type="dxa"/>
            <w:shd w:val="clear" w:color="auto" w:fill="auto"/>
          </w:tcPr>
          <w:p w14:paraId="6B77E7D1" w14:textId="77777777" w:rsidR="00A15B36" w:rsidRPr="00BF2E43" w:rsidRDefault="00A15B36" w:rsidP="0059319D">
            <w:pPr>
              <w:spacing w:before="40" w:after="120"/>
              <w:ind w:right="113"/>
              <w:jc w:val="right"/>
            </w:pPr>
            <w:r w:rsidRPr="00BF2E43">
              <w:t>35</w:t>
            </w:r>
          </w:p>
        </w:tc>
      </w:tr>
      <w:tr w:rsidR="00A15B36" w:rsidRPr="00BF2E43" w14:paraId="5FF44631" w14:textId="77777777" w:rsidTr="0059319D">
        <w:tc>
          <w:tcPr>
            <w:tcW w:w="4812" w:type="dxa"/>
            <w:shd w:val="clear" w:color="auto" w:fill="auto"/>
          </w:tcPr>
          <w:p w14:paraId="491BE561" w14:textId="77777777" w:rsidR="00A15B36" w:rsidRPr="00BF2E43" w:rsidRDefault="00A15B36" w:rsidP="0059319D">
            <w:pPr>
              <w:spacing w:before="40" w:after="120"/>
              <w:ind w:right="113"/>
            </w:pPr>
            <w:r w:rsidRPr="00BF2E43">
              <w:t>Using the comments from members of the public during the scoping phase, if applicable</w:t>
            </w:r>
          </w:p>
        </w:tc>
        <w:tc>
          <w:tcPr>
            <w:tcW w:w="2558" w:type="dxa"/>
            <w:shd w:val="clear" w:color="auto" w:fill="auto"/>
          </w:tcPr>
          <w:p w14:paraId="4E3B9C9E" w14:textId="77777777" w:rsidR="00A15B36" w:rsidRPr="00BF2E43" w:rsidRDefault="00A15B36" w:rsidP="0059319D">
            <w:pPr>
              <w:spacing w:before="40" w:after="120"/>
              <w:ind w:right="113"/>
              <w:jc w:val="right"/>
            </w:pPr>
            <w:r w:rsidRPr="00BF2E43">
              <w:t>27</w:t>
            </w:r>
          </w:p>
        </w:tc>
      </w:tr>
      <w:tr w:rsidR="00A15B36" w:rsidRPr="00BF2E43" w14:paraId="57AC2717" w14:textId="77777777" w:rsidTr="0059319D">
        <w:tc>
          <w:tcPr>
            <w:tcW w:w="4812" w:type="dxa"/>
            <w:shd w:val="clear" w:color="auto" w:fill="auto"/>
          </w:tcPr>
          <w:p w14:paraId="3935BC1D" w14:textId="77777777" w:rsidR="00A15B36" w:rsidRPr="00BF2E43" w:rsidRDefault="00A15B36" w:rsidP="0059319D">
            <w:pPr>
              <w:spacing w:before="40" w:after="120"/>
              <w:ind w:right="113"/>
            </w:pPr>
            <w:r w:rsidRPr="00BF2E43">
              <w:t>Determined by the proponent based on its own expertise</w:t>
            </w:r>
          </w:p>
        </w:tc>
        <w:tc>
          <w:tcPr>
            <w:tcW w:w="2558" w:type="dxa"/>
            <w:shd w:val="clear" w:color="auto" w:fill="auto"/>
          </w:tcPr>
          <w:p w14:paraId="5D7E771B" w14:textId="77777777" w:rsidR="00A15B36" w:rsidRPr="00BF2E43" w:rsidRDefault="00A15B36" w:rsidP="0059319D">
            <w:pPr>
              <w:spacing w:before="40" w:after="120"/>
              <w:ind w:right="113"/>
              <w:jc w:val="right"/>
            </w:pPr>
            <w:r w:rsidRPr="00BF2E43">
              <w:t>16</w:t>
            </w:r>
          </w:p>
        </w:tc>
      </w:tr>
      <w:tr w:rsidR="00A15B36" w:rsidRPr="00BF2E43" w14:paraId="52808048" w14:textId="77777777" w:rsidTr="0059319D">
        <w:tc>
          <w:tcPr>
            <w:tcW w:w="4812" w:type="dxa"/>
            <w:tcBorders>
              <w:bottom w:val="single" w:sz="12" w:space="0" w:color="auto"/>
            </w:tcBorders>
            <w:shd w:val="clear" w:color="auto" w:fill="auto"/>
          </w:tcPr>
          <w:p w14:paraId="026486DC" w14:textId="77777777" w:rsidR="00A15B36" w:rsidRPr="00BF2E43" w:rsidRDefault="00A15B36" w:rsidP="0059319D">
            <w:pPr>
              <w:spacing w:before="40" w:after="120"/>
              <w:ind w:right="113"/>
            </w:pPr>
            <w:r w:rsidRPr="00BF2E43">
              <w:t>Other</w:t>
            </w:r>
          </w:p>
        </w:tc>
        <w:tc>
          <w:tcPr>
            <w:tcW w:w="2558" w:type="dxa"/>
            <w:tcBorders>
              <w:bottom w:val="single" w:sz="12" w:space="0" w:color="auto"/>
            </w:tcBorders>
            <w:shd w:val="clear" w:color="auto" w:fill="auto"/>
          </w:tcPr>
          <w:p w14:paraId="65964FCE" w14:textId="77777777" w:rsidR="00A15B36" w:rsidRPr="00BF2E43" w:rsidRDefault="00A15B36" w:rsidP="0059319D">
            <w:pPr>
              <w:spacing w:before="40" w:after="120"/>
              <w:ind w:right="113"/>
              <w:jc w:val="right"/>
            </w:pPr>
            <w:r w:rsidRPr="00BF2E43">
              <w:t>17</w:t>
            </w:r>
          </w:p>
        </w:tc>
      </w:tr>
    </w:tbl>
    <w:p w14:paraId="26C630F6" w14:textId="5AF3E999" w:rsidR="00A15B36" w:rsidRPr="007C6799" w:rsidRDefault="00A15B36" w:rsidP="00A15B36">
      <w:pPr>
        <w:pStyle w:val="SingleTxtG"/>
        <w:spacing w:before="240"/>
      </w:pPr>
      <w:r w:rsidRPr="00BF2E43">
        <w:t>2</w:t>
      </w:r>
      <w:r w:rsidR="00011283">
        <w:t>9</w:t>
      </w:r>
      <w:r w:rsidRPr="00BF2E43">
        <w:t>.</w:t>
      </w:r>
      <w:r w:rsidRPr="00BF2E43">
        <w:tab/>
      </w:r>
      <w:r w:rsidR="00831CE8">
        <w:t>Regarding question I.22, t</w:t>
      </w:r>
      <w:r w:rsidRPr="00BF2E43">
        <w:t xml:space="preserve">he meaning of </w:t>
      </w:r>
      <w:r w:rsidR="00B562F2">
        <w:t>“</w:t>
      </w:r>
      <w:r w:rsidRPr="00BF2E43">
        <w:t xml:space="preserve">reasonable </w:t>
      </w:r>
      <w:r w:rsidRPr="009B6631">
        <w:rPr>
          <w:color w:val="000000" w:themeColor="text1"/>
        </w:rPr>
        <w:t>alternatives</w:t>
      </w:r>
      <w:r w:rsidR="00B562F2">
        <w:rPr>
          <w:color w:val="000000" w:themeColor="text1"/>
        </w:rPr>
        <w:t>”</w:t>
      </w:r>
      <w:r w:rsidRPr="009B6631">
        <w:rPr>
          <w:color w:val="000000" w:themeColor="text1"/>
        </w:rPr>
        <w:t xml:space="preserve"> (</w:t>
      </w:r>
      <w:hyperlink r:id="rId11" w:anchor="appendix2" w:history="1">
        <w:r w:rsidR="00B562F2">
          <w:rPr>
            <w:rStyle w:val="Hyperlink"/>
            <w:color w:val="000000" w:themeColor="text1"/>
          </w:rPr>
          <w:t>a</w:t>
        </w:r>
        <w:r w:rsidRPr="009B6631">
          <w:rPr>
            <w:rStyle w:val="Hyperlink"/>
            <w:color w:val="000000" w:themeColor="text1"/>
          </w:rPr>
          <w:t>ppendix II</w:t>
        </w:r>
      </w:hyperlink>
      <w:r w:rsidR="00A036F3">
        <w:rPr>
          <w:rStyle w:val="Hyperlink"/>
          <w:color w:val="000000" w:themeColor="text1"/>
        </w:rPr>
        <w:t xml:space="preserve"> </w:t>
      </w:r>
      <w:r w:rsidRPr="009B6631">
        <w:rPr>
          <w:color w:val="000000" w:themeColor="text1"/>
        </w:rPr>
        <w:t xml:space="preserve">(b)) </w:t>
      </w:r>
      <w:r w:rsidRPr="00BF2E43">
        <w:t xml:space="preserve">is typically determined on a case-by-case basis (32, n=45) and/or following the definition in the Parties’ domestic legislation (17). Two Parties (Belarus and Ireland) use other approaches to interpret </w:t>
      </w:r>
      <w:r w:rsidR="00B562F2">
        <w:t>“</w:t>
      </w:r>
      <w:r w:rsidRPr="00BF2E43">
        <w:t>reasonable alternatives</w:t>
      </w:r>
      <w:r w:rsidR="00B562F2">
        <w:t>”</w:t>
      </w:r>
      <w:r w:rsidRPr="00BF2E43">
        <w:t>, but it is unclear from their submissions what these approaches involve. The domestic legislation in Austria does not specify the exact nature of the alternatives to be considered; instead, the proponent must present the reasoning underpinning the alternatives selected. Canada refers to an operational policy it has developed</w:t>
      </w:r>
      <w:r w:rsidR="00B562F2">
        <w:t xml:space="preserve"> that</w:t>
      </w:r>
      <w:r w:rsidRPr="00BF2E43">
        <w:t xml:space="preserve"> differentiates between </w:t>
      </w:r>
      <w:r w:rsidR="00B562F2">
        <w:t>“</w:t>
      </w:r>
      <w:r w:rsidRPr="00BF2E43">
        <w:t>alternatives to</w:t>
      </w:r>
      <w:r w:rsidR="00B562F2">
        <w:t>”</w:t>
      </w:r>
      <w:r w:rsidRPr="00BF2E43">
        <w:t xml:space="preserve"> and </w:t>
      </w:r>
      <w:r w:rsidR="00B562F2">
        <w:t>“</w:t>
      </w:r>
      <w:r w:rsidRPr="00BF2E43">
        <w:t>alternative means</w:t>
      </w:r>
      <w:r w:rsidR="00B562F2">
        <w:t>”</w:t>
      </w:r>
      <w:r w:rsidRPr="007C6799">
        <w:t>.</w:t>
      </w:r>
    </w:p>
    <w:p w14:paraId="05994DD5" w14:textId="14A6B61A" w:rsidR="006A5B77" w:rsidRPr="006A5B77" w:rsidRDefault="00A15B36" w:rsidP="000631E5">
      <w:pPr>
        <w:pStyle w:val="H1G"/>
      </w:pPr>
      <w:r>
        <w:tab/>
      </w:r>
      <w:r w:rsidR="00BA6089">
        <w:t>F</w:t>
      </w:r>
      <w:r w:rsidR="006A5B77">
        <w:t>.</w:t>
      </w:r>
      <w:r w:rsidR="006A5B77">
        <w:tab/>
      </w:r>
      <w:r>
        <w:tab/>
      </w:r>
      <w:r w:rsidRPr="00A15B36">
        <w:t>Consultations on the basis of the environmental impact assessment documentation</w:t>
      </w:r>
    </w:p>
    <w:p w14:paraId="654B8652" w14:textId="228AAFDD" w:rsidR="006A5B77" w:rsidRPr="006A5B77" w:rsidRDefault="006A5B77" w:rsidP="00A15B36">
      <w:pPr>
        <w:pStyle w:val="SingleTxtG"/>
      </w:pPr>
      <w:r w:rsidRPr="006A5B77">
        <w:t>3</w:t>
      </w:r>
      <w:r w:rsidR="002D227F">
        <w:t>0</w:t>
      </w:r>
      <w:r w:rsidRPr="006A5B77">
        <w:t>.</w:t>
      </w:r>
      <w:r w:rsidRPr="006A5B77">
        <w:tab/>
        <w:t xml:space="preserve">Question I.23 concerns the Parties’ domestic legal provisions </w:t>
      </w:r>
      <w:r w:rsidR="000A41CA">
        <w:t>on</w:t>
      </w:r>
      <w:r w:rsidRPr="006A5B77">
        <w:t xml:space="preserve"> the organization of transboundary consultation</w:t>
      </w:r>
      <w:r w:rsidR="000A41CA">
        <w:t>s</w:t>
      </w:r>
      <w:r w:rsidRPr="006A5B77">
        <w:t xml:space="preserve"> </w:t>
      </w:r>
      <w:r w:rsidR="000A41CA">
        <w:t>between</w:t>
      </w:r>
      <w:r w:rsidR="000A41CA" w:rsidRPr="006A5B77">
        <w:t xml:space="preserve"> </w:t>
      </w:r>
      <w:r w:rsidRPr="006A5B77">
        <w:t xml:space="preserve">the authorities of </w:t>
      </w:r>
      <w:r w:rsidR="000A41CA">
        <w:t xml:space="preserve">the </w:t>
      </w:r>
      <w:r w:rsidRPr="006A5B77">
        <w:t xml:space="preserve">concerned Parties under article 5 of the Convention. The responses to this question are summarized in </w:t>
      </w:r>
      <w:r w:rsidR="00A10740">
        <w:t>f</w:t>
      </w:r>
      <w:r w:rsidRPr="006A5B77">
        <w:t xml:space="preserve">igure </w:t>
      </w:r>
      <w:r w:rsidR="00A10740">
        <w:t>III below</w:t>
      </w:r>
      <w:r w:rsidRPr="006A5B77">
        <w:t>. In the majority of cases (25, n=45), the Parties have established obligatory provisions for transboundary consultation</w:t>
      </w:r>
      <w:r w:rsidR="000A41CA">
        <w:t>s</w:t>
      </w:r>
      <w:r w:rsidRPr="006A5B77">
        <w:t xml:space="preserve"> </w:t>
      </w:r>
      <w:r w:rsidR="000A41CA">
        <w:t>between</w:t>
      </w:r>
      <w:r w:rsidR="000A41CA" w:rsidRPr="006A5B77">
        <w:t xml:space="preserve"> </w:t>
      </w:r>
      <w:r w:rsidRPr="006A5B77">
        <w:t xml:space="preserve">the authorities of </w:t>
      </w:r>
      <w:r w:rsidR="000A41CA">
        <w:t xml:space="preserve">the </w:t>
      </w:r>
      <w:r w:rsidRPr="006A5B77">
        <w:t xml:space="preserve">concerned Parties. Nine Parties, however, indicate that there are no provisions in their domestic legislation (Croatia, Denmark, Italy, Kazakhstan, the Netherlands, Portugal, Sweden, Switzerland and </w:t>
      </w:r>
      <w:r w:rsidR="00831CE8">
        <w:t xml:space="preserve">the </w:t>
      </w:r>
      <w:r w:rsidRPr="006A5B77">
        <w:t>United Kingdom</w:t>
      </w:r>
      <w:r w:rsidR="00B44D7E">
        <w:t xml:space="preserve"> of Great Britain and Northern Ireland</w:t>
      </w:r>
      <w:r w:rsidRPr="006A5B77">
        <w:t xml:space="preserve">). In Belgium, there is a compulsory requirement at the federal level and </w:t>
      </w:r>
      <w:r w:rsidR="000A41CA">
        <w:t xml:space="preserve">there are </w:t>
      </w:r>
      <w:r w:rsidRPr="006A5B77">
        <w:t xml:space="preserve">optional provisions in the </w:t>
      </w:r>
      <w:r w:rsidR="0097588A" w:rsidRPr="0097588A">
        <w:t xml:space="preserve">Flemish, Walloon </w:t>
      </w:r>
      <w:r w:rsidR="0097588A" w:rsidRPr="0097588A">
        <w:lastRenderedPageBreak/>
        <w:t xml:space="preserve">and Brussels Capital </w:t>
      </w:r>
      <w:r w:rsidR="0097588A">
        <w:t>Regions</w:t>
      </w:r>
      <w:r w:rsidRPr="006A5B77">
        <w:t xml:space="preserve">. The number of Parties reporting </w:t>
      </w:r>
      <w:r w:rsidR="000A41CA">
        <w:t xml:space="preserve">that </w:t>
      </w:r>
      <w:r w:rsidRPr="006A5B77">
        <w:t xml:space="preserve">no legal provisions exist for consultation with the authorities in affected Parties is lower than was reported in the </w:t>
      </w:r>
      <w:r w:rsidR="000A41CA">
        <w:t>f</w:t>
      </w:r>
      <w:r w:rsidRPr="006A5B77">
        <w:t xml:space="preserve">ifth </w:t>
      </w:r>
      <w:r w:rsidR="006A7037">
        <w:t>r</w:t>
      </w:r>
      <w:r w:rsidR="006A7037" w:rsidRPr="006A5B77">
        <w:t xml:space="preserve">eview </w:t>
      </w:r>
      <w:r w:rsidRPr="006A5B77">
        <w:t xml:space="preserve">of </w:t>
      </w:r>
      <w:r w:rsidR="006A7037">
        <w:t>i</w:t>
      </w:r>
      <w:r w:rsidR="006A7037" w:rsidRPr="006A5B77">
        <w:t xml:space="preserve">mplementation </w:t>
      </w:r>
      <w:r w:rsidRPr="006A5B77">
        <w:t xml:space="preserve">(i.e. 14) (ECE/MP.EIA/2017/9, </w:t>
      </w:r>
      <w:r w:rsidR="000A41CA">
        <w:t>f</w:t>
      </w:r>
      <w:r w:rsidRPr="006A5B77">
        <w:t xml:space="preserve">igure 20). The Netherlands states that such provisions are included in a multilateral agreement, </w:t>
      </w:r>
      <w:r w:rsidR="009A72E2">
        <w:t xml:space="preserve">presumably </w:t>
      </w:r>
      <w:r w:rsidRPr="006A5B77">
        <w:t xml:space="preserve">rather than in their primary legislation. </w:t>
      </w:r>
    </w:p>
    <w:p w14:paraId="1D6CDC7F" w14:textId="030E373F" w:rsidR="00047B60" w:rsidRDefault="006A5B77" w:rsidP="00462270">
      <w:pPr>
        <w:pStyle w:val="SingleTxtG"/>
      </w:pPr>
      <w:r w:rsidRPr="006A5B77">
        <w:t>3</w:t>
      </w:r>
      <w:r w:rsidR="002D227F">
        <w:t>1</w:t>
      </w:r>
      <w:r w:rsidRPr="006A5B77">
        <w:t>.</w:t>
      </w:r>
      <w:r w:rsidRPr="006A5B77">
        <w:tab/>
        <w:t>Due to the current design of the questionnaire, there is no information on the implementation of article 2</w:t>
      </w:r>
      <w:r w:rsidR="000A41CA">
        <w:t xml:space="preserve"> </w:t>
      </w:r>
      <w:r w:rsidRPr="006A5B77">
        <w:t>(11) of the Convention referring to opportunities for the affected Party to participate in the procedure to determine the content of the environmental impact assessment documentation.</w:t>
      </w:r>
    </w:p>
    <w:p w14:paraId="375FBE5D" w14:textId="2FD7AC95" w:rsidR="00C95A94" w:rsidRPr="00B97C81" w:rsidRDefault="0090364F" w:rsidP="00C95A94">
      <w:pPr>
        <w:pStyle w:val="SingleTxtG"/>
        <w:jc w:val="left"/>
        <w:rPr>
          <w:b/>
          <w:bCs/>
          <w:lang w:val="en-US"/>
        </w:rPr>
      </w:pPr>
      <w:r w:rsidRPr="00343A55">
        <w:rPr>
          <w:lang w:val="en-US"/>
        </w:rPr>
        <w:t xml:space="preserve">Figure </w:t>
      </w:r>
      <w:r w:rsidR="00A10740">
        <w:rPr>
          <w:lang w:val="en-US"/>
        </w:rPr>
        <w:t>III</w:t>
      </w:r>
      <w:r w:rsidR="00B97C81">
        <w:rPr>
          <w:lang w:val="en-US"/>
        </w:rPr>
        <w:br/>
      </w:r>
      <w:bookmarkStart w:id="10" w:name="_Hlk18682640"/>
      <w:r w:rsidRPr="00B97C81">
        <w:rPr>
          <w:b/>
          <w:bCs/>
          <w:lang w:val="en-US"/>
        </w:rPr>
        <w:t xml:space="preserve">Parties’ responses to question I.23: “Does your national </w:t>
      </w:r>
      <w:r w:rsidR="00532DF7">
        <w:rPr>
          <w:b/>
          <w:bCs/>
          <w:lang w:val="en-US"/>
        </w:rPr>
        <w:t>[environmental impact assessment]</w:t>
      </w:r>
      <w:r w:rsidRPr="00B97C81">
        <w:rPr>
          <w:b/>
          <w:bCs/>
          <w:lang w:val="en-US"/>
        </w:rPr>
        <w:t xml:space="preserve"> legislation have any provision on the organization of transboundary consultations between the authorities of the concerned Parties?”  (n=45)</w:t>
      </w:r>
    </w:p>
    <w:bookmarkEnd w:id="10"/>
    <w:p w14:paraId="6F16C728" w14:textId="77777777" w:rsidR="00C95A94" w:rsidRPr="00707E9F" w:rsidRDefault="00C95A94" w:rsidP="00C95A94">
      <w:pPr>
        <w:jc w:val="center"/>
        <w:rPr>
          <w:rFonts w:ascii="Times" w:hAnsi="Times"/>
          <w:lang w:val="en-US"/>
        </w:rPr>
      </w:pPr>
      <w:r>
        <w:rPr>
          <w:noProof/>
          <w:lang w:val="en-US" w:eastAsia="zh-CN"/>
        </w:rPr>
        <w:drawing>
          <wp:inline distT="0" distB="0" distL="0" distR="0" wp14:anchorId="4151F3EE" wp14:editId="0007C2B0">
            <wp:extent cx="4602827" cy="2393950"/>
            <wp:effectExtent l="0" t="0" r="7620" b="6350"/>
            <wp:docPr id="4" name="Chart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B983A0" w14:textId="2F2B5DC6" w:rsidR="001B71DC" w:rsidRPr="001B71DC" w:rsidRDefault="00047B60" w:rsidP="000631E5">
      <w:pPr>
        <w:pStyle w:val="H1G"/>
      </w:pPr>
      <w:bookmarkStart w:id="11" w:name="_Toc13428241"/>
      <w:r>
        <w:tab/>
      </w:r>
      <w:r w:rsidR="00BA6089">
        <w:t>G</w:t>
      </w:r>
      <w:r w:rsidR="001B71DC">
        <w:t>.</w:t>
      </w:r>
      <w:r w:rsidR="001B71DC">
        <w:tab/>
      </w:r>
      <w:r w:rsidR="001B71DC" w:rsidRPr="001B71DC">
        <w:t>Final decision</w:t>
      </w:r>
      <w:bookmarkEnd w:id="11"/>
    </w:p>
    <w:p w14:paraId="52FB82F1" w14:textId="4B7DD0BC" w:rsidR="001B71DC" w:rsidRPr="001B71DC" w:rsidRDefault="007866F3" w:rsidP="001B71DC">
      <w:pPr>
        <w:pStyle w:val="SingleTxtG"/>
      </w:pPr>
      <w:r w:rsidRPr="001B71DC">
        <w:t>3</w:t>
      </w:r>
      <w:r>
        <w:t>2</w:t>
      </w:r>
      <w:r w:rsidR="001B71DC" w:rsidRPr="001B71DC">
        <w:t>.</w:t>
      </w:r>
      <w:r w:rsidR="001B71DC" w:rsidRPr="001B71DC">
        <w:tab/>
        <w:t>Question I.24 asks the Parties to state from a list of options all those points</w:t>
      </w:r>
      <w:r w:rsidR="00532DF7">
        <w:t>:</w:t>
      </w:r>
      <w:r w:rsidR="001B71DC" w:rsidRPr="001B71DC">
        <w:t xml:space="preserve"> “that are covered in a final decision related to the implementation of the planned activity”. The majority of Parties state that the following points are covered in the final decision: </w:t>
      </w:r>
    </w:p>
    <w:p w14:paraId="15DB2E05" w14:textId="77777777" w:rsidR="001B71DC" w:rsidRPr="001B71DC" w:rsidRDefault="001B71DC" w:rsidP="001B71DC">
      <w:pPr>
        <w:pStyle w:val="SingleTxtG"/>
        <w:ind w:firstLine="567"/>
      </w:pPr>
      <w:r w:rsidRPr="001B71DC">
        <w:t>(a)</w:t>
      </w:r>
      <w:r w:rsidRPr="001B71DC">
        <w:tab/>
        <w:t>Conclusions of the environmental impact assessment documentation;</w:t>
      </w:r>
    </w:p>
    <w:p w14:paraId="148140D3" w14:textId="000489D4" w:rsidR="001B71DC" w:rsidRPr="001B71DC" w:rsidRDefault="001B71DC" w:rsidP="001B71DC">
      <w:pPr>
        <w:pStyle w:val="SingleTxtG"/>
        <w:ind w:firstLine="567"/>
      </w:pPr>
      <w:r w:rsidRPr="001B71DC">
        <w:t>(b)</w:t>
      </w:r>
      <w:r w:rsidRPr="001B71DC">
        <w:tab/>
        <w:t>Comments received in accordance with article 3</w:t>
      </w:r>
      <w:r w:rsidR="00B44D7E">
        <w:t xml:space="preserve"> </w:t>
      </w:r>
      <w:r w:rsidRPr="001B71DC">
        <w:t>(8) and article 4</w:t>
      </w:r>
      <w:r w:rsidR="00B44D7E">
        <w:t xml:space="preserve"> </w:t>
      </w:r>
      <w:r w:rsidRPr="001B71DC">
        <w:t>(2);</w:t>
      </w:r>
    </w:p>
    <w:p w14:paraId="3DA08B4F" w14:textId="4928383F" w:rsidR="001B71DC" w:rsidRPr="001B71DC" w:rsidRDefault="001B71DC" w:rsidP="001B71DC">
      <w:pPr>
        <w:pStyle w:val="SingleTxtG"/>
        <w:ind w:firstLine="567"/>
      </w:pPr>
      <w:r w:rsidRPr="001B71DC">
        <w:t>(c)</w:t>
      </w:r>
      <w:r w:rsidRPr="001B71DC">
        <w:tab/>
      </w:r>
      <w:r w:rsidR="008850A5">
        <w:t>Ou</w:t>
      </w:r>
      <w:r w:rsidRPr="001B71DC">
        <w:t>tcome</w:t>
      </w:r>
      <w:r w:rsidR="008903B7">
        <w:t>s</w:t>
      </w:r>
      <w:r w:rsidRPr="001B71DC">
        <w:t xml:space="preserve"> of the </w:t>
      </w:r>
      <w:r w:rsidR="0059319D" w:rsidRPr="001B71DC">
        <w:t xml:space="preserve">transboundary </w:t>
      </w:r>
      <w:r w:rsidRPr="001B71DC">
        <w:t xml:space="preserve">consultations </w:t>
      </w:r>
      <w:r w:rsidR="008850A5">
        <w:t xml:space="preserve">as </w:t>
      </w:r>
      <w:r w:rsidRPr="001B71DC">
        <w:t>referred to in article 5;</w:t>
      </w:r>
    </w:p>
    <w:p w14:paraId="3D6101BC" w14:textId="6610B8F1" w:rsidR="001B71DC" w:rsidRPr="001B71DC" w:rsidRDefault="001B71DC" w:rsidP="0039423D">
      <w:pPr>
        <w:pStyle w:val="SingleTxtG"/>
        <w:ind w:firstLine="567"/>
      </w:pPr>
      <w:r w:rsidRPr="001B71DC">
        <w:t>(</w:t>
      </w:r>
      <w:r w:rsidR="0059319D">
        <w:t>d</w:t>
      </w:r>
      <w:r w:rsidRPr="001B71DC">
        <w:t>)</w:t>
      </w:r>
      <w:r w:rsidRPr="001B71DC">
        <w:tab/>
        <w:t xml:space="preserve">Comments received from </w:t>
      </w:r>
      <w:r w:rsidR="008850A5">
        <w:t>the</w:t>
      </w:r>
      <w:r w:rsidRPr="001B71DC">
        <w:t xml:space="preserve"> affected Party(</w:t>
      </w:r>
      <w:proofErr w:type="spellStart"/>
      <w:r w:rsidRPr="001B71DC">
        <w:t>ies</w:t>
      </w:r>
      <w:proofErr w:type="spellEnd"/>
      <w:r w:rsidRPr="001B71DC">
        <w:t>);</w:t>
      </w:r>
    </w:p>
    <w:p w14:paraId="4D8C5BCB" w14:textId="3AFA3ADF" w:rsidR="001B71DC" w:rsidRPr="001B71DC" w:rsidRDefault="001B71DC" w:rsidP="001B71DC">
      <w:pPr>
        <w:pStyle w:val="SingleTxtG"/>
        <w:ind w:firstLine="567"/>
      </w:pPr>
      <w:r w:rsidRPr="001B71DC">
        <w:t>(</w:t>
      </w:r>
      <w:r w:rsidR="0059319D">
        <w:t>e</w:t>
      </w:r>
      <w:r w:rsidRPr="001B71DC">
        <w:t>)</w:t>
      </w:r>
      <w:r w:rsidRPr="001B71DC">
        <w:tab/>
        <w:t>Mitigation measures.</w:t>
      </w:r>
    </w:p>
    <w:p w14:paraId="1CAA5410" w14:textId="2A93D682" w:rsidR="001B71DC" w:rsidRPr="001B71DC" w:rsidRDefault="007866F3" w:rsidP="001B71DC">
      <w:pPr>
        <w:pStyle w:val="SingleTxtG"/>
      </w:pPr>
      <w:bookmarkStart w:id="12" w:name="_Hlk18180206"/>
      <w:r w:rsidRPr="001B71DC">
        <w:t>3</w:t>
      </w:r>
      <w:r>
        <w:t>3</w:t>
      </w:r>
      <w:r w:rsidR="001B71DC" w:rsidRPr="001B71DC">
        <w:t>.</w:t>
      </w:r>
      <w:r w:rsidR="001B71DC" w:rsidRPr="001B71DC">
        <w:tab/>
        <w:t>Some Parties cover additional factors in the final decisions, including, for example, an independent expert report that assesses the environmental impact assessment documentation (Czechia). However, it appears that a number of Parties interpret question I.24 as asking what information should be included in a public statement of the final decision</w:t>
      </w:r>
      <w:r w:rsidR="00CA5A59">
        <w:t xml:space="preserve"> </w:t>
      </w:r>
      <w:r w:rsidR="00B96127">
        <w:t>(</w:t>
      </w:r>
      <w:r w:rsidR="003B5485">
        <w:t>for example,</w:t>
      </w:r>
      <w:r w:rsidR="00B96127">
        <w:t xml:space="preserve"> </w:t>
      </w:r>
      <w:r w:rsidR="00610719" w:rsidRPr="00610719">
        <w:t>under article 9</w:t>
      </w:r>
      <w:r w:rsidR="00B44D7E">
        <w:t xml:space="preserve"> </w:t>
      </w:r>
      <w:r w:rsidR="00610719" w:rsidRPr="00610719">
        <w:t>(1) of the E</w:t>
      </w:r>
      <w:r w:rsidR="00A33B7C">
        <w:t xml:space="preserve">uropean </w:t>
      </w:r>
      <w:r w:rsidR="00610719" w:rsidRPr="00610719">
        <w:t>U</w:t>
      </w:r>
      <w:r w:rsidR="00A33B7C">
        <w:t>nion</w:t>
      </w:r>
      <w:r w:rsidR="00610719" w:rsidRPr="00610719">
        <w:t xml:space="preserve"> E</w:t>
      </w:r>
      <w:r w:rsidR="00A33B7C">
        <w:t xml:space="preserve">nvironmental </w:t>
      </w:r>
      <w:r w:rsidR="00610719" w:rsidRPr="00610719">
        <w:t>I</w:t>
      </w:r>
      <w:r w:rsidR="00A33B7C">
        <w:t xml:space="preserve">mpact </w:t>
      </w:r>
      <w:r w:rsidR="00610719" w:rsidRPr="00610719">
        <w:t>A</w:t>
      </w:r>
      <w:r w:rsidR="00A33B7C">
        <w:t>ssessment</w:t>
      </w:r>
      <w:r w:rsidR="00610719" w:rsidRPr="00610719">
        <w:t xml:space="preserve"> Directive</w:t>
      </w:r>
      <w:r w:rsidR="00B96127">
        <w:t>)</w:t>
      </w:r>
      <w:r w:rsidR="001B71DC" w:rsidRPr="001B71DC">
        <w:t>.</w:t>
      </w:r>
      <w:r w:rsidR="00CE511E">
        <w:rPr>
          <w:rStyle w:val="FootnoteReference"/>
        </w:rPr>
        <w:footnoteReference w:id="6"/>
      </w:r>
    </w:p>
    <w:bookmarkEnd w:id="12"/>
    <w:p w14:paraId="4D67B112" w14:textId="7E519B41" w:rsidR="001B71DC" w:rsidRPr="009B6631" w:rsidRDefault="007866F3" w:rsidP="001B71DC">
      <w:pPr>
        <w:pStyle w:val="SingleTxtG"/>
        <w:rPr>
          <w:color w:val="000000" w:themeColor="text1"/>
        </w:rPr>
      </w:pPr>
      <w:r w:rsidRPr="001B71DC">
        <w:t>3</w:t>
      </w:r>
      <w:r>
        <w:t>4</w:t>
      </w:r>
      <w:r w:rsidR="001B71DC" w:rsidRPr="001B71DC">
        <w:t>.</w:t>
      </w:r>
      <w:r w:rsidR="001B71DC" w:rsidRPr="001B71DC">
        <w:tab/>
        <w:t>All Parties</w:t>
      </w:r>
      <w:r w:rsidR="00D3301B">
        <w:t>,</w:t>
      </w:r>
      <w:r w:rsidR="001B71DC" w:rsidRPr="001B71DC">
        <w:t xml:space="preserve"> other than Canada and Switzerland</w:t>
      </w:r>
      <w:r w:rsidR="00D3301B">
        <w:t>,</w:t>
      </w:r>
      <w:r w:rsidR="001B71DC" w:rsidRPr="001B71DC">
        <w:t xml:space="preserve"> indicate that comments received from “the authorities and the public of the affected Party and the outcome of the consultations” are taken into consideration in the same way as </w:t>
      </w:r>
      <w:r w:rsidR="00D3301B">
        <w:t>the comments</w:t>
      </w:r>
      <w:r w:rsidR="00D3301B" w:rsidRPr="001B71DC">
        <w:t xml:space="preserve"> </w:t>
      </w:r>
      <w:r w:rsidR="001B71DC" w:rsidRPr="001B71DC">
        <w:t>from the authorities and the public in the Party of origin (question I.25). Switzerland notes that “</w:t>
      </w:r>
      <w:r w:rsidR="00D3301B">
        <w:t>T</w:t>
      </w:r>
      <w:r w:rsidR="001B71DC" w:rsidRPr="001B71DC">
        <w:t xml:space="preserve">he competent authority will take the comments into account, mention or refer to them in the decision and also explain its </w:t>
      </w:r>
      <w:r w:rsidR="001B71DC" w:rsidRPr="001B71DC">
        <w:lastRenderedPageBreak/>
        <w:t>reasoning in dealing with them and how it took them into account</w:t>
      </w:r>
      <w:r w:rsidR="00D3301B">
        <w:t>.</w:t>
      </w:r>
      <w:r w:rsidR="001B71DC" w:rsidRPr="001B71DC">
        <w:t>” All Parties</w:t>
      </w:r>
      <w:r w:rsidR="00D3301B">
        <w:t>,</w:t>
      </w:r>
      <w:r w:rsidR="001B71DC" w:rsidRPr="001B71DC">
        <w:t xml:space="preserve"> except one (Canada)</w:t>
      </w:r>
      <w:r w:rsidR="00D3301B">
        <w:t>,</w:t>
      </w:r>
      <w:r w:rsidR="001B71DC" w:rsidRPr="001B71DC">
        <w:t xml:space="preserve"> indicate that all activities listed </w:t>
      </w:r>
      <w:r w:rsidR="001B71DC" w:rsidRPr="009B6631">
        <w:rPr>
          <w:color w:val="000000" w:themeColor="text1"/>
        </w:rPr>
        <w:t xml:space="preserve">in </w:t>
      </w:r>
      <w:r w:rsidR="00A33B7C">
        <w:rPr>
          <w:rStyle w:val="Hyperlink"/>
          <w:color w:val="000000" w:themeColor="text1"/>
        </w:rPr>
        <w:t>a</w:t>
      </w:r>
      <w:r w:rsidR="001B71DC" w:rsidRPr="009B6631">
        <w:rPr>
          <w:rStyle w:val="Hyperlink"/>
          <w:color w:val="000000" w:themeColor="text1"/>
        </w:rPr>
        <w:t>ppendix I</w:t>
      </w:r>
      <w:r w:rsidR="001B71DC" w:rsidRPr="009B6631">
        <w:rPr>
          <w:color w:val="000000" w:themeColor="text1"/>
        </w:rPr>
        <w:t xml:space="preserve"> </w:t>
      </w:r>
      <w:r w:rsidR="00D3301B">
        <w:rPr>
          <w:color w:val="000000" w:themeColor="text1"/>
        </w:rPr>
        <w:t>t</w:t>
      </w:r>
      <w:r w:rsidR="001B71DC" w:rsidRPr="009B6631">
        <w:rPr>
          <w:color w:val="000000" w:themeColor="text1"/>
        </w:rPr>
        <w:t>o the Convention (i.e. items 1</w:t>
      </w:r>
      <w:r w:rsidR="00A33B7C">
        <w:rPr>
          <w:color w:val="000000" w:themeColor="text1"/>
        </w:rPr>
        <w:t>–</w:t>
      </w:r>
      <w:r w:rsidR="001B71DC" w:rsidRPr="009B6631">
        <w:rPr>
          <w:color w:val="000000" w:themeColor="text1"/>
        </w:rPr>
        <w:t xml:space="preserve">22) require a final authorization decision (question I.27). Canada states that a final authorization decision is not required for all of the activities listed in </w:t>
      </w:r>
      <w:r w:rsidR="00CE511E">
        <w:rPr>
          <w:color w:val="000000" w:themeColor="text1"/>
        </w:rPr>
        <w:t>a</w:t>
      </w:r>
      <w:r w:rsidR="001B71DC" w:rsidRPr="009B6631">
        <w:rPr>
          <w:color w:val="000000" w:themeColor="text1"/>
        </w:rPr>
        <w:t xml:space="preserve">ppendix I </w:t>
      </w:r>
      <w:r w:rsidR="00CE511E">
        <w:rPr>
          <w:color w:val="000000" w:themeColor="text1"/>
        </w:rPr>
        <w:t>t</w:t>
      </w:r>
      <w:r w:rsidR="001B71DC" w:rsidRPr="009B6631">
        <w:rPr>
          <w:color w:val="000000" w:themeColor="text1"/>
        </w:rPr>
        <w:t xml:space="preserve">o the Convention, but </w:t>
      </w:r>
      <w:r w:rsidR="002075FA">
        <w:rPr>
          <w:color w:val="000000" w:themeColor="text1"/>
        </w:rPr>
        <w:t>its</w:t>
      </w:r>
      <w:r w:rsidR="002075FA" w:rsidRPr="009B6631">
        <w:rPr>
          <w:color w:val="000000" w:themeColor="text1"/>
        </w:rPr>
        <w:t xml:space="preserve"> </w:t>
      </w:r>
      <w:r w:rsidR="001B71DC" w:rsidRPr="009B6631">
        <w:rPr>
          <w:color w:val="000000" w:themeColor="text1"/>
        </w:rPr>
        <w:t>accompanying explanation indicates that a political decision may be taken at the Cabinet level if there is no other final decision point.</w:t>
      </w:r>
    </w:p>
    <w:p w14:paraId="1E00CF6A" w14:textId="4E7B01D0" w:rsidR="001B71DC" w:rsidRPr="001B71DC" w:rsidRDefault="007866F3" w:rsidP="001B71DC">
      <w:pPr>
        <w:pStyle w:val="SingleTxtG"/>
      </w:pPr>
      <w:r w:rsidRPr="009B6631">
        <w:rPr>
          <w:color w:val="000000" w:themeColor="text1"/>
        </w:rPr>
        <w:t>35</w:t>
      </w:r>
      <w:r w:rsidR="001B71DC" w:rsidRPr="009B6631">
        <w:rPr>
          <w:color w:val="000000" w:themeColor="text1"/>
        </w:rPr>
        <w:t>.</w:t>
      </w:r>
      <w:r w:rsidR="001B71DC" w:rsidRPr="009B6631">
        <w:rPr>
          <w:color w:val="000000" w:themeColor="text1"/>
        </w:rPr>
        <w:tab/>
        <w:t xml:space="preserve">Thirteen Parties state that their domestic legislation contains provisions transposing </w:t>
      </w:r>
      <w:r w:rsidR="001B71DC" w:rsidRPr="009B6631">
        <w:rPr>
          <w:rStyle w:val="Hyperlink"/>
          <w:color w:val="000000" w:themeColor="text1"/>
        </w:rPr>
        <w:t>article 6</w:t>
      </w:r>
      <w:r w:rsidR="002075FA">
        <w:rPr>
          <w:rStyle w:val="Hyperlink"/>
          <w:color w:val="000000" w:themeColor="text1"/>
        </w:rPr>
        <w:t xml:space="preserve"> </w:t>
      </w:r>
      <w:r w:rsidR="001B71DC" w:rsidRPr="009B6631">
        <w:rPr>
          <w:color w:val="000000" w:themeColor="text1"/>
        </w:rPr>
        <w:t xml:space="preserve">(3) (question I.26). This </w:t>
      </w:r>
      <w:r w:rsidR="00D8110E">
        <w:rPr>
          <w:color w:val="000000" w:themeColor="text1"/>
        </w:rPr>
        <w:t>article</w:t>
      </w:r>
      <w:r w:rsidR="00D8110E" w:rsidRPr="009B6631">
        <w:rPr>
          <w:color w:val="000000" w:themeColor="text1"/>
        </w:rPr>
        <w:t xml:space="preserve"> </w:t>
      </w:r>
      <w:r w:rsidR="001B71DC" w:rsidRPr="001B71DC">
        <w:t>makes provision</w:t>
      </w:r>
      <w:r w:rsidR="00D8110E">
        <w:t>,</w:t>
      </w:r>
      <w:r w:rsidR="001B71DC" w:rsidRPr="001B71DC">
        <w:t xml:space="preserve"> for instance</w:t>
      </w:r>
      <w:r w:rsidR="00D8110E">
        <w:t>, for</w:t>
      </w:r>
      <w:r w:rsidR="001B71DC" w:rsidRPr="001B71DC">
        <w:t xml:space="preserve"> additional information on the significant transboundary impact(s) of a proposed activity </w:t>
      </w:r>
      <w:r w:rsidR="00D8110E">
        <w:t xml:space="preserve">that </w:t>
      </w:r>
      <w:r w:rsidR="001B71DC" w:rsidRPr="001B71DC">
        <w:t xml:space="preserve">becomes available after the final decision has been taken, but before work on the activity commences. All other respondents indicate </w:t>
      </w:r>
      <w:r w:rsidR="00D8110E">
        <w:t xml:space="preserve">that </w:t>
      </w:r>
      <w:r w:rsidR="001B71DC" w:rsidRPr="001B71DC">
        <w:t>no such provisions exist in their domestic legislation. Austria notes that</w:t>
      </w:r>
      <w:r w:rsidR="00D8110E">
        <w:t>,</w:t>
      </w:r>
      <w:r w:rsidR="001B71DC" w:rsidRPr="001B71DC">
        <w:t xml:space="preserve"> under </w:t>
      </w:r>
      <w:r w:rsidR="00D8110E">
        <w:t>its</w:t>
      </w:r>
      <w:r w:rsidR="001B71DC" w:rsidRPr="001B71DC">
        <w:t xml:space="preserve"> domestic legislation</w:t>
      </w:r>
      <w:r w:rsidR="00D8110E">
        <w:t>,</w:t>
      </w:r>
      <w:r w:rsidR="001B71DC" w:rsidRPr="001B71DC">
        <w:t xml:space="preserve"> the possibility to revise a final decision is strictly defined and limited to specific legal and natural persons enjoying </w:t>
      </w:r>
      <w:bookmarkStart w:id="13" w:name="_Hlk11168946"/>
      <w:r w:rsidR="001B71DC" w:rsidRPr="001B71DC">
        <w:t>locus standi</w:t>
      </w:r>
      <w:bookmarkEnd w:id="13"/>
      <w:r w:rsidR="001B71DC" w:rsidRPr="001B71DC">
        <w:t xml:space="preserve">. Nevertheless, </w:t>
      </w:r>
      <w:r w:rsidR="008D02EF">
        <w:t>Austria</w:t>
      </w:r>
      <w:r w:rsidR="008D02EF" w:rsidRPr="001B71DC">
        <w:t xml:space="preserve"> </w:t>
      </w:r>
      <w:r w:rsidR="001B71DC" w:rsidRPr="001B71DC">
        <w:t>also comment</w:t>
      </w:r>
      <w:r w:rsidR="008D02EF">
        <w:t>s</w:t>
      </w:r>
      <w:r w:rsidR="001B71DC" w:rsidRPr="001B71DC">
        <w:t xml:space="preserve"> that “there is always the political possibility to reopen consultations </w:t>
      </w:r>
      <w:r w:rsidR="00600DB5">
        <w:t>[at the]</w:t>
      </w:r>
      <w:r w:rsidR="001B71DC" w:rsidRPr="001B71DC">
        <w:t xml:space="preserve"> request of the affected Party in order to find solutions”. Several Parties (</w:t>
      </w:r>
      <w:r w:rsidR="003B5485">
        <w:t>for example,</w:t>
      </w:r>
      <w:r w:rsidR="001B71DC" w:rsidRPr="001B71DC">
        <w:t xml:space="preserve"> Estonia and Kazakhstan) comment that a request to reopen a final decision c</w:t>
      </w:r>
      <w:r w:rsidR="00600DB5">
        <w:t>an</w:t>
      </w:r>
      <w:r w:rsidR="001B71DC" w:rsidRPr="001B71DC">
        <w:t xml:space="preserve"> be made if significant additional information becomes available, while Denmark notes that it is possible under </w:t>
      </w:r>
      <w:r w:rsidR="00600DB5">
        <w:t>its</w:t>
      </w:r>
      <w:r w:rsidR="001B71DC" w:rsidRPr="001B71DC">
        <w:t xml:space="preserve"> domestic legislation to revoke a planning permit where the final decision was reached on the basis of inadequate information.</w:t>
      </w:r>
    </w:p>
    <w:p w14:paraId="2021E11D" w14:textId="44538F77" w:rsidR="001B71DC" w:rsidRPr="009B6631" w:rsidRDefault="007866F3" w:rsidP="001B71DC">
      <w:pPr>
        <w:pStyle w:val="SingleTxtG"/>
        <w:rPr>
          <w:color w:val="000000" w:themeColor="text1"/>
        </w:rPr>
      </w:pPr>
      <w:r w:rsidRPr="001B71DC">
        <w:t>3</w:t>
      </w:r>
      <w:r>
        <w:t>6</w:t>
      </w:r>
      <w:r w:rsidR="001B71DC" w:rsidRPr="001B71DC">
        <w:t>.</w:t>
      </w:r>
      <w:r w:rsidR="001B71DC" w:rsidRPr="001B71DC">
        <w:tab/>
        <w:t xml:space="preserve">Question I.28 instructs the Parties to outline their domestic legal specification concerning what is regarded as the </w:t>
      </w:r>
      <w:r w:rsidR="00600DB5">
        <w:t>“</w:t>
      </w:r>
      <w:r w:rsidR="001B71DC" w:rsidRPr="001B71DC">
        <w:t>final decision</w:t>
      </w:r>
      <w:r w:rsidR="00600DB5">
        <w:t>”</w:t>
      </w:r>
      <w:r w:rsidR="001B71DC" w:rsidRPr="001B71DC">
        <w:t xml:space="preserve"> for activities listed in </w:t>
      </w:r>
      <w:r w:rsidR="00D8110E">
        <w:rPr>
          <w:rStyle w:val="Hyperlink"/>
          <w:color w:val="000000" w:themeColor="text1"/>
        </w:rPr>
        <w:t>a</w:t>
      </w:r>
      <w:r w:rsidR="001B71DC" w:rsidRPr="009B6631">
        <w:rPr>
          <w:rStyle w:val="Hyperlink"/>
          <w:color w:val="000000" w:themeColor="text1"/>
        </w:rPr>
        <w:t>ppendix I</w:t>
      </w:r>
      <w:r w:rsidR="001B71DC" w:rsidRPr="009B6631">
        <w:rPr>
          <w:color w:val="000000" w:themeColor="text1"/>
        </w:rPr>
        <w:t xml:space="preserve"> </w:t>
      </w:r>
      <w:r w:rsidR="00D8110E">
        <w:rPr>
          <w:color w:val="000000" w:themeColor="text1"/>
        </w:rPr>
        <w:t>t</w:t>
      </w:r>
      <w:r w:rsidR="001B71DC" w:rsidRPr="009B6631">
        <w:rPr>
          <w:color w:val="000000" w:themeColor="text1"/>
        </w:rPr>
        <w:t>o the Convention. The Parties are asked to specify, in the</w:t>
      </w:r>
      <w:r w:rsidR="00600DB5">
        <w:rPr>
          <w:color w:val="000000" w:themeColor="text1"/>
        </w:rPr>
        <w:t xml:space="preserve"> original </w:t>
      </w:r>
      <w:r w:rsidR="001B71DC" w:rsidRPr="009B6631">
        <w:rPr>
          <w:color w:val="000000" w:themeColor="text1"/>
        </w:rPr>
        <w:t>language, the term used domestically for the final decision. The responses to this question will be provided on the Convention website.</w:t>
      </w:r>
    </w:p>
    <w:p w14:paraId="4EC5D393" w14:textId="54B3A0DF" w:rsidR="008902FF" w:rsidRPr="009B6631" w:rsidRDefault="00D87365" w:rsidP="000631E5">
      <w:pPr>
        <w:pStyle w:val="H1G"/>
        <w:rPr>
          <w:color w:val="000000" w:themeColor="text1"/>
        </w:rPr>
      </w:pPr>
      <w:bookmarkStart w:id="14" w:name="_Toc13428242"/>
      <w:r w:rsidRPr="009B6631">
        <w:rPr>
          <w:color w:val="000000" w:themeColor="text1"/>
        </w:rPr>
        <w:tab/>
      </w:r>
      <w:r w:rsidR="00BA6089" w:rsidRPr="000631E5">
        <w:t>H</w:t>
      </w:r>
      <w:r w:rsidR="008902FF" w:rsidRPr="000631E5">
        <w:t>.</w:t>
      </w:r>
      <w:r w:rsidR="008902FF" w:rsidRPr="000631E5">
        <w:tab/>
        <w:t>Post</w:t>
      </w:r>
      <w:r w:rsidR="005377B2">
        <w:t>-</w:t>
      </w:r>
      <w:r w:rsidR="008902FF" w:rsidRPr="000631E5">
        <w:t>project analysis</w:t>
      </w:r>
      <w:bookmarkEnd w:id="14"/>
    </w:p>
    <w:p w14:paraId="16529788" w14:textId="3F1A7988" w:rsidR="008902FF" w:rsidRPr="008902FF" w:rsidRDefault="007866F3" w:rsidP="008902FF">
      <w:pPr>
        <w:pStyle w:val="SingleTxtG"/>
      </w:pPr>
      <w:r w:rsidRPr="009B6631">
        <w:rPr>
          <w:color w:val="000000" w:themeColor="text1"/>
        </w:rPr>
        <w:t>37</w:t>
      </w:r>
      <w:r w:rsidR="008902FF" w:rsidRPr="009B6631">
        <w:rPr>
          <w:color w:val="000000" w:themeColor="text1"/>
        </w:rPr>
        <w:t>.</w:t>
      </w:r>
      <w:r w:rsidR="008902FF" w:rsidRPr="009B6631">
        <w:rPr>
          <w:color w:val="000000" w:themeColor="text1"/>
        </w:rPr>
        <w:tab/>
        <w:t xml:space="preserve">Question I.29 asks the Parties whether they have “any provision regarding post-project analysis in [their] national </w:t>
      </w:r>
      <w:r w:rsidR="005377B2">
        <w:rPr>
          <w:color w:val="000000" w:themeColor="text1"/>
        </w:rPr>
        <w:t xml:space="preserve">[environmental impact assessment] </w:t>
      </w:r>
      <w:r w:rsidR="008902FF" w:rsidRPr="009B6631">
        <w:rPr>
          <w:color w:val="000000" w:themeColor="text1"/>
        </w:rPr>
        <w:t xml:space="preserve">legislation”. The question references </w:t>
      </w:r>
      <w:r w:rsidR="008902FF" w:rsidRPr="009B6631">
        <w:rPr>
          <w:rStyle w:val="Hyperlink"/>
          <w:color w:val="000000" w:themeColor="text1"/>
        </w:rPr>
        <w:t>article 7</w:t>
      </w:r>
      <w:r w:rsidR="000D20F3">
        <w:rPr>
          <w:rStyle w:val="Hyperlink"/>
          <w:color w:val="000000" w:themeColor="text1"/>
        </w:rPr>
        <w:t xml:space="preserve"> </w:t>
      </w:r>
      <w:r w:rsidR="008902FF" w:rsidRPr="009B6631">
        <w:rPr>
          <w:color w:val="000000" w:themeColor="text1"/>
        </w:rPr>
        <w:t>(1) of the Convention</w:t>
      </w:r>
      <w:r w:rsidR="005377B2">
        <w:rPr>
          <w:color w:val="000000" w:themeColor="text1"/>
        </w:rPr>
        <w:t>,</w:t>
      </w:r>
      <w:r w:rsidR="008902FF" w:rsidRPr="009B6631">
        <w:rPr>
          <w:color w:val="000000" w:themeColor="text1"/>
        </w:rPr>
        <w:t xml:space="preserve"> which sets out</w:t>
      </w:r>
      <w:r w:rsidR="005377B2">
        <w:rPr>
          <w:color w:val="000000" w:themeColor="text1"/>
        </w:rPr>
        <w:t>:</w:t>
      </w:r>
      <w:r w:rsidR="008902FF" w:rsidRPr="009B6631">
        <w:rPr>
          <w:color w:val="000000" w:themeColor="text1"/>
        </w:rPr>
        <w:t xml:space="preserve"> (a) certain requirements for processing requests from concerned </w:t>
      </w:r>
      <w:r w:rsidR="008902FF" w:rsidRPr="008902FF">
        <w:t>Parties for post</w:t>
      </w:r>
      <w:r w:rsidR="005377B2">
        <w:t>-</w:t>
      </w:r>
      <w:r w:rsidR="008902FF" w:rsidRPr="008902FF">
        <w:t>project analysis</w:t>
      </w:r>
      <w:r w:rsidR="005377B2">
        <w:t>;</w:t>
      </w:r>
      <w:r w:rsidR="008902FF" w:rsidRPr="008902FF">
        <w:t xml:space="preserve"> and (b) stipulates the objectives of any post</w:t>
      </w:r>
      <w:r w:rsidR="005377B2">
        <w:t>-</w:t>
      </w:r>
      <w:r w:rsidR="008902FF" w:rsidRPr="008902FF">
        <w:t xml:space="preserve">project analysis that is undertaken. </w:t>
      </w:r>
    </w:p>
    <w:p w14:paraId="798BE9CF" w14:textId="42A529FE" w:rsidR="008902FF" w:rsidRPr="008902FF" w:rsidRDefault="007866F3" w:rsidP="008902FF">
      <w:pPr>
        <w:pStyle w:val="SingleTxtG"/>
      </w:pPr>
      <w:r>
        <w:t>38</w:t>
      </w:r>
      <w:r w:rsidR="008902FF" w:rsidRPr="008902FF">
        <w:t>.</w:t>
      </w:r>
      <w:r w:rsidR="008902FF" w:rsidRPr="008902FF">
        <w:tab/>
        <w:t>Eleven Parties</w:t>
      </w:r>
      <w:r w:rsidR="008902FF" w:rsidRPr="008902FF">
        <w:rPr>
          <w:vertAlign w:val="superscript"/>
        </w:rPr>
        <w:footnoteReference w:id="7"/>
      </w:r>
      <w:r w:rsidR="008902FF" w:rsidRPr="008902FF">
        <w:t xml:space="preserve"> (n=46) indicate that their domestic legislation does not include provisions for post</w:t>
      </w:r>
      <w:r w:rsidR="005377B2">
        <w:t>-</w:t>
      </w:r>
      <w:r w:rsidR="008902FF" w:rsidRPr="008902FF">
        <w:t>project analysis. Due to the wording used in the questionnaire, it is unclear whether all of the Parties comply with the specifications of article 7</w:t>
      </w:r>
      <w:r w:rsidR="000D20F3">
        <w:t xml:space="preserve"> </w:t>
      </w:r>
      <w:r w:rsidR="008902FF" w:rsidRPr="008902FF">
        <w:t xml:space="preserve">(1). A number of comments made by the Parties indicate that they thought </w:t>
      </w:r>
      <w:r w:rsidR="005377B2">
        <w:t xml:space="preserve">that </w:t>
      </w:r>
      <w:r w:rsidR="008902FF" w:rsidRPr="008902FF">
        <w:t>the question concerned general provisions for post</w:t>
      </w:r>
      <w:r w:rsidR="005377B2">
        <w:t>-</w:t>
      </w:r>
      <w:r w:rsidR="008902FF" w:rsidRPr="008902FF">
        <w:t>project analysis, rather than compliance with the specifications of article 7</w:t>
      </w:r>
      <w:r w:rsidR="000D20F3">
        <w:t xml:space="preserve"> </w:t>
      </w:r>
      <w:r w:rsidR="008902FF" w:rsidRPr="008902FF">
        <w:t>(1). For example, Latvia and Lithuania state that provisions for post</w:t>
      </w:r>
      <w:r w:rsidR="005377B2">
        <w:t>-</w:t>
      </w:r>
      <w:r w:rsidR="008902FF" w:rsidRPr="008902FF">
        <w:t>project analysis are part of the permitting regime, but it is not clear from their response whether requests from a concerned Party can trigger an assessment of the need for post</w:t>
      </w:r>
      <w:r w:rsidR="005377B2">
        <w:t>-</w:t>
      </w:r>
      <w:r w:rsidR="008902FF" w:rsidRPr="008902FF">
        <w:t xml:space="preserve">project analysis. </w:t>
      </w:r>
    </w:p>
    <w:p w14:paraId="0795AD41" w14:textId="12F919D2" w:rsidR="008902FF" w:rsidRPr="00D87365" w:rsidRDefault="00D87365" w:rsidP="000631E5">
      <w:pPr>
        <w:pStyle w:val="H1G"/>
      </w:pPr>
      <w:bookmarkStart w:id="15" w:name="_Toc13428243"/>
      <w:r>
        <w:tab/>
      </w:r>
      <w:r w:rsidR="00BA6089">
        <w:t>I</w:t>
      </w:r>
      <w:r>
        <w:t>.</w:t>
      </w:r>
      <w:r>
        <w:tab/>
      </w:r>
      <w:r w:rsidR="008902FF" w:rsidRPr="00D87365">
        <w:t>Bilateral and multilateral cooperation</w:t>
      </w:r>
      <w:bookmarkEnd w:id="15"/>
    </w:p>
    <w:p w14:paraId="14243E41" w14:textId="302DBF91" w:rsidR="008902FF" w:rsidRPr="008902FF" w:rsidRDefault="007866F3" w:rsidP="008902FF">
      <w:pPr>
        <w:pStyle w:val="SingleTxtG"/>
      </w:pPr>
      <w:r>
        <w:t>39</w:t>
      </w:r>
      <w:r w:rsidR="008902FF" w:rsidRPr="008902FF">
        <w:t>.</w:t>
      </w:r>
      <w:r w:rsidR="008902FF" w:rsidRPr="008902FF">
        <w:tab/>
        <w:t>Twenty</w:t>
      </w:r>
      <w:r w:rsidR="000D20F3">
        <w:t>-</w:t>
      </w:r>
      <w:r w:rsidR="008902FF" w:rsidRPr="008902FF">
        <w:t>one Parties report the existence of bilateral agreements pertaining to the provisions of the Convention (question I.30). Of these, six Parties had entered into agreements with one other Party/country; seven had agreements with two other Parties/countries; one had an agreement with three Parties/countries; and, one had an agreement with five Parties/countries. The remaining six</w:t>
      </w:r>
      <w:r w:rsidR="000C7AE8">
        <w:t xml:space="preserve"> responding</w:t>
      </w:r>
      <w:r w:rsidR="008902FF" w:rsidRPr="008902FF">
        <w:t xml:space="preserve"> Parties were signatories to the </w:t>
      </w:r>
      <w:bookmarkStart w:id="16" w:name="OLE_LINK2"/>
      <w:r w:rsidR="008902FF" w:rsidRPr="008902FF">
        <w:t xml:space="preserve">Multilateral </w:t>
      </w:r>
      <w:r w:rsidR="00EA1A6D">
        <w:t>a</w:t>
      </w:r>
      <w:r w:rsidR="008902FF" w:rsidRPr="008902FF">
        <w:t xml:space="preserve">greement among the </w:t>
      </w:r>
      <w:r w:rsidR="00EA1A6D">
        <w:t>c</w:t>
      </w:r>
      <w:r w:rsidR="008902FF" w:rsidRPr="008902FF">
        <w:t xml:space="preserve">ountries of South-Eastern Europe for </w:t>
      </w:r>
      <w:r w:rsidR="00EA1A6D">
        <w:t>i</w:t>
      </w:r>
      <w:r w:rsidR="008902FF" w:rsidRPr="008902FF">
        <w:t>mplementation of the Convention on Environmental Impact Assessment in a Transboundary Context</w:t>
      </w:r>
      <w:bookmarkEnd w:id="16"/>
      <w:r w:rsidR="000C7AE8">
        <w:t xml:space="preserve"> (the Bucharest Agreement)</w:t>
      </w:r>
      <w:r w:rsidR="008902FF" w:rsidRPr="008902FF">
        <w:t xml:space="preserve">. </w:t>
      </w:r>
      <w:r w:rsidR="00EA1A6D">
        <w:t>Last</w:t>
      </w:r>
      <w:r w:rsidR="00EA1A6D" w:rsidRPr="008902FF">
        <w:t>ly</w:t>
      </w:r>
      <w:r w:rsidR="008902FF" w:rsidRPr="008902FF">
        <w:t xml:space="preserve">, Austria, France and Switzerland </w:t>
      </w:r>
      <w:r w:rsidR="00EA1A6D">
        <w:t xml:space="preserve">have </w:t>
      </w:r>
      <w:r w:rsidR="008902FF" w:rsidRPr="008902FF">
        <w:t xml:space="preserve">developed </w:t>
      </w:r>
      <w:r w:rsidR="008902FF" w:rsidRPr="008902FF">
        <w:lastRenderedPageBreak/>
        <w:t xml:space="preserve">informal multilateral guidelines that apply to a specific region of the </w:t>
      </w:r>
      <w:r w:rsidR="00EA1A6D">
        <w:t>R</w:t>
      </w:r>
      <w:r w:rsidR="008902FF" w:rsidRPr="008902FF">
        <w:t>iver Rhine catchment. Some Parties are developing bi</w:t>
      </w:r>
      <w:r w:rsidR="00EA1A6D">
        <w:t>lateral</w:t>
      </w:r>
      <w:r w:rsidR="008902FF" w:rsidRPr="008902FF">
        <w:t xml:space="preserve"> and/or multilateral agreements.</w:t>
      </w:r>
    </w:p>
    <w:p w14:paraId="4D74FA76" w14:textId="607B43E3" w:rsidR="008902FF" w:rsidRPr="008902FF" w:rsidRDefault="007866F3" w:rsidP="008902FF">
      <w:pPr>
        <w:pStyle w:val="SingleTxtG"/>
      </w:pPr>
      <w:r w:rsidRPr="00DA60C1">
        <w:t>4</w:t>
      </w:r>
      <w:r>
        <w:t>0</w:t>
      </w:r>
      <w:r w:rsidR="008902FF" w:rsidRPr="00DA60C1">
        <w:t>.</w:t>
      </w:r>
      <w:r w:rsidR="008902FF" w:rsidRPr="008902FF">
        <w:tab/>
        <w:t>Although Hungary reports that it has not entered into any bi</w:t>
      </w:r>
      <w:r w:rsidR="00E03D6C">
        <w:t>lateral</w:t>
      </w:r>
      <w:r w:rsidR="008902FF" w:rsidRPr="008902FF">
        <w:t xml:space="preserve"> or multilateral agreements, it subsequently </w:t>
      </w:r>
      <w:r w:rsidR="00EA1A6D">
        <w:t>refers to</w:t>
      </w:r>
      <w:r w:rsidR="00EA1A6D" w:rsidRPr="008902FF">
        <w:t xml:space="preserve"> </w:t>
      </w:r>
      <w:r w:rsidR="008902FF" w:rsidRPr="008902FF">
        <w:t>a number of sectoral and issue</w:t>
      </w:r>
      <w:r w:rsidR="00EA1A6D">
        <w:t>-</w:t>
      </w:r>
      <w:r w:rsidR="008902FF" w:rsidRPr="008902FF">
        <w:t xml:space="preserve">specific agreements with Austria, Czechia, Germany and Slovakia. Hungary states that these agreements cover cooperation on environmental and nature protection matters, nuclear power facilities, nuclear safety and radiation protection. </w:t>
      </w:r>
    </w:p>
    <w:p w14:paraId="1BB95936" w14:textId="31F5191B" w:rsidR="00D87365" w:rsidRDefault="007866F3" w:rsidP="008902FF">
      <w:pPr>
        <w:pStyle w:val="SingleTxtG"/>
      </w:pPr>
      <w:r w:rsidRPr="008902FF">
        <w:t>4</w:t>
      </w:r>
      <w:r>
        <w:t>1</w:t>
      </w:r>
      <w:r w:rsidR="008902FF" w:rsidRPr="008902FF">
        <w:t>.</w:t>
      </w:r>
      <w:r w:rsidR="008902FF" w:rsidRPr="008902FF">
        <w:tab/>
        <w:t xml:space="preserve">Table </w:t>
      </w:r>
      <w:r w:rsidR="00AD6203">
        <w:t>5</w:t>
      </w:r>
      <w:r w:rsidR="00EA1A6D">
        <w:t xml:space="preserve"> below</w:t>
      </w:r>
      <w:r w:rsidR="008902FF" w:rsidRPr="008902FF">
        <w:t xml:space="preserve"> lists the broad content of the bi</w:t>
      </w:r>
      <w:r w:rsidR="00E03D6C">
        <w:t>lateral</w:t>
      </w:r>
      <w:r w:rsidR="008902FF" w:rsidRPr="008902FF">
        <w:t xml:space="preserve"> or multilateral agreements (question I.31). The bilateral agreement between Poland and Germany also addresses such issues as translation of documentation and dispute resolution. Two Parties did not report on the content of their bilateral agreement. </w:t>
      </w:r>
    </w:p>
    <w:p w14:paraId="76CDC903" w14:textId="47407790" w:rsidR="00D87365" w:rsidRPr="00047B60" w:rsidRDefault="00D87365" w:rsidP="00047B60">
      <w:pPr>
        <w:pStyle w:val="SingleTxtG"/>
        <w:jc w:val="left"/>
        <w:rPr>
          <w:b/>
          <w:bCs/>
          <w:lang w:val="en-US"/>
        </w:rPr>
      </w:pPr>
      <w:r w:rsidRPr="000E181B">
        <w:rPr>
          <w:lang w:val="en-US"/>
        </w:rPr>
        <w:t xml:space="preserve">Table </w:t>
      </w:r>
      <w:r w:rsidR="00AD6203">
        <w:rPr>
          <w:lang w:val="en-US"/>
        </w:rPr>
        <w:t>5</w:t>
      </w:r>
      <w:r w:rsidR="00047B60">
        <w:rPr>
          <w:lang w:val="en-US"/>
        </w:rPr>
        <w:br/>
      </w:r>
      <w:r w:rsidRPr="00047B60">
        <w:rPr>
          <w:b/>
          <w:bCs/>
          <w:lang w:val="en-US"/>
        </w:rPr>
        <w:t>Content of bi</w:t>
      </w:r>
      <w:r w:rsidR="009D79B3">
        <w:rPr>
          <w:b/>
          <w:bCs/>
          <w:lang w:val="en-US"/>
        </w:rPr>
        <w:t>lateral</w:t>
      </w:r>
      <w:r w:rsidRPr="00047B60">
        <w:rPr>
          <w:b/>
          <w:bCs/>
          <w:lang w:val="en-US"/>
        </w:rPr>
        <w:t xml:space="preserve"> and multilateral agreements implementing the Convention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47"/>
        <w:gridCol w:w="1823"/>
      </w:tblGrid>
      <w:tr w:rsidR="00D87365" w:rsidRPr="00D87365" w14:paraId="457A2509" w14:textId="77777777" w:rsidTr="00D87365">
        <w:trPr>
          <w:tblHeader/>
        </w:trPr>
        <w:tc>
          <w:tcPr>
            <w:tcW w:w="5547" w:type="dxa"/>
            <w:tcBorders>
              <w:top w:val="single" w:sz="4" w:space="0" w:color="auto"/>
              <w:bottom w:val="single" w:sz="12" w:space="0" w:color="auto"/>
            </w:tcBorders>
            <w:shd w:val="clear" w:color="auto" w:fill="auto"/>
            <w:vAlign w:val="bottom"/>
          </w:tcPr>
          <w:p w14:paraId="4FA576A5" w14:textId="77777777" w:rsidR="00D87365" w:rsidRPr="00D87365" w:rsidRDefault="00D87365" w:rsidP="00D87365">
            <w:pPr>
              <w:suppressAutoHyphens w:val="0"/>
              <w:spacing w:before="80" w:after="80" w:line="200" w:lineRule="exact"/>
              <w:rPr>
                <w:i/>
                <w:sz w:val="16"/>
                <w:lang w:val="en-US"/>
              </w:rPr>
            </w:pPr>
            <w:r w:rsidRPr="00D87365">
              <w:rPr>
                <w:i/>
                <w:sz w:val="16"/>
                <w:lang w:val="en-US"/>
              </w:rPr>
              <w:t>Content of agreement</w:t>
            </w:r>
          </w:p>
        </w:tc>
        <w:tc>
          <w:tcPr>
            <w:tcW w:w="1823" w:type="dxa"/>
            <w:tcBorders>
              <w:top w:val="single" w:sz="4" w:space="0" w:color="auto"/>
              <w:bottom w:val="single" w:sz="12" w:space="0" w:color="auto"/>
            </w:tcBorders>
            <w:shd w:val="clear" w:color="auto" w:fill="auto"/>
            <w:vAlign w:val="bottom"/>
          </w:tcPr>
          <w:p w14:paraId="19C569D7" w14:textId="77777777" w:rsidR="00D87365" w:rsidRPr="00D87365" w:rsidRDefault="00D87365" w:rsidP="00D87365">
            <w:pPr>
              <w:suppressAutoHyphens w:val="0"/>
              <w:spacing w:before="80" w:after="80" w:line="200" w:lineRule="exact"/>
              <w:jc w:val="right"/>
              <w:rPr>
                <w:i/>
                <w:sz w:val="16"/>
                <w:lang w:val="en-US"/>
              </w:rPr>
            </w:pPr>
            <w:r w:rsidRPr="00D87365">
              <w:rPr>
                <w:i/>
                <w:sz w:val="16"/>
                <w:lang w:val="en-US"/>
              </w:rPr>
              <w:t>Number of responses (n=19)</w:t>
            </w:r>
          </w:p>
        </w:tc>
      </w:tr>
      <w:tr w:rsidR="00D87365" w:rsidRPr="00D87365" w14:paraId="39B47E04" w14:textId="77777777" w:rsidTr="00D87365">
        <w:tc>
          <w:tcPr>
            <w:tcW w:w="5547" w:type="dxa"/>
            <w:shd w:val="clear" w:color="auto" w:fill="auto"/>
          </w:tcPr>
          <w:p w14:paraId="79EBB27E" w14:textId="77777777" w:rsidR="00D87365" w:rsidRPr="00D87365" w:rsidRDefault="00D87365" w:rsidP="00D87365">
            <w:pPr>
              <w:suppressAutoHyphens w:val="0"/>
              <w:spacing w:before="40" w:after="40" w:line="220" w:lineRule="exact"/>
              <w:rPr>
                <w:sz w:val="18"/>
                <w:lang w:val="en-US"/>
              </w:rPr>
            </w:pPr>
            <w:r w:rsidRPr="00D87365">
              <w:rPr>
                <w:sz w:val="18"/>
                <w:lang w:val="en-US"/>
              </w:rPr>
              <w:t>Institutional, administrative and other arrangements</w:t>
            </w:r>
          </w:p>
        </w:tc>
        <w:tc>
          <w:tcPr>
            <w:tcW w:w="1823" w:type="dxa"/>
            <w:shd w:val="clear" w:color="auto" w:fill="auto"/>
            <w:vAlign w:val="bottom"/>
          </w:tcPr>
          <w:p w14:paraId="622B7F03" w14:textId="77777777" w:rsidR="00D87365" w:rsidRPr="00D87365" w:rsidRDefault="00D87365" w:rsidP="00D87365">
            <w:pPr>
              <w:suppressAutoHyphens w:val="0"/>
              <w:spacing w:before="40" w:after="40" w:line="220" w:lineRule="exact"/>
              <w:jc w:val="right"/>
              <w:rPr>
                <w:sz w:val="18"/>
                <w:lang w:val="en-US"/>
              </w:rPr>
            </w:pPr>
            <w:r w:rsidRPr="00D87365">
              <w:rPr>
                <w:sz w:val="18"/>
                <w:lang w:val="en-US"/>
              </w:rPr>
              <w:t>15</w:t>
            </w:r>
          </w:p>
        </w:tc>
      </w:tr>
      <w:tr w:rsidR="00D87365" w:rsidRPr="00D87365" w14:paraId="435A415E" w14:textId="77777777" w:rsidTr="00D87365">
        <w:tc>
          <w:tcPr>
            <w:tcW w:w="5547" w:type="dxa"/>
            <w:shd w:val="clear" w:color="auto" w:fill="auto"/>
          </w:tcPr>
          <w:p w14:paraId="5C5336D1" w14:textId="77777777" w:rsidR="00D87365" w:rsidRPr="00D87365" w:rsidRDefault="00D87365" w:rsidP="00D87365">
            <w:pPr>
              <w:suppressAutoHyphens w:val="0"/>
              <w:spacing w:before="40" w:after="40" w:line="220" w:lineRule="exact"/>
              <w:rPr>
                <w:sz w:val="18"/>
                <w:lang w:val="en-US"/>
              </w:rPr>
            </w:pPr>
            <w:r w:rsidRPr="00D87365">
              <w:rPr>
                <w:sz w:val="18"/>
              </w:rPr>
              <w:t>Harmonization of the Parties’ policies and measures</w:t>
            </w:r>
          </w:p>
        </w:tc>
        <w:tc>
          <w:tcPr>
            <w:tcW w:w="1823" w:type="dxa"/>
            <w:shd w:val="clear" w:color="auto" w:fill="auto"/>
            <w:vAlign w:val="bottom"/>
          </w:tcPr>
          <w:p w14:paraId="7F6AE82F" w14:textId="77777777" w:rsidR="00D87365" w:rsidRPr="00D87365" w:rsidRDefault="00D87365" w:rsidP="00D87365">
            <w:pPr>
              <w:suppressAutoHyphens w:val="0"/>
              <w:spacing w:before="40" w:after="40" w:line="220" w:lineRule="exact"/>
              <w:jc w:val="right"/>
              <w:rPr>
                <w:sz w:val="18"/>
                <w:lang w:val="en-US"/>
              </w:rPr>
            </w:pPr>
            <w:r w:rsidRPr="00D87365">
              <w:rPr>
                <w:sz w:val="18"/>
                <w:lang w:val="en-US"/>
              </w:rPr>
              <w:t>7</w:t>
            </w:r>
          </w:p>
        </w:tc>
      </w:tr>
      <w:tr w:rsidR="00D87365" w:rsidRPr="00D87365" w14:paraId="1B4673AE" w14:textId="77777777" w:rsidTr="00D87365">
        <w:tc>
          <w:tcPr>
            <w:tcW w:w="5547" w:type="dxa"/>
            <w:shd w:val="clear" w:color="auto" w:fill="auto"/>
          </w:tcPr>
          <w:p w14:paraId="788A9B5F" w14:textId="77777777" w:rsidR="00D87365" w:rsidRPr="00D87365" w:rsidRDefault="00D87365" w:rsidP="00D87365">
            <w:pPr>
              <w:suppressAutoHyphens w:val="0"/>
              <w:spacing w:before="40" w:after="40" w:line="220" w:lineRule="exact"/>
              <w:rPr>
                <w:sz w:val="18"/>
                <w:lang w:val="en-US"/>
              </w:rPr>
            </w:pPr>
            <w:r w:rsidRPr="00D87365">
              <w:rPr>
                <w:sz w:val="18"/>
                <w:lang w:val="en-US"/>
              </w:rPr>
              <w:t>Specific conditions of the subregion concerned</w:t>
            </w:r>
          </w:p>
        </w:tc>
        <w:tc>
          <w:tcPr>
            <w:tcW w:w="1823" w:type="dxa"/>
            <w:shd w:val="clear" w:color="auto" w:fill="auto"/>
            <w:vAlign w:val="bottom"/>
          </w:tcPr>
          <w:p w14:paraId="78777EC0" w14:textId="77777777" w:rsidR="00D87365" w:rsidRPr="00D87365" w:rsidRDefault="00D87365" w:rsidP="00D87365">
            <w:pPr>
              <w:suppressAutoHyphens w:val="0"/>
              <w:spacing w:before="40" w:after="40" w:line="220" w:lineRule="exact"/>
              <w:jc w:val="right"/>
              <w:rPr>
                <w:sz w:val="18"/>
                <w:lang w:val="en-US"/>
              </w:rPr>
            </w:pPr>
            <w:r w:rsidRPr="00D87365">
              <w:rPr>
                <w:sz w:val="18"/>
                <w:lang w:val="en-US"/>
              </w:rPr>
              <w:t>6</w:t>
            </w:r>
          </w:p>
        </w:tc>
      </w:tr>
      <w:tr w:rsidR="00D87365" w:rsidRPr="00D87365" w14:paraId="07B17FB7" w14:textId="77777777" w:rsidTr="00D87365">
        <w:tc>
          <w:tcPr>
            <w:tcW w:w="5547" w:type="dxa"/>
            <w:shd w:val="clear" w:color="auto" w:fill="auto"/>
          </w:tcPr>
          <w:p w14:paraId="78D08B49" w14:textId="77777777" w:rsidR="00D87365" w:rsidRPr="00D87365" w:rsidRDefault="00D87365" w:rsidP="00D87365">
            <w:pPr>
              <w:suppressAutoHyphens w:val="0"/>
              <w:spacing w:before="40" w:after="40" w:line="220" w:lineRule="exact"/>
              <w:rPr>
                <w:sz w:val="18"/>
                <w:lang w:val="en-US"/>
              </w:rPr>
            </w:pPr>
            <w:r w:rsidRPr="00D87365">
              <w:rPr>
                <w:sz w:val="18"/>
              </w:rPr>
              <w:t>Undertaking joint EIA, development of joint monitoring programmes, intercalibration of monitoring devices and harmonization of methodologies</w:t>
            </w:r>
          </w:p>
        </w:tc>
        <w:tc>
          <w:tcPr>
            <w:tcW w:w="1823" w:type="dxa"/>
            <w:shd w:val="clear" w:color="auto" w:fill="auto"/>
            <w:vAlign w:val="bottom"/>
          </w:tcPr>
          <w:p w14:paraId="737C6EBF" w14:textId="77777777" w:rsidR="00D87365" w:rsidRPr="00D87365" w:rsidRDefault="00D87365" w:rsidP="00D87365">
            <w:pPr>
              <w:suppressAutoHyphens w:val="0"/>
              <w:spacing w:before="40" w:after="40" w:line="220" w:lineRule="exact"/>
              <w:jc w:val="right"/>
              <w:rPr>
                <w:sz w:val="18"/>
                <w:lang w:val="en-US"/>
              </w:rPr>
            </w:pPr>
            <w:r w:rsidRPr="00D87365">
              <w:rPr>
                <w:sz w:val="18"/>
                <w:lang w:val="en-US"/>
              </w:rPr>
              <w:t>6</w:t>
            </w:r>
          </w:p>
        </w:tc>
      </w:tr>
      <w:tr w:rsidR="00D87365" w:rsidRPr="00D87365" w14:paraId="44330E3B" w14:textId="77777777" w:rsidTr="00D87365">
        <w:tc>
          <w:tcPr>
            <w:tcW w:w="5547" w:type="dxa"/>
            <w:shd w:val="clear" w:color="auto" w:fill="auto"/>
          </w:tcPr>
          <w:p w14:paraId="3F7D395E" w14:textId="77777777" w:rsidR="00D87365" w:rsidRPr="00D87365" w:rsidRDefault="00D87365" w:rsidP="00D87365">
            <w:pPr>
              <w:suppressAutoHyphens w:val="0"/>
              <w:spacing w:before="40" w:after="40" w:line="220" w:lineRule="exact"/>
              <w:rPr>
                <w:sz w:val="18"/>
                <w:lang w:val="en-US"/>
              </w:rPr>
            </w:pPr>
            <w:r w:rsidRPr="00D87365">
              <w:rPr>
                <w:sz w:val="18"/>
              </w:rPr>
              <w:t>Developing, improving, and/or harmonizing methods for the identification, measurement, prediction and assessment of impacts, and for post-project analysis</w:t>
            </w:r>
          </w:p>
        </w:tc>
        <w:tc>
          <w:tcPr>
            <w:tcW w:w="1823" w:type="dxa"/>
            <w:shd w:val="clear" w:color="auto" w:fill="auto"/>
            <w:vAlign w:val="bottom"/>
          </w:tcPr>
          <w:p w14:paraId="420E933B" w14:textId="77777777" w:rsidR="00D87365" w:rsidRPr="00D87365" w:rsidRDefault="00D87365" w:rsidP="00D87365">
            <w:pPr>
              <w:suppressAutoHyphens w:val="0"/>
              <w:spacing w:before="40" w:after="40" w:line="220" w:lineRule="exact"/>
              <w:jc w:val="right"/>
              <w:rPr>
                <w:sz w:val="18"/>
                <w:lang w:val="en-US"/>
              </w:rPr>
            </w:pPr>
            <w:r w:rsidRPr="00D87365">
              <w:rPr>
                <w:sz w:val="18"/>
                <w:lang w:val="en-US"/>
              </w:rPr>
              <w:t>5</w:t>
            </w:r>
          </w:p>
        </w:tc>
      </w:tr>
      <w:tr w:rsidR="00D87365" w:rsidRPr="00D87365" w14:paraId="25E369E0" w14:textId="77777777" w:rsidTr="00D87365">
        <w:tc>
          <w:tcPr>
            <w:tcW w:w="5547" w:type="dxa"/>
            <w:shd w:val="clear" w:color="auto" w:fill="auto"/>
          </w:tcPr>
          <w:p w14:paraId="75B5D86E" w14:textId="77777777" w:rsidR="00D87365" w:rsidRPr="00D87365" w:rsidRDefault="00D87365" w:rsidP="00D87365">
            <w:pPr>
              <w:suppressAutoHyphens w:val="0"/>
              <w:spacing w:before="40" w:after="40" w:line="220" w:lineRule="exact"/>
              <w:rPr>
                <w:sz w:val="18"/>
              </w:rPr>
            </w:pPr>
            <w:r w:rsidRPr="00D87365">
              <w:rPr>
                <w:sz w:val="18"/>
              </w:rPr>
              <w:t>Developing and/or improving methods and programmes for the collection, analysis, storage and timely dissemination of comparable data regarding environmental quality in order to provide input into the EIA</w:t>
            </w:r>
          </w:p>
        </w:tc>
        <w:tc>
          <w:tcPr>
            <w:tcW w:w="1823" w:type="dxa"/>
            <w:shd w:val="clear" w:color="auto" w:fill="auto"/>
            <w:vAlign w:val="bottom"/>
          </w:tcPr>
          <w:p w14:paraId="5C3CDC7C" w14:textId="77777777" w:rsidR="00D87365" w:rsidRPr="00D87365" w:rsidRDefault="00D87365" w:rsidP="00D87365">
            <w:pPr>
              <w:suppressAutoHyphens w:val="0"/>
              <w:spacing w:before="40" w:after="40" w:line="220" w:lineRule="exact"/>
              <w:jc w:val="right"/>
              <w:rPr>
                <w:sz w:val="18"/>
                <w:lang w:val="en-US"/>
              </w:rPr>
            </w:pPr>
            <w:r w:rsidRPr="00D87365">
              <w:rPr>
                <w:sz w:val="18"/>
                <w:lang w:val="en-US"/>
              </w:rPr>
              <w:t>3</w:t>
            </w:r>
          </w:p>
        </w:tc>
      </w:tr>
      <w:tr w:rsidR="00D87365" w:rsidRPr="00D87365" w14:paraId="53570296" w14:textId="77777777" w:rsidTr="00D87365">
        <w:tc>
          <w:tcPr>
            <w:tcW w:w="5547" w:type="dxa"/>
            <w:shd w:val="clear" w:color="auto" w:fill="auto"/>
          </w:tcPr>
          <w:p w14:paraId="20616E46" w14:textId="77777777" w:rsidR="00D87365" w:rsidRPr="00D87365" w:rsidRDefault="00D87365" w:rsidP="00D87365">
            <w:pPr>
              <w:suppressAutoHyphens w:val="0"/>
              <w:spacing w:before="40" w:after="40" w:line="220" w:lineRule="exact"/>
              <w:rPr>
                <w:sz w:val="18"/>
              </w:rPr>
            </w:pPr>
            <w:r w:rsidRPr="00D87365">
              <w:rPr>
                <w:sz w:val="18"/>
                <w:lang w:val="en-US"/>
              </w:rPr>
              <w:t>Establishment of threshold levels and more specified criteria for defining the significance of transboundary impacts related to the location, nature or size of proposed activities</w:t>
            </w:r>
          </w:p>
        </w:tc>
        <w:tc>
          <w:tcPr>
            <w:tcW w:w="1823" w:type="dxa"/>
            <w:shd w:val="clear" w:color="auto" w:fill="auto"/>
            <w:vAlign w:val="bottom"/>
          </w:tcPr>
          <w:p w14:paraId="54D03A3C" w14:textId="77777777" w:rsidR="00D87365" w:rsidRPr="00D87365" w:rsidRDefault="00D87365" w:rsidP="00D87365">
            <w:pPr>
              <w:suppressAutoHyphens w:val="0"/>
              <w:spacing w:before="40" w:after="40" w:line="220" w:lineRule="exact"/>
              <w:jc w:val="right"/>
              <w:rPr>
                <w:sz w:val="18"/>
                <w:lang w:val="en-US"/>
              </w:rPr>
            </w:pPr>
            <w:r w:rsidRPr="00D87365">
              <w:rPr>
                <w:sz w:val="18"/>
                <w:lang w:val="en-US"/>
              </w:rPr>
              <w:t>2</w:t>
            </w:r>
          </w:p>
        </w:tc>
      </w:tr>
      <w:tr w:rsidR="00D87365" w:rsidRPr="00D87365" w14:paraId="5D04774E" w14:textId="77777777" w:rsidTr="00D87365">
        <w:tc>
          <w:tcPr>
            <w:tcW w:w="5547" w:type="dxa"/>
            <w:shd w:val="clear" w:color="auto" w:fill="auto"/>
          </w:tcPr>
          <w:p w14:paraId="4C0B18D2" w14:textId="77777777" w:rsidR="00D87365" w:rsidRPr="00D87365" w:rsidRDefault="00D87365" w:rsidP="00D87365">
            <w:pPr>
              <w:suppressAutoHyphens w:val="0"/>
              <w:spacing w:before="40" w:after="40" w:line="220" w:lineRule="exact"/>
              <w:rPr>
                <w:sz w:val="18"/>
              </w:rPr>
            </w:pPr>
            <w:r w:rsidRPr="00D87365">
              <w:rPr>
                <w:sz w:val="18"/>
              </w:rPr>
              <w:t>Undertaking joint EIA, development of joint monitoring programmes, intercalibration of monitoring devices and harmonization of methodologies</w:t>
            </w:r>
          </w:p>
        </w:tc>
        <w:tc>
          <w:tcPr>
            <w:tcW w:w="1823" w:type="dxa"/>
            <w:shd w:val="clear" w:color="auto" w:fill="auto"/>
            <w:vAlign w:val="bottom"/>
          </w:tcPr>
          <w:p w14:paraId="60C41272" w14:textId="77777777" w:rsidR="00D87365" w:rsidRPr="00D87365" w:rsidRDefault="00D87365" w:rsidP="00D87365">
            <w:pPr>
              <w:suppressAutoHyphens w:val="0"/>
              <w:spacing w:before="40" w:after="40" w:line="220" w:lineRule="exact"/>
              <w:jc w:val="right"/>
              <w:rPr>
                <w:sz w:val="18"/>
                <w:lang w:val="en-US"/>
              </w:rPr>
            </w:pPr>
            <w:r w:rsidRPr="00D87365">
              <w:rPr>
                <w:sz w:val="18"/>
                <w:lang w:val="en-US"/>
              </w:rPr>
              <w:t>1</w:t>
            </w:r>
          </w:p>
        </w:tc>
      </w:tr>
      <w:tr w:rsidR="00D87365" w:rsidRPr="00D87365" w14:paraId="4CD13C99" w14:textId="77777777" w:rsidTr="00D87365">
        <w:tc>
          <w:tcPr>
            <w:tcW w:w="5547" w:type="dxa"/>
            <w:tcBorders>
              <w:bottom w:val="single" w:sz="12" w:space="0" w:color="auto"/>
            </w:tcBorders>
            <w:shd w:val="clear" w:color="auto" w:fill="auto"/>
          </w:tcPr>
          <w:p w14:paraId="0F61C7A7" w14:textId="77777777" w:rsidR="00D87365" w:rsidRPr="00D87365" w:rsidRDefault="00D87365" w:rsidP="00D87365">
            <w:pPr>
              <w:suppressAutoHyphens w:val="0"/>
              <w:spacing w:before="40" w:after="40" w:line="220" w:lineRule="exact"/>
              <w:rPr>
                <w:sz w:val="18"/>
              </w:rPr>
            </w:pPr>
            <w:r w:rsidRPr="00D87365">
              <w:rPr>
                <w:sz w:val="18"/>
              </w:rPr>
              <w:t>Other</w:t>
            </w:r>
          </w:p>
        </w:tc>
        <w:tc>
          <w:tcPr>
            <w:tcW w:w="1823" w:type="dxa"/>
            <w:tcBorders>
              <w:bottom w:val="single" w:sz="12" w:space="0" w:color="auto"/>
            </w:tcBorders>
            <w:shd w:val="clear" w:color="auto" w:fill="auto"/>
            <w:vAlign w:val="bottom"/>
          </w:tcPr>
          <w:p w14:paraId="3534FCC1" w14:textId="77777777" w:rsidR="00D87365" w:rsidRPr="00D87365" w:rsidRDefault="00D87365" w:rsidP="00D87365">
            <w:pPr>
              <w:suppressAutoHyphens w:val="0"/>
              <w:spacing w:before="40" w:after="40" w:line="220" w:lineRule="exact"/>
              <w:jc w:val="right"/>
              <w:rPr>
                <w:sz w:val="18"/>
                <w:lang w:val="en-US"/>
              </w:rPr>
            </w:pPr>
            <w:r w:rsidRPr="00D87365">
              <w:rPr>
                <w:sz w:val="18"/>
                <w:lang w:val="en-US"/>
              </w:rPr>
              <w:t>2</w:t>
            </w:r>
          </w:p>
        </w:tc>
      </w:tr>
    </w:tbl>
    <w:p w14:paraId="45E79BE9" w14:textId="7ABFD2BF" w:rsidR="00EA1A6D" w:rsidRPr="005E0BC9" w:rsidRDefault="00EA1A6D" w:rsidP="000D715C">
      <w:pPr>
        <w:pStyle w:val="SingleTxtG"/>
        <w:spacing w:before="120"/>
      </w:pPr>
      <w:r>
        <w:tab/>
      </w:r>
      <w:r>
        <w:tab/>
      </w:r>
      <w:r w:rsidRPr="005E0BC9">
        <w:rPr>
          <w:i/>
          <w:iCs/>
        </w:rPr>
        <w:t>Abbreviations:</w:t>
      </w:r>
      <w:r w:rsidR="00F7173B" w:rsidRPr="00D14DE9">
        <w:rPr>
          <w:i/>
          <w:iCs/>
        </w:rPr>
        <w:t xml:space="preserve"> </w:t>
      </w:r>
      <w:r w:rsidRPr="005E0BC9">
        <w:t>EIA, environmental impact asse</w:t>
      </w:r>
      <w:r w:rsidRPr="00D14DE9">
        <w:t>ssment.</w:t>
      </w:r>
    </w:p>
    <w:p w14:paraId="120E942C" w14:textId="55DA7DA5" w:rsidR="00CA2291" w:rsidRPr="00CA2291" w:rsidRDefault="007866F3" w:rsidP="000D715C">
      <w:pPr>
        <w:pStyle w:val="SingleTxtG"/>
        <w:spacing w:before="120"/>
      </w:pPr>
      <w:r w:rsidRPr="00CA2291">
        <w:t>4</w:t>
      </w:r>
      <w:r>
        <w:t>2</w:t>
      </w:r>
      <w:r w:rsidR="00CA2291" w:rsidRPr="00CA2291">
        <w:t>.</w:t>
      </w:r>
      <w:r w:rsidR="00CA2291" w:rsidRPr="00CA2291">
        <w:tab/>
        <w:t xml:space="preserve">Question I.32 asks the Parties to describe how “the steps required for a transboundary </w:t>
      </w:r>
      <w:r w:rsidR="005E0BC9">
        <w:t>[</w:t>
      </w:r>
      <w:r w:rsidR="00CA2291" w:rsidRPr="00CA2291">
        <w:t>environmental impact assessment</w:t>
      </w:r>
      <w:r w:rsidR="005E0BC9">
        <w:t>]</w:t>
      </w:r>
      <w:r w:rsidR="00CA2291" w:rsidRPr="00CA2291">
        <w:t xml:space="preserve"> procedure under [their] national legislation correlate to domestic </w:t>
      </w:r>
      <w:r w:rsidR="005E0BC9">
        <w:t>[</w:t>
      </w:r>
      <w:r w:rsidR="00CA2291" w:rsidRPr="00CA2291">
        <w:t>environmental impact assessment</w:t>
      </w:r>
      <w:r w:rsidR="005E0BC9">
        <w:t>]</w:t>
      </w:r>
      <w:r w:rsidR="00CA2291" w:rsidRPr="00CA2291">
        <w:t xml:space="preserve"> [procedures] in the lead-up to the final decision” and to explain any differences between domestic procedures and transboundary ones. Armenia reports that discrepancies exist, but </w:t>
      </w:r>
      <w:r w:rsidR="005E0BC9">
        <w:t xml:space="preserve">that </w:t>
      </w:r>
      <w:r w:rsidR="00CA2291" w:rsidRPr="00CA2291">
        <w:t>these will be addressed through the introduction of revised legislation. Most Parties d</w:t>
      </w:r>
      <w:r w:rsidR="005E0BC9">
        <w:t>o</w:t>
      </w:r>
      <w:r w:rsidR="00CA2291" w:rsidRPr="00CA2291">
        <w:t xml:space="preserve"> not explicitly state whether differences exist; instead, they describe their national procedures. Six Parties state </w:t>
      </w:r>
      <w:r w:rsidR="005E0BC9">
        <w:t xml:space="preserve">that </w:t>
      </w:r>
      <w:r w:rsidR="00CA2291" w:rsidRPr="00CA2291">
        <w:t xml:space="preserve">the procedures are the same as required by the Convention, while a further two Parties (Canada and Sweden) state that their national legislation does not contain detailed provisions on transboundary procedures, but </w:t>
      </w:r>
      <w:r w:rsidR="005E0BC9">
        <w:t xml:space="preserve">that </w:t>
      </w:r>
      <w:r w:rsidR="00CA2291" w:rsidRPr="00CA2291">
        <w:t xml:space="preserve">transboundary practices follow domestic procedures. Three Parties report that there are minor differences. As reported in the </w:t>
      </w:r>
      <w:r w:rsidR="005E0BC9">
        <w:t>f</w:t>
      </w:r>
      <w:r w:rsidR="00CA2291" w:rsidRPr="00CA2291">
        <w:t xml:space="preserve">ifth </w:t>
      </w:r>
      <w:r w:rsidR="006A7037">
        <w:t>r</w:t>
      </w:r>
      <w:r w:rsidR="006A7037" w:rsidRPr="00CA2291">
        <w:t xml:space="preserve">eview </w:t>
      </w:r>
      <w:r w:rsidR="00CA2291" w:rsidRPr="00CA2291">
        <w:t xml:space="preserve">of </w:t>
      </w:r>
      <w:r w:rsidR="006A7037">
        <w:t>i</w:t>
      </w:r>
      <w:r w:rsidR="006A7037" w:rsidRPr="00CA2291">
        <w:t xml:space="preserve">mplementation </w:t>
      </w:r>
      <w:r w:rsidR="00CA2291" w:rsidRPr="00CA2291">
        <w:t>(ECE/MP.EIA/2017/9, para</w:t>
      </w:r>
      <w:r w:rsidR="005E0BC9">
        <w:t>.</w:t>
      </w:r>
      <w:r w:rsidR="00CA2291" w:rsidRPr="00CA2291">
        <w:t xml:space="preserve"> 59), Parties’ descriptions of the steps followed when environmental impact assessment in a transboundary context is separate from the domestic procedure appear to meet the </w:t>
      </w:r>
      <w:r w:rsidR="005E0BC9">
        <w:t>requirement</w:t>
      </w:r>
      <w:r w:rsidR="005E0BC9" w:rsidRPr="00CA2291">
        <w:t xml:space="preserve">s </w:t>
      </w:r>
      <w:r w:rsidR="00CA2291" w:rsidRPr="00CA2291">
        <w:t>of the Convention. However, further information from the Parties would be needed to verify this</w:t>
      </w:r>
      <w:r w:rsidR="005E0BC9">
        <w:t xml:space="preserve"> assertion</w:t>
      </w:r>
      <w:r w:rsidR="00CA2291" w:rsidRPr="00CA2291">
        <w:t>.</w:t>
      </w:r>
      <w:r w:rsidR="004A440B">
        <w:t xml:space="preserve"> </w:t>
      </w:r>
    </w:p>
    <w:p w14:paraId="5457269D" w14:textId="35334442" w:rsidR="00CA2291" w:rsidRPr="00CA2291" w:rsidRDefault="007866F3" w:rsidP="00CA2291">
      <w:pPr>
        <w:pStyle w:val="SingleTxtG"/>
      </w:pPr>
      <w:r w:rsidRPr="00CA2291">
        <w:t>4</w:t>
      </w:r>
      <w:r>
        <w:t>3</w:t>
      </w:r>
      <w:r w:rsidR="00CA2291" w:rsidRPr="00CA2291">
        <w:t>.</w:t>
      </w:r>
      <w:r w:rsidR="00CA2291" w:rsidRPr="00CA2291">
        <w:tab/>
        <w:t xml:space="preserve">Six Parties have special provisions (4) or informal arrangements (2) </w:t>
      </w:r>
      <w:r w:rsidR="005E0BC9">
        <w:t>concerning</w:t>
      </w:r>
      <w:r w:rsidR="00CA2291" w:rsidRPr="00CA2291">
        <w:t xml:space="preserve"> transboundary environmental impact assessment</w:t>
      </w:r>
      <w:r w:rsidR="00CA2291" w:rsidRPr="00CA2291" w:rsidDel="000369FB">
        <w:t xml:space="preserve"> </w:t>
      </w:r>
      <w:r w:rsidR="00CA2291" w:rsidRPr="00CA2291">
        <w:t xml:space="preserve">procedures for joint cross-border activities (question I.33). One Party (Denmark) comments that </w:t>
      </w:r>
      <w:r w:rsidR="005E0BC9">
        <w:t>its</w:t>
      </w:r>
      <w:r w:rsidR="005E0BC9" w:rsidRPr="00CA2291">
        <w:t xml:space="preserve"> </w:t>
      </w:r>
      <w:r w:rsidR="00CA2291" w:rsidRPr="00CA2291">
        <w:t>domestic legislation includes provisions for joint cross-border projects</w:t>
      </w:r>
      <w:r w:rsidR="005E0BC9">
        <w:t>;</w:t>
      </w:r>
      <w:r w:rsidR="00CA2291" w:rsidRPr="00CA2291">
        <w:t xml:space="preserve"> a statement </w:t>
      </w:r>
      <w:r w:rsidR="005E0BC9">
        <w:t>that</w:t>
      </w:r>
      <w:r w:rsidR="005E0BC9" w:rsidRPr="00CA2291">
        <w:t xml:space="preserve"> </w:t>
      </w:r>
      <w:r w:rsidR="00CA2291" w:rsidRPr="00CA2291">
        <w:t xml:space="preserve">appears to indicate that </w:t>
      </w:r>
      <w:r w:rsidR="005E0BC9">
        <w:t>Denmark</w:t>
      </w:r>
      <w:r w:rsidR="005E0BC9" w:rsidRPr="00CA2291">
        <w:t xml:space="preserve"> </w:t>
      </w:r>
      <w:r w:rsidR="00CA2291" w:rsidRPr="00CA2291">
        <w:t>believe</w:t>
      </w:r>
      <w:r w:rsidR="005E0BC9">
        <w:t>s that</w:t>
      </w:r>
      <w:r w:rsidR="00CA2291" w:rsidRPr="00CA2291">
        <w:t xml:space="preserve"> additional bi</w:t>
      </w:r>
      <w:r w:rsidR="009D79B3">
        <w:t>lateral</w:t>
      </w:r>
      <w:r w:rsidR="00CA2291" w:rsidRPr="00CA2291">
        <w:t xml:space="preserve"> or multilateral agreements would be superfluous. </w:t>
      </w:r>
      <w:r w:rsidR="005E0BC9">
        <w:t>Denmark</w:t>
      </w:r>
      <w:r w:rsidR="005E0BC9" w:rsidRPr="00CA2291">
        <w:t xml:space="preserve"> </w:t>
      </w:r>
      <w:r w:rsidR="00CA2291" w:rsidRPr="00CA2291">
        <w:lastRenderedPageBreak/>
        <w:t>also note</w:t>
      </w:r>
      <w:r w:rsidR="005E0BC9">
        <w:t>s</w:t>
      </w:r>
      <w:r w:rsidR="00CA2291" w:rsidRPr="00CA2291">
        <w:t xml:space="preserve"> that the European Union legislation on environmental impact assessment</w:t>
      </w:r>
      <w:r w:rsidR="00CA2291" w:rsidRPr="00CA2291" w:rsidDel="000369FB">
        <w:t xml:space="preserve"> </w:t>
      </w:r>
      <w:r w:rsidR="00CA2291" w:rsidRPr="00CA2291">
        <w:t>provides for the adoption of certain projects through an act of legislation, which creates an opportunity to control particularly large and complex projects, such as cross-border activities. Some Parties with additional formal or informal arrangements (Finland and Estonia) have created a bilateral commission on environmental impact assessment</w:t>
      </w:r>
      <w:r w:rsidR="00CA2291" w:rsidRPr="00CA2291" w:rsidDel="000369FB">
        <w:t xml:space="preserve"> </w:t>
      </w:r>
      <w:r w:rsidR="00CA2291" w:rsidRPr="00CA2291">
        <w:t>with an advisory role on joint cross</w:t>
      </w:r>
      <w:r w:rsidR="00C22B6D">
        <w:t>-</w:t>
      </w:r>
      <w:r w:rsidR="00CA2291" w:rsidRPr="00CA2291">
        <w:t>border projects. Estonia notes that the bilateral commission may also appoint ad hoc working groups. Five Parties have informal arrangements in place concerning transboundary environmental impact assessment procedures for nuclear power plants (question I.34).</w:t>
      </w:r>
    </w:p>
    <w:p w14:paraId="2E712B94" w14:textId="0E9AAFF9" w:rsidR="00CA2291" w:rsidRPr="00CA2291" w:rsidRDefault="00CA2291" w:rsidP="00CA2291">
      <w:pPr>
        <w:pStyle w:val="HChG"/>
      </w:pPr>
      <w:bookmarkStart w:id="17" w:name="_Toc13428244"/>
      <w:r>
        <w:tab/>
      </w:r>
      <w:r w:rsidRPr="00CA2291">
        <w:t>I</w:t>
      </w:r>
      <w:r w:rsidR="00FA482A">
        <w:t>II</w:t>
      </w:r>
      <w:r w:rsidRPr="00CA2291">
        <w:t>.</w:t>
      </w:r>
      <w:r w:rsidRPr="00CA2291">
        <w:tab/>
        <w:t>Practical application and experiences</w:t>
      </w:r>
      <w:bookmarkEnd w:id="17"/>
    </w:p>
    <w:p w14:paraId="46A19EBD" w14:textId="6068FA1A" w:rsidR="00CA2291" w:rsidRPr="00CA2291" w:rsidRDefault="007866F3" w:rsidP="00CA2291">
      <w:pPr>
        <w:pStyle w:val="SingleTxtG"/>
      </w:pPr>
      <w:r w:rsidRPr="00CA2291">
        <w:t>4</w:t>
      </w:r>
      <w:r>
        <w:t>4</w:t>
      </w:r>
      <w:r w:rsidR="00CA2291" w:rsidRPr="00CA2291">
        <w:t>.</w:t>
      </w:r>
      <w:r w:rsidR="00CA2291" w:rsidRPr="00CA2291">
        <w:tab/>
        <w:t xml:space="preserve">This section of the report examines the key findings from the second section of the questionnaire, which focuses on Parties’ practical experiences </w:t>
      </w:r>
      <w:r w:rsidR="002F5BDC">
        <w:t>in applying</w:t>
      </w:r>
      <w:r w:rsidR="00CA2291" w:rsidRPr="00CA2291">
        <w:t xml:space="preserve"> the Convention. </w:t>
      </w:r>
    </w:p>
    <w:p w14:paraId="4153878F" w14:textId="6A4D172D" w:rsidR="00CA2291" w:rsidRPr="00CA2291" w:rsidRDefault="007866F3" w:rsidP="00CA2291">
      <w:pPr>
        <w:pStyle w:val="SingleTxtG"/>
      </w:pPr>
      <w:r w:rsidRPr="00CA2291">
        <w:t>4</w:t>
      </w:r>
      <w:r>
        <w:t>5</w:t>
      </w:r>
      <w:r w:rsidR="00CA2291" w:rsidRPr="00CA2291">
        <w:t>.</w:t>
      </w:r>
      <w:r w:rsidR="00CA2291" w:rsidRPr="00CA2291">
        <w:tab/>
        <w:t xml:space="preserve">Figure </w:t>
      </w:r>
      <w:r w:rsidR="000A7FB7">
        <w:t>IV below</w:t>
      </w:r>
      <w:r w:rsidR="00CA2291" w:rsidRPr="00CA2291">
        <w:t xml:space="preserve"> illustrates the number of cases of transboundary procedures that the respondents have been involved in, either as the Party of origin or as an affected Party. Some countries (</w:t>
      </w:r>
      <w:r w:rsidR="003B5485">
        <w:t>for example,</w:t>
      </w:r>
      <w:r w:rsidR="00CA2291" w:rsidRPr="00CA2291">
        <w:t xml:space="preserve"> Malta and Montenegro) </w:t>
      </w:r>
      <w:r w:rsidR="00C51A40">
        <w:t>were</w:t>
      </w:r>
      <w:r w:rsidR="00C51A40" w:rsidRPr="00CA2291">
        <w:t xml:space="preserve"> </w:t>
      </w:r>
      <w:r w:rsidR="00CA2291" w:rsidRPr="00CA2291">
        <w:t xml:space="preserve">not involved in any transboundary procedures during the review period. At the other end of the scale, two Parties participated in more than 30 transboundary procedures as an affected Party (Denmark and Poland). Not all Parties, however, maintain comprehensive records of their involvement in transboundary procedures. </w:t>
      </w:r>
    </w:p>
    <w:p w14:paraId="3C845D0E" w14:textId="2A7F04CC" w:rsidR="00CA2291" w:rsidRPr="00A515F0" w:rsidRDefault="00CA2291" w:rsidP="00047B60">
      <w:pPr>
        <w:pStyle w:val="SingleTxtG"/>
        <w:jc w:val="left"/>
        <w:rPr>
          <w:lang w:val="en-US"/>
        </w:rPr>
      </w:pPr>
      <w:r w:rsidRPr="00E14C1B">
        <w:rPr>
          <w:lang w:val="en-US"/>
        </w:rPr>
        <w:t>Figure</w:t>
      </w:r>
      <w:r w:rsidR="00047B60" w:rsidRPr="00E14C1B">
        <w:rPr>
          <w:lang w:val="en-US"/>
        </w:rPr>
        <w:t xml:space="preserve"> </w:t>
      </w:r>
      <w:r w:rsidR="000A7FB7" w:rsidRPr="00E14C1B">
        <w:rPr>
          <w:lang w:val="en-US"/>
        </w:rPr>
        <w:t>IV</w:t>
      </w:r>
      <w:r w:rsidR="00047B60" w:rsidRPr="00E14C1B">
        <w:rPr>
          <w:lang w:val="en-US"/>
        </w:rPr>
        <w:br/>
      </w:r>
      <w:r w:rsidRPr="00E14C1B">
        <w:rPr>
          <w:b/>
          <w:bCs/>
          <w:lang w:val="en-US"/>
        </w:rPr>
        <w:t xml:space="preserve">Number of transboundary procedures the Parties have been involved in as the affected Party (n=23) or as the Party </w:t>
      </w:r>
      <w:r w:rsidRPr="00E14C1B">
        <w:rPr>
          <w:b/>
          <w:bCs/>
        </w:rPr>
        <w:t>of origin</w:t>
      </w:r>
      <w:r w:rsidRPr="00E14C1B">
        <w:rPr>
          <w:b/>
          <w:bCs/>
          <w:lang w:val="en-US"/>
        </w:rPr>
        <w:t xml:space="preserve"> (n=34)</w:t>
      </w:r>
    </w:p>
    <w:p w14:paraId="3CF2AF56" w14:textId="77777777" w:rsidR="00CA2291" w:rsidRDefault="00CA2291" w:rsidP="00CA2291">
      <w:pPr>
        <w:jc w:val="center"/>
        <w:rPr>
          <w:rFonts w:ascii="Times" w:hAnsi="Times"/>
        </w:rPr>
      </w:pPr>
      <w:r>
        <w:rPr>
          <w:noProof/>
          <w:lang w:val="en-US" w:eastAsia="zh-CN"/>
        </w:rPr>
        <w:drawing>
          <wp:inline distT="0" distB="0" distL="0" distR="0" wp14:anchorId="69CDD654" wp14:editId="4469572E">
            <wp:extent cx="4700501" cy="2130829"/>
            <wp:effectExtent l="0" t="0" r="5080" b="3175"/>
            <wp:docPr id="6" name="Chart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3D5A7F" w14:textId="77777777" w:rsidR="00CA2291" w:rsidRDefault="00CA2291" w:rsidP="00CA2291">
      <w:pPr>
        <w:jc w:val="center"/>
        <w:rPr>
          <w:rFonts w:ascii="Times" w:hAnsi="Times"/>
        </w:rPr>
      </w:pPr>
    </w:p>
    <w:p w14:paraId="5DC59553" w14:textId="6201FB35" w:rsidR="00CA2291" w:rsidRPr="000D715C" w:rsidRDefault="00CA2291" w:rsidP="00047B60">
      <w:pPr>
        <w:pStyle w:val="ListParagraph"/>
        <w:spacing w:line="220" w:lineRule="exact"/>
        <w:ind w:left="1134" w:right="1134" w:firstLine="170"/>
        <w:contextualSpacing w:val="0"/>
        <w:rPr>
          <w:sz w:val="18"/>
          <w:szCs w:val="16"/>
        </w:rPr>
      </w:pPr>
      <w:r w:rsidRPr="00047B60">
        <w:rPr>
          <w:i/>
          <w:iCs/>
          <w:sz w:val="18"/>
          <w:szCs w:val="16"/>
        </w:rPr>
        <w:t>Note:</w:t>
      </w:r>
      <w:r w:rsidRPr="000D715C">
        <w:rPr>
          <w:sz w:val="18"/>
          <w:szCs w:val="16"/>
        </w:rPr>
        <w:t xml:space="preserve"> The wording used in the questionnaire has probably led to an overestimation of the </w:t>
      </w:r>
      <w:r w:rsidR="00C51A40">
        <w:rPr>
          <w:sz w:val="18"/>
          <w:szCs w:val="16"/>
        </w:rPr>
        <w:t xml:space="preserve">number of </w:t>
      </w:r>
      <w:r w:rsidRPr="000D715C">
        <w:rPr>
          <w:sz w:val="18"/>
          <w:szCs w:val="16"/>
        </w:rPr>
        <w:t>cases of transboundary procedures occurring during the survey period 2016</w:t>
      </w:r>
      <w:r w:rsidR="00C51A40">
        <w:rPr>
          <w:sz w:val="18"/>
          <w:szCs w:val="16"/>
        </w:rPr>
        <w:t>–</w:t>
      </w:r>
      <w:r w:rsidRPr="000D715C">
        <w:rPr>
          <w:sz w:val="18"/>
          <w:szCs w:val="16"/>
        </w:rPr>
        <w:t xml:space="preserve">2018. The relevant question (question II.2) asks respondents to list cases “that were </w:t>
      </w:r>
      <w:r w:rsidRPr="00047B60">
        <w:rPr>
          <w:sz w:val="18"/>
          <w:szCs w:val="16"/>
        </w:rPr>
        <w:t>under</w:t>
      </w:r>
      <w:r w:rsidRPr="000D715C">
        <w:rPr>
          <w:sz w:val="18"/>
          <w:szCs w:val="16"/>
        </w:rPr>
        <w:t xml:space="preserve"> way during the reporting period”. A number of Parties listed cases for which consultation of some sort had occurred prior to the survey period. In the absence of further information, some Parties appear to consider such activities potentially to be active or “under way”. </w:t>
      </w:r>
    </w:p>
    <w:p w14:paraId="7FFE6D29" w14:textId="77777777" w:rsidR="000D715C" w:rsidRPr="000D715C" w:rsidRDefault="000D715C" w:rsidP="00047B60">
      <w:pPr>
        <w:pStyle w:val="H1G"/>
      </w:pPr>
      <w:bookmarkStart w:id="18" w:name="_Toc13428245"/>
      <w:r>
        <w:tab/>
      </w:r>
      <w:r w:rsidR="00047B60">
        <w:t>A</w:t>
      </w:r>
      <w:r>
        <w:t>.</w:t>
      </w:r>
      <w:r>
        <w:tab/>
      </w:r>
      <w:r w:rsidRPr="000D715C">
        <w:t>Translation of environmental impact assessment documentation</w:t>
      </w:r>
      <w:bookmarkEnd w:id="18"/>
    </w:p>
    <w:p w14:paraId="5EAEC031" w14:textId="6D17FDCC" w:rsidR="000D715C" w:rsidRPr="000D715C" w:rsidRDefault="007866F3" w:rsidP="000D715C">
      <w:pPr>
        <w:pStyle w:val="SingleTxtG"/>
      </w:pPr>
      <w:r w:rsidRPr="000D715C">
        <w:t>4</w:t>
      </w:r>
      <w:r>
        <w:t>6</w:t>
      </w:r>
      <w:r w:rsidR="000D715C" w:rsidRPr="000D715C">
        <w:t>.</w:t>
      </w:r>
      <w:r w:rsidR="000D715C" w:rsidRPr="000D715C">
        <w:tab/>
        <w:t>The approach to translating environmental impact assessment documentation (question II.3</w:t>
      </w:r>
      <w:r w:rsidR="00AA3018">
        <w:t xml:space="preserve"> (</w:t>
      </w:r>
      <w:r w:rsidR="000D715C" w:rsidRPr="000D715C">
        <w:t>a)</w:t>
      </w:r>
      <w:r w:rsidR="00AA3018">
        <w:t>)</w:t>
      </w:r>
      <w:r w:rsidR="000D715C" w:rsidRPr="000D715C">
        <w:t xml:space="preserve"> vari</w:t>
      </w:r>
      <w:r w:rsidR="00AA3018">
        <w:t>es</w:t>
      </w:r>
      <w:r w:rsidR="000D715C" w:rsidRPr="000D715C">
        <w:t xml:space="preserve"> considerably between Parties. A sizeable proportion of Parties of origin translate the documentation into the affected Party’s language (see </w:t>
      </w:r>
      <w:r w:rsidR="00AA3018">
        <w:t>f</w:t>
      </w:r>
      <w:r w:rsidR="000D715C" w:rsidRPr="000D715C">
        <w:t xml:space="preserve">igure </w:t>
      </w:r>
      <w:r w:rsidR="00AA3018">
        <w:t>V, left-hand graphic, below)</w:t>
      </w:r>
      <w:r w:rsidR="000D715C" w:rsidRPr="000D715C">
        <w:t xml:space="preserve">. The Parties of origin also frequently use English as a default translation language. Norway, Sweden and Denmark generally do not translate the documentation when they communicate </w:t>
      </w:r>
      <w:r w:rsidR="00AA3018">
        <w:t>with</w:t>
      </w:r>
      <w:r w:rsidR="00AA3018" w:rsidRPr="000D715C">
        <w:t xml:space="preserve"> </w:t>
      </w:r>
      <w:r w:rsidR="00AA3018">
        <w:t xml:space="preserve">one </w:t>
      </w:r>
      <w:r w:rsidR="000D715C" w:rsidRPr="000D715C">
        <w:t>another, whereas</w:t>
      </w:r>
      <w:r w:rsidR="00AA3018">
        <w:t>,</w:t>
      </w:r>
      <w:r w:rsidR="000D715C" w:rsidRPr="000D715C">
        <w:t xml:space="preserve"> when another country is involved as an affected Party</w:t>
      </w:r>
      <w:r w:rsidR="00AA3018">
        <w:t>,</w:t>
      </w:r>
      <w:r w:rsidR="000D715C" w:rsidRPr="000D715C">
        <w:t xml:space="preserve"> they will use either English or the affected Party’s national language. Some Parties translate the documentation primarily into English, but also provide a summary in the national language of the affected Party. Finland agrees upon the translation language on a case-by-case basis.</w:t>
      </w:r>
    </w:p>
    <w:p w14:paraId="71101334" w14:textId="7911BE91" w:rsidR="000D715C" w:rsidRPr="000D715C" w:rsidRDefault="007866F3" w:rsidP="000D715C">
      <w:pPr>
        <w:pStyle w:val="SingleTxtG"/>
      </w:pPr>
      <w:r w:rsidRPr="000D715C">
        <w:lastRenderedPageBreak/>
        <w:t>4</w:t>
      </w:r>
      <w:r>
        <w:t>7</w:t>
      </w:r>
      <w:r w:rsidR="000D715C" w:rsidRPr="000D715C">
        <w:t>.</w:t>
      </w:r>
      <w:r w:rsidR="000D715C" w:rsidRPr="000D715C">
        <w:tab/>
        <w:t xml:space="preserve">Figure </w:t>
      </w:r>
      <w:r w:rsidR="00AA3018">
        <w:t>V below (right-hand graphic),</w:t>
      </w:r>
      <w:r w:rsidR="000D715C" w:rsidRPr="000D715C">
        <w:t xml:space="preserve"> shows the languages from which affected Parties said </w:t>
      </w:r>
      <w:r w:rsidR="00AA3018">
        <w:t xml:space="preserve">that </w:t>
      </w:r>
      <w:r w:rsidR="000D715C" w:rsidRPr="000D715C">
        <w:t>they normally translate, (question II.3</w:t>
      </w:r>
      <w:r w:rsidR="00AA3018">
        <w:t xml:space="preserve"> (</w:t>
      </w:r>
      <w:r w:rsidR="000D715C" w:rsidRPr="000D715C">
        <w:t>f</w:t>
      </w:r>
      <w:r w:rsidR="00AA3018">
        <w:t>)</w:t>
      </w:r>
      <w:r w:rsidR="000D715C" w:rsidRPr="000D715C">
        <w:t xml:space="preserve"> </w:t>
      </w:r>
      <w:r w:rsidR="00EA1A6D">
        <w:t>and</w:t>
      </w:r>
      <w:r w:rsidR="000D715C" w:rsidRPr="000D715C">
        <w:t xml:space="preserve"> </w:t>
      </w:r>
      <w:r w:rsidR="00AA3018">
        <w:t>(</w:t>
      </w:r>
      <w:r w:rsidR="000D715C" w:rsidRPr="000D715C">
        <w:t>g)</w:t>
      </w:r>
      <w:r w:rsidR="00AA3018">
        <w:t>),</w:t>
      </w:r>
      <w:r w:rsidR="000D715C" w:rsidRPr="000D715C">
        <w:t xml:space="preserve"> presumably where this has not been undertaken by the Party of origin or where translation into one or more additional language</w:t>
      </w:r>
      <w:r w:rsidR="00AA3018">
        <w:t>s</w:t>
      </w:r>
      <w:r w:rsidR="000D715C" w:rsidRPr="000D715C">
        <w:t xml:space="preserve"> than provided by the Party of origin is necessary. For example, the Netherlands reports translating documentation sent to it in English by the United Kingdom</w:t>
      </w:r>
      <w:r w:rsidR="00AA3018">
        <w:t xml:space="preserve"> of Great Britain and Northern Ireland</w:t>
      </w:r>
      <w:r w:rsidR="000D715C" w:rsidRPr="000D715C">
        <w:t xml:space="preserve">. </w:t>
      </w:r>
      <w:r w:rsidR="00AA3018">
        <w:t>F</w:t>
      </w:r>
      <w:r w:rsidR="000D715C" w:rsidRPr="000D715C">
        <w:t xml:space="preserve">igure </w:t>
      </w:r>
      <w:r w:rsidR="00AA3018">
        <w:t xml:space="preserve">V (right-hand graphic) </w:t>
      </w:r>
      <w:r w:rsidR="000D715C" w:rsidRPr="000D715C">
        <w:t>shows that affected Parties may need to translate received material from a number of different languages.</w:t>
      </w:r>
    </w:p>
    <w:p w14:paraId="5954A9CE" w14:textId="584BF144" w:rsidR="000D715C" w:rsidRDefault="000D715C" w:rsidP="00332720">
      <w:pPr>
        <w:suppressAutoHyphens w:val="0"/>
        <w:spacing w:after="240" w:line="240" w:lineRule="auto"/>
        <w:ind w:left="1134" w:right="1089"/>
        <w:rPr>
          <w:b/>
          <w:bCs/>
        </w:rPr>
      </w:pPr>
      <w:r w:rsidRPr="00A515F0">
        <w:rPr>
          <w:lang w:val="en-US"/>
        </w:rPr>
        <w:t xml:space="preserve">Figure </w:t>
      </w:r>
      <w:r w:rsidR="00AA3018">
        <w:rPr>
          <w:lang w:val="en-US"/>
        </w:rPr>
        <w:t>V</w:t>
      </w:r>
      <w:r w:rsidR="00047B60">
        <w:rPr>
          <w:lang w:val="en-US"/>
        </w:rPr>
        <w:br/>
      </w:r>
      <w:r w:rsidRPr="00047B60">
        <w:rPr>
          <w:b/>
          <w:bCs/>
          <w:lang w:val="en-US"/>
        </w:rPr>
        <w:t>Translation languages. Parties’ responses to</w:t>
      </w:r>
      <w:r w:rsidR="00565E31">
        <w:rPr>
          <w:b/>
          <w:bCs/>
          <w:lang w:val="en-US"/>
        </w:rPr>
        <w:t>:</w:t>
      </w:r>
      <w:r w:rsidRPr="00047B60">
        <w:rPr>
          <w:b/>
          <w:bCs/>
          <w:lang w:val="en-US"/>
        </w:rPr>
        <w:t xml:space="preserve"> </w:t>
      </w:r>
      <w:r w:rsidR="00565E31">
        <w:rPr>
          <w:b/>
          <w:bCs/>
          <w:lang w:val="en-US"/>
        </w:rPr>
        <w:t xml:space="preserve">question II.3 (f) </w:t>
      </w:r>
      <w:r w:rsidRPr="00047B60">
        <w:rPr>
          <w:b/>
          <w:bCs/>
          <w:lang w:val="en-US"/>
        </w:rPr>
        <w:t>(</w:t>
      </w:r>
      <w:r w:rsidR="00565E31">
        <w:rPr>
          <w:b/>
          <w:bCs/>
          <w:lang w:val="en-US"/>
        </w:rPr>
        <w:t>left-hand graphic</w:t>
      </w:r>
      <w:r w:rsidRPr="00047B60">
        <w:rPr>
          <w:b/>
          <w:bCs/>
          <w:lang w:val="en-US"/>
        </w:rPr>
        <w:t xml:space="preserve">) “As a Party of origin, in which language do you usually provide </w:t>
      </w:r>
      <w:r w:rsidR="005D2AD1">
        <w:rPr>
          <w:b/>
          <w:bCs/>
          <w:lang w:val="en-US"/>
        </w:rPr>
        <w:t>[</w:t>
      </w:r>
      <w:r w:rsidR="00565E31">
        <w:rPr>
          <w:b/>
          <w:bCs/>
          <w:lang w:val="en-US"/>
        </w:rPr>
        <w:t xml:space="preserve">environmental impact assessment </w:t>
      </w:r>
      <w:r w:rsidRPr="00047B60">
        <w:rPr>
          <w:b/>
          <w:bCs/>
          <w:lang w:val="en-US"/>
        </w:rPr>
        <w:t>documentation</w:t>
      </w:r>
      <w:r w:rsidR="005D2AD1">
        <w:rPr>
          <w:b/>
          <w:bCs/>
          <w:lang w:val="en-US"/>
        </w:rPr>
        <w:t>]</w:t>
      </w:r>
      <w:r w:rsidRPr="00047B60">
        <w:rPr>
          <w:b/>
          <w:bCs/>
          <w:lang w:val="en-US"/>
        </w:rPr>
        <w:t xml:space="preserve"> to the affected Party?” (n=35)</w:t>
      </w:r>
      <w:r w:rsidR="00565E31">
        <w:rPr>
          <w:b/>
          <w:bCs/>
          <w:lang w:val="en-US"/>
        </w:rPr>
        <w:t>;</w:t>
      </w:r>
      <w:r w:rsidRPr="00047B60">
        <w:rPr>
          <w:b/>
          <w:bCs/>
          <w:lang w:val="en-US"/>
        </w:rPr>
        <w:t xml:space="preserve"> </w:t>
      </w:r>
      <w:r w:rsidRPr="00EE15E7">
        <w:rPr>
          <w:b/>
          <w:bCs/>
          <w:lang w:val="en-US"/>
        </w:rPr>
        <w:t xml:space="preserve">and </w:t>
      </w:r>
      <w:r w:rsidR="00565E31">
        <w:rPr>
          <w:b/>
          <w:bCs/>
          <w:lang w:val="en-US"/>
        </w:rPr>
        <w:t xml:space="preserve">to question II.3 (g) </w:t>
      </w:r>
      <w:r w:rsidRPr="00EE15E7">
        <w:rPr>
          <w:b/>
          <w:bCs/>
          <w:lang w:val="en-US"/>
        </w:rPr>
        <w:t>(</w:t>
      </w:r>
      <w:r w:rsidR="00565E31">
        <w:rPr>
          <w:b/>
          <w:bCs/>
          <w:lang w:val="en-US"/>
        </w:rPr>
        <w:t>right-hand graphic</w:t>
      </w:r>
      <w:r w:rsidRPr="00EE15E7">
        <w:rPr>
          <w:b/>
          <w:bCs/>
          <w:lang w:val="en-US"/>
        </w:rPr>
        <w:t>) “As an affected Party, from which language do you usually translate?” (n=</w:t>
      </w:r>
      <w:r w:rsidRPr="00047B60">
        <w:rPr>
          <w:b/>
          <w:bCs/>
        </w:rPr>
        <w:t>25)</w:t>
      </w:r>
    </w:p>
    <w:tbl>
      <w:tblPr>
        <w:tblStyle w:val="TableGrid"/>
        <w:tblW w:w="732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9"/>
        <w:gridCol w:w="3730"/>
      </w:tblGrid>
      <w:tr w:rsidR="000631E5" w:rsidRPr="00462270" w14:paraId="2040F84E" w14:textId="77777777" w:rsidTr="007B34A0">
        <w:trPr>
          <w:trHeight w:val="3194"/>
          <w:tblHeader/>
        </w:trPr>
        <w:tc>
          <w:tcPr>
            <w:tcW w:w="3599" w:type="dxa"/>
            <w:tcBorders>
              <w:top w:val="single" w:sz="4" w:space="0" w:color="auto"/>
              <w:bottom w:val="single" w:sz="12" w:space="0" w:color="auto"/>
            </w:tcBorders>
            <w:shd w:val="clear" w:color="auto" w:fill="auto"/>
          </w:tcPr>
          <w:p w14:paraId="7A9F8ED3" w14:textId="0BA93CF2" w:rsidR="000631E5" w:rsidRPr="00462270" w:rsidRDefault="004A705B" w:rsidP="00AD3454">
            <w:pPr>
              <w:ind w:left="210" w:right="113"/>
              <w:rPr>
                <w:i/>
                <w:sz w:val="18"/>
              </w:rPr>
            </w:pPr>
            <w:r w:rsidRPr="00462270">
              <w:rPr>
                <w:i/>
                <w:noProof/>
                <w:sz w:val="18"/>
                <w:lang w:val="en-US" w:eastAsia="zh-CN"/>
              </w:rPr>
              <w:drawing>
                <wp:anchor distT="0" distB="0" distL="114300" distR="114300" simplePos="0" relativeHeight="251658240" behindDoc="1" locked="0" layoutInCell="1" allowOverlap="1" wp14:anchorId="11C1F244" wp14:editId="68F34052">
                  <wp:simplePos x="0" y="0"/>
                  <wp:positionH relativeFrom="column">
                    <wp:posOffset>132080</wp:posOffset>
                  </wp:positionH>
                  <wp:positionV relativeFrom="paragraph">
                    <wp:posOffset>0</wp:posOffset>
                  </wp:positionV>
                  <wp:extent cx="2092325" cy="1894840"/>
                  <wp:effectExtent l="0" t="0" r="3175" b="10160"/>
                  <wp:wrapThrough wrapText="bothSides">
                    <wp:wrapPolygon edited="0">
                      <wp:start x="0" y="0"/>
                      <wp:lineTo x="0" y="21499"/>
                      <wp:lineTo x="21436" y="21499"/>
                      <wp:lineTo x="21436" y="0"/>
                      <wp:lineTo x="0" y="0"/>
                    </wp:wrapPolygon>
                  </wp:wrapThrough>
                  <wp:docPr id="12" name="Chart 12">
                    <a:extLst xmlns:a="http://schemas.openxmlformats.org/drawingml/2006/main">
                      <a:ext uri="{FF2B5EF4-FFF2-40B4-BE49-F238E27FC236}">
                        <a16:creationId xmlns:a16="http://schemas.microsoft.com/office/drawing/2014/main" id="{C5290E0F-54C8-1A42-8EEA-E562D3D41E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c>
          <w:tcPr>
            <w:tcW w:w="3730" w:type="dxa"/>
            <w:tcBorders>
              <w:top w:val="single" w:sz="4" w:space="0" w:color="auto"/>
              <w:bottom w:val="single" w:sz="12" w:space="0" w:color="auto"/>
            </w:tcBorders>
            <w:shd w:val="clear" w:color="auto" w:fill="auto"/>
          </w:tcPr>
          <w:p w14:paraId="56373D8C" w14:textId="4ABB39E7" w:rsidR="000631E5" w:rsidRPr="00462270" w:rsidRDefault="004A705B" w:rsidP="00AD3454">
            <w:pPr>
              <w:spacing w:before="80" w:after="80"/>
              <w:ind w:left="195" w:right="113"/>
              <w:jc w:val="center"/>
              <w:rPr>
                <w:i/>
                <w:sz w:val="18"/>
              </w:rPr>
            </w:pPr>
            <w:r w:rsidRPr="00462270">
              <w:rPr>
                <w:i/>
                <w:noProof/>
                <w:sz w:val="18"/>
                <w:lang w:val="en-US" w:eastAsia="zh-CN"/>
              </w:rPr>
              <w:drawing>
                <wp:inline distT="0" distB="0" distL="0" distR="0" wp14:anchorId="45F2E00A" wp14:editId="4FFAD6C0">
                  <wp:extent cx="1914144" cy="1832229"/>
                  <wp:effectExtent l="0" t="0" r="10160" b="15875"/>
                  <wp:docPr id="13" name="Chart 13">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0631E5" w:rsidRPr="00462270" w14:paraId="4EB87992" w14:textId="77777777" w:rsidTr="007B34A0">
        <w:trPr>
          <w:trHeight w:hRule="exact" w:val="101"/>
          <w:tblHeader/>
        </w:trPr>
        <w:tc>
          <w:tcPr>
            <w:tcW w:w="3599" w:type="dxa"/>
            <w:tcBorders>
              <w:top w:val="single" w:sz="12" w:space="0" w:color="auto"/>
              <w:bottom w:val="nil"/>
            </w:tcBorders>
            <w:shd w:val="clear" w:color="auto" w:fill="auto"/>
          </w:tcPr>
          <w:p w14:paraId="77829702" w14:textId="77777777" w:rsidR="000631E5" w:rsidRPr="00462270" w:rsidRDefault="000631E5" w:rsidP="00484004">
            <w:pPr>
              <w:spacing w:before="40" w:after="120"/>
              <w:ind w:left="1134" w:right="113"/>
              <w:rPr>
                <w:noProof/>
                <w:sz w:val="18"/>
              </w:rPr>
            </w:pPr>
          </w:p>
        </w:tc>
        <w:tc>
          <w:tcPr>
            <w:tcW w:w="3730" w:type="dxa"/>
            <w:tcBorders>
              <w:top w:val="single" w:sz="12" w:space="0" w:color="auto"/>
              <w:bottom w:val="nil"/>
            </w:tcBorders>
            <w:shd w:val="clear" w:color="auto" w:fill="auto"/>
          </w:tcPr>
          <w:p w14:paraId="67E81D49" w14:textId="77777777" w:rsidR="000631E5" w:rsidRPr="00462270" w:rsidRDefault="000631E5" w:rsidP="00484004">
            <w:pPr>
              <w:spacing w:before="40" w:after="120"/>
              <w:ind w:left="1134" w:right="113"/>
              <w:rPr>
                <w:noProof/>
                <w:sz w:val="18"/>
              </w:rPr>
            </w:pPr>
          </w:p>
        </w:tc>
      </w:tr>
    </w:tbl>
    <w:p w14:paraId="5231E095" w14:textId="6EBE4A6B" w:rsidR="000D715C" w:rsidRPr="000D715C" w:rsidRDefault="007866F3" w:rsidP="00462270">
      <w:pPr>
        <w:pStyle w:val="SingleTxtG"/>
        <w:spacing w:before="240"/>
      </w:pPr>
      <w:r>
        <w:t>48</w:t>
      </w:r>
      <w:r w:rsidR="000D715C" w:rsidRPr="000D715C">
        <w:t>.</w:t>
      </w:r>
      <w:r w:rsidR="000D715C" w:rsidRPr="000D715C">
        <w:tab/>
        <w:t>The parts and amount of environmental impact assessment documentation that are translated (question II.3</w:t>
      </w:r>
      <w:r w:rsidR="00BD4929">
        <w:t xml:space="preserve"> (</w:t>
      </w:r>
      <w:r w:rsidR="000D715C" w:rsidRPr="000D715C">
        <w:t>d)</w:t>
      </w:r>
      <w:r w:rsidR="00BD4929">
        <w:t>)</w:t>
      </w:r>
      <w:r w:rsidR="000D715C" w:rsidRPr="000D715C">
        <w:t xml:space="preserve"> appear to vary considerably. A number of Parties translate all of the documentation (</w:t>
      </w:r>
      <w:r w:rsidR="003B5485">
        <w:t>for example,</w:t>
      </w:r>
      <w:r w:rsidR="000D715C" w:rsidRPr="000D715C">
        <w:t xml:space="preserve"> Albania, Estonia and Georgia) but</w:t>
      </w:r>
      <w:r w:rsidR="00BD4929">
        <w:t>,</w:t>
      </w:r>
      <w:r w:rsidR="000D715C" w:rsidRPr="000D715C">
        <w:t xml:space="preserve"> more frequently</w:t>
      </w:r>
      <w:r w:rsidR="00BD4929">
        <w:t>,</w:t>
      </w:r>
      <w:r w:rsidR="000D715C" w:rsidRPr="000D715C">
        <w:t xml:space="preserve"> certain parts are selected for translation: </w:t>
      </w:r>
      <w:r w:rsidR="003B5485">
        <w:t>for example,</w:t>
      </w:r>
      <w:r w:rsidR="000D715C" w:rsidRPr="000D715C">
        <w:t xml:space="preserve"> only the non-technical summary (the Netherlands) or a summary of the characteristics of the activity and its main transboundary impacts (Belgium Flemish Region). Other Parties report that they translate the most important parts of the documentation. Sweden decides what to translate on a case-by-case basis based on discussions held with the developer. </w:t>
      </w:r>
    </w:p>
    <w:p w14:paraId="5E81A173" w14:textId="7D71A14E" w:rsidR="000D715C" w:rsidRPr="000D715C" w:rsidRDefault="007866F3" w:rsidP="000D715C">
      <w:pPr>
        <w:pStyle w:val="SingleTxtG"/>
      </w:pPr>
      <w:r>
        <w:t>49</w:t>
      </w:r>
      <w:r w:rsidR="000D715C" w:rsidRPr="000D715C">
        <w:t>.</w:t>
      </w:r>
      <w:r w:rsidR="000D715C" w:rsidRPr="000D715C">
        <w:tab/>
        <w:t>The Party of origin typically expects the proponent of the activity (the developer) to bear the costs of translation (question II</w:t>
      </w:r>
      <w:r w:rsidR="00BD4929">
        <w:t>.</w:t>
      </w:r>
      <w:r w:rsidR="000D715C" w:rsidRPr="000D715C">
        <w:t>3</w:t>
      </w:r>
      <w:r w:rsidR="00BD4929">
        <w:t xml:space="preserve"> (</w:t>
      </w:r>
      <w:r w:rsidR="000D715C" w:rsidRPr="000D715C">
        <w:t>c)</w:t>
      </w:r>
      <w:r w:rsidR="00BD4929">
        <w:t>)</w:t>
      </w:r>
      <w:r w:rsidR="000D715C" w:rsidRPr="000D715C">
        <w:t xml:space="preserve"> and, where appropriate, of any interpreters employed during hearings (question II.3</w:t>
      </w:r>
      <w:r w:rsidR="00BD4929">
        <w:t xml:space="preserve"> (</w:t>
      </w:r>
      <w:proofErr w:type="spellStart"/>
      <w:r w:rsidR="000D715C" w:rsidRPr="000D715C">
        <w:t>i</w:t>
      </w:r>
      <w:proofErr w:type="spellEnd"/>
      <w:r w:rsidR="000D715C" w:rsidRPr="000D715C">
        <w:t>)</w:t>
      </w:r>
      <w:r w:rsidR="00BD4929">
        <w:t>)</w:t>
      </w:r>
      <w:r w:rsidR="000D715C" w:rsidRPr="000D715C">
        <w:t>. There appear to be instances in Austria where, as a Party of origin, a government ministry may pay for translation rather than the developer, although the circumstances in which this takes place are unclear. Affected Parties invariably expect the Party of origin to organize and pay for the translation of relevant materials, but the data provided by the Parties indicate that</w:t>
      </w:r>
      <w:r w:rsidR="001741B2">
        <w:t>,</w:t>
      </w:r>
      <w:r w:rsidR="000D715C" w:rsidRPr="000D715C">
        <w:t xml:space="preserve"> in some instances</w:t>
      </w:r>
      <w:r w:rsidR="001741B2">
        <w:t>,</w:t>
      </w:r>
      <w:r w:rsidR="000D715C" w:rsidRPr="000D715C">
        <w:t xml:space="preserve"> </w:t>
      </w:r>
      <w:r w:rsidR="00391C58">
        <w:t xml:space="preserve">sectoral </w:t>
      </w:r>
      <w:r w:rsidR="000D715C" w:rsidRPr="000D715C">
        <w:t>ministries or environmental and health authorities in the affected Party fund this work (</w:t>
      </w:r>
      <w:r w:rsidR="003B5485">
        <w:t>for example,</w:t>
      </w:r>
      <w:r w:rsidR="000D715C" w:rsidRPr="000D715C">
        <w:t xml:space="preserve"> France). </w:t>
      </w:r>
    </w:p>
    <w:p w14:paraId="2E1B9324" w14:textId="6264DC64" w:rsidR="000D715C" w:rsidRPr="000D715C" w:rsidRDefault="000D715C" w:rsidP="00047B60">
      <w:pPr>
        <w:pStyle w:val="H1G"/>
      </w:pPr>
      <w:bookmarkStart w:id="19" w:name="_Toc13428246"/>
      <w:r>
        <w:tab/>
      </w:r>
      <w:r w:rsidR="00047B60">
        <w:t>B</w:t>
      </w:r>
      <w:r>
        <w:t>.</w:t>
      </w:r>
      <w:r>
        <w:tab/>
      </w:r>
      <w:r w:rsidRPr="000D715C">
        <w:t xml:space="preserve">Difficulties experienced during public participation procedures and </w:t>
      </w:r>
      <w:r w:rsidRPr="000D715C">
        <w:br/>
        <w:t>consultations on environmental impact assessment documentation</w:t>
      </w:r>
      <w:bookmarkEnd w:id="19"/>
      <w:r w:rsidRPr="000D715C">
        <w:t xml:space="preserve"> </w:t>
      </w:r>
    </w:p>
    <w:p w14:paraId="72E8A82A" w14:textId="5BCC5102" w:rsidR="000D715C" w:rsidRPr="000D715C" w:rsidRDefault="007866F3" w:rsidP="000D715C">
      <w:pPr>
        <w:pStyle w:val="SingleTxtG"/>
      </w:pPr>
      <w:r w:rsidRPr="000D715C">
        <w:t>5</w:t>
      </w:r>
      <w:r>
        <w:t>0</w:t>
      </w:r>
      <w:r w:rsidR="000D715C" w:rsidRPr="000D715C">
        <w:t>.</w:t>
      </w:r>
      <w:r w:rsidR="000D715C" w:rsidRPr="000D715C">
        <w:tab/>
        <w:t>Question</w:t>
      </w:r>
      <w:r w:rsidR="00B92F08">
        <w:t>s</w:t>
      </w:r>
      <w:r w:rsidR="000D715C" w:rsidRPr="000D715C">
        <w:t xml:space="preserve"> II.3</w:t>
      </w:r>
      <w:r w:rsidR="00B92F08">
        <w:t xml:space="preserve"> (</w:t>
      </w:r>
      <w:r w:rsidR="000D715C" w:rsidRPr="000D715C">
        <w:t>h</w:t>
      </w:r>
      <w:r w:rsidR="00B92F08">
        <w:t>)</w:t>
      </w:r>
      <w:r w:rsidR="000D715C" w:rsidRPr="000D715C">
        <w:t xml:space="preserve"> and II.4 ask about any difficulties the Parties have </w:t>
      </w:r>
      <w:r w:rsidR="00E956C3" w:rsidRPr="000D715C">
        <w:t>e</w:t>
      </w:r>
      <w:r w:rsidR="00E956C3">
        <w:t>ncounter</w:t>
      </w:r>
      <w:r w:rsidR="00E956C3" w:rsidRPr="000D715C">
        <w:t xml:space="preserve">ed </w:t>
      </w:r>
      <w:r w:rsidR="000D715C" w:rsidRPr="000D715C">
        <w:t xml:space="preserve">during public participation </w:t>
      </w:r>
      <w:r w:rsidR="000D715C" w:rsidRPr="009B6631">
        <w:rPr>
          <w:color w:val="000000" w:themeColor="text1"/>
        </w:rPr>
        <w:t xml:space="preserve">procedures (under </w:t>
      </w:r>
      <w:hyperlink r:id="rId16" w:anchor="article3" w:history="1">
        <w:r w:rsidR="000D715C" w:rsidRPr="009B6631">
          <w:rPr>
            <w:rStyle w:val="Hyperlink"/>
            <w:color w:val="000000" w:themeColor="text1"/>
          </w:rPr>
          <w:t>art</w:t>
        </w:r>
        <w:r w:rsidR="00DF2441">
          <w:rPr>
            <w:rStyle w:val="Hyperlink"/>
            <w:color w:val="000000" w:themeColor="text1"/>
          </w:rPr>
          <w:t>s.</w:t>
        </w:r>
        <w:r w:rsidR="000D715C" w:rsidRPr="009B6631">
          <w:rPr>
            <w:rStyle w:val="Hyperlink"/>
            <w:color w:val="000000" w:themeColor="text1"/>
          </w:rPr>
          <w:t xml:space="preserve"> 3</w:t>
        </w:r>
      </w:hyperlink>
      <w:r w:rsidR="00DF2441">
        <w:rPr>
          <w:rStyle w:val="Hyperlink"/>
          <w:color w:val="000000" w:themeColor="text1"/>
        </w:rPr>
        <w:t xml:space="preserve"> </w:t>
      </w:r>
      <w:r w:rsidR="000D715C" w:rsidRPr="009B6631">
        <w:rPr>
          <w:color w:val="000000" w:themeColor="text1"/>
        </w:rPr>
        <w:t xml:space="preserve">(8) and </w:t>
      </w:r>
      <w:hyperlink r:id="rId17" w:anchor="article4" w:history="1">
        <w:r w:rsidR="000D715C" w:rsidRPr="009B6631">
          <w:rPr>
            <w:rStyle w:val="Hyperlink"/>
            <w:color w:val="000000" w:themeColor="text1"/>
          </w:rPr>
          <w:t>4</w:t>
        </w:r>
      </w:hyperlink>
      <w:r w:rsidR="00DF2441">
        <w:rPr>
          <w:rStyle w:val="Hyperlink"/>
          <w:color w:val="000000" w:themeColor="text1"/>
        </w:rPr>
        <w:t xml:space="preserve"> </w:t>
      </w:r>
      <w:r w:rsidR="000D715C" w:rsidRPr="009B6631">
        <w:rPr>
          <w:color w:val="000000" w:themeColor="text1"/>
        </w:rPr>
        <w:t xml:space="preserve">(2)) and consultations under </w:t>
      </w:r>
      <w:r w:rsidR="000D715C" w:rsidRPr="009B6631">
        <w:rPr>
          <w:rStyle w:val="Hyperlink"/>
          <w:color w:val="000000" w:themeColor="text1"/>
        </w:rPr>
        <w:t>article 5</w:t>
      </w:r>
      <w:r w:rsidR="000D715C" w:rsidRPr="009B6631">
        <w:rPr>
          <w:color w:val="000000" w:themeColor="text1"/>
        </w:rPr>
        <w:t xml:space="preserve">.  The questions emphasize difficulties pertaining to timing, language and the need for additional information. Question </w:t>
      </w:r>
      <w:r w:rsidR="000D715C" w:rsidRPr="000D715C">
        <w:t>II.3</w:t>
      </w:r>
      <w:r w:rsidR="00E956C3">
        <w:t xml:space="preserve"> (</w:t>
      </w:r>
      <w:r w:rsidR="000D715C" w:rsidRPr="000D715C">
        <w:t>b</w:t>
      </w:r>
      <w:r w:rsidR="00E956C3">
        <w:t>)</w:t>
      </w:r>
      <w:r w:rsidR="000D715C" w:rsidRPr="000D715C">
        <w:t xml:space="preserve"> asks about difficulties experienced in relation to translation and interpretation. Due to the overlap between these questions, they are discussed collectively in this subsection.</w:t>
      </w:r>
    </w:p>
    <w:p w14:paraId="62883629" w14:textId="35B96A2B" w:rsidR="000D715C" w:rsidRPr="000D715C" w:rsidRDefault="007866F3" w:rsidP="000D715C">
      <w:pPr>
        <w:pStyle w:val="SingleTxtG"/>
      </w:pPr>
      <w:r w:rsidRPr="000D715C">
        <w:lastRenderedPageBreak/>
        <w:t>5</w:t>
      </w:r>
      <w:r>
        <w:t>1</w:t>
      </w:r>
      <w:r w:rsidR="000D715C" w:rsidRPr="000D715C">
        <w:t>.</w:t>
      </w:r>
      <w:r w:rsidR="000D715C" w:rsidRPr="000D715C">
        <w:tab/>
        <w:t xml:space="preserve">Most Parties have not experienced serious difficulties with either public participation procedures or consultations under article 5, but some note that differences between the procedural and methodological practices in the Party of origin and </w:t>
      </w:r>
      <w:r w:rsidR="00C51A40">
        <w:t xml:space="preserve">the </w:t>
      </w:r>
      <w:r w:rsidR="000D715C" w:rsidRPr="000D715C">
        <w:t xml:space="preserve">affected Party can create problems. Poland states, among other things, that the legal status of consultation responses can differ under the domestic legislation of the concerned Parties, which may lead to divergent expectations about </w:t>
      </w:r>
      <w:r w:rsidR="004F6174">
        <w:t>how</w:t>
      </w:r>
      <w:r w:rsidR="000D715C" w:rsidRPr="000D715C">
        <w:t xml:space="preserve"> responses should be handled. Pronounced differences in how landscape is analy</w:t>
      </w:r>
      <w:r w:rsidR="00DF2441">
        <w:t>s</w:t>
      </w:r>
      <w:r w:rsidR="000D715C" w:rsidRPr="000D715C">
        <w:t xml:space="preserve">ed in different national contexts have been observed by Denmark and </w:t>
      </w:r>
      <w:r w:rsidR="00CD7B92">
        <w:t>Denmark</w:t>
      </w:r>
      <w:r w:rsidR="00CD7B92" w:rsidRPr="000D715C">
        <w:t xml:space="preserve"> </w:t>
      </w:r>
      <w:r w:rsidR="000D715C" w:rsidRPr="000D715C">
        <w:t>state</w:t>
      </w:r>
      <w:r w:rsidR="00CD7B92">
        <w:t>s</w:t>
      </w:r>
      <w:r w:rsidR="000D715C" w:rsidRPr="000D715C">
        <w:t xml:space="preserve"> </w:t>
      </w:r>
      <w:r w:rsidR="004F6174">
        <w:t xml:space="preserve">that, at times, </w:t>
      </w:r>
      <w:r w:rsidR="000D715C" w:rsidRPr="000D715C">
        <w:t xml:space="preserve">this has made it difficult for the Danish public to comprehend and accept as legitimate </w:t>
      </w:r>
      <w:r w:rsidR="004F6174">
        <w:t>other countries’</w:t>
      </w:r>
      <w:r w:rsidR="004F6174" w:rsidRPr="000D715C">
        <w:t xml:space="preserve"> </w:t>
      </w:r>
      <w:r w:rsidR="000D715C" w:rsidRPr="000D715C">
        <w:t>practices. Differences in calculation methods and the absence of equivalent, or even comparable, limit values (</w:t>
      </w:r>
      <w:r w:rsidR="003B5485">
        <w:t>for example,</w:t>
      </w:r>
      <w:r w:rsidR="000D715C" w:rsidRPr="000D715C">
        <w:t xml:space="preserve"> for noise) in the Party of origin have also created public consternation in Denmark. Portugal reports that it has increased cooperation with Spain, under a bilateral agreement, to address different interpretations of procedures and appropriate approaches. </w:t>
      </w:r>
      <w:r w:rsidR="00391C58">
        <w:t>Biannual</w:t>
      </w:r>
      <w:r w:rsidR="00A059BD">
        <w:t xml:space="preserve"> </w:t>
      </w:r>
      <w:r w:rsidR="000D715C" w:rsidRPr="000D715C">
        <w:t>bilateral meetings are now held.</w:t>
      </w:r>
    </w:p>
    <w:p w14:paraId="1E92BA1C" w14:textId="48EAAF05" w:rsidR="000D715C" w:rsidRPr="000D715C" w:rsidRDefault="007866F3" w:rsidP="000D715C">
      <w:pPr>
        <w:pStyle w:val="SingleTxtG"/>
      </w:pPr>
      <w:r w:rsidRPr="000D715C">
        <w:t>5</w:t>
      </w:r>
      <w:r>
        <w:t>2</w:t>
      </w:r>
      <w:r w:rsidR="000D715C" w:rsidRPr="000D715C">
        <w:t>.</w:t>
      </w:r>
      <w:r w:rsidR="000D715C" w:rsidRPr="000D715C">
        <w:tab/>
        <w:t xml:space="preserve">A number of Parties comment upon the challenging nature of consultation deadlines when dealing with complex and lengthy documentation. Short consultation deadlines can make it difficult for individuals in the affected Party to submit considered responses within the mandated time limit. Several Parties note that translating consultation responses received in a foreign language and responding to individual submissions when they are the Party of origin is both costly and time-consuming, particularly given that the number of consultation responses can be very substantial in some instances. </w:t>
      </w:r>
    </w:p>
    <w:p w14:paraId="7DFA7745" w14:textId="145261D7" w:rsidR="000D715C" w:rsidRPr="000D715C" w:rsidRDefault="007866F3" w:rsidP="000D715C">
      <w:pPr>
        <w:pStyle w:val="SingleTxtG"/>
      </w:pPr>
      <w:r w:rsidRPr="000D715C">
        <w:t>5</w:t>
      </w:r>
      <w:r>
        <w:t>3</w:t>
      </w:r>
      <w:r w:rsidR="000D715C" w:rsidRPr="000D715C">
        <w:t>.</w:t>
      </w:r>
      <w:r w:rsidR="000D715C" w:rsidRPr="000D715C">
        <w:tab/>
        <w:t>The Parties report a number of difficulties with translation (question II</w:t>
      </w:r>
      <w:r w:rsidR="00FD51D2">
        <w:t>.</w:t>
      </w:r>
      <w:r w:rsidR="000D715C" w:rsidRPr="000D715C">
        <w:t>3</w:t>
      </w:r>
      <w:r w:rsidR="00FD51D2">
        <w:t xml:space="preserve"> (</w:t>
      </w:r>
      <w:r w:rsidR="000D715C" w:rsidRPr="000D715C">
        <w:t>b</w:t>
      </w:r>
      <w:r w:rsidR="00FD51D2">
        <w:t>)</w:t>
      </w:r>
      <w:r w:rsidR="000D715C" w:rsidRPr="000D715C">
        <w:t xml:space="preserve">). These problems include having to request </w:t>
      </w:r>
      <w:r w:rsidR="0086149F">
        <w:t xml:space="preserve">translation of </w:t>
      </w:r>
      <w:r w:rsidR="000D715C" w:rsidRPr="000D715C">
        <w:t xml:space="preserve">additional documentation because inadequate information on the activity and its transboundary impacts has been provided. Furthermore, documentation is sometimes supplied in the Party of origin’s language and needs to be translated. Such occurrences were felt to be problematic in so far as the need to organize the translation of documentation limits the time available for preparing consultation responses. </w:t>
      </w:r>
    </w:p>
    <w:p w14:paraId="0CBE8DA0" w14:textId="37803D90" w:rsidR="000D715C" w:rsidRPr="000D715C" w:rsidRDefault="007866F3" w:rsidP="000D715C">
      <w:pPr>
        <w:pStyle w:val="SingleTxtG"/>
      </w:pPr>
      <w:bookmarkStart w:id="20" w:name="_Hlk18180079"/>
      <w:r w:rsidRPr="000D715C">
        <w:t>5</w:t>
      </w:r>
      <w:r>
        <w:t>4</w:t>
      </w:r>
      <w:r w:rsidR="000D715C" w:rsidRPr="000D715C">
        <w:t>.</w:t>
      </w:r>
      <w:r w:rsidR="000D715C" w:rsidRPr="000D715C">
        <w:tab/>
        <w:t xml:space="preserve">The quality of the translations, particularly of technical terms, is also felt by a number of Parties to be problematic in some instances. Some Parties assert that poor quality translation is a serious problem because it limits public understanding of the proposed activity’s impacts and thereby restricts </w:t>
      </w:r>
      <w:r w:rsidR="00C51A40">
        <w:t>public</w:t>
      </w:r>
      <w:r w:rsidR="00C51A40" w:rsidRPr="000D715C">
        <w:t xml:space="preserve"> </w:t>
      </w:r>
      <w:r w:rsidR="000D715C" w:rsidRPr="000D715C">
        <w:t xml:space="preserve">input to participatory processes and consultation exercises. It is also inherently difficult for the Party of origin to perform quality control checks on the translated documents that they send to affected Parties. </w:t>
      </w:r>
    </w:p>
    <w:p w14:paraId="054BFAD6" w14:textId="77777777" w:rsidR="000D715C" w:rsidRPr="000D715C" w:rsidRDefault="000D715C" w:rsidP="00047B60">
      <w:pPr>
        <w:pStyle w:val="H1G"/>
      </w:pPr>
      <w:bookmarkStart w:id="21" w:name="_Toc13428247"/>
      <w:bookmarkEnd w:id="20"/>
      <w:r>
        <w:tab/>
      </w:r>
      <w:r w:rsidR="00047B60">
        <w:t>C</w:t>
      </w:r>
      <w:r>
        <w:t>.</w:t>
      </w:r>
      <w:r>
        <w:tab/>
      </w:r>
      <w:r w:rsidRPr="000D715C">
        <w:t>Case studies and good practice examples</w:t>
      </w:r>
      <w:bookmarkEnd w:id="21"/>
    </w:p>
    <w:p w14:paraId="4EE290B3" w14:textId="15A9274A" w:rsidR="000D715C" w:rsidRPr="000D715C" w:rsidRDefault="007866F3" w:rsidP="000D715C">
      <w:pPr>
        <w:pStyle w:val="SingleTxtG"/>
      </w:pPr>
      <w:r w:rsidRPr="000D715C">
        <w:t>5</w:t>
      </w:r>
      <w:r>
        <w:t>5</w:t>
      </w:r>
      <w:r w:rsidR="000D715C" w:rsidRPr="000D715C">
        <w:t>.</w:t>
      </w:r>
      <w:r w:rsidR="000D715C" w:rsidRPr="000D715C">
        <w:tab/>
        <w:t xml:space="preserve">Question II.6 asks the Parties to provide </w:t>
      </w:r>
      <w:r w:rsidR="0086149F">
        <w:t xml:space="preserve">successful </w:t>
      </w:r>
      <w:r w:rsidR="000D715C" w:rsidRPr="000D715C">
        <w:t xml:space="preserve">examples of </w:t>
      </w:r>
      <w:r w:rsidR="0086149F">
        <w:t>organizing</w:t>
      </w:r>
      <w:r w:rsidR="0086149F" w:rsidRPr="000D715C">
        <w:t xml:space="preserve"> </w:t>
      </w:r>
      <w:r w:rsidR="000D715C" w:rsidRPr="000D715C">
        <w:t xml:space="preserve">transboundary </w:t>
      </w:r>
      <w:r w:rsidR="0086149F">
        <w:t xml:space="preserve">environmental impact assessment </w:t>
      </w:r>
      <w:r w:rsidR="000D715C" w:rsidRPr="000D715C">
        <w:t xml:space="preserve">procedures for joint cross-border projects or for nuclear power plants. Eleven Parties report having had successful cases, but three of these Parties do not provide further information on the cases. Some of the examples given by the remaining eight Parties are presented in </w:t>
      </w:r>
      <w:r w:rsidR="00E07C9D">
        <w:t>t</w:t>
      </w:r>
      <w:r w:rsidR="000D715C" w:rsidRPr="000D715C">
        <w:t xml:space="preserve">able </w:t>
      </w:r>
      <w:r w:rsidR="00E07C9D">
        <w:t>6 below</w:t>
      </w:r>
      <w:r w:rsidR="000D715C" w:rsidRPr="000D715C">
        <w:t xml:space="preserve">. </w:t>
      </w:r>
    </w:p>
    <w:p w14:paraId="64D5FC44" w14:textId="76EE20BF" w:rsidR="000D715C" w:rsidRPr="008B091B" w:rsidRDefault="000D715C" w:rsidP="008B091B">
      <w:pPr>
        <w:pStyle w:val="SingleTxtG"/>
        <w:jc w:val="left"/>
        <w:rPr>
          <w:b/>
          <w:bCs/>
          <w:lang w:val="en-US"/>
        </w:rPr>
      </w:pPr>
      <w:r w:rsidRPr="007C6799">
        <w:rPr>
          <w:lang w:val="en-US"/>
        </w:rPr>
        <w:t xml:space="preserve">Table </w:t>
      </w:r>
      <w:r w:rsidR="00E07C9D">
        <w:rPr>
          <w:lang w:val="en-US"/>
        </w:rPr>
        <w:t>6</w:t>
      </w:r>
      <w:r w:rsidR="00047B60">
        <w:rPr>
          <w:lang w:val="en-US"/>
        </w:rPr>
        <w:br/>
      </w:r>
      <w:r w:rsidRPr="008B091B">
        <w:rPr>
          <w:b/>
          <w:bCs/>
          <w:lang w:val="en-US"/>
        </w:rPr>
        <w:t>Selected reported case examples of successful transboundary procedures for nuclear</w:t>
      </w:r>
      <w:r w:rsidR="00E07C9D">
        <w:rPr>
          <w:b/>
          <w:bCs/>
          <w:lang w:val="en-US"/>
        </w:rPr>
        <w:t>-</w:t>
      </w:r>
      <w:r w:rsidRPr="008B091B">
        <w:rPr>
          <w:b/>
          <w:bCs/>
          <w:lang w:val="en-US"/>
        </w:rPr>
        <w:t>related activities or cross-border projects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7"/>
        <w:gridCol w:w="3023"/>
        <w:gridCol w:w="3130"/>
      </w:tblGrid>
      <w:tr w:rsidR="000D715C" w:rsidRPr="000D715C" w14:paraId="317E655E" w14:textId="77777777" w:rsidTr="000D715C">
        <w:trPr>
          <w:tblHeader/>
        </w:trPr>
        <w:tc>
          <w:tcPr>
            <w:tcW w:w="1217" w:type="dxa"/>
            <w:tcBorders>
              <w:top w:val="single" w:sz="4" w:space="0" w:color="auto"/>
              <w:bottom w:val="single" w:sz="12" w:space="0" w:color="auto"/>
            </w:tcBorders>
            <w:shd w:val="clear" w:color="auto" w:fill="auto"/>
            <w:vAlign w:val="bottom"/>
          </w:tcPr>
          <w:p w14:paraId="003BA35C" w14:textId="77777777" w:rsidR="000D715C" w:rsidRPr="000D715C" w:rsidRDefault="000D715C" w:rsidP="000D715C">
            <w:pPr>
              <w:spacing w:before="80" w:after="80" w:line="200" w:lineRule="exact"/>
              <w:ind w:right="113"/>
              <w:rPr>
                <w:i/>
                <w:sz w:val="16"/>
                <w:lang w:val="en-US"/>
              </w:rPr>
            </w:pPr>
            <w:r w:rsidRPr="000D715C">
              <w:rPr>
                <w:i/>
                <w:sz w:val="16"/>
                <w:lang w:val="en-US"/>
              </w:rPr>
              <w:t>Party</w:t>
            </w:r>
          </w:p>
        </w:tc>
        <w:tc>
          <w:tcPr>
            <w:tcW w:w="3023" w:type="dxa"/>
            <w:tcBorders>
              <w:top w:val="single" w:sz="4" w:space="0" w:color="auto"/>
              <w:bottom w:val="single" w:sz="12" w:space="0" w:color="auto"/>
            </w:tcBorders>
            <w:shd w:val="clear" w:color="auto" w:fill="auto"/>
            <w:vAlign w:val="bottom"/>
          </w:tcPr>
          <w:p w14:paraId="0AF6AE0F" w14:textId="77777777" w:rsidR="000D715C" w:rsidRPr="000D715C" w:rsidRDefault="000D715C" w:rsidP="000D715C">
            <w:pPr>
              <w:spacing w:before="80" w:after="80" w:line="200" w:lineRule="exact"/>
              <w:ind w:right="113"/>
              <w:rPr>
                <w:i/>
                <w:sz w:val="16"/>
                <w:lang w:val="en-US"/>
              </w:rPr>
            </w:pPr>
            <w:r w:rsidRPr="000D715C">
              <w:rPr>
                <w:i/>
                <w:sz w:val="16"/>
                <w:lang w:val="en-US"/>
              </w:rPr>
              <w:t>Case example</w:t>
            </w:r>
          </w:p>
        </w:tc>
        <w:tc>
          <w:tcPr>
            <w:tcW w:w="3130" w:type="dxa"/>
            <w:tcBorders>
              <w:top w:val="single" w:sz="4" w:space="0" w:color="auto"/>
              <w:bottom w:val="single" w:sz="12" w:space="0" w:color="auto"/>
            </w:tcBorders>
            <w:shd w:val="clear" w:color="auto" w:fill="auto"/>
            <w:vAlign w:val="bottom"/>
          </w:tcPr>
          <w:p w14:paraId="34801A51" w14:textId="77777777" w:rsidR="000D715C" w:rsidRPr="000D715C" w:rsidRDefault="000D715C" w:rsidP="000D715C">
            <w:pPr>
              <w:spacing w:before="80" w:after="80" w:line="200" w:lineRule="exact"/>
              <w:ind w:right="113"/>
              <w:rPr>
                <w:i/>
                <w:sz w:val="16"/>
                <w:lang w:val="en-US"/>
              </w:rPr>
            </w:pPr>
            <w:r w:rsidRPr="000D715C">
              <w:rPr>
                <w:i/>
                <w:sz w:val="16"/>
                <w:lang w:val="en-US"/>
              </w:rPr>
              <w:t>Short description (where provided)</w:t>
            </w:r>
          </w:p>
        </w:tc>
      </w:tr>
      <w:tr w:rsidR="000D715C" w:rsidRPr="000D715C" w14:paraId="567673AD" w14:textId="77777777" w:rsidTr="000D715C">
        <w:trPr>
          <w:trHeight w:hRule="exact" w:val="113"/>
        </w:trPr>
        <w:tc>
          <w:tcPr>
            <w:tcW w:w="1217" w:type="dxa"/>
            <w:tcBorders>
              <w:top w:val="single" w:sz="12" w:space="0" w:color="auto"/>
            </w:tcBorders>
            <w:shd w:val="clear" w:color="auto" w:fill="auto"/>
          </w:tcPr>
          <w:p w14:paraId="59038A78" w14:textId="77777777" w:rsidR="000D715C" w:rsidRPr="000D715C" w:rsidRDefault="000D715C" w:rsidP="000D715C">
            <w:pPr>
              <w:spacing w:before="40" w:after="120"/>
              <w:ind w:right="113"/>
              <w:rPr>
                <w:lang w:val="en-US"/>
              </w:rPr>
            </w:pPr>
          </w:p>
        </w:tc>
        <w:tc>
          <w:tcPr>
            <w:tcW w:w="3023" w:type="dxa"/>
            <w:tcBorders>
              <w:top w:val="single" w:sz="12" w:space="0" w:color="auto"/>
            </w:tcBorders>
            <w:shd w:val="clear" w:color="auto" w:fill="auto"/>
          </w:tcPr>
          <w:p w14:paraId="77E41271" w14:textId="77777777" w:rsidR="000D715C" w:rsidRPr="000D715C" w:rsidRDefault="000D715C" w:rsidP="000D715C">
            <w:pPr>
              <w:spacing w:before="40" w:after="120"/>
              <w:ind w:right="113"/>
              <w:rPr>
                <w:lang w:val="en-US"/>
              </w:rPr>
            </w:pPr>
          </w:p>
        </w:tc>
        <w:tc>
          <w:tcPr>
            <w:tcW w:w="3130" w:type="dxa"/>
            <w:tcBorders>
              <w:top w:val="single" w:sz="12" w:space="0" w:color="auto"/>
            </w:tcBorders>
            <w:shd w:val="clear" w:color="auto" w:fill="auto"/>
          </w:tcPr>
          <w:p w14:paraId="03A47057" w14:textId="77777777" w:rsidR="000D715C" w:rsidRPr="000D715C" w:rsidRDefault="000D715C" w:rsidP="000D715C">
            <w:pPr>
              <w:spacing w:before="40" w:after="120"/>
              <w:ind w:right="113"/>
              <w:rPr>
                <w:lang w:val="en-US"/>
              </w:rPr>
            </w:pPr>
          </w:p>
        </w:tc>
      </w:tr>
      <w:tr w:rsidR="000D715C" w:rsidRPr="000D715C" w14:paraId="4950D850" w14:textId="77777777" w:rsidTr="000D715C">
        <w:tc>
          <w:tcPr>
            <w:tcW w:w="1217" w:type="dxa"/>
            <w:shd w:val="clear" w:color="auto" w:fill="auto"/>
          </w:tcPr>
          <w:p w14:paraId="194084EC" w14:textId="77777777" w:rsidR="000D715C" w:rsidRPr="000D715C" w:rsidRDefault="000D715C" w:rsidP="000D715C">
            <w:pPr>
              <w:spacing w:before="40" w:after="120"/>
              <w:ind w:right="113"/>
              <w:rPr>
                <w:lang w:val="en-US"/>
              </w:rPr>
            </w:pPr>
            <w:r w:rsidRPr="000D715C">
              <w:rPr>
                <w:lang w:val="en-US"/>
              </w:rPr>
              <w:t>Austria</w:t>
            </w:r>
          </w:p>
        </w:tc>
        <w:tc>
          <w:tcPr>
            <w:tcW w:w="3023" w:type="dxa"/>
            <w:shd w:val="clear" w:color="auto" w:fill="auto"/>
          </w:tcPr>
          <w:p w14:paraId="5B3819BD" w14:textId="5F5D8FAA" w:rsidR="000D715C" w:rsidRPr="000D715C" w:rsidRDefault="000D715C" w:rsidP="000D715C">
            <w:pPr>
              <w:spacing w:before="40" w:after="120"/>
              <w:ind w:right="113"/>
              <w:rPr>
                <w:lang w:val="en-US"/>
              </w:rPr>
            </w:pPr>
            <w:r w:rsidRPr="000D715C">
              <w:rPr>
                <w:lang w:val="en-US"/>
              </w:rPr>
              <w:t>Various projects for nuclear</w:t>
            </w:r>
            <w:r w:rsidR="00E07C9D">
              <w:rPr>
                <w:lang w:val="en-US"/>
              </w:rPr>
              <w:t>-</w:t>
            </w:r>
            <w:r w:rsidRPr="000D715C">
              <w:rPr>
                <w:lang w:val="en-US"/>
              </w:rPr>
              <w:t>related activities</w:t>
            </w:r>
          </w:p>
        </w:tc>
        <w:tc>
          <w:tcPr>
            <w:tcW w:w="3130" w:type="dxa"/>
            <w:shd w:val="clear" w:color="auto" w:fill="auto"/>
          </w:tcPr>
          <w:p w14:paraId="124056DB" w14:textId="77777777" w:rsidR="000D715C" w:rsidRPr="000D715C" w:rsidRDefault="000D715C" w:rsidP="000D715C">
            <w:pPr>
              <w:spacing w:before="40" w:after="120"/>
              <w:ind w:right="113"/>
              <w:rPr>
                <w:lang w:val="en-US"/>
              </w:rPr>
            </w:pPr>
            <w:r w:rsidRPr="000D715C">
              <w:rPr>
                <w:lang w:val="en-US"/>
              </w:rPr>
              <w:t>Successful experience in organizing public hearings</w:t>
            </w:r>
          </w:p>
        </w:tc>
      </w:tr>
      <w:tr w:rsidR="000D715C" w:rsidRPr="000D715C" w14:paraId="11CB14D8" w14:textId="77777777" w:rsidTr="000D715C">
        <w:tc>
          <w:tcPr>
            <w:tcW w:w="1217" w:type="dxa"/>
            <w:shd w:val="clear" w:color="auto" w:fill="auto"/>
          </w:tcPr>
          <w:p w14:paraId="3D875D37" w14:textId="77777777" w:rsidR="000D715C" w:rsidRPr="000D715C" w:rsidRDefault="000D715C" w:rsidP="000D715C">
            <w:pPr>
              <w:spacing w:before="40" w:after="120"/>
              <w:ind w:right="113"/>
              <w:rPr>
                <w:lang w:val="en-US"/>
              </w:rPr>
            </w:pPr>
            <w:r w:rsidRPr="000D715C">
              <w:rPr>
                <w:lang w:val="en-US"/>
              </w:rPr>
              <w:t>Bulgaria</w:t>
            </w:r>
          </w:p>
        </w:tc>
        <w:tc>
          <w:tcPr>
            <w:tcW w:w="3023" w:type="dxa"/>
            <w:shd w:val="clear" w:color="auto" w:fill="auto"/>
          </w:tcPr>
          <w:p w14:paraId="0D0FCCE4" w14:textId="235D4D0B" w:rsidR="000D715C" w:rsidRPr="000D715C" w:rsidRDefault="000D715C" w:rsidP="000D715C">
            <w:pPr>
              <w:spacing w:before="40" w:after="120"/>
              <w:ind w:right="113"/>
              <w:rPr>
                <w:lang w:val="en-US"/>
              </w:rPr>
            </w:pPr>
            <w:r w:rsidRPr="000D715C">
              <w:rPr>
                <w:lang w:val="en-US"/>
              </w:rPr>
              <w:t>Various projects for nuclear</w:t>
            </w:r>
            <w:r w:rsidR="00E07C9D">
              <w:rPr>
                <w:lang w:val="en-US"/>
              </w:rPr>
              <w:t>-</w:t>
            </w:r>
            <w:r w:rsidRPr="000D715C">
              <w:rPr>
                <w:lang w:val="en-US"/>
              </w:rPr>
              <w:t>related activities</w:t>
            </w:r>
          </w:p>
        </w:tc>
        <w:tc>
          <w:tcPr>
            <w:tcW w:w="3130" w:type="dxa"/>
            <w:shd w:val="clear" w:color="auto" w:fill="auto"/>
          </w:tcPr>
          <w:p w14:paraId="32340C5D" w14:textId="77777777" w:rsidR="000D715C" w:rsidRPr="000D715C" w:rsidRDefault="000D715C" w:rsidP="000D715C">
            <w:pPr>
              <w:spacing w:before="40" w:after="120"/>
              <w:ind w:right="113"/>
              <w:rPr>
                <w:lang w:val="en-US"/>
              </w:rPr>
            </w:pPr>
            <w:r w:rsidRPr="000D715C">
              <w:rPr>
                <w:lang w:val="en-US"/>
              </w:rPr>
              <w:t>Communication between focal points</w:t>
            </w:r>
          </w:p>
        </w:tc>
      </w:tr>
      <w:tr w:rsidR="000D715C" w:rsidRPr="000D715C" w14:paraId="1A94F3AC" w14:textId="77777777" w:rsidTr="000D715C">
        <w:tc>
          <w:tcPr>
            <w:tcW w:w="1217" w:type="dxa"/>
            <w:shd w:val="clear" w:color="auto" w:fill="auto"/>
          </w:tcPr>
          <w:p w14:paraId="36EB59C4" w14:textId="77777777" w:rsidR="000D715C" w:rsidRPr="000D715C" w:rsidRDefault="000D715C" w:rsidP="000D715C">
            <w:pPr>
              <w:spacing w:before="40" w:after="120"/>
              <w:ind w:right="113"/>
              <w:rPr>
                <w:lang w:val="en-US"/>
              </w:rPr>
            </w:pPr>
            <w:r w:rsidRPr="000D715C">
              <w:rPr>
                <w:lang w:val="en-US"/>
              </w:rPr>
              <w:t>Netherlands</w:t>
            </w:r>
          </w:p>
        </w:tc>
        <w:tc>
          <w:tcPr>
            <w:tcW w:w="3023" w:type="dxa"/>
            <w:shd w:val="clear" w:color="auto" w:fill="auto"/>
          </w:tcPr>
          <w:p w14:paraId="7DDF8FFD" w14:textId="77777777" w:rsidR="000D715C" w:rsidRPr="000D715C" w:rsidRDefault="000D715C" w:rsidP="000D715C">
            <w:pPr>
              <w:spacing w:before="40" w:after="120"/>
              <w:ind w:right="113"/>
              <w:rPr>
                <w:lang w:val="en-US"/>
              </w:rPr>
            </w:pPr>
            <w:r w:rsidRPr="000D715C">
              <w:rPr>
                <w:lang w:val="en-US"/>
              </w:rPr>
              <w:t xml:space="preserve">Various projects </w:t>
            </w:r>
          </w:p>
        </w:tc>
        <w:tc>
          <w:tcPr>
            <w:tcW w:w="3130" w:type="dxa"/>
            <w:shd w:val="clear" w:color="auto" w:fill="auto"/>
          </w:tcPr>
          <w:p w14:paraId="04A3CA4F" w14:textId="444D3965" w:rsidR="000D715C" w:rsidRPr="000D715C" w:rsidRDefault="000D715C" w:rsidP="000D715C">
            <w:pPr>
              <w:spacing w:before="40" w:after="120"/>
              <w:ind w:right="113"/>
              <w:rPr>
                <w:lang w:val="en-US"/>
              </w:rPr>
            </w:pPr>
            <w:r w:rsidRPr="000D715C">
              <w:rPr>
                <w:lang w:val="en-US"/>
              </w:rPr>
              <w:t>Successful cooperation under a bilateral agreement with Belgium Fl</w:t>
            </w:r>
            <w:r w:rsidR="00E07C9D">
              <w:rPr>
                <w:lang w:val="en-US"/>
              </w:rPr>
              <w:t>emish</w:t>
            </w:r>
            <w:r w:rsidRPr="000D715C">
              <w:rPr>
                <w:lang w:val="en-US"/>
              </w:rPr>
              <w:t xml:space="preserve"> Region</w:t>
            </w:r>
          </w:p>
        </w:tc>
      </w:tr>
      <w:tr w:rsidR="000D715C" w:rsidRPr="000D715C" w14:paraId="29E35B56" w14:textId="77777777" w:rsidTr="000D715C">
        <w:tc>
          <w:tcPr>
            <w:tcW w:w="1217" w:type="dxa"/>
            <w:shd w:val="clear" w:color="auto" w:fill="auto"/>
          </w:tcPr>
          <w:p w14:paraId="5F54BF16" w14:textId="77777777" w:rsidR="000D715C" w:rsidRPr="000D715C" w:rsidRDefault="000D715C" w:rsidP="000D715C">
            <w:pPr>
              <w:spacing w:before="40" w:after="120"/>
              <w:ind w:right="113"/>
              <w:rPr>
                <w:lang w:val="en-US"/>
              </w:rPr>
            </w:pPr>
            <w:r w:rsidRPr="000D715C">
              <w:rPr>
                <w:lang w:val="en-US"/>
              </w:rPr>
              <w:lastRenderedPageBreak/>
              <w:t>Poland</w:t>
            </w:r>
          </w:p>
        </w:tc>
        <w:tc>
          <w:tcPr>
            <w:tcW w:w="3023" w:type="dxa"/>
            <w:shd w:val="clear" w:color="auto" w:fill="auto"/>
          </w:tcPr>
          <w:p w14:paraId="51339245" w14:textId="77777777" w:rsidR="000D715C" w:rsidRPr="000D715C" w:rsidRDefault="000D715C" w:rsidP="000D715C">
            <w:pPr>
              <w:spacing w:before="40" w:after="120"/>
              <w:ind w:right="113"/>
              <w:rPr>
                <w:lang w:val="en-US"/>
              </w:rPr>
            </w:pPr>
            <w:r w:rsidRPr="000D715C">
              <w:rPr>
                <w:lang w:val="en-US"/>
              </w:rPr>
              <w:t xml:space="preserve">Planned nuclear power station </w:t>
            </w:r>
          </w:p>
        </w:tc>
        <w:tc>
          <w:tcPr>
            <w:tcW w:w="3130" w:type="dxa"/>
            <w:shd w:val="clear" w:color="auto" w:fill="auto"/>
          </w:tcPr>
          <w:p w14:paraId="427F54C2" w14:textId="77777777" w:rsidR="000D715C" w:rsidRPr="000D715C" w:rsidRDefault="000D715C" w:rsidP="000D715C">
            <w:pPr>
              <w:spacing w:before="40" w:after="120"/>
              <w:ind w:right="113"/>
              <w:rPr>
                <w:lang w:val="en-US"/>
              </w:rPr>
            </w:pPr>
            <w:r w:rsidRPr="000D715C">
              <w:rPr>
                <w:lang w:val="en-US"/>
              </w:rPr>
              <w:t>Case emphasizes the importance of early involvement of affected parties</w:t>
            </w:r>
          </w:p>
        </w:tc>
      </w:tr>
      <w:tr w:rsidR="000D715C" w:rsidRPr="000D715C" w14:paraId="5FE80882" w14:textId="77777777" w:rsidTr="000D715C">
        <w:tc>
          <w:tcPr>
            <w:tcW w:w="1217" w:type="dxa"/>
            <w:shd w:val="clear" w:color="auto" w:fill="auto"/>
          </w:tcPr>
          <w:p w14:paraId="1233C950" w14:textId="77777777" w:rsidR="000D715C" w:rsidRPr="000D715C" w:rsidRDefault="000D715C" w:rsidP="000D715C">
            <w:pPr>
              <w:spacing w:before="40" w:after="120"/>
              <w:ind w:right="113"/>
              <w:rPr>
                <w:lang w:val="en-US"/>
              </w:rPr>
            </w:pPr>
            <w:r w:rsidRPr="000D715C">
              <w:rPr>
                <w:lang w:val="en-US"/>
              </w:rPr>
              <w:t>Sweden</w:t>
            </w:r>
          </w:p>
        </w:tc>
        <w:tc>
          <w:tcPr>
            <w:tcW w:w="3023" w:type="dxa"/>
            <w:shd w:val="clear" w:color="auto" w:fill="auto"/>
          </w:tcPr>
          <w:p w14:paraId="67BEB815" w14:textId="77777777" w:rsidR="000D715C" w:rsidRPr="000D715C" w:rsidRDefault="000D715C" w:rsidP="000D715C">
            <w:pPr>
              <w:spacing w:before="40" w:after="120"/>
              <w:ind w:right="113"/>
              <w:rPr>
                <w:lang w:val="en-US"/>
              </w:rPr>
            </w:pPr>
            <w:r w:rsidRPr="000D715C">
              <w:rPr>
                <w:lang w:val="en-US"/>
              </w:rPr>
              <w:t>Nord Stream 2</w:t>
            </w:r>
          </w:p>
        </w:tc>
        <w:tc>
          <w:tcPr>
            <w:tcW w:w="3130" w:type="dxa"/>
            <w:shd w:val="clear" w:color="auto" w:fill="auto"/>
          </w:tcPr>
          <w:p w14:paraId="1AA8FC69" w14:textId="77777777" w:rsidR="000D715C" w:rsidRPr="000D715C" w:rsidRDefault="000D715C" w:rsidP="000D715C">
            <w:pPr>
              <w:spacing w:before="40" w:after="120"/>
              <w:ind w:right="113"/>
              <w:rPr>
                <w:lang w:val="en-US"/>
              </w:rPr>
            </w:pPr>
            <w:r w:rsidRPr="000D715C">
              <w:rPr>
                <w:lang w:val="en-US"/>
              </w:rPr>
              <w:t>Successful cooperation</w:t>
            </w:r>
            <w:r w:rsidRPr="000D715C">
              <w:t xml:space="preserve"> </w:t>
            </w:r>
            <w:r w:rsidRPr="000D715C">
              <w:rPr>
                <w:lang w:val="en-US"/>
              </w:rPr>
              <w:t>regarding common provisions, timing, translations, other practical arrangements.</w:t>
            </w:r>
          </w:p>
        </w:tc>
      </w:tr>
      <w:tr w:rsidR="000D715C" w:rsidRPr="000D715C" w14:paraId="626667F9" w14:textId="77777777" w:rsidTr="000D715C">
        <w:tc>
          <w:tcPr>
            <w:tcW w:w="1217" w:type="dxa"/>
            <w:tcBorders>
              <w:bottom w:val="single" w:sz="12" w:space="0" w:color="auto"/>
            </w:tcBorders>
            <w:shd w:val="clear" w:color="auto" w:fill="auto"/>
          </w:tcPr>
          <w:p w14:paraId="639B3E30" w14:textId="77777777" w:rsidR="000D715C" w:rsidRPr="000D715C" w:rsidRDefault="000D715C" w:rsidP="000D715C">
            <w:pPr>
              <w:spacing w:before="40" w:after="120"/>
              <w:ind w:right="113"/>
              <w:rPr>
                <w:lang w:val="en-US"/>
              </w:rPr>
            </w:pPr>
            <w:r w:rsidRPr="000D715C">
              <w:rPr>
                <w:lang w:val="en-US"/>
              </w:rPr>
              <w:t>United Kingdom</w:t>
            </w:r>
          </w:p>
        </w:tc>
        <w:tc>
          <w:tcPr>
            <w:tcW w:w="3023" w:type="dxa"/>
            <w:tcBorders>
              <w:bottom w:val="single" w:sz="12" w:space="0" w:color="auto"/>
            </w:tcBorders>
            <w:shd w:val="clear" w:color="auto" w:fill="auto"/>
          </w:tcPr>
          <w:p w14:paraId="55ADA4E8" w14:textId="77777777" w:rsidR="000D715C" w:rsidRPr="000D715C" w:rsidRDefault="000D715C" w:rsidP="000D715C">
            <w:pPr>
              <w:spacing w:before="40" w:after="120"/>
              <w:ind w:right="113"/>
              <w:rPr>
                <w:lang w:val="en-US"/>
              </w:rPr>
            </w:pPr>
            <w:r w:rsidRPr="000D715C">
              <w:rPr>
                <w:rFonts w:eastAsiaTheme="minorHAnsi"/>
                <w:bCs/>
                <w:lang w:val="en-US"/>
              </w:rPr>
              <w:t>Offshore wind projects</w:t>
            </w:r>
          </w:p>
        </w:tc>
        <w:tc>
          <w:tcPr>
            <w:tcW w:w="3130" w:type="dxa"/>
            <w:tcBorders>
              <w:bottom w:val="single" w:sz="12" w:space="0" w:color="auto"/>
            </w:tcBorders>
            <w:shd w:val="clear" w:color="auto" w:fill="auto"/>
          </w:tcPr>
          <w:p w14:paraId="019C4096" w14:textId="77777777" w:rsidR="000D715C" w:rsidRPr="000D715C" w:rsidRDefault="000D715C" w:rsidP="000D715C">
            <w:pPr>
              <w:spacing w:before="40" w:after="120"/>
              <w:ind w:right="113"/>
              <w:rPr>
                <w:lang w:val="en-US"/>
              </w:rPr>
            </w:pPr>
            <w:r w:rsidRPr="000D715C">
              <w:rPr>
                <w:lang w:val="en-US"/>
              </w:rPr>
              <w:t>Benefits of transboundary process</w:t>
            </w:r>
          </w:p>
        </w:tc>
      </w:tr>
    </w:tbl>
    <w:p w14:paraId="0DAF9F1E" w14:textId="5ECED406" w:rsidR="000D715C" w:rsidRPr="000D715C" w:rsidRDefault="007866F3" w:rsidP="000D715C">
      <w:pPr>
        <w:pStyle w:val="SingleTxtG"/>
        <w:spacing w:before="120"/>
      </w:pPr>
      <w:r w:rsidRPr="000D715C">
        <w:t>5</w:t>
      </w:r>
      <w:r>
        <w:t>6</w:t>
      </w:r>
      <w:r w:rsidR="000D715C" w:rsidRPr="000D715C">
        <w:t>.</w:t>
      </w:r>
      <w:r w:rsidR="000D715C" w:rsidRPr="000D715C">
        <w:tab/>
        <w:t xml:space="preserve">Ten Parties report experiences during the survey period that they believe constitute good practice (question II.7). Their examples will be listed on the Convention website. Some examples are generic: </w:t>
      </w:r>
      <w:r w:rsidR="003B5485">
        <w:t>for example,</w:t>
      </w:r>
      <w:r w:rsidR="000D715C" w:rsidRPr="000D715C">
        <w:t xml:space="preserve"> Canada comments on the value of establishing ad-hoc working groups for each activity, while Estonia reports on its practices concerning translation. Other examples relate to individual projects (</w:t>
      </w:r>
      <w:r w:rsidR="003B5485">
        <w:t>for example,</w:t>
      </w:r>
      <w:r w:rsidR="000D715C" w:rsidRPr="000D715C">
        <w:t xml:space="preserve"> Belarus, Czechia and Romania). Three Parties (Belarus, Bulgaria and Poland</w:t>
      </w:r>
      <w:r w:rsidR="000D715C" w:rsidRPr="00391C58">
        <w:t xml:space="preserve">) are willing to prepare a case study based on their good practice examples (question II.8). </w:t>
      </w:r>
      <w:r w:rsidR="000D715C" w:rsidRPr="00A059BD">
        <w:t>Austria</w:t>
      </w:r>
      <w:r w:rsidR="00391C58" w:rsidRPr="00391C58">
        <w:t xml:space="preserve"> is</w:t>
      </w:r>
      <w:r w:rsidR="000D715C" w:rsidRPr="000D715C">
        <w:t xml:space="preserve"> currently unable to complete a case study but envisage</w:t>
      </w:r>
      <w:r w:rsidR="00ED1757">
        <w:t>s</w:t>
      </w:r>
      <w:r w:rsidR="000D715C" w:rsidRPr="000D715C">
        <w:t xml:space="preserve"> doing so in the future.</w:t>
      </w:r>
    </w:p>
    <w:p w14:paraId="2577F0CE" w14:textId="3FA8C6DE" w:rsidR="000D715C" w:rsidRPr="000D715C" w:rsidRDefault="000D715C" w:rsidP="008B091B">
      <w:pPr>
        <w:pStyle w:val="H1G"/>
      </w:pPr>
      <w:bookmarkStart w:id="22" w:name="_Toc13428248"/>
      <w:r>
        <w:tab/>
      </w:r>
      <w:r w:rsidR="008B091B">
        <w:t>D</w:t>
      </w:r>
      <w:r>
        <w:t>.</w:t>
      </w:r>
      <w:r>
        <w:tab/>
      </w:r>
      <w:r w:rsidRPr="000D715C">
        <w:t>Post</w:t>
      </w:r>
      <w:r w:rsidR="00ED1757">
        <w:t>-</w:t>
      </w:r>
      <w:r w:rsidRPr="000D715C">
        <w:t>project analyses</w:t>
      </w:r>
      <w:bookmarkEnd w:id="22"/>
    </w:p>
    <w:p w14:paraId="055DDD71" w14:textId="4629A080" w:rsidR="000D715C" w:rsidRPr="000D715C" w:rsidRDefault="007866F3" w:rsidP="000D715C">
      <w:pPr>
        <w:pStyle w:val="SingleTxtG"/>
      </w:pPr>
      <w:r w:rsidRPr="000D715C">
        <w:t>5</w:t>
      </w:r>
      <w:r>
        <w:t>7</w:t>
      </w:r>
      <w:r w:rsidR="000D715C" w:rsidRPr="000D715C">
        <w:t>.</w:t>
      </w:r>
      <w:r w:rsidR="000D715C" w:rsidRPr="000D715C">
        <w:tab/>
        <w:t>A small number of Parties report that post</w:t>
      </w:r>
      <w:r w:rsidR="00ED1757">
        <w:t>-</w:t>
      </w:r>
      <w:r w:rsidR="000D715C" w:rsidRPr="000D715C">
        <w:t xml:space="preserve">project analyses have been undertaken during the review period. Two Parties state </w:t>
      </w:r>
      <w:r w:rsidR="00ED1757">
        <w:t xml:space="preserve">that </w:t>
      </w:r>
      <w:r w:rsidR="000D715C" w:rsidRPr="000D715C">
        <w:t>post</w:t>
      </w:r>
      <w:r w:rsidR="00ED1757">
        <w:t>-</w:t>
      </w:r>
      <w:r w:rsidR="000D715C" w:rsidRPr="000D715C">
        <w:t xml:space="preserve">project monitoring took place either </w:t>
      </w:r>
      <w:r w:rsidR="00ED1757">
        <w:t xml:space="preserve">for </w:t>
      </w:r>
      <w:r w:rsidR="000D715C" w:rsidRPr="000D715C">
        <w:t xml:space="preserve">all activities (Slovakia) or in relation to particular specifications contained in authorization permits (Belgium Federal Government). Two cases are reported by Ukraine: one for a sand quarry (in Belarus) and one for the </w:t>
      </w:r>
      <w:proofErr w:type="spellStart"/>
      <w:r w:rsidR="000D715C" w:rsidRPr="000D715C">
        <w:t>Shatski</w:t>
      </w:r>
      <w:proofErr w:type="spellEnd"/>
      <w:r w:rsidR="000D715C" w:rsidRPr="000D715C">
        <w:t xml:space="preserve"> </w:t>
      </w:r>
      <w:r w:rsidR="00ED1757">
        <w:t>L</w:t>
      </w:r>
      <w:r w:rsidR="000D715C" w:rsidRPr="000D715C">
        <w:t>akes (no additional details provided). In relation to the sand quarry, Belarus reports that it provides Ukraine annually with the results of surface water and groundwater monitoring. Most of the other post</w:t>
      </w:r>
      <w:r w:rsidR="00ED1757">
        <w:t>-</w:t>
      </w:r>
      <w:r w:rsidR="000D715C" w:rsidRPr="000D715C">
        <w:t>project analysis activities that the Parties report pertain to activities related to the operation of nuclear power plants (</w:t>
      </w:r>
      <w:r w:rsidR="003B5485">
        <w:t>for example,</w:t>
      </w:r>
      <w:r w:rsidR="000D715C" w:rsidRPr="000D715C">
        <w:t xml:space="preserve"> spent fuel storage). </w:t>
      </w:r>
    </w:p>
    <w:p w14:paraId="7D04D9EA" w14:textId="77777777" w:rsidR="000D715C" w:rsidRPr="000D715C" w:rsidRDefault="000D715C" w:rsidP="008B091B">
      <w:pPr>
        <w:pStyle w:val="H1G"/>
      </w:pPr>
      <w:bookmarkStart w:id="23" w:name="_Toc13428249"/>
      <w:r>
        <w:tab/>
      </w:r>
      <w:r w:rsidR="008B091B">
        <w:t>E</w:t>
      </w:r>
      <w:r>
        <w:tab/>
      </w:r>
      <w:r w:rsidRPr="000D715C">
        <w:t>Experience in using guidance</w:t>
      </w:r>
      <w:bookmarkEnd w:id="23"/>
    </w:p>
    <w:p w14:paraId="3E28EA1B" w14:textId="0BF5ECEA" w:rsidR="000D715C" w:rsidRDefault="007866F3" w:rsidP="000D715C">
      <w:pPr>
        <w:pStyle w:val="SingleTxtG"/>
      </w:pPr>
      <w:r>
        <w:t>58</w:t>
      </w:r>
      <w:r w:rsidR="000D715C" w:rsidRPr="000D715C">
        <w:t>.</w:t>
      </w:r>
      <w:r w:rsidR="000D715C" w:rsidRPr="000D715C">
        <w:tab/>
        <w:t xml:space="preserve">The use of official ECE guidance documents during the review period is illustrated in </w:t>
      </w:r>
      <w:r w:rsidR="00D26E4B">
        <w:t>f</w:t>
      </w:r>
      <w:r w:rsidR="000D715C" w:rsidRPr="000D715C">
        <w:t xml:space="preserve">igure </w:t>
      </w:r>
      <w:r w:rsidR="00D26E4B">
        <w:t>VI below.</w:t>
      </w:r>
      <w:r w:rsidR="000D715C" w:rsidRPr="000D715C">
        <w:t xml:space="preserve"> The data indicate that a substantial proportion of the Parties have not used ECE guidance documents during this period. In the </w:t>
      </w:r>
      <w:r w:rsidR="00D26E4B">
        <w:t>f</w:t>
      </w:r>
      <w:r w:rsidR="000D715C" w:rsidRPr="000D715C">
        <w:t xml:space="preserve">ifth </w:t>
      </w:r>
      <w:r w:rsidR="006A7037">
        <w:t>r</w:t>
      </w:r>
      <w:r w:rsidR="006A7037" w:rsidRPr="000D715C">
        <w:t xml:space="preserve">eview </w:t>
      </w:r>
      <w:r w:rsidR="000D715C" w:rsidRPr="000D715C">
        <w:t xml:space="preserve">of </w:t>
      </w:r>
      <w:r w:rsidR="006A7037">
        <w:t>i</w:t>
      </w:r>
      <w:r w:rsidR="006A7037" w:rsidRPr="000D715C">
        <w:t xml:space="preserve">mplementation </w:t>
      </w:r>
      <w:r w:rsidR="000D715C" w:rsidRPr="000D715C">
        <w:t>(ECE/MP.EIA/2017/9</w:t>
      </w:r>
      <w:r w:rsidR="00D26E4B">
        <w:t>, para. 79</w:t>
      </w:r>
      <w:r w:rsidR="000D715C" w:rsidRPr="000D715C">
        <w:t>), just over 50</w:t>
      </w:r>
      <w:r w:rsidR="00DF2441">
        <w:t xml:space="preserve"> per cent</w:t>
      </w:r>
      <w:r w:rsidR="000D715C" w:rsidRPr="000D715C">
        <w:t xml:space="preserve"> of Parties reported having used the </w:t>
      </w:r>
      <w:r w:rsidR="00D26E4B" w:rsidRPr="001C6D30">
        <w:rPr>
          <w:i/>
          <w:iCs/>
        </w:rPr>
        <w:t>G</w:t>
      </w:r>
      <w:r w:rsidR="000D715C" w:rsidRPr="001C6D30">
        <w:rPr>
          <w:i/>
          <w:iCs/>
        </w:rPr>
        <w:t xml:space="preserve">uidance on </w:t>
      </w:r>
      <w:r w:rsidR="00D26E4B" w:rsidRPr="001C6D30">
        <w:rPr>
          <w:i/>
          <w:iCs/>
        </w:rPr>
        <w:t>Public P</w:t>
      </w:r>
      <w:r w:rsidR="000D715C" w:rsidRPr="001C6D30">
        <w:rPr>
          <w:i/>
          <w:iCs/>
        </w:rPr>
        <w:t>articipation</w:t>
      </w:r>
      <w:r w:rsidR="00D26E4B" w:rsidRPr="001C6D30">
        <w:rPr>
          <w:i/>
          <w:iCs/>
        </w:rPr>
        <w:t xml:space="preserve"> in Environmental Impact Assessment in a Transboundary Context</w:t>
      </w:r>
      <w:r w:rsidR="00D26E4B" w:rsidRPr="001C6D30">
        <w:rPr>
          <w:rStyle w:val="FootnoteReference"/>
        </w:rPr>
        <w:footnoteReference w:id="8"/>
      </w:r>
      <w:r w:rsidR="000D715C" w:rsidRPr="000D715C">
        <w:t xml:space="preserve"> and just under 50</w:t>
      </w:r>
      <w:r w:rsidR="00DF2441">
        <w:t xml:space="preserve"> per cent</w:t>
      </w:r>
      <w:r w:rsidR="000D715C" w:rsidRPr="000D715C">
        <w:t xml:space="preserve"> had used the </w:t>
      </w:r>
      <w:r w:rsidR="000F0A76" w:rsidRPr="001C6D30">
        <w:rPr>
          <w:i/>
          <w:iCs/>
        </w:rPr>
        <w:t>G</w:t>
      </w:r>
      <w:r w:rsidR="000D715C" w:rsidRPr="001C6D30">
        <w:rPr>
          <w:i/>
          <w:iCs/>
        </w:rPr>
        <w:t xml:space="preserve">uidance on </w:t>
      </w:r>
      <w:r w:rsidR="000F0A76" w:rsidRPr="001C6D30">
        <w:rPr>
          <w:i/>
          <w:iCs/>
        </w:rPr>
        <w:t>the P</w:t>
      </w:r>
      <w:r w:rsidR="000D715C" w:rsidRPr="001C6D30">
        <w:rPr>
          <w:i/>
          <w:iCs/>
        </w:rPr>
        <w:t xml:space="preserve">ractical </w:t>
      </w:r>
      <w:r w:rsidR="000F0A76" w:rsidRPr="001C6D30">
        <w:rPr>
          <w:i/>
          <w:iCs/>
        </w:rPr>
        <w:t>A</w:t>
      </w:r>
      <w:r w:rsidR="000D715C" w:rsidRPr="001C6D30">
        <w:rPr>
          <w:i/>
          <w:iCs/>
        </w:rPr>
        <w:t xml:space="preserve">pplication </w:t>
      </w:r>
      <w:r w:rsidR="000F0A76" w:rsidRPr="001C6D30">
        <w:rPr>
          <w:i/>
          <w:iCs/>
        </w:rPr>
        <w:t>of the Espoo Convention</w:t>
      </w:r>
      <w:r w:rsidR="000D715C" w:rsidRPr="000D715C">
        <w:t>.</w:t>
      </w:r>
      <w:r w:rsidR="000F0A76">
        <w:rPr>
          <w:rStyle w:val="FootnoteReference"/>
        </w:rPr>
        <w:footnoteReference w:id="9"/>
      </w:r>
      <w:r w:rsidR="000D715C" w:rsidRPr="000D715C">
        <w:t xml:space="preserve"> The apparent reduction in use of the</w:t>
      </w:r>
      <w:r w:rsidR="00D64AB8">
        <w:t>se documents</w:t>
      </w:r>
      <w:r w:rsidR="000D715C" w:rsidRPr="000D715C">
        <w:t xml:space="preserve"> could reflect a growing familiarity with the</w:t>
      </w:r>
      <w:r w:rsidR="00D64AB8">
        <w:t>ir</w:t>
      </w:r>
      <w:r w:rsidR="000D715C" w:rsidRPr="000D715C">
        <w:t xml:space="preserve"> content</w:t>
      </w:r>
      <w:r w:rsidR="00D64AB8">
        <w:t>s</w:t>
      </w:r>
      <w:r w:rsidR="000D715C" w:rsidRPr="000D715C">
        <w:t xml:space="preserve"> and with the Convention’s practical operation. One Party (Finland) notes that the guidance documents are dated (</w:t>
      </w:r>
      <w:r w:rsidR="003C5884">
        <w:t xml:space="preserve">the two above-mentioned guidance publications were published in 2006 and Guidance on </w:t>
      </w:r>
      <w:proofErr w:type="spellStart"/>
      <w:r w:rsidR="003C5884">
        <w:t>subregional</w:t>
      </w:r>
      <w:proofErr w:type="spellEnd"/>
      <w:r w:rsidR="003C5884">
        <w:t xml:space="preserve"> cooperation (</w:t>
      </w:r>
      <w:r w:rsidR="003C5884" w:rsidRPr="003C5884">
        <w:t>ECE/MP.EIA/6</w:t>
      </w:r>
      <w:r w:rsidR="003C5884">
        <w:t xml:space="preserve">, annex V, decision III/5, appendix) was </w:t>
      </w:r>
      <w:r w:rsidR="000D715C" w:rsidRPr="000D715C">
        <w:t>published in 2004</w:t>
      </w:r>
      <w:r w:rsidR="003C5884">
        <w:t xml:space="preserve">) </w:t>
      </w:r>
      <w:r w:rsidR="000D715C" w:rsidRPr="000D715C">
        <w:t xml:space="preserve">and hence are no longer used unless </w:t>
      </w:r>
      <w:r w:rsidR="003C5884">
        <w:t>Finland</w:t>
      </w:r>
      <w:r w:rsidR="000D715C" w:rsidRPr="000D715C">
        <w:t xml:space="preserve"> encounter</w:t>
      </w:r>
      <w:r w:rsidR="003C5884">
        <w:t>s</w:t>
      </w:r>
      <w:r w:rsidR="000D715C" w:rsidRPr="000D715C">
        <w:t xml:space="preserve"> new implementation challenges. </w:t>
      </w:r>
      <w:r w:rsidR="003C5884">
        <w:t>Finland</w:t>
      </w:r>
      <w:r w:rsidR="000D715C" w:rsidRPr="000D715C">
        <w:t xml:space="preserve"> suggest</w:t>
      </w:r>
      <w:r w:rsidR="003C5884">
        <w:t>s</w:t>
      </w:r>
      <w:r w:rsidR="000D715C" w:rsidRPr="000D715C">
        <w:t xml:space="preserve"> that a review </w:t>
      </w:r>
      <w:r w:rsidR="003C5884">
        <w:t>be</w:t>
      </w:r>
      <w:r w:rsidR="000D715C" w:rsidRPr="000D715C">
        <w:t xml:space="preserve"> conducted to ascertain </w:t>
      </w:r>
      <w:r w:rsidR="003C5884">
        <w:t>whether there is a</w:t>
      </w:r>
      <w:r w:rsidR="000D715C" w:rsidRPr="000D715C">
        <w:t xml:space="preserve"> need for the guidance documents to be updated. </w:t>
      </w:r>
    </w:p>
    <w:p w14:paraId="01F9E0D8" w14:textId="6A3376E3" w:rsidR="007B34A0" w:rsidRDefault="007B34A0" w:rsidP="000D715C">
      <w:pPr>
        <w:pStyle w:val="SingleTxtG"/>
      </w:pPr>
    </w:p>
    <w:p w14:paraId="5364DA0D" w14:textId="5F0E11AB" w:rsidR="007B34A0" w:rsidRDefault="007B34A0" w:rsidP="000D715C">
      <w:pPr>
        <w:pStyle w:val="SingleTxtG"/>
      </w:pPr>
    </w:p>
    <w:p w14:paraId="39C8AB02" w14:textId="6255360E" w:rsidR="007B34A0" w:rsidRDefault="007B34A0" w:rsidP="000D715C">
      <w:pPr>
        <w:pStyle w:val="SingleTxtG"/>
      </w:pPr>
    </w:p>
    <w:p w14:paraId="7A07981D" w14:textId="1063995C" w:rsidR="007B34A0" w:rsidRDefault="007B34A0" w:rsidP="000D715C">
      <w:pPr>
        <w:pStyle w:val="SingleTxtG"/>
      </w:pPr>
    </w:p>
    <w:p w14:paraId="42A9F0A4" w14:textId="3A4D81EC" w:rsidR="000D715C" w:rsidRDefault="000D715C" w:rsidP="008B091B">
      <w:pPr>
        <w:pStyle w:val="SingleTxtG"/>
        <w:jc w:val="left"/>
        <w:rPr>
          <w:b/>
          <w:bCs/>
          <w:lang w:val="en-US"/>
        </w:rPr>
      </w:pPr>
      <w:r w:rsidRPr="002B472A">
        <w:rPr>
          <w:bCs/>
          <w:lang w:val="en-US"/>
        </w:rPr>
        <w:t xml:space="preserve">Figure </w:t>
      </w:r>
      <w:r w:rsidR="00D26E4B">
        <w:rPr>
          <w:bCs/>
          <w:lang w:val="en-US"/>
        </w:rPr>
        <w:t>VI</w:t>
      </w:r>
      <w:r w:rsidR="008B091B">
        <w:rPr>
          <w:bCs/>
          <w:lang w:val="en-US"/>
        </w:rPr>
        <w:br/>
      </w:r>
      <w:r w:rsidRPr="008B091B">
        <w:rPr>
          <w:b/>
          <w:bCs/>
          <w:lang w:val="en-US"/>
        </w:rPr>
        <w:t>Use of official guidance documents</w:t>
      </w:r>
    </w:p>
    <w:p w14:paraId="0C818D76" w14:textId="77777777" w:rsidR="008B091B" w:rsidRDefault="008B091B" w:rsidP="008B091B">
      <w:pPr>
        <w:pStyle w:val="SingleTxtG"/>
        <w:jc w:val="left"/>
        <w:rPr>
          <w:lang w:val="en-US"/>
        </w:rPr>
      </w:pPr>
      <w:r>
        <w:rPr>
          <w:noProof/>
          <w:lang w:val="en-US" w:eastAsia="zh-CN"/>
        </w:rPr>
        <w:drawing>
          <wp:inline distT="0" distB="0" distL="0" distR="0" wp14:anchorId="5B2924E2" wp14:editId="6510D962">
            <wp:extent cx="4711700" cy="2942705"/>
            <wp:effectExtent l="0" t="0" r="12700" b="10160"/>
            <wp:docPr id="9" name="Chart 9">
              <a:extLst xmlns:a="http://schemas.openxmlformats.org/drawingml/2006/main">
                <a:ext uri="{FF2B5EF4-FFF2-40B4-BE49-F238E27FC236}">
                  <a16:creationId xmlns:a16="http://schemas.microsoft.com/office/drawing/2014/main" id="{1DF871B5-843A-9645-929A-CBC10EE7F5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1C9F16" w14:textId="77777777" w:rsidR="000D715C" w:rsidRDefault="000D715C" w:rsidP="000D715C">
      <w:pPr>
        <w:jc w:val="center"/>
        <w:rPr>
          <w:rFonts w:ascii="Times" w:hAnsi="Times"/>
          <w:lang w:val="en-US"/>
        </w:rPr>
      </w:pPr>
      <w:r w:rsidRPr="00770548">
        <w:rPr>
          <w:noProof/>
        </w:rPr>
        <w:t xml:space="preserve"> </w:t>
      </w:r>
    </w:p>
    <w:p w14:paraId="22100A2D" w14:textId="04A44C77" w:rsidR="000D715C" w:rsidRPr="000D715C" w:rsidRDefault="007866F3" w:rsidP="000D715C">
      <w:pPr>
        <w:pStyle w:val="SingleTxtG"/>
      </w:pPr>
      <w:r>
        <w:t>59</w:t>
      </w:r>
      <w:r w:rsidR="000D715C" w:rsidRPr="000D715C">
        <w:t>.</w:t>
      </w:r>
      <w:r w:rsidR="000D715C" w:rsidRPr="000D715C">
        <w:tab/>
      </w:r>
      <w:r w:rsidR="000D715C" w:rsidRPr="00E14C1B">
        <w:t>Few Parties provide information on, or differentiate between, the reasons wh</w:t>
      </w:r>
      <w:r w:rsidR="00AC6731" w:rsidRPr="00E14C1B">
        <w:t>y</w:t>
      </w:r>
      <w:r w:rsidR="000D715C" w:rsidRPr="00E14C1B">
        <w:t xml:space="preserve"> they use guidance, their experiences with the guidance, or the ways in which it could be improved. Several Parties mention that one or more of the guidance documents </w:t>
      </w:r>
      <w:r w:rsidR="00217460" w:rsidRPr="00E14C1B">
        <w:t>has been</w:t>
      </w:r>
      <w:r w:rsidR="000D715C" w:rsidRPr="00E14C1B">
        <w:t xml:space="preserve"> valuable and provides appropriate support on implementation matters</w:t>
      </w:r>
      <w:r w:rsidR="000D715C" w:rsidRPr="000D715C">
        <w:t>, and that they refer to it when issues</w:t>
      </w:r>
      <w:r w:rsidR="00217460">
        <w:t xml:space="preserve"> about which</w:t>
      </w:r>
      <w:r w:rsidR="000D715C" w:rsidRPr="000D715C">
        <w:t xml:space="preserve"> they are uncertain arise. The Netherlands has used the </w:t>
      </w:r>
      <w:r w:rsidR="00217460" w:rsidRPr="001C6D30">
        <w:rPr>
          <w:i/>
          <w:iCs/>
        </w:rPr>
        <w:t>Guidance on Public Participation in Environmental Impact Assessment in a Transboundary Context</w:t>
      </w:r>
      <w:r w:rsidR="000D715C" w:rsidRPr="000D715C">
        <w:t xml:space="preserve"> in developing bilateral agreements.</w:t>
      </w:r>
    </w:p>
    <w:p w14:paraId="5C632B80" w14:textId="77777777" w:rsidR="000D715C" w:rsidRPr="000D715C" w:rsidRDefault="000D715C" w:rsidP="008B091B">
      <w:pPr>
        <w:pStyle w:val="H1G"/>
      </w:pPr>
      <w:bookmarkStart w:id="24" w:name="_Toc13428250"/>
      <w:r>
        <w:tab/>
      </w:r>
      <w:r w:rsidR="008B091B">
        <w:t>F.</w:t>
      </w:r>
      <w:r>
        <w:tab/>
      </w:r>
      <w:r w:rsidRPr="000D715C">
        <w:t>Difficulties in implementing the Convention</w:t>
      </w:r>
      <w:bookmarkEnd w:id="24"/>
    </w:p>
    <w:p w14:paraId="6388AE75" w14:textId="15E95145" w:rsidR="000D715C" w:rsidRPr="000D715C" w:rsidRDefault="007866F3" w:rsidP="000D715C">
      <w:pPr>
        <w:pStyle w:val="SingleTxtG"/>
      </w:pPr>
      <w:r w:rsidRPr="000D715C">
        <w:t>6</w:t>
      </w:r>
      <w:r>
        <w:t>0</w:t>
      </w:r>
      <w:r w:rsidR="000D715C" w:rsidRPr="000D715C">
        <w:t>.</w:t>
      </w:r>
      <w:r w:rsidR="000D715C" w:rsidRPr="000D715C">
        <w:tab/>
        <w:t>Six Parties report specific difficulties in implementing the Convention (Austria, Czechia, Montenegro, Poland, Switzerland</w:t>
      </w:r>
      <w:r w:rsidR="00DF2441">
        <w:t xml:space="preserve"> and</w:t>
      </w:r>
      <w:r w:rsidR="000D715C" w:rsidRPr="000D715C">
        <w:t xml:space="preserve"> Ukraine) that result from a lack of clarity in the legal provisions (question II.11). Most of the issues they address have been extensively covered </w:t>
      </w:r>
      <w:r w:rsidR="00B12B91">
        <w:t>in the preceding paragraphs of the present report</w:t>
      </w:r>
      <w:r w:rsidR="000D715C" w:rsidRPr="000D715C">
        <w:t xml:space="preserve"> and are also addressed in </w:t>
      </w:r>
      <w:r w:rsidR="00B12B91">
        <w:t>section IV below</w:t>
      </w:r>
      <w:r w:rsidR="000D715C" w:rsidRPr="000D715C">
        <w:t xml:space="preserve">. Consequently, only a short summary of the reported difficulties is presented below: </w:t>
      </w:r>
    </w:p>
    <w:p w14:paraId="0D9999FF" w14:textId="79D67C7E" w:rsidR="000D715C" w:rsidRPr="000D715C" w:rsidRDefault="000D715C" w:rsidP="00514F24">
      <w:pPr>
        <w:pStyle w:val="SingleTxtG"/>
        <w:ind w:firstLine="567"/>
      </w:pPr>
      <w:r w:rsidRPr="000D715C">
        <w:t>(a)</w:t>
      </w:r>
      <w:r w:rsidRPr="000D715C">
        <w:tab/>
        <w:t xml:space="preserve">Difficulties in identifying which decision constitutes the </w:t>
      </w:r>
      <w:r w:rsidR="00670773">
        <w:t>“</w:t>
      </w:r>
      <w:r w:rsidRPr="000D715C">
        <w:t>final decision</w:t>
      </w:r>
      <w:r w:rsidR="00670773">
        <w:t>”</w:t>
      </w:r>
      <w:r w:rsidRPr="000D715C">
        <w:t>, because multiple decisions may be involved in permitting and licensing systems;</w:t>
      </w:r>
    </w:p>
    <w:p w14:paraId="58B576CB" w14:textId="77777777" w:rsidR="000D715C" w:rsidRPr="000D715C" w:rsidRDefault="000D715C" w:rsidP="00514F24">
      <w:pPr>
        <w:pStyle w:val="SingleTxtG"/>
        <w:ind w:firstLine="567"/>
      </w:pPr>
      <w:r w:rsidRPr="000D715C">
        <w:t>(b)</w:t>
      </w:r>
      <w:r w:rsidRPr="000D715C">
        <w:tab/>
        <w:t>Difficulties in determining whether or not an activity, and in particular a modification to an existing activity, fell under the provisions of the Convention;</w:t>
      </w:r>
    </w:p>
    <w:p w14:paraId="449B3B90" w14:textId="77777777" w:rsidR="000D715C" w:rsidRPr="000D715C" w:rsidRDefault="000D715C" w:rsidP="00514F24">
      <w:pPr>
        <w:pStyle w:val="SingleTxtG"/>
        <w:ind w:firstLine="567"/>
      </w:pPr>
      <w:r w:rsidRPr="000D715C">
        <w:t>(c)</w:t>
      </w:r>
      <w:r w:rsidRPr="000D715C">
        <w:tab/>
        <w:t>A lack of clarity over time frames for carrying out public participation and consultation;</w:t>
      </w:r>
    </w:p>
    <w:p w14:paraId="1248D9C8" w14:textId="41AF2488" w:rsidR="000D715C" w:rsidRPr="000D715C" w:rsidRDefault="000D715C" w:rsidP="00514F24">
      <w:pPr>
        <w:pStyle w:val="SingleTxtG"/>
        <w:ind w:firstLine="567"/>
      </w:pPr>
      <w:r w:rsidRPr="000D715C">
        <w:t>(d)</w:t>
      </w:r>
      <w:r w:rsidRPr="000D715C">
        <w:tab/>
        <w:t>A lack of information on opportunities for the affected Party to participate in the procedure to determine the content of the environmental impact assessment documentation</w:t>
      </w:r>
      <w:r w:rsidR="00246840">
        <w:t>;</w:t>
      </w:r>
    </w:p>
    <w:p w14:paraId="0FD798AA" w14:textId="771946DA" w:rsidR="000D715C" w:rsidRPr="000D715C" w:rsidRDefault="000D715C" w:rsidP="00514F24">
      <w:pPr>
        <w:pStyle w:val="SingleTxtG"/>
        <w:ind w:firstLine="567"/>
      </w:pPr>
      <w:r w:rsidRPr="000D715C">
        <w:t>(e)</w:t>
      </w:r>
      <w:r w:rsidRPr="000D715C">
        <w:tab/>
      </w:r>
      <w:bookmarkStart w:id="25" w:name="_Hlk18244230"/>
      <w:r w:rsidRPr="000D715C">
        <w:t xml:space="preserve">A lack of clarity over whether transboundary impacts should be </w:t>
      </w:r>
      <w:r w:rsidR="009C3461">
        <w:t xml:space="preserve">identified based on </w:t>
      </w:r>
      <w:r w:rsidRPr="000D715C">
        <w:t>the Party of origin’s or the affected Party’s legislation</w:t>
      </w:r>
      <w:bookmarkEnd w:id="25"/>
      <w:r w:rsidRPr="000D715C">
        <w:t>;</w:t>
      </w:r>
    </w:p>
    <w:p w14:paraId="5D085E6A" w14:textId="77777777" w:rsidR="000D715C" w:rsidRPr="000D715C" w:rsidRDefault="000D715C" w:rsidP="00514F24">
      <w:pPr>
        <w:pStyle w:val="SingleTxtG"/>
        <w:ind w:firstLine="567"/>
      </w:pPr>
      <w:r w:rsidRPr="000D715C">
        <w:t>(f)</w:t>
      </w:r>
      <w:r w:rsidRPr="000D715C">
        <w:tab/>
        <w:t xml:space="preserve">Uncertainty over, and a lack of specification of, provisions for translation. </w:t>
      </w:r>
    </w:p>
    <w:p w14:paraId="251AEC3D" w14:textId="5EE8FD13" w:rsidR="000D715C" w:rsidRPr="000D715C" w:rsidRDefault="007866F3" w:rsidP="000D715C">
      <w:pPr>
        <w:pStyle w:val="SingleTxtG"/>
      </w:pPr>
      <w:r>
        <w:t>61</w:t>
      </w:r>
      <w:r w:rsidR="00514F24">
        <w:t>.</w:t>
      </w:r>
      <w:r w:rsidR="00514F24">
        <w:tab/>
      </w:r>
      <w:r w:rsidR="000D715C" w:rsidRPr="000D715C">
        <w:t xml:space="preserve">Belarus did not report any implementation difficulties, but it proposes measures to improve implementation in the future. </w:t>
      </w:r>
      <w:r w:rsidR="00246840">
        <w:t>Belarus</w:t>
      </w:r>
      <w:r w:rsidR="000D715C" w:rsidRPr="000D715C">
        <w:t xml:space="preserve"> argue</w:t>
      </w:r>
      <w:r w:rsidR="00246840">
        <w:t>s</w:t>
      </w:r>
      <w:r w:rsidR="000D715C" w:rsidRPr="000D715C">
        <w:t xml:space="preserve"> for guidance on public participation </w:t>
      </w:r>
      <w:r w:rsidR="000D715C" w:rsidRPr="000D715C">
        <w:lastRenderedPageBreak/>
        <w:t>during post</w:t>
      </w:r>
      <w:r w:rsidR="00246840">
        <w:t>-</w:t>
      </w:r>
      <w:r w:rsidR="000D715C" w:rsidRPr="000D715C">
        <w:t>project analysis and on interpreting the requirement to consider reasonable alternatives when selecting alternative sites/locations.</w:t>
      </w:r>
    </w:p>
    <w:p w14:paraId="14E5B0F0" w14:textId="3FD2AC6C" w:rsidR="000D715C" w:rsidRPr="00514F24" w:rsidRDefault="00514F24" w:rsidP="00514F24">
      <w:pPr>
        <w:pStyle w:val="HChG"/>
      </w:pPr>
      <w:bookmarkStart w:id="26" w:name="_Toc13428252"/>
      <w:r>
        <w:tab/>
      </w:r>
      <w:r w:rsidR="00FA482A">
        <w:t>I</w:t>
      </w:r>
      <w:r>
        <w:t>V.</w:t>
      </w:r>
      <w:r>
        <w:tab/>
      </w:r>
      <w:r w:rsidR="000D715C" w:rsidRPr="00514F24">
        <w:t>Conclusions</w:t>
      </w:r>
      <w:bookmarkEnd w:id="26"/>
    </w:p>
    <w:p w14:paraId="56361AD5" w14:textId="67066625" w:rsidR="00A6120F" w:rsidRDefault="007866F3" w:rsidP="0094060A">
      <w:pPr>
        <w:pStyle w:val="SingleTxtG"/>
      </w:pPr>
      <w:r w:rsidRPr="000D715C">
        <w:t>6</w:t>
      </w:r>
      <w:r>
        <w:t>2</w:t>
      </w:r>
      <w:r w:rsidR="000D715C" w:rsidRPr="000D715C">
        <w:t>.</w:t>
      </w:r>
      <w:r w:rsidR="000D715C" w:rsidRPr="000D715C">
        <w:tab/>
      </w:r>
      <w:r w:rsidR="0094060A" w:rsidRPr="0094060A">
        <w:t xml:space="preserve">An analysis of the national reports </w:t>
      </w:r>
      <w:r w:rsidR="0094060A">
        <w:t xml:space="preserve">on the Parties’ implementation of the Convention in the period 2015 to 2018 </w:t>
      </w:r>
      <w:r w:rsidR="00580715">
        <w:t>confirm</w:t>
      </w:r>
      <w:r w:rsidR="008619D9">
        <w:t>s</w:t>
      </w:r>
      <w:r w:rsidR="00580715">
        <w:t xml:space="preserve"> a</w:t>
      </w:r>
      <w:r w:rsidR="00A6120F">
        <w:t xml:space="preserve">ll </w:t>
      </w:r>
      <w:r w:rsidR="00580715">
        <w:t>o</w:t>
      </w:r>
      <w:r w:rsidR="00A6120F">
        <w:t xml:space="preserve">f the conclusions reached in the </w:t>
      </w:r>
      <w:r w:rsidR="008619D9">
        <w:t>f</w:t>
      </w:r>
      <w:r w:rsidR="00A6120F">
        <w:t xml:space="preserve">ifth </w:t>
      </w:r>
      <w:r w:rsidR="006A7037">
        <w:t>r</w:t>
      </w:r>
      <w:r w:rsidR="00A6120F">
        <w:t xml:space="preserve">eview of </w:t>
      </w:r>
      <w:r w:rsidR="006A7037">
        <w:t>i</w:t>
      </w:r>
      <w:r w:rsidR="00A6120F">
        <w:t xml:space="preserve">mplementation </w:t>
      </w:r>
      <w:r w:rsidR="00580715" w:rsidRPr="00580715">
        <w:t>(see ECE/MP.EIA/2</w:t>
      </w:r>
      <w:r w:rsidR="008619D9">
        <w:t>017/9</w:t>
      </w:r>
      <w:r w:rsidR="00580715" w:rsidRPr="00580715">
        <w:t>, para</w:t>
      </w:r>
      <w:r w:rsidR="00DF2441">
        <w:t>.</w:t>
      </w:r>
      <w:r w:rsidR="00580715" w:rsidRPr="00580715">
        <w:t xml:space="preserve"> 9)</w:t>
      </w:r>
      <w:r w:rsidR="00580715">
        <w:t xml:space="preserve"> and many of the conclusions of the </w:t>
      </w:r>
      <w:r w:rsidR="008619D9">
        <w:t>f</w:t>
      </w:r>
      <w:r w:rsidR="00580715">
        <w:t>o</w:t>
      </w:r>
      <w:r w:rsidR="008619D9">
        <w:t>u</w:t>
      </w:r>
      <w:r w:rsidR="00580715">
        <w:t xml:space="preserve">rth </w:t>
      </w:r>
      <w:r w:rsidR="006A7037">
        <w:t>r</w:t>
      </w:r>
      <w:r w:rsidR="00580715">
        <w:t xml:space="preserve">eview of </w:t>
      </w:r>
      <w:r w:rsidR="006A7037">
        <w:t>i</w:t>
      </w:r>
      <w:r w:rsidR="00580715">
        <w:t xml:space="preserve">mplementation </w:t>
      </w:r>
      <w:r w:rsidR="0094060A">
        <w:t xml:space="preserve">(see </w:t>
      </w:r>
      <w:r w:rsidR="0094060A" w:rsidRPr="0094060A">
        <w:t>ECE/MP.EIA/2014/3</w:t>
      </w:r>
      <w:r w:rsidR="0094060A">
        <w:t>, para</w:t>
      </w:r>
      <w:r w:rsidR="00DF2441">
        <w:t>.</w:t>
      </w:r>
      <w:r w:rsidR="0094060A">
        <w:t xml:space="preserve"> 7</w:t>
      </w:r>
      <w:r w:rsidR="00DF2441">
        <w:t xml:space="preserve"> </w:t>
      </w:r>
      <w:r w:rsidR="0094060A">
        <w:t>(a)</w:t>
      </w:r>
      <w:r w:rsidR="00DF2441">
        <w:t xml:space="preserve"> and</w:t>
      </w:r>
      <w:r w:rsidR="0094060A">
        <w:t xml:space="preserve"> (c)</w:t>
      </w:r>
      <w:r w:rsidR="00DF2441">
        <w:t>–</w:t>
      </w:r>
      <w:r w:rsidR="0094060A">
        <w:t xml:space="preserve">(f)). It also </w:t>
      </w:r>
      <w:r w:rsidR="00580715">
        <w:t>provide</w:t>
      </w:r>
      <w:r w:rsidR="0094060A">
        <w:t>s</w:t>
      </w:r>
      <w:r w:rsidR="00580715">
        <w:t xml:space="preserve"> further details on </w:t>
      </w:r>
      <w:r w:rsidR="0094060A">
        <w:t xml:space="preserve">possible weaknesses or shortcomings in the Convention’s implementation by Parties </w:t>
      </w:r>
      <w:r w:rsidR="00580715">
        <w:t>as follows:</w:t>
      </w:r>
    </w:p>
    <w:p w14:paraId="74B053C4" w14:textId="4D616222" w:rsidR="00A6120F" w:rsidRDefault="00A6120F" w:rsidP="00A059BD">
      <w:pPr>
        <w:pStyle w:val="SingleTxtG"/>
        <w:ind w:firstLine="567"/>
      </w:pPr>
      <w:r>
        <w:t>(a)</w:t>
      </w:r>
      <w:r>
        <w:tab/>
        <w:t>Parties’ definitions of and approach</w:t>
      </w:r>
      <w:r w:rsidR="00B12B91">
        <w:t>es</w:t>
      </w:r>
      <w:r>
        <w:t xml:space="preserve"> to key terms in the Convention, such as “impact”, “transboundary impact”</w:t>
      </w:r>
      <w:r w:rsidR="00B12B91">
        <w:t xml:space="preserve"> and</w:t>
      </w:r>
      <w:r>
        <w:t xml:space="preserve"> “major change”</w:t>
      </w:r>
      <w:r w:rsidR="00B12B91">
        <w:t>,</w:t>
      </w:r>
      <w:r>
        <w:t xml:space="preserve"> differ, with a few Parties not defining some of these terms in their national legislation. This may lead to potential problems, particularly if the consequence is a lack of clarity about which proposed activities fall within the scope of the Convention (</w:t>
      </w:r>
      <w:r w:rsidRPr="00D53BD9">
        <w:t>arts</w:t>
      </w:r>
      <w:r w:rsidR="00DF2441" w:rsidRPr="00D53BD9">
        <w:t>.</w:t>
      </w:r>
      <w:r w:rsidRPr="00D53BD9">
        <w:t xml:space="preserve"> 1 and 6);</w:t>
      </w:r>
    </w:p>
    <w:p w14:paraId="2B8A76BF" w14:textId="196B4D19" w:rsidR="00A6120F" w:rsidRDefault="00A6120F" w:rsidP="00A059BD">
      <w:pPr>
        <w:pStyle w:val="SingleTxtG"/>
        <w:ind w:firstLine="567"/>
      </w:pPr>
      <w:r>
        <w:t>(b)</w:t>
      </w:r>
      <w:r>
        <w:tab/>
        <w:t>Slightly more than 50</w:t>
      </w:r>
      <w:r w:rsidR="00DF2441">
        <w:t xml:space="preserve"> per cent</w:t>
      </w:r>
      <w:r>
        <w:t xml:space="preserve"> of the Parties have made obligatory provisions for transboundary consultation with the authorities of affected Parties according to article 5, with nine Parties having no provisions </w:t>
      </w:r>
      <w:r w:rsidR="00B12B91">
        <w:t>in this regard</w:t>
      </w:r>
      <w:r>
        <w:t xml:space="preserve"> in their domestic legislation;</w:t>
      </w:r>
    </w:p>
    <w:p w14:paraId="79FA50A1" w14:textId="6DF635E8" w:rsidR="00A6120F" w:rsidRDefault="00A6120F" w:rsidP="00A059BD">
      <w:pPr>
        <w:pStyle w:val="SingleTxtG"/>
        <w:ind w:firstLine="567"/>
      </w:pPr>
      <w:r>
        <w:t>(c)</w:t>
      </w:r>
      <w:r>
        <w:tab/>
        <w:t xml:space="preserve">Only a minority of Parties have an express provision in their legislation on how to ensure application of article 6 </w:t>
      </w:r>
      <w:r w:rsidR="00ED1757">
        <w:t>(</w:t>
      </w:r>
      <w:r>
        <w:t>3</w:t>
      </w:r>
      <w:r w:rsidR="00ED1757">
        <w:t>)</w:t>
      </w:r>
      <w:r>
        <w:t xml:space="preserve">, which requires </w:t>
      </w:r>
      <w:r w:rsidR="00D973A5">
        <w:t xml:space="preserve">that </w:t>
      </w:r>
      <w:r>
        <w:t xml:space="preserve">concerned Parties be updated on </w:t>
      </w:r>
      <w:r w:rsidR="00D973A5">
        <w:t xml:space="preserve">additional </w:t>
      </w:r>
      <w:r>
        <w:t>information that may trigger consultations and a new decision before work on an activity commence</w:t>
      </w:r>
      <w:r w:rsidR="00D973A5">
        <w:t>s</w:t>
      </w:r>
      <w:r>
        <w:t>;</w:t>
      </w:r>
    </w:p>
    <w:p w14:paraId="12F42920" w14:textId="77777777" w:rsidR="00A6120F" w:rsidRDefault="00A6120F" w:rsidP="00A059BD">
      <w:pPr>
        <w:pStyle w:val="SingleTxtG"/>
        <w:ind w:firstLine="567"/>
      </w:pPr>
      <w:r>
        <w:t>(d)</w:t>
      </w:r>
      <w:r>
        <w:tab/>
        <w:t>There is only rudimentary experience in carrying out post-project analysis under article 7, with eleven Parties having no express provisions implementing this article in their legislation;</w:t>
      </w:r>
    </w:p>
    <w:p w14:paraId="3BDA752F" w14:textId="197F0869" w:rsidR="00A6120F" w:rsidRDefault="00A6120F" w:rsidP="00A059BD">
      <w:pPr>
        <w:pStyle w:val="SingleTxtG"/>
        <w:ind w:firstLine="567"/>
      </w:pPr>
      <w:r>
        <w:t>(e)</w:t>
      </w:r>
      <w:r>
        <w:tab/>
        <w:t>Differing practices exist in relation to the translation of documentation for affected Parties. A number of difficulties and concerns are raised by the Parties about such practices, in particular concerning the quality of translations and proper integration of translation into time schedules for consultations and public participation;</w:t>
      </w:r>
    </w:p>
    <w:p w14:paraId="7850A65B" w14:textId="0B1BD8C4" w:rsidR="00A6120F" w:rsidRDefault="00307387" w:rsidP="00A059BD">
      <w:pPr>
        <w:pStyle w:val="SingleTxtG"/>
        <w:ind w:firstLine="567"/>
      </w:pPr>
      <w:r>
        <w:t xml:space="preserve"> </w:t>
      </w:r>
      <w:r w:rsidR="00A6120F">
        <w:t>(</w:t>
      </w:r>
      <w:r>
        <w:t>f</w:t>
      </w:r>
      <w:r w:rsidR="00A6120F">
        <w:t>)</w:t>
      </w:r>
      <w:r w:rsidR="00A6120F">
        <w:tab/>
        <w:t xml:space="preserve">Guidance documents developed to help implement the Convention are being used less frequently; some Parties recommend that these documents </w:t>
      </w:r>
      <w:r w:rsidR="00FD4B89">
        <w:t>b</w:t>
      </w:r>
      <w:r w:rsidR="00A6120F">
        <w:t>e updated. The value of commissioning additional guidance also should be assessed;</w:t>
      </w:r>
    </w:p>
    <w:p w14:paraId="43664E0E" w14:textId="419A8013" w:rsidR="00A6120F" w:rsidRDefault="00A6120F" w:rsidP="00A059BD">
      <w:pPr>
        <w:pStyle w:val="SingleTxtG"/>
        <w:ind w:firstLine="567"/>
      </w:pPr>
      <w:r>
        <w:t>(</w:t>
      </w:r>
      <w:r w:rsidR="005D53F4">
        <w:t>g</w:t>
      </w:r>
      <w:r>
        <w:t xml:space="preserve">) </w:t>
      </w:r>
      <w:r>
        <w:tab/>
        <w:t>There is a need for bilateral and multilateral agreements or other arrangements under article 8, in particular to address differences between Parties’ application practices.</w:t>
      </w:r>
    </w:p>
    <w:p w14:paraId="566BAA58" w14:textId="05547895" w:rsidR="00A6120F" w:rsidRDefault="00A6120F" w:rsidP="00A059BD">
      <w:pPr>
        <w:pStyle w:val="SingleTxtG"/>
        <w:ind w:firstLine="567"/>
      </w:pPr>
      <w:r>
        <w:t>(</w:t>
      </w:r>
      <w:r w:rsidR="00307387">
        <w:t>h</w:t>
      </w:r>
      <w:r>
        <w:t>)</w:t>
      </w:r>
      <w:r>
        <w:tab/>
        <w:t>A lack of timely reporting by Parties (an obligation under article 14 bis) complicated the review.</w:t>
      </w:r>
    </w:p>
    <w:p w14:paraId="18137C2D" w14:textId="35D75285" w:rsidR="00307387" w:rsidRDefault="00307387" w:rsidP="00307387">
      <w:pPr>
        <w:ind w:left="1170" w:right="999"/>
        <w:rPr>
          <w:rFonts w:ascii="Times" w:hAnsi="Times"/>
        </w:rPr>
      </w:pPr>
      <w:r>
        <w:rPr>
          <w:rFonts w:ascii="Times" w:hAnsi="Times"/>
        </w:rPr>
        <w:t>63.</w:t>
      </w:r>
      <w:r>
        <w:rPr>
          <w:rFonts w:ascii="Times" w:hAnsi="Times"/>
        </w:rPr>
        <w:tab/>
      </w:r>
      <w:r w:rsidRPr="00B9296A">
        <w:rPr>
          <w:rFonts w:ascii="Times" w:hAnsi="Times"/>
        </w:rPr>
        <w:t xml:space="preserve">The main additional conclusions drawn from the </w:t>
      </w:r>
      <w:r>
        <w:rPr>
          <w:rFonts w:ascii="Times" w:hAnsi="Times"/>
        </w:rPr>
        <w:t>Sixth i</w:t>
      </w:r>
      <w:r w:rsidRPr="00B9296A">
        <w:rPr>
          <w:rFonts w:ascii="Times" w:hAnsi="Times"/>
        </w:rPr>
        <w:t xml:space="preserve">mplementation </w:t>
      </w:r>
      <w:r>
        <w:rPr>
          <w:rFonts w:ascii="Times" w:hAnsi="Times"/>
        </w:rPr>
        <w:t>r</w:t>
      </w:r>
      <w:r w:rsidRPr="00B9296A">
        <w:rPr>
          <w:rFonts w:ascii="Times" w:hAnsi="Times"/>
        </w:rPr>
        <w:t>eview are as follows:</w:t>
      </w:r>
      <w:r>
        <w:rPr>
          <w:rFonts w:ascii="Times" w:hAnsi="Times"/>
        </w:rPr>
        <w:t xml:space="preserve"> </w:t>
      </w:r>
    </w:p>
    <w:p w14:paraId="2085906F" w14:textId="77777777" w:rsidR="00307387" w:rsidRDefault="00307387" w:rsidP="00307387">
      <w:pPr>
        <w:ind w:left="1170" w:right="999"/>
        <w:rPr>
          <w:rFonts w:ascii="Times" w:hAnsi="Times"/>
        </w:rPr>
      </w:pPr>
    </w:p>
    <w:p w14:paraId="38F8A4CE" w14:textId="15F6462A" w:rsidR="00307387" w:rsidRDefault="00307387" w:rsidP="00307387">
      <w:pPr>
        <w:pStyle w:val="SingleTxtG"/>
        <w:ind w:firstLine="567"/>
      </w:pPr>
      <w:r>
        <w:t>(a)</w:t>
      </w:r>
      <w:r>
        <w:tab/>
        <w:t xml:space="preserve">Different quality control measures are used by the Parties to ensure the quality of environmental impact assessment documentation, with a majority of Parties </w:t>
      </w:r>
      <w:r w:rsidRPr="00307387">
        <w:t>referring only to basic measures</w:t>
      </w:r>
      <w:r>
        <w:t xml:space="preserve">. One Party places responsibility for ensuring the documentation meets the required quality standard on the applicant. </w:t>
      </w:r>
      <w:r w:rsidRPr="00307387">
        <w:t>Consideration of more elaborate tools for quality control might be recommended</w:t>
      </w:r>
      <w:r>
        <w:t>;</w:t>
      </w:r>
    </w:p>
    <w:p w14:paraId="4E01046C" w14:textId="7155D743" w:rsidR="00307387" w:rsidRDefault="00307387" w:rsidP="00307387">
      <w:pPr>
        <w:pStyle w:val="SingleTxtG"/>
        <w:ind w:firstLine="567"/>
      </w:pPr>
      <w:r>
        <w:t xml:space="preserve">(b) </w:t>
      </w:r>
      <w:r>
        <w:tab/>
        <w:t xml:space="preserve">A </w:t>
      </w:r>
      <w:r w:rsidR="00FD4B89">
        <w:t>wealth</w:t>
      </w:r>
      <w:r>
        <w:t xml:space="preserve"> of implementation practices and experiences are reported, but few Parties volunteer to share their good practice</w:t>
      </w:r>
      <w:r w:rsidR="00435765">
        <w:t>s</w:t>
      </w:r>
      <w:r>
        <w:t xml:space="preserve"> by preparing factsheets. </w:t>
      </w:r>
      <w:r w:rsidR="00FD4B89">
        <w:t>C</w:t>
      </w:r>
      <w:r w:rsidRPr="00307387">
        <w:t xml:space="preserve">onsideration might be given to the ways in which the ECE can facilitate the </w:t>
      </w:r>
      <w:r>
        <w:t>collection of such practice</w:t>
      </w:r>
      <w:r w:rsidR="00FD4B89">
        <w:t>s</w:t>
      </w:r>
      <w:r>
        <w:t xml:space="preserve"> to help </w:t>
      </w:r>
      <w:r w:rsidRPr="00307387">
        <w:t xml:space="preserve">develop material to enhance </w:t>
      </w:r>
      <w:r>
        <w:t xml:space="preserve">the Convention’s </w:t>
      </w:r>
      <w:r w:rsidRPr="00307387">
        <w:t>implementation.</w:t>
      </w:r>
    </w:p>
    <w:p w14:paraId="2AA08628" w14:textId="77777777" w:rsidR="000D715C" w:rsidRPr="00514F24" w:rsidRDefault="00514F24" w:rsidP="00514F24">
      <w:pPr>
        <w:spacing w:before="240"/>
        <w:jc w:val="center"/>
        <w:rPr>
          <w:u w:val="single"/>
        </w:rPr>
      </w:pPr>
      <w:r>
        <w:rPr>
          <w:u w:val="single"/>
        </w:rPr>
        <w:tab/>
      </w:r>
      <w:r>
        <w:rPr>
          <w:u w:val="single"/>
        </w:rPr>
        <w:tab/>
      </w:r>
      <w:r>
        <w:rPr>
          <w:u w:val="single"/>
        </w:rPr>
        <w:tab/>
      </w:r>
    </w:p>
    <w:sectPr w:rsidR="000D715C" w:rsidRPr="00514F24" w:rsidSect="003558BF">
      <w:headerReference w:type="even" r:id="rId19"/>
      <w:headerReference w:type="default" r:id="rId20"/>
      <w:footerReference w:type="even" r:id="rId21"/>
      <w:footerReference w:type="default" r:id="rId22"/>
      <w:footerReference w:type="firs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24550" w14:textId="77777777" w:rsidR="009B19CA" w:rsidRDefault="009B19CA"/>
  </w:endnote>
  <w:endnote w:type="continuationSeparator" w:id="0">
    <w:p w14:paraId="17D378B6" w14:textId="77777777" w:rsidR="009B19CA" w:rsidRDefault="009B19CA"/>
  </w:endnote>
  <w:endnote w:type="continuationNotice" w:id="1">
    <w:p w14:paraId="435A503D" w14:textId="77777777" w:rsidR="009B19CA" w:rsidRDefault="009B1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E5D6" w14:textId="6A45828A" w:rsidR="001C6D30" w:rsidRPr="003558BF" w:rsidRDefault="001C6D30" w:rsidP="003558BF">
    <w:pPr>
      <w:pStyle w:val="Footer"/>
      <w:tabs>
        <w:tab w:val="right" w:pos="9638"/>
      </w:tabs>
      <w:rPr>
        <w:sz w:val="18"/>
      </w:rPr>
    </w:pPr>
    <w:r w:rsidRPr="003558BF">
      <w:rPr>
        <w:b/>
        <w:sz w:val="18"/>
      </w:rPr>
      <w:fldChar w:fldCharType="begin"/>
    </w:r>
    <w:r w:rsidRPr="003558BF">
      <w:rPr>
        <w:b/>
        <w:sz w:val="18"/>
      </w:rPr>
      <w:instrText xml:space="preserve"> PAGE  \* MERGEFORMAT </w:instrText>
    </w:r>
    <w:r w:rsidRPr="003558BF">
      <w:rPr>
        <w:b/>
        <w:sz w:val="18"/>
      </w:rPr>
      <w:fldChar w:fldCharType="separate"/>
    </w:r>
    <w:r w:rsidR="00804BB1">
      <w:rPr>
        <w:b/>
        <w:noProof/>
        <w:sz w:val="18"/>
      </w:rPr>
      <w:t>16</w:t>
    </w:r>
    <w:r w:rsidRPr="003558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88B2" w14:textId="3210C6F2" w:rsidR="001C6D30" w:rsidRPr="003558BF" w:rsidRDefault="001C6D30" w:rsidP="003558BF">
    <w:pPr>
      <w:pStyle w:val="Footer"/>
      <w:tabs>
        <w:tab w:val="right" w:pos="9638"/>
      </w:tabs>
      <w:rPr>
        <w:b/>
        <w:sz w:val="18"/>
      </w:rPr>
    </w:pPr>
    <w:r>
      <w:tab/>
    </w:r>
    <w:r w:rsidRPr="003558BF">
      <w:rPr>
        <w:b/>
        <w:sz w:val="18"/>
      </w:rPr>
      <w:fldChar w:fldCharType="begin"/>
    </w:r>
    <w:r w:rsidRPr="003558BF">
      <w:rPr>
        <w:b/>
        <w:sz w:val="18"/>
      </w:rPr>
      <w:instrText xml:space="preserve"> PAGE  \* MERGEFORMAT </w:instrText>
    </w:r>
    <w:r w:rsidRPr="003558BF">
      <w:rPr>
        <w:b/>
        <w:sz w:val="18"/>
      </w:rPr>
      <w:fldChar w:fldCharType="separate"/>
    </w:r>
    <w:r w:rsidR="00804BB1">
      <w:rPr>
        <w:b/>
        <w:noProof/>
        <w:sz w:val="18"/>
      </w:rPr>
      <w:t>17</w:t>
    </w:r>
    <w:r w:rsidRPr="003558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4260" w14:textId="0E979178" w:rsidR="00D150D7" w:rsidRDefault="00D150D7" w:rsidP="00D150D7">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6BC1C805" wp14:editId="67DAF92C">
          <wp:simplePos x="0" y="0"/>
          <wp:positionH relativeFrom="column">
            <wp:posOffset>5304155</wp:posOffset>
          </wp:positionH>
          <wp:positionV relativeFrom="paragraph">
            <wp:posOffset>48204</wp:posOffset>
          </wp:positionV>
          <wp:extent cx="561975" cy="561975"/>
          <wp:effectExtent l="0" t="0" r="9525" b="9525"/>
          <wp:wrapNone/>
          <wp:docPr id="7" name="Picture 1" descr="https://undocs.org/m2/QRCode.ashx?DS=ECE/MP.EIA/WG.2/201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19/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6CE69635" wp14:editId="651D5D1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4DEB80" w14:textId="6EDD598E" w:rsidR="00D150D7" w:rsidRDefault="00D150D7" w:rsidP="00D150D7">
    <w:pPr>
      <w:pStyle w:val="Footer"/>
      <w:ind w:right="1134"/>
      <w:rPr>
        <w:sz w:val="20"/>
      </w:rPr>
    </w:pPr>
    <w:r>
      <w:rPr>
        <w:sz w:val="20"/>
      </w:rPr>
      <w:t>GE.19-15893(E)</w:t>
    </w:r>
  </w:p>
  <w:p w14:paraId="5F953D79" w14:textId="11D76057" w:rsidR="00D150D7" w:rsidRPr="00D150D7" w:rsidRDefault="00D150D7" w:rsidP="00D150D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6B6C" w14:textId="77777777" w:rsidR="009B19CA" w:rsidRPr="000B175B" w:rsidRDefault="009B19CA" w:rsidP="000B175B">
      <w:pPr>
        <w:tabs>
          <w:tab w:val="right" w:pos="2155"/>
        </w:tabs>
        <w:spacing w:after="80"/>
        <w:ind w:left="680"/>
        <w:rPr>
          <w:u w:val="single"/>
        </w:rPr>
      </w:pPr>
      <w:r>
        <w:rPr>
          <w:u w:val="single"/>
        </w:rPr>
        <w:tab/>
      </w:r>
    </w:p>
  </w:footnote>
  <w:footnote w:type="continuationSeparator" w:id="0">
    <w:p w14:paraId="203D4670" w14:textId="77777777" w:rsidR="009B19CA" w:rsidRPr="00FC68B7" w:rsidRDefault="009B19CA" w:rsidP="00FC68B7">
      <w:pPr>
        <w:tabs>
          <w:tab w:val="left" w:pos="2155"/>
        </w:tabs>
        <w:spacing w:after="80"/>
        <w:ind w:left="680"/>
        <w:rPr>
          <w:u w:val="single"/>
        </w:rPr>
      </w:pPr>
      <w:r>
        <w:rPr>
          <w:u w:val="single"/>
        </w:rPr>
        <w:tab/>
      </w:r>
    </w:p>
  </w:footnote>
  <w:footnote w:type="continuationNotice" w:id="1">
    <w:p w14:paraId="1C5CDA89" w14:textId="77777777" w:rsidR="009B19CA" w:rsidRDefault="009B19CA"/>
  </w:footnote>
  <w:footnote w:id="2">
    <w:p w14:paraId="588D93EA" w14:textId="1BD98ABB" w:rsidR="001C6D30" w:rsidRPr="00A22991" w:rsidRDefault="001C6D30" w:rsidP="00A22991">
      <w:pPr>
        <w:pStyle w:val="FootnoteText"/>
      </w:pPr>
      <w:r>
        <w:tab/>
      </w:r>
      <w:r w:rsidRPr="00A22991">
        <w:rPr>
          <w:rStyle w:val="FootnoteReference"/>
        </w:rPr>
        <w:footnoteRef/>
      </w:r>
      <w:r>
        <w:tab/>
      </w:r>
      <w:r w:rsidRPr="00A22991">
        <w:t xml:space="preserve">See </w:t>
      </w:r>
      <w:hyperlink r:id="rId1" w:history="1">
        <w:r w:rsidRPr="004F42CC">
          <w:rPr>
            <w:rStyle w:val="Hyperlink"/>
          </w:rPr>
          <w:t>www.unece.org/env/eia/implementation/review_implementation.html</w:t>
        </w:r>
      </w:hyperlink>
      <w:r>
        <w:t xml:space="preserve">. </w:t>
      </w:r>
    </w:p>
  </w:footnote>
  <w:footnote w:id="3">
    <w:p w14:paraId="4A70616E" w14:textId="7822FB09" w:rsidR="001C6D30" w:rsidRPr="00A22991" w:rsidRDefault="001C6D30" w:rsidP="00A22991">
      <w:pPr>
        <w:pStyle w:val="FootnoteText"/>
      </w:pPr>
      <w:r>
        <w:tab/>
      </w:r>
      <w:r w:rsidRPr="00A22991">
        <w:rPr>
          <w:rStyle w:val="FootnoteReference"/>
        </w:rPr>
        <w:footnoteRef/>
      </w:r>
      <w:r w:rsidRPr="00A22991">
        <w:tab/>
        <w:t>Directive 2011/92/EU</w:t>
      </w:r>
      <w:r>
        <w:t xml:space="preserve"> of the European Parliament and of the Council of 13 December 2011 on the assessment of the effects of certain public and private projects on the environment</w:t>
      </w:r>
      <w:r w:rsidRPr="00A22991">
        <w:t>,</w:t>
      </w:r>
      <w:r>
        <w:t xml:space="preserve"> </w:t>
      </w:r>
      <w:r w:rsidRPr="006A0B78">
        <w:rPr>
          <w:i/>
          <w:iCs/>
        </w:rPr>
        <w:t>Official Journal of the European Union</w:t>
      </w:r>
      <w:r>
        <w:t>,</w:t>
      </w:r>
      <w:r w:rsidRPr="00A22991">
        <w:t xml:space="preserve"> </w:t>
      </w:r>
      <w:r>
        <w:t xml:space="preserve">L 26 (2012), pp. 1–21 (as amended by </w:t>
      </w:r>
      <w:r w:rsidRPr="009055F3">
        <w:t>Directive 2014/52/EU of the European Parliament and of the Council of 16 April 2014</w:t>
      </w:r>
      <w:r>
        <w:t xml:space="preserve">, </w:t>
      </w:r>
      <w:r w:rsidRPr="006A0B78">
        <w:rPr>
          <w:i/>
          <w:iCs/>
        </w:rPr>
        <w:t>Official Journal of the European Union</w:t>
      </w:r>
      <w:r>
        <w:t>, L 124 (2014),</w:t>
      </w:r>
      <w:r w:rsidRPr="009055F3">
        <w:t xml:space="preserve"> </w:t>
      </w:r>
      <w:r>
        <w:t>pp. 1–18).</w:t>
      </w:r>
    </w:p>
  </w:footnote>
  <w:footnote w:id="4">
    <w:p w14:paraId="5456A89A" w14:textId="1490B5CA" w:rsidR="001C6D30" w:rsidRPr="000E181B" w:rsidRDefault="001C6D30" w:rsidP="00C47C9B">
      <w:pPr>
        <w:pStyle w:val="FootnoteText"/>
      </w:pPr>
      <w:r>
        <w:tab/>
      </w:r>
      <w:r>
        <w:rPr>
          <w:rStyle w:val="FootnoteReference"/>
        </w:rPr>
        <w:footnoteRef/>
      </w:r>
      <w:r>
        <w:tab/>
      </w:r>
      <w:r w:rsidRPr="00D5631D">
        <w:rPr>
          <w:rFonts w:ascii="Times" w:hAnsi="Times"/>
          <w:lang w:val="en-US"/>
        </w:rPr>
        <w:t xml:space="preserve">The number of Parties </w:t>
      </w:r>
      <w:r>
        <w:rPr>
          <w:rFonts w:ascii="Times" w:hAnsi="Times"/>
          <w:lang w:val="en-US"/>
        </w:rPr>
        <w:t>that</w:t>
      </w:r>
      <w:r w:rsidRPr="00D5631D">
        <w:rPr>
          <w:rFonts w:ascii="Times" w:hAnsi="Times"/>
          <w:lang w:val="en-US"/>
        </w:rPr>
        <w:t xml:space="preserve"> do not use the term </w:t>
      </w:r>
      <w:r>
        <w:rPr>
          <w:rFonts w:ascii="Times" w:hAnsi="Times"/>
          <w:lang w:val="en-US"/>
        </w:rPr>
        <w:t>“</w:t>
      </w:r>
      <w:r w:rsidRPr="00D5631D">
        <w:rPr>
          <w:rFonts w:ascii="Times" w:hAnsi="Times"/>
          <w:lang w:val="en-US"/>
        </w:rPr>
        <w:t>major change</w:t>
      </w:r>
      <w:r>
        <w:rPr>
          <w:rFonts w:ascii="Times" w:hAnsi="Times"/>
          <w:lang w:val="en-US"/>
        </w:rPr>
        <w:t>”</w:t>
      </w:r>
      <w:r w:rsidRPr="00D5631D">
        <w:rPr>
          <w:rFonts w:ascii="Times" w:hAnsi="Times"/>
          <w:lang w:val="en-US"/>
        </w:rPr>
        <w:t xml:space="preserve"> may be higher than the data indicate (i.e</w:t>
      </w:r>
      <w:r w:rsidRPr="007E6F74">
        <w:rPr>
          <w:rFonts w:ascii="Times" w:hAnsi="Times"/>
          <w:lang w:val="en-US"/>
        </w:rPr>
        <w:t xml:space="preserve">. </w:t>
      </w:r>
      <w:r w:rsidRPr="00B3196F">
        <w:rPr>
          <w:rFonts w:ascii="Times" w:hAnsi="Times"/>
          <w:lang w:val="en-US"/>
        </w:rPr>
        <w:t>18</w:t>
      </w:r>
      <w:r w:rsidRPr="00D5631D">
        <w:rPr>
          <w:rFonts w:ascii="Times" w:hAnsi="Times"/>
          <w:lang w:val="en-US"/>
        </w:rPr>
        <w:t xml:space="preserve">) because the answers </w:t>
      </w:r>
      <w:r>
        <w:rPr>
          <w:rFonts w:ascii="Times" w:hAnsi="Times"/>
          <w:lang w:val="en-US"/>
        </w:rPr>
        <w:t xml:space="preserve">provided by </w:t>
      </w:r>
      <w:r w:rsidRPr="00D5631D">
        <w:rPr>
          <w:rFonts w:ascii="Times" w:hAnsi="Times"/>
          <w:lang w:val="en-US"/>
        </w:rPr>
        <w:t xml:space="preserve">a number of Parties indicate that alternate terminology </w:t>
      </w:r>
      <w:r>
        <w:rPr>
          <w:rFonts w:ascii="Times" w:hAnsi="Times"/>
          <w:lang w:val="en-US"/>
        </w:rPr>
        <w:t>is</w:t>
      </w:r>
      <w:r w:rsidRPr="00D5631D">
        <w:rPr>
          <w:rFonts w:ascii="Times" w:hAnsi="Times"/>
          <w:lang w:val="en-US"/>
        </w:rPr>
        <w:t xml:space="preserve"> </w:t>
      </w:r>
      <w:r>
        <w:rPr>
          <w:rFonts w:ascii="Times" w:hAnsi="Times"/>
          <w:lang w:val="en-US"/>
        </w:rPr>
        <w:t xml:space="preserve">probably </w:t>
      </w:r>
      <w:r w:rsidRPr="00D5631D">
        <w:rPr>
          <w:rFonts w:ascii="Times" w:hAnsi="Times"/>
          <w:lang w:val="en-US"/>
        </w:rPr>
        <w:t>used, but they did not state this explicitly.</w:t>
      </w:r>
    </w:p>
  </w:footnote>
  <w:footnote w:id="5">
    <w:p w14:paraId="1C348EB7" w14:textId="488AAED5" w:rsidR="001C6D30" w:rsidRPr="001B71DC" w:rsidRDefault="001C6D30" w:rsidP="00A15B36">
      <w:pPr>
        <w:pStyle w:val="FootnoteText"/>
      </w:pPr>
      <w:r>
        <w:tab/>
      </w:r>
      <w:r w:rsidRPr="001B71DC">
        <w:rPr>
          <w:vertAlign w:val="superscript"/>
        </w:rPr>
        <w:footnoteRef/>
      </w:r>
      <w:r>
        <w:tab/>
      </w:r>
      <w:r w:rsidRPr="001B71DC">
        <w:t>Finland</w:t>
      </w:r>
      <w:r>
        <w:t>:</w:t>
      </w:r>
      <w:r w:rsidRPr="001B71DC">
        <w:t xml:space="preserve"> notes that it was unclear whether question</w:t>
      </w:r>
      <w:r>
        <w:t>s</w:t>
      </w:r>
      <w:r w:rsidRPr="001B71DC">
        <w:t xml:space="preserve"> I.18 and I.19 refer to a public meeting (i.e. a specific event) or </w:t>
      </w:r>
      <w:r>
        <w:t xml:space="preserve">to </w:t>
      </w:r>
      <w:r w:rsidRPr="001B71DC">
        <w:t>a procedure for public participation</w:t>
      </w:r>
      <w:r>
        <w:t>;</w:t>
      </w:r>
      <w:r w:rsidRPr="001B71DC">
        <w:t xml:space="preserve"> state</w:t>
      </w:r>
      <w:r>
        <w:t>s</w:t>
      </w:r>
      <w:r w:rsidRPr="001B71DC">
        <w:t xml:space="preserve"> th</w:t>
      </w:r>
      <w:r>
        <w:t>at it</w:t>
      </w:r>
      <w:r w:rsidRPr="001B71DC">
        <w:t xml:space="preserve"> organi</w:t>
      </w:r>
      <w:r>
        <w:t>z</w:t>
      </w:r>
      <w:r w:rsidRPr="001B71DC">
        <w:t>e</w:t>
      </w:r>
      <w:r>
        <w:t>s</w:t>
      </w:r>
      <w:r w:rsidRPr="001B71DC">
        <w:t xml:space="preserve"> an opportunity for public participation, but </w:t>
      </w:r>
      <w:r>
        <w:t xml:space="preserve">that </w:t>
      </w:r>
      <w:r w:rsidRPr="001B71DC">
        <w:t>the need for a meeting is determined on a case-by-case basis</w:t>
      </w:r>
      <w:r>
        <w:t>; and</w:t>
      </w:r>
      <w:r w:rsidRPr="001B71DC">
        <w:t xml:space="preserve"> answer</w:t>
      </w:r>
      <w:r>
        <w:t>s</w:t>
      </w:r>
      <w:r w:rsidRPr="001B71DC">
        <w:t xml:space="preserve"> yes to question</w:t>
      </w:r>
      <w:r>
        <w:t>s</w:t>
      </w:r>
      <w:r w:rsidRPr="001B71DC">
        <w:t xml:space="preserve"> I.18 and I.19. The response from France suggests </w:t>
      </w:r>
      <w:r>
        <w:t xml:space="preserve">that </w:t>
      </w:r>
      <w:r w:rsidRPr="001B71DC">
        <w:t>this Party may have misunderstood the question for</w:t>
      </w:r>
      <w:r>
        <w:t>, although it answers</w:t>
      </w:r>
      <w:r w:rsidRPr="001B71DC">
        <w:t xml:space="preserve"> </w:t>
      </w:r>
      <w:r>
        <w:t>“Y</w:t>
      </w:r>
      <w:r w:rsidRPr="001B71DC">
        <w:t>es</w:t>
      </w:r>
      <w:r>
        <w:t>”</w:t>
      </w:r>
      <w:r w:rsidRPr="001B71DC">
        <w:t xml:space="preserve"> to question I.18, </w:t>
      </w:r>
      <w:r>
        <w:t>i</w:t>
      </w:r>
      <w:r w:rsidRPr="001B71DC">
        <w:t>t state</w:t>
      </w:r>
      <w:r>
        <w:t>s</w:t>
      </w:r>
      <w:r w:rsidRPr="001B71DC">
        <w:t xml:space="preserve"> that </w:t>
      </w:r>
      <w:r>
        <w:t>it</w:t>
      </w:r>
      <w:r w:rsidRPr="001B71DC">
        <w:t xml:space="preserve"> only organi</w:t>
      </w:r>
      <w:r>
        <w:t>z</w:t>
      </w:r>
      <w:r w:rsidRPr="001B71DC">
        <w:t>e</w:t>
      </w:r>
      <w:r>
        <w:t>s</w:t>
      </w:r>
      <w:r w:rsidRPr="001B71DC">
        <w:t xml:space="preserve"> a public hearing in France, which the public in affected Parties are allowed to attend.</w:t>
      </w:r>
    </w:p>
  </w:footnote>
  <w:footnote w:id="6">
    <w:p w14:paraId="6C72223B" w14:textId="4C013572" w:rsidR="001C6D30" w:rsidRPr="000D20F3" w:rsidRDefault="00257E9D" w:rsidP="00257E9D">
      <w:pPr>
        <w:pStyle w:val="FootnoteText"/>
      </w:pPr>
      <w:r>
        <w:tab/>
      </w:r>
      <w:r w:rsidR="001C6D30">
        <w:rPr>
          <w:rStyle w:val="FootnoteReference"/>
        </w:rPr>
        <w:footnoteRef/>
      </w:r>
      <w:r>
        <w:tab/>
      </w:r>
      <w:r w:rsidR="001C6D30" w:rsidRPr="00CE511E">
        <w:t>Directive 2011/92/EU</w:t>
      </w:r>
      <w:r w:rsidR="001C6D30">
        <w:t>.</w:t>
      </w:r>
    </w:p>
  </w:footnote>
  <w:footnote w:id="7">
    <w:p w14:paraId="5A2C8703" w14:textId="7CA00735" w:rsidR="001C6D30" w:rsidRPr="00165113" w:rsidRDefault="001C6D30" w:rsidP="008902FF">
      <w:pPr>
        <w:pStyle w:val="FootnoteText"/>
      </w:pPr>
      <w:r>
        <w:tab/>
      </w:r>
      <w:r w:rsidRPr="00165113">
        <w:rPr>
          <w:rStyle w:val="FootnoteReference"/>
        </w:rPr>
        <w:footnoteRef/>
      </w:r>
      <w:r>
        <w:tab/>
      </w:r>
      <w:r w:rsidRPr="00165113">
        <w:t>Kyrgyz</w:t>
      </w:r>
      <w:r>
        <w:t>stan indicates,</w:t>
      </w:r>
      <w:r w:rsidRPr="00165113">
        <w:t xml:space="preserve"> using the pre-determined response option</w:t>
      </w:r>
      <w:r>
        <w:t>s i</w:t>
      </w:r>
      <w:r w:rsidRPr="00165113">
        <w:t>n the questionnaire</w:t>
      </w:r>
      <w:r>
        <w:t>,</w:t>
      </w:r>
      <w:r w:rsidRPr="00165113">
        <w:t xml:space="preserve"> that </w:t>
      </w:r>
      <w:r>
        <w:t>i</w:t>
      </w:r>
      <w:r w:rsidRPr="00165113">
        <w:t>t do</w:t>
      </w:r>
      <w:r>
        <w:t>es</w:t>
      </w:r>
      <w:r w:rsidRPr="00165113">
        <w:t xml:space="preserve"> not have provisions in </w:t>
      </w:r>
      <w:r>
        <w:t>its</w:t>
      </w:r>
      <w:r w:rsidRPr="00165113">
        <w:t xml:space="preserve"> domestic legislation for post</w:t>
      </w:r>
      <w:r>
        <w:t>-</w:t>
      </w:r>
      <w:r w:rsidRPr="00165113">
        <w:t xml:space="preserve">project analysis, but </w:t>
      </w:r>
      <w:r>
        <w:t>its</w:t>
      </w:r>
      <w:r w:rsidRPr="00165113">
        <w:t xml:space="preserve"> subsequent comments indicate </w:t>
      </w:r>
      <w:r>
        <w:t xml:space="preserve">that </w:t>
      </w:r>
      <w:r w:rsidRPr="00165113">
        <w:t xml:space="preserve">such provisions do exist. </w:t>
      </w:r>
      <w:r>
        <w:t>Kyrgyzstan has, therefore,</w:t>
      </w:r>
      <w:r w:rsidRPr="00F53B09">
        <w:t xml:space="preserve"> </w:t>
      </w:r>
      <w:r w:rsidRPr="00165113">
        <w:t xml:space="preserve">been excluded from the </w:t>
      </w:r>
      <w:r>
        <w:t>total of</w:t>
      </w:r>
      <w:r w:rsidRPr="00165113">
        <w:t xml:space="preserve"> Parties without provisions for post</w:t>
      </w:r>
      <w:r>
        <w:t>-</w:t>
      </w:r>
      <w:r w:rsidRPr="00165113">
        <w:t>decision analysis.</w:t>
      </w:r>
    </w:p>
  </w:footnote>
  <w:footnote w:id="8">
    <w:p w14:paraId="1451E495" w14:textId="4406608B" w:rsidR="001C6D30" w:rsidRPr="00D26E4B" w:rsidRDefault="001C6D30">
      <w:pPr>
        <w:pStyle w:val="FootnoteText"/>
      </w:pPr>
      <w:r>
        <w:t xml:space="preserve">                    </w:t>
      </w:r>
      <w:r>
        <w:rPr>
          <w:rStyle w:val="FootnoteReference"/>
        </w:rPr>
        <w:footnoteRef/>
      </w:r>
      <w:r>
        <w:t xml:space="preserve">  United Nations publication, </w:t>
      </w:r>
      <w:r w:rsidRPr="00D26E4B">
        <w:t>ECE/MO.EIA/7</w:t>
      </w:r>
      <w:r>
        <w:t>.</w:t>
      </w:r>
    </w:p>
  </w:footnote>
  <w:footnote w:id="9">
    <w:p w14:paraId="38AAC15C" w14:textId="30DB5E61" w:rsidR="001C6D30" w:rsidRPr="000F0A76" w:rsidRDefault="001C6D30">
      <w:pPr>
        <w:pStyle w:val="FootnoteText"/>
      </w:pPr>
      <w:r>
        <w:t xml:space="preserve">                    </w:t>
      </w:r>
      <w:r>
        <w:rPr>
          <w:rStyle w:val="FootnoteReference"/>
        </w:rPr>
        <w:footnoteRef/>
      </w:r>
      <w:r>
        <w:t xml:space="preserve">  United Nations publication, </w:t>
      </w:r>
      <w:r w:rsidRPr="000F0A76">
        <w:t>ECE/MP.EIA/8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7090" w14:textId="31B4F2E2" w:rsidR="001C6D30" w:rsidRPr="003558BF" w:rsidRDefault="00804BB1">
    <w:pPr>
      <w:pStyle w:val="Header"/>
    </w:pPr>
    <w:fldSimple w:instr=" TITLE  \* MERGEFORMAT ">
      <w:r>
        <w:t>ECE/MP.EIA/WG.2/2019/3</w:t>
      </w:r>
    </w:fldSimple>
  </w:p>
  <w:p w14:paraId="63170DF7" w14:textId="77777777" w:rsidR="001C6D30" w:rsidRDefault="001C6D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AC1C" w14:textId="118060BB" w:rsidR="001C6D30" w:rsidRPr="003558BF" w:rsidRDefault="00804BB1" w:rsidP="003558BF">
    <w:pPr>
      <w:pStyle w:val="Header"/>
      <w:jc w:val="right"/>
    </w:pPr>
    <w:fldSimple w:instr=" TITLE  \* MERGEFORMAT ">
      <w:r>
        <w:t>ECE/MP.EIA/WG.2/2019/3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904"/>
        </w:tabs>
        <w:ind w:left="904"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571B2A"/>
    <w:multiLevelType w:val="hybridMultilevel"/>
    <w:tmpl w:val="A3349568"/>
    <w:lvl w:ilvl="0" w:tplc="925EA536">
      <w:start w:val="1"/>
      <w:numFmt w:val="decimal"/>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0A790132"/>
    <w:multiLevelType w:val="hybridMultilevel"/>
    <w:tmpl w:val="2C40FE82"/>
    <w:lvl w:ilvl="0" w:tplc="AE9AFC9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B32115"/>
    <w:multiLevelType w:val="hybridMultilevel"/>
    <w:tmpl w:val="99D6473A"/>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F26358"/>
    <w:multiLevelType w:val="hybridMultilevel"/>
    <w:tmpl w:val="66483DEE"/>
    <w:lvl w:ilvl="0" w:tplc="5928C948">
      <w:start w:val="1"/>
      <w:numFmt w:val="lowerLetter"/>
      <w:lvlText w:val="(%1)"/>
      <w:lvlJc w:val="left"/>
      <w:pPr>
        <w:ind w:left="1170" w:firstLine="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9" w15:restartNumberingAfterBreak="0">
    <w:nsid w:val="1F8F6890"/>
    <w:multiLevelType w:val="hybridMultilevel"/>
    <w:tmpl w:val="B97093C2"/>
    <w:lvl w:ilvl="0" w:tplc="CEE49F88">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22734BEF"/>
    <w:multiLevelType w:val="hybridMultilevel"/>
    <w:tmpl w:val="BE9E5ACC"/>
    <w:lvl w:ilvl="0" w:tplc="42AC18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5323645"/>
    <w:multiLevelType w:val="hybridMultilevel"/>
    <w:tmpl w:val="F4A4C414"/>
    <w:lvl w:ilvl="0" w:tplc="43F2F8D0">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26AC4639"/>
    <w:multiLevelType w:val="hybridMultilevel"/>
    <w:tmpl w:val="D1949E80"/>
    <w:lvl w:ilvl="0" w:tplc="1E82B31C">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3" w15:restartNumberingAfterBreak="0">
    <w:nsid w:val="2E7B58F9"/>
    <w:multiLevelType w:val="hybridMultilevel"/>
    <w:tmpl w:val="4A0AC60C"/>
    <w:lvl w:ilvl="0" w:tplc="863C3D12">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3122116B"/>
    <w:multiLevelType w:val="hybridMultilevel"/>
    <w:tmpl w:val="3BA6CFF8"/>
    <w:lvl w:ilvl="0" w:tplc="DA707AE6">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43782F"/>
    <w:multiLevelType w:val="hybridMultilevel"/>
    <w:tmpl w:val="66368874"/>
    <w:lvl w:ilvl="0" w:tplc="5CBAAE54">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BCA6477"/>
    <w:multiLevelType w:val="hybridMultilevel"/>
    <w:tmpl w:val="3EC44466"/>
    <w:lvl w:ilvl="0" w:tplc="18083F06">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9" w15:restartNumberingAfterBreak="0">
    <w:nsid w:val="3EC14503"/>
    <w:multiLevelType w:val="hybridMultilevel"/>
    <w:tmpl w:val="EBF49A66"/>
    <w:lvl w:ilvl="0" w:tplc="567E95F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15:restartNumberingAfterBreak="0">
    <w:nsid w:val="48453BB8"/>
    <w:multiLevelType w:val="hybridMultilevel"/>
    <w:tmpl w:val="EC704674"/>
    <w:lvl w:ilvl="0" w:tplc="E0129B72">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56106562"/>
    <w:multiLevelType w:val="hybridMultilevel"/>
    <w:tmpl w:val="4E20929C"/>
    <w:lvl w:ilvl="0" w:tplc="08090015">
      <w:start w:val="9"/>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673142"/>
    <w:multiLevelType w:val="hybridMultilevel"/>
    <w:tmpl w:val="A33802F2"/>
    <w:lvl w:ilvl="0" w:tplc="F3C8D130">
      <w:start w:val="500"/>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3A6D89"/>
    <w:multiLevelType w:val="hybridMultilevel"/>
    <w:tmpl w:val="205026B6"/>
    <w:lvl w:ilvl="0" w:tplc="22F8D8D6">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7"/>
  </w:num>
  <w:num w:numId="13">
    <w:abstractNumId w:val="10"/>
  </w:num>
  <w:num w:numId="14">
    <w:abstractNumId w:val="15"/>
  </w:num>
  <w:num w:numId="15">
    <w:abstractNumId w:val="27"/>
  </w:num>
  <w:num w:numId="16">
    <w:abstractNumId w:val="16"/>
  </w:num>
  <w:num w:numId="17">
    <w:abstractNumId w:val="32"/>
  </w:num>
  <w:num w:numId="18">
    <w:abstractNumId w:val="34"/>
  </w:num>
  <w:num w:numId="19">
    <w:abstractNumId w:val="13"/>
  </w:num>
  <w:num w:numId="20">
    <w:abstractNumId w:val="22"/>
  </w:num>
  <w:num w:numId="21">
    <w:abstractNumId w:val="18"/>
  </w:num>
  <w:num w:numId="22">
    <w:abstractNumId w:val="14"/>
  </w:num>
  <w:num w:numId="23">
    <w:abstractNumId w:val="21"/>
  </w:num>
  <w:num w:numId="24">
    <w:abstractNumId w:val="33"/>
  </w:num>
  <w:num w:numId="25">
    <w:abstractNumId w:val="23"/>
  </w:num>
  <w:num w:numId="26">
    <w:abstractNumId w:val="24"/>
  </w:num>
  <w:num w:numId="27">
    <w:abstractNumId w:val="19"/>
  </w:num>
  <w:num w:numId="28">
    <w:abstractNumId w:val="20"/>
  </w:num>
  <w:num w:numId="29">
    <w:abstractNumId w:val="26"/>
  </w:num>
  <w:num w:numId="30">
    <w:abstractNumId w:val="35"/>
  </w:num>
  <w:num w:numId="31">
    <w:abstractNumId w:val="29"/>
  </w:num>
  <w:num w:numId="32">
    <w:abstractNumId w:val="30"/>
  </w:num>
  <w:num w:numId="33">
    <w:abstractNumId w:val="12"/>
  </w:num>
  <w:num w:numId="34">
    <w:abstractNumId w:val="28"/>
  </w:num>
  <w:num w:numId="35">
    <w:abstractNumId w:val="11"/>
  </w:num>
  <w:num w:numId="36">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E6B8AC-E1B5-49CB-83B8-2CB7280B4E56}"/>
    <w:docVar w:name="dgnword-eventsink" w:val="637739216"/>
  </w:docVars>
  <w:rsids>
    <w:rsidRoot w:val="003558BF"/>
    <w:rsid w:val="00002A7D"/>
    <w:rsid w:val="00002E85"/>
    <w:rsid w:val="000038A8"/>
    <w:rsid w:val="00006790"/>
    <w:rsid w:val="00011283"/>
    <w:rsid w:val="00027624"/>
    <w:rsid w:val="00045397"/>
    <w:rsid w:val="00045675"/>
    <w:rsid w:val="00047B60"/>
    <w:rsid w:val="00050F6B"/>
    <w:rsid w:val="000631E5"/>
    <w:rsid w:val="000678CD"/>
    <w:rsid w:val="00072C8C"/>
    <w:rsid w:val="00081CE0"/>
    <w:rsid w:val="00084D30"/>
    <w:rsid w:val="00090320"/>
    <w:rsid w:val="000931C0"/>
    <w:rsid w:val="0009612D"/>
    <w:rsid w:val="000A2E09"/>
    <w:rsid w:val="000A41CA"/>
    <w:rsid w:val="000A7FB7"/>
    <w:rsid w:val="000A7FD9"/>
    <w:rsid w:val="000B0AFF"/>
    <w:rsid w:val="000B175B"/>
    <w:rsid w:val="000B3A0F"/>
    <w:rsid w:val="000C7AE8"/>
    <w:rsid w:val="000D0667"/>
    <w:rsid w:val="000D20F3"/>
    <w:rsid w:val="000D2AFD"/>
    <w:rsid w:val="000D40F0"/>
    <w:rsid w:val="000D715C"/>
    <w:rsid w:val="000E0415"/>
    <w:rsid w:val="000F0A76"/>
    <w:rsid w:val="000F7715"/>
    <w:rsid w:val="00110F1C"/>
    <w:rsid w:val="00143C6A"/>
    <w:rsid w:val="00156B99"/>
    <w:rsid w:val="00160BB1"/>
    <w:rsid w:val="00166124"/>
    <w:rsid w:val="001741B2"/>
    <w:rsid w:val="00174EF1"/>
    <w:rsid w:val="00175CD5"/>
    <w:rsid w:val="00184DDA"/>
    <w:rsid w:val="001900CD"/>
    <w:rsid w:val="001A0452"/>
    <w:rsid w:val="001B4B04"/>
    <w:rsid w:val="001B5875"/>
    <w:rsid w:val="001B71DC"/>
    <w:rsid w:val="001C4B9C"/>
    <w:rsid w:val="001C6663"/>
    <w:rsid w:val="001C6D30"/>
    <w:rsid w:val="001C7895"/>
    <w:rsid w:val="001D26DF"/>
    <w:rsid w:val="001E45D1"/>
    <w:rsid w:val="001E57DE"/>
    <w:rsid w:val="001F1599"/>
    <w:rsid w:val="001F19C4"/>
    <w:rsid w:val="002043F0"/>
    <w:rsid w:val="002056B1"/>
    <w:rsid w:val="00206D26"/>
    <w:rsid w:val="002075FA"/>
    <w:rsid w:val="00211E0B"/>
    <w:rsid w:val="00214256"/>
    <w:rsid w:val="00217460"/>
    <w:rsid w:val="00221FD3"/>
    <w:rsid w:val="002307A3"/>
    <w:rsid w:val="00232575"/>
    <w:rsid w:val="00234CBC"/>
    <w:rsid w:val="00243DF8"/>
    <w:rsid w:val="00246840"/>
    <w:rsid w:val="00247258"/>
    <w:rsid w:val="00251BB3"/>
    <w:rsid w:val="00257CAC"/>
    <w:rsid w:val="00257E9D"/>
    <w:rsid w:val="0027237A"/>
    <w:rsid w:val="0029578B"/>
    <w:rsid w:val="002971D0"/>
    <w:rsid w:val="002974E9"/>
    <w:rsid w:val="002A6051"/>
    <w:rsid w:val="002A7F94"/>
    <w:rsid w:val="002B109A"/>
    <w:rsid w:val="002B4774"/>
    <w:rsid w:val="002C6D45"/>
    <w:rsid w:val="002D227F"/>
    <w:rsid w:val="002D3949"/>
    <w:rsid w:val="002D6E53"/>
    <w:rsid w:val="002E149C"/>
    <w:rsid w:val="002F046D"/>
    <w:rsid w:val="002F3023"/>
    <w:rsid w:val="002F39A4"/>
    <w:rsid w:val="002F5BDC"/>
    <w:rsid w:val="00300BF7"/>
    <w:rsid w:val="00301764"/>
    <w:rsid w:val="00302896"/>
    <w:rsid w:val="00306B33"/>
    <w:rsid w:val="00307387"/>
    <w:rsid w:val="00313658"/>
    <w:rsid w:val="00315B51"/>
    <w:rsid w:val="003212C8"/>
    <w:rsid w:val="003229D8"/>
    <w:rsid w:val="0033213E"/>
    <w:rsid w:val="00332720"/>
    <w:rsid w:val="00336C97"/>
    <w:rsid w:val="0033734E"/>
    <w:rsid w:val="00337F88"/>
    <w:rsid w:val="00340412"/>
    <w:rsid w:val="00342432"/>
    <w:rsid w:val="00343959"/>
    <w:rsid w:val="0035223F"/>
    <w:rsid w:val="00352D4B"/>
    <w:rsid w:val="003558BF"/>
    <w:rsid w:val="0035638C"/>
    <w:rsid w:val="00356D50"/>
    <w:rsid w:val="00391C58"/>
    <w:rsid w:val="0039423D"/>
    <w:rsid w:val="003A059E"/>
    <w:rsid w:val="003A46BB"/>
    <w:rsid w:val="003A4EC7"/>
    <w:rsid w:val="003A5C55"/>
    <w:rsid w:val="003A7295"/>
    <w:rsid w:val="003B1F60"/>
    <w:rsid w:val="003B5485"/>
    <w:rsid w:val="003C2CC4"/>
    <w:rsid w:val="003C5884"/>
    <w:rsid w:val="003C62A7"/>
    <w:rsid w:val="003D1E0C"/>
    <w:rsid w:val="003D22CC"/>
    <w:rsid w:val="003D4B23"/>
    <w:rsid w:val="003D6795"/>
    <w:rsid w:val="003E278A"/>
    <w:rsid w:val="003F1AB2"/>
    <w:rsid w:val="003F7447"/>
    <w:rsid w:val="00413520"/>
    <w:rsid w:val="004207CD"/>
    <w:rsid w:val="00425898"/>
    <w:rsid w:val="004325CB"/>
    <w:rsid w:val="00435765"/>
    <w:rsid w:val="004368F2"/>
    <w:rsid w:val="00440A07"/>
    <w:rsid w:val="00445930"/>
    <w:rsid w:val="0045287A"/>
    <w:rsid w:val="00462270"/>
    <w:rsid w:val="00462880"/>
    <w:rsid w:val="00463941"/>
    <w:rsid w:val="00474236"/>
    <w:rsid w:val="0047472E"/>
    <w:rsid w:val="00476F24"/>
    <w:rsid w:val="00484004"/>
    <w:rsid w:val="004A440B"/>
    <w:rsid w:val="004A705B"/>
    <w:rsid w:val="004B0586"/>
    <w:rsid w:val="004C3F5C"/>
    <w:rsid w:val="004C55B0"/>
    <w:rsid w:val="004D72A3"/>
    <w:rsid w:val="004E2D64"/>
    <w:rsid w:val="004F6174"/>
    <w:rsid w:val="004F6BA0"/>
    <w:rsid w:val="004F7C6A"/>
    <w:rsid w:val="00503BEA"/>
    <w:rsid w:val="00505F5D"/>
    <w:rsid w:val="005077CF"/>
    <w:rsid w:val="005113F5"/>
    <w:rsid w:val="005122D5"/>
    <w:rsid w:val="00513D62"/>
    <w:rsid w:val="005143D8"/>
    <w:rsid w:val="00514F24"/>
    <w:rsid w:val="005246D8"/>
    <w:rsid w:val="005328A5"/>
    <w:rsid w:val="00532BF5"/>
    <w:rsid w:val="00532DF7"/>
    <w:rsid w:val="00533616"/>
    <w:rsid w:val="00535ABA"/>
    <w:rsid w:val="00536F3B"/>
    <w:rsid w:val="0053768B"/>
    <w:rsid w:val="005377B2"/>
    <w:rsid w:val="005420F2"/>
    <w:rsid w:val="0054285C"/>
    <w:rsid w:val="00545F78"/>
    <w:rsid w:val="0054622F"/>
    <w:rsid w:val="00563107"/>
    <w:rsid w:val="00565E31"/>
    <w:rsid w:val="00580715"/>
    <w:rsid w:val="00584173"/>
    <w:rsid w:val="0059319D"/>
    <w:rsid w:val="00595520"/>
    <w:rsid w:val="005A3C40"/>
    <w:rsid w:val="005A44B9"/>
    <w:rsid w:val="005B1BA0"/>
    <w:rsid w:val="005B204A"/>
    <w:rsid w:val="005B3DB3"/>
    <w:rsid w:val="005D021F"/>
    <w:rsid w:val="005D15CA"/>
    <w:rsid w:val="005D2AD1"/>
    <w:rsid w:val="005D53F4"/>
    <w:rsid w:val="005E0BC9"/>
    <w:rsid w:val="005E4938"/>
    <w:rsid w:val="005E4E2C"/>
    <w:rsid w:val="005F08DF"/>
    <w:rsid w:val="005F3066"/>
    <w:rsid w:val="005F3E61"/>
    <w:rsid w:val="00600DB5"/>
    <w:rsid w:val="00604DDD"/>
    <w:rsid w:val="00605417"/>
    <w:rsid w:val="00610719"/>
    <w:rsid w:val="006115CC"/>
    <w:rsid w:val="00611636"/>
    <w:rsid w:val="00611FC4"/>
    <w:rsid w:val="006176FB"/>
    <w:rsid w:val="00622E4E"/>
    <w:rsid w:val="00630FCB"/>
    <w:rsid w:val="00640B26"/>
    <w:rsid w:val="00653708"/>
    <w:rsid w:val="0065766B"/>
    <w:rsid w:val="00657D4B"/>
    <w:rsid w:val="00666F2D"/>
    <w:rsid w:val="00670773"/>
    <w:rsid w:val="006770B2"/>
    <w:rsid w:val="00686A48"/>
    <w:rsid w:val="00687238"/>
    <w:rsid w:val="006940E1"/>
    <w:rsid w:val="00695A15"/>
    <w:rsid w:val="006A0B78"/>
    <w:rsid w:val="006A3C72"/>
    <w:rsid w:val="006A5B77"/>
    <w:rsid w:val="006A7037"/>
    <w:rsid w:val="006A7392"/>
    <w:rsid w:val="006B03A1"/>
    <w:rsid w:val="006B26D4"/>
    <w:rsid w:val="006B67D9"/>
    <w:rsid w:val="006C5465"/>
    <w:rsid w:val="006C5535"/>
    <w:rsid w:val="006D0589"/>
    <w:rsid w:val="006E564B"/>
    <w:rsid w:val="006E7154"/>
    <w:rsid w:val="006F0279"/>
    <w:rsid w:val="007003CD"/>
    <w:rsid w:val="00706D1A"/>
    <w:rsid w:val="0070701E"/>
    <w:rsid w:val="00707E9F"/>
    <w:rsid w:val="007120D8"/>
    <w:rsid w:val="00713D2A"/>
    <w:rsid w:val="00714240"/>
    <w:rsid w:val="007233C7"/>
    <w:rsid w:val="0072632A"/>
    <w:rsid w:val="007358E8"/>
    <w:rsid w:val="00736ECE"/>
    <w:rsid w:val="0074533B"/>
    <w:rsid w:val="007633F3"/>
    <w:rsid w:val="007643BC"/>
    <w:rsid w:val="007760B1"/>
    <w:rsid w:val="00780C68"/>
    <w:rsid w:val="00782629"/>
    <w:rsid w:val="007866F3"/>
    <w:rsid w:val="007959FE"/>
    <w:rsid w:val="007A0CF1"/>
    <w:rsid w:val="007A193F"/>
    <w:rsid w:val="007A3B45"/>
    <w:rsid w:val="007B34A0"/>
    <w:rsid w:val="007B6BA5"/>
    <w:rsid w:val="007C3390"/>
    <w:rsid w:val="007C42D8"/>
    <w:rsid w:val="007C4F4B"/>
    <w:rsid w:val="007D7362"/>
    <w:rsid w:val="007E4A94"/>
    <w:rsid w:val="007F5CE2"/>
    <w:rsid w:val="007F6611"/>
    <w:rsid w:val="007F6CE2"/>
    <w:rsid w:val="00804BB1"/>
    <w:rsid w:val="00810BAC"/>
    <w:rsid w:val="0081305E"/>
    <w:rsid w:val="008159B2"/>
    <w:rsid w:val="008175E9"/>
    <w:rsid w:val="008242D7"/>
    <w:rsid w:val="0082577B"/>
    <w:rsid w:val="00831CE8"/>
    <w:rsid w:val="00837A78"/>
    <w:rsid w:val="00841F1A"/>
    <w:rsid w:val="00841FA9"/>
    <w:rsid w:val="00843BDA"/>
    <w:rsid w:val="0086149F"/>
    <w:rsid w:val="008619D9"/>
    <w:rsid w:val="00863F25"/>
    <w:rsid w:val="00866893"/>
    <w:rsid w:val="00866F02"/>
    <w:rsid w:val="00867D18"/>
    <w:rsid w:val="00871F9A"/>
    <w:rsid w:val="00871FD5"/>
    <w:rsid w:val="00874318"/>
    <w:rsid w:val="0088172E"/>
    <w:rsid w:val="00881EFA"/>
    <w:rsid w:val="008850A5"/>
    <w:rsid w:val="008879CB"/>
    <w:rsid w:val="008902FF"/>
    <w:rsid w:val="008903B7"/>
    <w:rsid w:val="008979B1"/>
    <w:rsid w:val="008A6B25"/>
    <w:rsid w:val="008A6C4F"/>
    <w:rsid w:val="008A7DBB"/>
    <w:rsid w:val="008B00D8"/>
    <w:rsid w:val="008B091B"/>
    <w:rsid w:val="008B389E"/>
    <w:rsid w:val="008B7297"/>
    <w:rsid w:val="008C3CBE"/>
    <w:rsid w:val="008D02EF"/>
    <w:rsid w:val="008D045E"/>
    <w:rsid w:val="008D3F25"/>
    <w:rsid w:val="008D4D82"/>
    <w:rsid w:val="008D77C8"/>
    <w:rsid w:val="008E0E46"/>
    <w:rsid w:val="008E7116"/>
    <w:rsid w:val="008F143B"/>
    <w:rsid w:val="008F340B"/>
    <w:rsid w:val="008F3882"/>
    <w:rsid w:val="008F4B7C"/>
    <w:rsid w:val="008F7AD2"/>
    <w:rsid w:val="0090364F"/>
    <w:rsid w:val="00904EA7"/>
    <w:rsid w:val="009055F3"/>
    <w:rsid w:val="00907FFA"/>
    <w:rsid w:val="00926291"/>
    <w:rsid w:val="00926E47"/>
    <w:rsid w:val="009313FF"/>
    <w:rsid w:val="00937897"/>
    <w:rsid w:val="00940494"/>
    <w:rsid w:val="0094060A"/>
    <w:rsid w:val="0094684F"/>
    <w:rsid w:val="00947162"/>
    <w:rsid w:val="0095711D"/>
    <w:rsid w:val="009610D0"/>
    <w:rsid w:val="0096375C"/>
    <w:rsid w:val="00964FC2"/>
    <w:rsid w:val="00965849"/>
    <w:rsid w:val="009662E6"/>
    <w:rsid w:val="009662E8"/>
    <w:rsid w:val="0097095E"/>
    <w:rsid w:val="0097588A"/>
    <w:rsid w:val="00981E97"/>
    <w:rsid w:val="0098592B"/>
    <w:rsid w:val="00985FC4"/>
    <w:rsid w:val="00990766"/>
    <w:rsid w:val="00991261"/>
    <w:rsid w:val="00995079"/>
    <w:rsid w:val="009958BD"/>
    <w:rsid w:val="009964C4"/>
    <w:rsid w:val="009A4C31"/>
    <w:rsid w:val="009A72E2"/>
    <w:rsid w:val="009A7B81"/>
    <w:rsid w:val="009B19CA"/>
    <w:rsid w:val="009B6631"/>
    <w:rsid w:val="009C3461"/>
    <w:rsid w:val="009D01C0"/>
    <w:rsid w:val="009D477B"/>
    <w:rsid w:val="009D4EBB"/>
    <w:rsid w:val="009D6A08"/>
    <w:rsid w:val="009D79B3"/>
    <w:rsid w:val="009E0A16"/>
    <w:rsid w:val="009E5A6B"/>
    <w:rsid w:val="009E5FDC"/>
    <w:rsid w:val="009E6CB7"/>
    <w:rsid w:val="009E7970"/>
    <w:rsid w:val="009F2D0E"/>
    <w:rsid w:val="009F2EAC"/>
    <w:rsid w:val="009F57E3"/>
    <w:rsid w:val="00A0099E"/>
    <w:rsid w:val="00A036F3"/>
    <w:rsid w:val="00A059BD"/>
    <w:rsid w:val="00A07E70"/>
    <w:rsid w:val="00A106F3"/>
    <w:rsid w:val="00A10740"/>
    <w:rsid w:val="00A10F4F"/>
    <w:rsid w:val="00A11067"/>
    <w:rsid w:val="00A11666"/>
    <w:rsid w:val="00A154C8"/>
    <w:rsid w:val="00A15B36"/>
    <w:rsid w:val="00A1704A"/>
    <w:rsid w:val="00A22991"/>
    <w:rsid w:val="00A33B7C"/>
    <w:rsid w:val="00A425EB"/>
    <w:rsid w:val="00A4410B"/>
    <w:rsid w:val="00A46F13"/>
    <w:rsid w:val="00A51AB6"/>
    <w:rsid w:val="00A5281E"/>
    <w:rsid w:val="00A53C44"/>
    <w:rsid w:val="00A6120F"/>
    <w:rsid w:val="00A71CB8"/>
    <w:rsid w:val="00A72F22"/>
    <w:rsid w:val="00A733BC"/>
    <w:rsid w:val="00A748A6"/>
    <w:rsid w:val="00A76405"/>
    <w:rsid w:val="00A76A69"/>
    <w:rsid w:val="00A77083"/>
    <w:rsid w:val="00A77241"/>
    <w:rsid w:val="00A879A4"/>
    <w:rsid w:val="00A91A3C"/>
    <w:rsid w:val="00A947EB"/>
    <w:rsid w:val="00A9692C"/>
    <w:rsid w:val="00AA0FF8"/>
    <w:rsid w:val="00AA3018"/>
    <w:rsid w:val="00AA3931"/>
    <w:rsid w:val="00AB332F"/>
    <w:rsid w:val="00AC0F2C"/>
    <w:rsid w:val="00AC502A"/>
    <w:rsid w:val="00AC6731"/>
    <w:rsid w:val="00AD3454"/>
    <w:rsid w:val="00AD6203"/>
    <w:rsid w:val="00AD6EDA"/>
    <w:rsid w:val="00AF2E61"/>
    <w:rsid w:val="00AF4FEE"/>
    <w:rsid w:val="00AF58C1"/>
    <w:rsid w:val="00B04A3F"/>
    <w:rsid w:val="00B05AC8"/>
    <w:rsid w:val="00B06643"/>
    <w:rsid w:val="00B12B91"/>
    <w:rsid w:val="00B15055"/>
    <w:rsid w:val="00B20551"/>
    <w:rsid w:val="00B24979"/>
    <w:rsid w:val="00B27C6A"/>
    <w:rsid w:val="00B30179"/>
    <w:rsid w:val="00B33FC7"/>
    <w:rsid w:val="00B37B15"/>
    <w:rsid w:val="00B40854"/>
    <w:rsid w:val="00B42F09"/>
    <w:rsid w:val="00B44D7E"/>
    <w:rsid w:val="00B45C02"/>
    <w:rsid w:val="00B46370"/>
    <w:rsid w:val="00B562F2"/>
    <w:rsid w:val="00B70B63"/>
    <w:rsid w:val="00B72A1E"/>
    <w:rsid w:val="00B75363"/>
    <w:rsid w:val="00B81E12"/>
    <w:rsid w:val="00B839B9"/>
    <w:rsid w:val="00B85A60"/>
    <w:rsid w:val="00B92F08"/>
    <w:rsid w:val="00B96127"/>
    <w:rsid w:val="00B97C81"/>
    <w:rsid w:val="00BA339B"/>
    <w:rsid w:val="00BA6089"/>
    <w:rsid w:val="00BA7AC9"/>
    <w:rsid w:val="00BB18F9"/>
    <w:rsid w:val="00BC1E7E"/>
    <w:rsid w:val="00BC74E9"/>
    <w:rsid w:val="00BD0866"/>
    <w:rsid w:val="00BD4929"/>
    <w:rsid w:val="00BE36A9"/>
    <w:rsid w:val="00BE618E"/>
    <w:rsid w:val="00BE6D28"/>
    <w:rsid w:val="00BE7BEC"/>
    <w:rsid w:val="00BF0A5A"/>
    <w:rsid w:val="00BF0E63"/>
    <w:rsid w:val="00BF12A3"/>
    <w:rsid w:val="00BF16D7"/>
    <w:rsid w:val="00BF2373"/>
    <w:rsid w:val="00BF2E43"/>
    <w:rsid w:val="00C044E2"/>
    <w:rsid w:val="00C048CB"/>
    <w:rsid w:val="00C066F3"/>
    <w:rsid w:val="00C22B6D"/>
    <w:rsid w:val="00C32A62"/>
    <w:rsid w:val="00C32AC4"/>
    <w:rsid w:val="00C463DD"/>
    <w:rsid w:val="00C47C9B"/>
    <w:rsid w:val="00C51A40"/>
    <w:rsid w:val="00C57FB0"/>
    <w:rsid w:val="00C65C34"/>
    <w:rsid w:val="00C745C3"/>
    <w:rsid w:val="00C866EB"/>
    <w:rsid w:val="00C95A94"/>
    <w:rsid w:val="00C978F5"/>
    <w:rsid w:val="00CA2291"/>
    <w:rsid w:val="00CA24A4"/>
    <w:rsid w:val="00CA5A59"/>
    <w:rsid w:val="00CB0DBB"/>
    <w:rsid w:val="00CB348D"/>
    <w:rsid w:val="00CB5D61"/>
    <w:rsid w:val="00CC0132"/>
    <w:rsid w:val="00CD46F5"/>
    <w:rsid w:val="00CD7B92"/>
    <w:rsid w:val="00CE29F9"/>
    <w:rsid w:val="00CE4602"/>
    <w:rsid w:val="00CE4A8F"/>
    <w:rsid w:val="00CE511E"/>
    <w:rsid w:val="00CF071D"/>
    <w:rsid w:val="00CF76A2"/>
    <w:rsid w:val="00CF77BC"/>
    <w:rsid w:val="00D0123D"/>
    <w:rsid w:val="00D01A8D"/>
    <w:rsid w:val="00D125B6"/>
    <w:rsid w:val="00D13086"/>
    <w:rsid w:val="00D14DE9"/>
    <w:rsid w:val="00D150D7"/>
    <w:rsid w:val="00D15B04"/>
    <w:rsid w:val="00D17302"/>
    <w:rsid w:val="00D2031B"/>
    <w:rsid w:val="00D25FE2"/>
    <w:rsid w:val="00D26E4B"/>
    <w:rsid w:val="00D3301B"/>
    <w:rsid w:val="00D37DA9"/>
    <w:rsid w:val="00D406A7"/>
    <w:rsid w:val="00D419E4"/>
    <w:rsid w:val="00D43252"/>
    <w:rsid w:val="00D44D86"/>
    <w:rsid w:val="00D50B7D"/>
    <w:rsid w:val="00D52012"/>
    <w:rsid w:val="00D53BD9"/>
    <w:rsid w:val="00D55C03"/>
    <w:rsid w:val="00D57EEA"/>
    <w:rsid w:val="00D64AB8"/>
    <w:rsid w:val="00D704E5"/>
    <w:rsid w:val="00D72727"/>
    <w:rsid w:val="00D7593E"/>
    <w:rsid w:val="00D75A08"/>
    <w:rsid w:val="00D8110E"/>
    <w:rsid w:val="00D87365"/>
    <w:rsid w:val="00D93C01"/>
    <w:rsid w:val="00D973A5"/>
    <w:rsid w:val="00D978C6"/>
    <w:rsid w:val="00DA0956"/>
    <w:rsid w:val="00DA357F"/>
    <w:rsid w:val="00DA3E12"/>
    <w:rsid w:val="00DA4E9F"/>
    <w:rsid w:val="00DA60C1"/>
    <w:rsid w:val="00DB172A"/>
    <w:rsid w:val="00DC18AD"/>
    <w:rsid w:val="00DD3D1E"/>
    <w:rsid w:val="00DF1B5B"/>
    <w:rsid w:val="00DF2441"/>
    <w:rsid w:val="00DF7CAE"/>
    <w:rsid w:val="00E03D6C"/>
    <w:rsid w:val="00E047EC"/>
    <w:rsid w:val="00E07C9D"/>
    <w:rsid w:val="00E102FA"/>
    <w:rsid w:val="00E13394"/>
    <w:rsid w:val="00E14C1B"/>
    <w:rsid w:val="00E17FB1"/>
    <w:rsid w:val="00E36717"/>
    <w:rsid w:val="00E423C0"/>
    <w:rsid w:val="00E5007B"/>
    <w:rsid w:val="00E54B10"/>
    <w:rsid w:val="00E6414C"/>
    <w:rsid w:val="00E7260F"/>
    <w:rsid w:val="00E8702D"/>
    <w:rsid w:val="00E905F4"/>
    <w:rsid w:val="00E916A9"/>
    <w:rsid w:val="00E916DE"/>
    <w:rsid w:val="00E925AD"/>
    <w:rsid w:val="00E956C3"/>
    <w:rsid w:val="00E96630"/>
    <w:rsid w:val="00EA1A6D"/>
    <w:rsid w:val="00EA61FF"/>
    <w:rsid w:val="00EA77DC"/>
    <w:rsid w:val="00EC4DDC"/>
    <w:rsid w:val="00EC63F5"/>
    <w:rsid w:val="00ED1757"/>
    <w:rsid w:val="00ED18DC"/>
    <w:rsid w:val="00ED6201"/>
    <w:rsid w:val="00ED7A2A"/>
    <w:rsid w:val="00EE15E7"/>
    <w:rsid w:val="00EF1D7F"/>
    <w:rsid w:val="00F0137E"/>
    <w:rsid w:val="00F04977"/>
    <w:rsid w:val="00F125B5"/>
    <w:rsid w:val="00F21786"/>
    <w:rsid w:val="00F23C4F"/>
    <w:rsid w:val="00F3742B"/>
    <w:rsid w:val="00F41FDB"/>
    <w:rsid w:val="00F424ED"/>
    <w:rsid w:val="00F56D63"/>
    <w:rsid w:val="00F609A9"/>
    <w:rsid w:val="00F66972"/>
    <w:rsid w:val="00F7173B"/>
    <w:rsid w:val="00F74651"/>
    <w:rsid w:val="00F80C99"/>
    <w:rsid w:val="00F84D3F"/>
    <w:rsid w:val="00F867D5"/>
    <w:rsid w:val="00F867EC"/>
    <w:rsid w:val="00F91B2B"/>
    <w:rsid w:val="00F976C1"/>
    <w:rsid w:val="00FA482A"/>
    <w:rsid w:val="00FC03CD"/>
    <w:rsid w:val="00FC0646"/>
    <w:rsid w:val="00FC0BD1"/>
    <w:rsid w:val="00FC13F8"/>
    <w:rsid w:val="00FC5C89"/>
    <w:rsid w:val="00FC68B7"/>
    <w:rsid w:val="00FD1B15"/>
    <w:rsid w:val="00FD207C"/>
    <w:rsid w:val="00FD4B89"/>
    <w:rsid w:val="00FD51D2"/>
    <w:rsid w:val="00FE6985"/>
    <w:rsid w:val="00FF506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EB83E"/>
  <w15:docId w15:val="{113D3038-B418-4981-AEF1-15D46B37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styleId="CommentReference">
    <w:name w:val="annotation reference"/>
    <w:basedOn w:val="DefaultParagraphFont"/>
    <w:uiPriority w:val="99"/>
    <w:semiHidden/>
    <w:unhideWhenUsed/>
    <w:rsid w:val="0054622F"/>
    <w:rPr>
      <w:sz w:val="16"/>
      <w:szCs w:val="16"/>
    </w:rPr>
  </w:style>
  <w:style w:type="paragraph" w:styleId="ListParagraph">
    <w:name w:val="List Paragraph"/>
    <w:basedOn w:val="Normal"/>
    <w:uiPriority w:val="34"/>
    <w:qFormat/>
    <w:rsid w:val="00F84D3F"/>
    <w:pPr>
      <w:ind w:left="720"/>
      <w:contextualSpacing/>
    </w:pPr>
  </w:style>
  <w:style w:type="paragraph" w:styleId="CommentText">
    <w:name w:val="annotation text"/>
    <w:basedOn w:val="Normal"/>
    <w:link w:val="CommentTextChar"/>
    <w:uiPriority w:val="99"/>
    <w:semiHidden/>
    <w:unhideWhenUsed/>
    <w:rsid w:val="00A22991"/>
    <w:pPr>
      <w:suppressAutoHyphens w:val="0"/>
      <w:spacing w:line="240" w:lineRule="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A22991"/>
    <w:rPr>
      <w:rFonts w:asciiTheme="minorHAnsi" w:eastAsiaTheme="minorHAnsi" w:hAnsiTheme="minorHAnsi" w:cstheme="minorBidi"/>
      <w:lang w:val="en-GB" w:eastAsia="en-US"/>
    </w:rPr>
  </w:style>
  <w:style w:type="character" w:customStyle="1" w:styleId="FootnoteTextChar">
    <w:name w:val="Footnote Text Char"/>
    <w:aliases w:val="5_G Char"/>
    <w:basedOn w:val="DefaultParagraphFont"/>
    <w:link w:val="FootnoteText"/>
    <w:uiPriority w:val="99"/>
    <w:rsid w:val="00A22991"/>
    <w:rPr>
      <w:sz w:val="18"/>
      <w:lang w:val="en-GB"/>
    </w:rPr>
  </w:style>
  <w:style w:type="character" w:customStyle="1" w:styleId="Heading1Char">
    <w:name w:val="Heading 1 Char"/>
    <w:aliases w:val="Table_G Char"/>
    <w:basedOn w:val="DefaultParagraphFont"/>
    <w:link w:val="Heading1"/>
    <w:uiPriority w:val="9"/>
    <w:rsid w:val="00A22991"/>
    <w:rPr>
      <w:lang w:val="en-GB"/>
    </w:rPr>
  </w:style>
  <w:style w:type="character" w:customStyle="1" w:styleId="Heading3Char">
    <w:name w:val="Heading 3 Char"/>
    <w:basedOn w:val="DefaultParagraphFont"/>
    <w:link w:val="Heading3"/>
    <w:uiPriority w:val="9"/>
    <w:rsid w:val="006A5B77"/>
    <w:rPr>
      <w:lang w:val="en-GB"/>
    </w:rPr>
  </w:style>
  <w:style w:type="character" w:customStyle="1" w:styleId="Heading2Char">
    <w:name w:val="Heading 2 Char"/>
    <w:basedOn w:val="DefaultParagraphFont"/>
    <w:link w:val="Heading2"/>
    <w:uiPriority w:val="9"/>
    <w:rsid w:val="0090364F"/>
    <w:rPr>
      <w:lang w:val="en-GB"/>
    </w:rPr>
  </w:style>
  <w:style w:type="paragraph" w:styleId="CommentSubject">
    <w:name w:val="annotation subject"/>
    <w:basedOn w:val="CommentText"/>
    <w:next w:val="CommentText"/>
    <w:link w:val="CommentSubjectChar"/>
    <w:semiHidden/>
    <w:unhideWhenUsed/>
    <w:rsid w:val="00CF76A2"/>
    <w:pPr>
      <w:suppressAutoHyphens/>
    </w:pPr>
    <w:rPr>
      <w:rFonts w:ascii="Times New Roman" w:eastAsia="Times New Roman" w:hAnsi="Times New Roman" w:cs="Times New Roman"/>
      <w:b/>
      <w:bCs/>
      <w:lang w:eastAsia="fr-FR"/>
    </w:rPr>
  </w:style>
  <w:style w:type="character" w:customStyle="1" w:styleId="CommentSubjectChar">
    <w:name w:val="Comment Subject Char"/>
    <w:basedOn w:val="CommentTextChar"/>
    <w:link w:val="CommentSubject"/>
    <w:semiHidden/>
    <w:rsid w:val="00CF76A2"/>
    <w:rPr>
      <w:rFonts w:asciiTheme="minorHAnsi" w:eastAsiaTheme="minorHAnsi" w:hAnsiTheme="minorHAnsi" w:cstheme="minorBidi"/>
      <w:b/>
      <w:bCs/>
      <w:lang w:val="en-GB" w:eastAsia="en-US"/>
    </w:rPr>
  </w:style>
  <w:style w:type="character" w:customStyle="1" w:styleId="UnresolvedMention1">
    <w:name w:val="Unresolved Mention1"/>
    <w:basedOn w:val="DefaultParagraphFont"/>
    <w:uiPriority w:val="99"/>
    <w:semiHidden/>
    <w:unhideWhenUsed/>
    <w:rsid w:val="0047472E"/>
    <w:rPr>
      <w:color w:val="605E5C"/>
      <w:shd w:val="clear" w:color="auto" w:fill="E1DFDD"/>
    </w:rPr>
  </w:style>
  <w:style w:type="paragraph" w:styleId="Revision">
    <w:name w:val="Revision"/>
    <w:hidden/>
    <w:uiPriority w:val="99"/>
    <w:semiHidden/>
    <w:rsid w:val="00143C6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88229">
      <w:bodyDiv w:val="1"/>
      <w:marLeft w:val="0"/>
      <w:marRight w:val="0"/>
      <w:marTop w:val="0"/>
      <w:marBottom w:val="0"/>
      <w:divBdr>
        <w:top w:val="none" w:sz="0" w:space="0" w:color="auto"/>
        <w:left w:val="none" w:sz="0" w:space="0" w:color="auto"/>
        <w:bottom w:val="none" w:sz="0" w:space="0" w:color="auto"/>
        <w:right w:val="none" w:sz="0" w:space="0" w:color="auto"/>
      </w:divBdr>
    </w:div>
    <w:div w:id="6151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unece.org/env/eia/about/eia_tex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ece.org/env/eia/about/eia_text.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ce.org/env/eia/about/eia_tex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3.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eia/implementation/review_implementation.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at\Dropbox\UNECE%20implementation%20review\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t\Dropbox\UNECE%20implementation%20review\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t\Dropbox\UNECE%20implementation%20review\Book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mat\Dropbox\UNECE%20implementation%20review\Book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mat\Dropbox\UNECE%20implementation%20review\Book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mat\Dropbox\UNECE%20implementation%20review\figure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0">
                <a:effectLst/>
                <a:latin typeface="Times" pitchFamily="2" charset="0"/>
              </a:rPr>
              <a:t>The response options are: Yes, the definitions are the same; Yes, the definitions are similar; No, the definitions are different; and, these terms are not defined in the domestic legislation.</a:t>
            </a:r>
            <a:r>
              <a:rPr lang="en-GB" sz="1000" b="0">
                <a:effectLst/>
                <a:latin typeface="Times" pitchFamily="2" charset="0"/>
              </a:rPr>
              <a:t> </a:t>
            </a:r>
            <a:r>
              <a:rPr lang="en-GB" sz="1000">
                <a:effectLst/>
              </a:rPr>
              <a:t> </a:t>
            </a:r>
            <a:endParaRPr lang="en-GB" sz="1000"/>
          </a:p>
        </c:rich>
      </c:tx>
      <c:layout>
        <c:manualLayout>
          <c:xMode val="edge"/>
          <c:yMode val="edge"/>
          <c:x val="5.1572117605353907E-2"/>
          <c:y val="0.8202115794349236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514652573993177"/>
          <c:y val="0.1045649004019425"/>
          <c:w val="0.62007896146202635"/>
          <c:h val="0.65668276972624795"/>
        </c:manualLayout>
      </c:layout>
      <c:barChart>
        <c:barDir val="col"/>
        <c:grouping val="clustered"/>
        <c:varyColors val="0"/>
        <c:ser>
          <c:idx val="0"/>
          <c:order val="0"/>
          <c:tx>
            <c:strRef>
              <c:f>Sheet1!$C$5</c:f>
              <c:strCache>
                <c:ptCount val="1"/>
                <c:pt idx="0">
                  <c:v>Impact</c:v>
                </c:pt>
              </c:strCache>
            </c:strRef>
          </c:tx>
          <c:spPr>
            <a:solidFill>
              <a:schemeClr val="accent1"/>
            </a:solidFill>
            <a:ln>
              <a:noFill/>
            </a:ln>
            <a:effectLst/>
          </c:spPr>
          <c:invertIfNegative val="0"/>
          <c:cat>
            <c:strRef>
              <c:f>Sheet1!$B$6:$B$9</c:f>
              <c:strCache>
                <c:ptCount val="4"/>
                <c:pt idx="0">
                  <c:v>Yes, same</c:v>
                </c:pt>
                <c:pt idx="1">
                  <c:v>Yes, similar</c:v>
                </c:pt>
                <c:pt idx="2">
                  <c:v>No, different</c:v>
                </c:pt>
                <c:pt idx="3">
                  <c:v>Not defined</c:v>
                </c:pt>
              </c:strCache>
            </c:strRef>
          </c:cat>
          <c:val>
            <c:numRef>
              <c:f>Sheet1!$C$6:$C$9</c:f>
              <c:numCache>
                <c:formatCode>General</c:formatCode>
                <c:ptCount val="4"/>
                <c:pt idx="0">
                  <c:v>15</c:v>
                </c:pt>
                <c:pt idx="1">
                  <c:v>16</c:v>
                </c:pt>
                <c:pt idx="2">
                  <c:v>4</c:v>
                </c:pt>
                <c:pt idx="3">
                  <c:v>10</c:v>
                </c:pt>
              </c:numCache>
            </c:numRef>
          </c:val>
          <c:extLst>
            <c:ext xmlns:c16="http://schemas.microsoft.com/office/drawing/2014/chart" uri="{C3380CC4-5D6E-409C-BE32-E72D297353CC}">
              <c16:uniqueId val="{00000000-B205-41B9-9232-1E20FFD46868}"/>
            </c:ext>
          </c:extLst>
        </c:ser>
        <c:ser>
          <c:idx val="1"/>
          <c:order val="1"/>
          <c:tx>
            <c:strRef>
              <c:f>Sheet1!$D$5</c:f>
              <c:strCache>
                <c:ptCount val="1"/>
                <c:pt idx="0">
                  <c:v>Transboundry Impact</c:v>
                </c:pt>
              </c:strCache>
            </c:strRef>
          </c:tx>
          <c:spPr>
            <a:solidFill>
              <a:schemeClr val="accent2"/>
            </a:solidFill>
            <a:ln>
              <a:noFill/>
            </a:ln>
            <a:effectLst/>
          </c:spPr>
          <c:invertIfNegative val="0"/>
          <c:cat>
            <c:strRef>
              <c:f>Sheet1!$B$6:$B$9</c:f>
              <c:strCache>
                <c:ptCount val="4"/>
                <c:pt idx="0">
                  <c:v>Yes, same</c:v>
                </c:pt>
                <c:pt idx="1">
                  <c:v>Yes, similar</c:v>
                </c:pt>
                <c:pt idx="2">
                  <c:v>No, different</c:v>
                </c:pt>
                <c:pt idx="3">
                  <c:v>Not defined</c:v>
                </c:pt>
              </c:strCache>
            </c:strRef>
          </c:cat>
          <c:val>
            <c:numRef>
              <c:f>Sheet1!$D$6:$D$9</c:f>
              <c:numCache>
                <c:formatCode>General</c:formatCode>
                <c:ptCount val="4"/>
                <c:pt idx="0">
                  <c:v>18</c:v>
                </c:pt>
                <c:pt idx="1">
                  <c:v>7</c:v>
                </c:pt>
                <c:pt idx="2">
                  <c:v>0</c:v>
                </c:pt>
                <c:pt idx="3">
                  <c:v>20</c:v>
                </c:pt>
              </c:numCache>
            </c:numRef>
          </c:val>
          <c:extLst>
            <c:ext xmlns:c16="http://schemas.microsoft.com/office/drawing/2014/chart" uri="{C3380CC4-5D6E-409C-BE32-E72D297353CC}">
              <c16:uniqueId val="{00000001-B205-41B9-9232-1E20FFD46868}"/>
            </c:ext>
          </c:extLst>
        </c:ser>
        <c:dLbls>
          <c:showLegendKey val="0"/>
          <c:showVal val="0"/>
          <c:showCatName val="0"/>
          <c:showSerName val="0"/>
          <c:showPercent val="0"/>
          <c:showBubbleSize val="0"/>
        </c:dLbls>
        <c:gapWidth val="219"/>
        <c:overlap val="-27"/>
        <c:axId val="361483640"/>
        <c:axId val="361479704"/>
      </c:barChart>
      <c:catAx>
        <c:axId val="361483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361479704"/>
        <c:crosses val="autoZero"/>
        <c:auto val="1"/>
        <c:lblAlgn val="ctr"/>
        <c:lblOffset val="100"/>
        <c:noMultiLvlLbl val="0"/>
      </c:catAx>
      <c:valAx>
        <c:axId val="361479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responses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361483640"/>
        <c:crosses val="autoZero"/>
        <c:crossBetween val="between"/>
      </c:valAx>
      <c:spPr>
        <a:noFill/>
        <a:ln>
          <a:noFill/>
        </a:ln>
        <a:effectLst/>
      </c:spPr>
    </c:plotArea>
    <c:legend>
      <c:legendPos val="r"/>
      <c:layout>
        <c:manualLayout>
          <c:xMode val="edge"/>
          <c:yMode val="edge"/>
          <c:x val="0.75301760525548345"/>
          <c:y val="0.31298667376722838"/>
          <c:w val="0.23011906954613129"/>
          <c:h val="0.272947620677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unga" panose="020B0502040204020203" pitchFamily="34" charset="0"/>
              <a:ea typeface="+mn-ea"/>
              <a:cs typeface="Tunga" panose="020B0502040204020203"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Sheet1!$B$39:$B$41</c:f>
              <c:strCache>
                <c:ptCount val="3"/>
                <c:pt idx="0">
                  <c:v>Following the rules and procedures of the Party of origin </c:v>
                </c:pt>
                <c:pt idx="1">
                  <c:v>Following the rules and procedures of the affected Party </c:v>
                </c:pt>
                <c:pt idx="2">
                  <c:v>Other</c:v>
                </c:pt>
              </c:strCache>
            </c:strRef>
          </c:cat>
          <c:val>
            <c:numRef>
              <c:f>Sheet1!$C$39:$C$41</c:f>
              <c:numCache>
                <c:formatCode>General</c:formatCode>
                <c:ptCount val="3"/>
                <c:pt idx="0">
                  <c:v>25</c:v>
                </c:pt>
                <c:pt idx="1">
                  <c:v>11</c:v>
                </c:pt>
                <c:pt idx="2">
                  <c:v>15</c:v>
                </c:pt>
              </c:numCache>
            </c:numRef>
          </c:val>
          <c:extLst>
            <c:ext xmlns:c16="http://schemas.microsoft.com/office/drawing/2014/chart" uri="{C3380CC4-5D6E-409C-BE32-E72D297353CC}">
              <c16:uniqueId val="{00000000-1D07-4905-8135-144E2A24C996}"/>
            </c:ext>
          </c:extLst>
        </c:ser>
        <c:dLbls>
          <c:showLegendKey val="0"/>
          <c:showVal val="0"/>
          <c:showCatName val="0"/>
          <c:showSerName val="0"/>
          <c:showPercent val="0"/>
          <c:showBubbleSize val="0"/>
        </c:dLbls>
        <c:gapWidth val="182"/>
        <c:axId val="551039552"/>
        <c:axId val="551042176"/>
      </c:barChart>
      <c:catAx>
        <c:axId val="551039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042176"/>
        <c:crosses val="autoZero"/>
        <c:auto val="1"/>
        <c:lblAlgn val="ctr"/>
        <c:lblOffset val="100"/>
        <c:noMultiLvlLbl val="0"/>
      </c:catAx>
      <c:valAx>
        <c:axId val="5510421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responses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039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C35-4474-969A-B4C0A90E0FF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C35-4474-969A-B4C0A90E0FF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C35-4474-969A-B4C0A90E0F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Sheet1!$B$32:$B$34</c:f>
              <c:strCache>
                <c:ptCount val="3"/>
                <c:pt idx="0">
                  <c:v>Yes, obligatory provisions</c:v>
                </c:pt>
                <c:pt idx="1">
                  <c:v>No provisions</c:v>
                </c:pt>
                <c:pt idx="2">
                  <c:v>Optional provisions</c:v>
                </c:pt>
              </c:strCache>
            </c:strRef>
          </c:cat>
          <c:val>
            <c:numRef>
              <c:f>Sheet1!$C$32:$C$34</c:f>
              <c:numCache>
                <c:formatCode>General</c:formatCode>
                <c:ptCount val="3"/>
                <c:pt idx="0">
                  <c:v>25</c:v>
                </c:pt>
                <c:pt idx="1">
                  <c:v>9</c:v>
                </c:pt>
                <c:pt idx="2">
                  <c:v>11</c:v>
                </c:pt>
              </c:numCache>
            </c:numRef>
          </c:val>
          <c:extLst>
            <c:ext xmlns:c16="http://schemas.microsoft.com/office/drawing/2014/chart" uri="{C3380CC4-5D6E-409C-BE32-E72D297353CC}">
              <c16:uniqueId val="{00000006-1C35-4474-969A-B4C0A90E0FF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Sheet1!$C$2</c:f>
              <c:strCache>
                <c:ptCount val="1"/>
                <c:pt idx="0">
                  <c:v>Party of Origin</c:v>
                </c:pt>
              </c:strCache>
            </c:strRef>
          </c:tx>
          <c:spPr>
            <a:solidFill>
              <a:schemeClr val="accent1"/>
            </a:solidFill>
            <a:ln>
              <a:noFill/>
            </a:ln>
            <a:effectLst/>
          </c:spPr>
          <c:invertIfNegative val="0"/>
          <c:cat>
            <c:strRef>
              <c:f>Sheet1!$B$3:$B$7</c:f>
              <c:strCache>
                <c:ptCount val="5"/>
                <c:pt idx="0">
                  <c:v>0</c:v>
                </c:pt>
                <c:pt idx="1">
                  <c:v>1-9</c:v>
                </c:pt>
                <c:pt idx="2">
                  <c:v>10-19</c:v>
                </c:pt>
                <c:pt idx="3">
                  <c:v>20-29</c:v>
                </c:pt>
                <c:pt idx="4">
                  <c:v>30 +</c:v>
                </c:pt>
              </c:strCache>
            </c:strRef>
          </c:cat>
          <c:val>
            <c:numRef>
              <c:f>Sheet1!$C$3:$C$7</c:f>
              <c:numCache>
                <c:formatCode>General</c:formatCode>
                <c:ptCount val="5"/>
                <c:pt idx="0">
                  <c:v>9</c:v>
                </c:pt>
                <c:pt idx="1">
                  <c:v>21</c:v>
                </c:pt>
                <c:pt idx="2">
                  <c:v>3</c:v>
                </c:pt>
                <c:pt idx="3">
                  <c:v>0</c:v>
                </c:pt>
                <c:pt idx="4">
                  <c:v>1</c:v>
                </c:pt>
              </c:numCache>
            </c:numRef>
          </c:val>
          <c:extLst>
            <c:ext xmlns:c16="http://schemas.microsoft.com/office/drawing/2014/chart" uri="{C3380CC4-5D6E-409C-BE32-E72D297353CC}">
              <c16:uniqueId val="{00000000-0933-4651-B507-BC44566FD55B}"/>
            </c:ext>
          </c:extLst>
        </c:ser>
        <c:ser>
          <c:idx val="1"/>
          <c:order val="1"/>
          <c:tx>
            <c:strRef>
              <c:f>Sheet1!$D$2</c:f>
              <c:strCache>
                <c:ptCount val="1"/>
                <c:pt idx="0">
                  <c:v>Affected Party</c:v>
                </c:pt>
              </c:strCache>
            </c:strRef>
          </c:tx>
          <c:spPr>
            <a:solidFill>
              <a:schemeClr val="accent2"/>
            </a:solidFill>
            <a:ln>
              <a:noFill/>
            </a:ln>
            <a:effectLst/>
          </c:spPr>
          <c:invertIfNegative val="0"/>
          <c:cat>
            <c:strRef>
              <c:f>Sheet1!$B$3:$B$7</c:f>
              <c:strCache>
                <c:ptCount val="5"/>
                <c:pt idx="0">
                  <c:v>0</c:v>
                </c:pt>
                <c:pt idx="1">
                  <c:v>1-9</c:v>
                </c:pt>
                <c:pt idx="2">
                  <c:v>10-19</c:v>
                </c:pt>
                <c:pt idx="3">
                  <c:v>20-29</c:v>
                </c:pt>
                <c:pt idx="4">
                  <c:v>30 +</c:v>
                </c:pt>
              </c:strCache>
            </c:strRef>
          </c:cat>
          <c:val>
            <c:numRef>
              <c:f>Sheet1!$D$3:$D$7</c:f>
              <c:numCache>
                <c:formatCode>General</c:formatCode>
                <c:ptCount val="5"/>
                <c:pt idx="0">
                  <c:v>3</c:v>
                </c:pt>
                <c:pt idx="1">
                  <c:v>14</c:v>
                </c:pt>
                <c:pt idx="2">
                  <c:v>4</c:v>
                </c:pt>
                <c:pt idx="3">
                  <c:v>0</c:v>
                </c:pt>
                <c:pt idx="4">
                  <c:v>2</c:v>
                </c:pt>
              </c:numCache>
            </c:numRef>
          </c:val>
          <c:extLst>
            <c:ext xmlns:c16="http://schemas.microsoft.com/office/drawing/2014/chart" uri="{C3380CC4-5D6E-409C-BE32-E72D297353CC}">
              <c16:uniqueId val="{00000001-0933-4651-B507-BC44566FD55B}"/>
            </c:ext>
          </c:extLst>
        </c:ser>
        <c:dLbls>
          <c:showLegendKey val="0"/>
          <c:showVal val="0"/>
          <c:showCatName val="0"/>
          <c:showSerName val="0"/>
          <c:showPercent val="0"/>
          <c:showBubbleSize val="0"/>
        </c:dLbls>
        <c:gapWidth val="182"/>
        <c:axId val="93508943"/>
        <c:axId val="93510767"/>
      </c:barChart>
      <c:catAx>
        <c:axId val="93508943"/>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baseline="0">
                    <a:effectLst/>
                  </a:rPr>
                  <a:t>Number of transboundary procedures</a:t>
                </a:r>
                <a:endParaRPr lang="en-US" sz="900"/>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10767"/>
        <c:crosses val="autoZero"/>
        <c:auto val="1"/>
        <c:lblAlgn val="ctr"/>
        <c:lblOffset val="100"/>
        <c:noMultiLvlLbl val="0"/>
      </c:catAx>
      <c:valAx>
        <c:axId val="9351076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baseline="0">
                    <a:effectLst/>
                  </a:rPr>
                  <a:t>Number of responses</a:t>
                </a:r>
                <a:endParaRPr lang="en-US" sz="900"/>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08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Sheet1!$C$77:$C$79</c:f>
              <c:strCache>
                <c:ptCount val="3"/>
                <c:pt idx="0">
                  <c:v>English</c:v>
                </c:pt>
                <c:pt idx="1">
                  <c:v>Affected Party’s language </c:v>
                </c:pt>
                <c:pt idx="2">
                  <c:v>Other</c:v>
                </c:pt>
              </c:strCache>
            </c:strRef>
          </c:cat>
          <c:val>
            <c:numRef>
              <c:f>Sheet1!$D$77:$D$79</c:f>
              <c:numCache>
                <c:formatCode>General</c:formatCode>
                <c:ptCount val="3"/>
                <c:pt idx="0">
                  <c:v>21</c:v>
                </c:pt>
                <c:pt idx="1">
                  <c:v>21</c:v>
                </c:pt>
                <c:pt idx="2">
                  <c:v>7</c:v>
                </c:pt>
              </c:numCache>
            </c:numRef>
          </c:val>
          <c:extLst>
            <c:ext xmlns:c16="http://schemas.microsoft.com/office/drawing/2014/chart" uri="{C3380CC4-5D6E-409C-BE32-E72D297353CC}">
              <c16:uniqueId val="{00000000-5F51-4C3F-A26D-46DF8300DED6}"/>
            </c:ext>
          </c:extLst>
        </c:ser>
        <c:dLbls>
          <c:showLegendKey val="0"/>
          <c:showVal val="0"/>
          <c:showCatName val="0"/>
          <c:showSerName val="0"/>
          <c:showPercent val="0"/>
          <c:showBubbleSize val="0"/>
        </c:dLbls>
        <c:gapWidth val="182"/>
        <c:axId val="231808176"/>
        <c:axId val="234308640"/>
      </c:barChart>
      <c:catAx>
        <c:axId val="231808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308640"/>
        <c:crosses val="autoZero"/>
        <c:auto val="1"/>
        <c:lblAlgn val="ctr"/>
        <c:lblOffset val="100"/>
        <c:noMultiLvlLbl val="0"/>
      </c:catAx>
      <c:valAx>
        <c:axId val="234308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80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ctr" anchorCtr="0"/>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Sheet1!$C$81:$C$83</c:f>
              <c:strCache>
                <c:ptCount val="3"/>
                <c:pt idx="0">
                  <c:v>English</c:v>
                </c:pt>
                <c:pt idx="1">
                  <c:v>Party of Origin's language</c:v>
                </c:pt>
                <c:pt idx="2">
                  <c:v>Other</c:v>
                </c:pt>
              </c:strCache>
            </c:strRef>
          </c:cat>
          <c:val>
            <c:numRef>
              <c:f>Sheet1!$D$81:$D$83</c:f>
              <c:numCache>
                <c:formatCode>General</c:formatCode>
                <c:ptCount val="3"/>
                <c:pt idx="0">
                  <c:v>14</c:v>
                </c:pt>
                <c:pt idx="1">
                  <c:v>10</c:v>
                </c:pt>
                <c:pt idx="2">
                  <c:v>8</c:v>
                </c:pt>
              </c:numCache>
            </c:numRef>
          </c:val>
          <c:extLst>
            <c:ext xmlns:c16="http://schemas.microsoft.com/office/drawing/2014/chart" uri="{C3380CC4-5D6E-409C-BE32-E72D297353CC}">
              <c16:uniqueId val="{00000000-93BC-4991-9D77-7B5CBB6D3A15}"/>
            </c:ext>
          </c:extLst>
        </c:ser>
        <c:dLbls>
          <c:showLegendKey val="0"/>
          <c:showVal val="0"/>
          <c:showCatName val="0"/>
          <c:showSerName val="0"/>
          <c:showPercent val="0"/>
          <c:showBubbleSize val="0"/>
        </c:dLbls>
        <c:gapWidth val="182"/>
        <c:axId val="554331512"/>
        <c:axId val="554330856"/>
      </c:barChart>
      <c:catAx>
        <c:axId val="554331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330856"/>
        <c:crosses val="autoZero"/>
        <c:auto val="1"/>
        <c:lblAlgn val="ctr"/>
        <c:lblOffset val="100"/>
        <c:noMultiLvlLbl val="0"/>
      </c:catAx>
      <c:valAx>
        <c:axId val="554330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331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Sheet1!$B$41</c:f>
              <c:strCache>
                <c:ptCount val="1"/>
                <c:pt idx="0">
                  <c:v>Yes</c:v>
                </c:pt>
              </c:strCache>
            </c:strRef>
          </c:tx>
          <c:spPr>
            <a:solidFill>
              <a:schemeClr val="accent1"/>
            </a:solidFill>
            <a:ln>
              <a:noFill/>
            </a:ln>
            <a:effectLst/>
          </c:spPr>
          <c:invertIfNegative val="0"/>
          <c:cat>
            <c:strRef>
              <c:f>Sheet1!$C$40:$E$40</c:f>
              <c:strCache>
                <c:ptCount val="3"/>
                <c:pt idx="0">
                  <c:v>(a)</c:v>
                </c:pt>
                <c:pt idx="1">
                  <c:v>(b)</c:v>
                </c:pt>
                <c:pt idx="2">
                  <c:v>(c)</c:v>
                </c:pt>
              </c:strCache>
            </c:strRef>
          </c:cat>
          <c:val>
            <c:numRef>
              <c:f>Sheet1!$C$41:$E$41</c:f>
              <c:numCache>
                <c:formatCode>General</c:formatCode>
                <c:ptCount val="3"/>
                <c:pt idx="0">
                  <c:v>17</c:v>
                </c:pt>
                <c:pt idx="1">
                  <c:v>4</c:v>
                </c:pt>
                <c:pt idx="2">
                  <c:v>15</c:v>
                </c:pt>
              </c:numCache>
            </c:numRef>
          </c:val>
          <c:extLst>
            <c:ext xmlns:c16="http://schemas.microsoft.com/office/drawing/2014/chart" uri="{C3380CC4-5D6E-409C-BE32-E72D297353CC}">
              <c16:uniqueId val="{00000000-69E5-4427-BD31-E5D05D2BE4B5}"/>
            </c:ext>
          </c:extLst>
        </c:ser>
        <c:ser>
          <c:idx val="1"/>
          <c:order val="1"/>
          <c:tx>
            <c:strRef>
              <c:f>Sheet1!$B$42</c:f>
              <c:strCache>
                <c:ptCount val="1"/>
                <c:pt idx="0">
                  <c:v>No</c:v>
                </c:pt>
              </c:strCache>
            </c:strRef>
          </c:tx>
          <c:spPr>
            <a:solidFill>
              <a:schemeClr val="accent2"/>
            </a:solidFill>
            <a:ln>
              <a:noFill/>
            </a:ln>
            <a:effectLst/>
          </c:spPr>
          <c:invertIfNegative val="0"/>
          <c:cat>
            <c:strRef>
              <c:f>Sheet1!$C$40:$E$40</c:f>
              <c:strCache>
                <c:ptCount val="3"/>
                <c:pt idx="0">
                  <c:v>(a)</c:v>
                </c:pt>
                <c:pt idx="1">
                  <c:v>(b)</c:v>
                </c:pt>
                <c:pt idx="2">
                  <c:v>(c)</c:v>
                </c:pt>
              </c:strCache>
            </c:strRef>
          </c:cat>
          <c:val>
            <c:numRef>
              <c:f>Sheet1!$C$42:$E$42</c:f>
              <c:numCache>
                <c:formatCode>General</c:formatCode>
                <c:ptCount val="3"/>
                <c:pt idx="0">
                  <c:v>24</c:v>
                </c:pt>
                <c:pt idx="1">
                  <c:v>37</c:v>
                </c:pt>
                <c:pt idx="2">
                  <c:v>23</c:v>
                </c:pt>
              </c:numCache>
            </c:numRef>
          </c:val>
          <c:extLst>
            <c:ext xmlns:c16="http://schemas.microsoft.com/office/drawing/2014/chart" uri="{C3380CC4-5D6E-409C-BE32-E72D297353CC}">
              <c16:uniqueId val="{00000001-69E5-4427-BD31-E5D05D2BE4B5}"/>
            </c:ext>
          </c:extLst>
        </c:ser>
        <c:dLbls>
          <c:showLegendKey val="0"/>
          <c:showVal val="0"/>
          <c:showCatName val="0"/>
          <c:showSerName val="0"/>
          <c:showPercent val="0"/>
          <c:showBubbleSize val="0"/>
        </c:dLbls>
        <c:gapWidth val="75"/>
        <c:overlap val="100"/>
        <c:axId val="192826688"/>
        <c:axId val="192828368"/>
      </c:barChart>
      <c:catAx>
        <c:axId val="192826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baseline="0">
                    <a:effectLst/>
                    <a:latin typeface="Times" pitchFamily="2" charset="0"/>
                  </a:rPr>
                  <a:t>(a) Guidance on Public Participation in EIA in a Transboundary Context (n=41); (b) Guidance on Subregional Cooperation (n=41); (c) Guidance on the Practical Application of the Convention (n=3)</a:t>
                </a:r>
                <a:endParaRPr lang="en-US">
                  <a:latin typeface="Times" pitchFamily="2"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828368"/>
        <c:crosses val="autoZero"/>
        <c:auto val="1"/>
        <c:lblAlgn val="ctr"/>
        <c:lblOffset val="100"/>
        <c:noMultiLvlLbl val="0"/>
      </c:catAx>
      <c:valAx>
        <c:axId val="1928283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responses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8266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600A6-A92B-417D-A576-6FFEECDE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7845</Words>
  <Characters>44718</Characters>
  <Application>Microsoft Office Word</Application>
  <DocSecurity>4</DocSecurity>
  <Lines>372</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ECE/MP.EIA/WG.2/2019/3</vt:lpstr>
      <vt:lpstr/>
    </vt:vector>
  </TitlesOfParts>
  <Company>CSD</Company>
  <LinksUpToDate>false</LinksUpToDate>
  <CharactersWithSpaces>52459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ECE/MP.EIA/WG.2/2019/3</dc:title>
  <dc:subject>1915893</dc:subject>
  <dc:creator>Elizabeth James</dc:creator>
  <cp:keywords/>
  <dc:description/>
  <cp:lastModifiedBy>Elisabeth James</cp:lastModifiedBy>
  <cp:revision>2</cp:revision>
  <cp:lastPrinted>2019-10-10T10:23:00Z</cp:lastPrinted>
  <dcterms:created xsi:type="dcterms:W3CDTF">2019-10-14T12:26:00Z</dcterms:created>
  <dcterms:modified xsi:type="dcterms:W3CDTF">2019-10-14T12:26:00Z</dcterms:modified>
</cp:coreProperties>
</file>