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ED21" w14:textId="77777777" w:rsidR="006C1115" w:rsidRPr="007B7A39" w:rsidRDefault="006C1115" w:rsidP="00B36272">
      <w:pPr>
        <w:rPr>
          <w:b/>
          <w:sz w:val="24"/>
          <w:szCs w:val="24"/>
        </w:rPr>
      </w:pPr>
      <w:r w:rsidRPr="007B7A39">
        <w:rPr>
          <w:b/>
          <w:sz w:val="24"/>
          <w:szCs w:val="24"/>
        </w:rPr>
        <w:t>Economic Commission for Europe</w:t>
      </w:r>
    </w:p>
    <w:p w14:paraId="3BA7CCA0" w14:textId="14606EC9" w:rsidR="006C1115" w:rsidRPr="007B7A39" w:rsidRDefault="006C1115" w:rsidP="00B36272">
      <w:pPr>
        <w:spacing w:line="240" w:lineRule="auto"/>
        <w:rPr>
          <w:bCs/>
          <w:sz w:val="24"/>
          <w:szCs w:val="24"/>
        </w:rPr>
      </w:pPr>
      <w:r w:rsidRPr="007B7A39">
        <w:rPr>
          <w:bCs/>
          <w:sz w:val="24"/>
          <w:szCs w:val="24"/>
        </w:rPr>
        <w:t xml:space="preserve">Meeting of the Parties to the Convention </w:t>
      </w:r>
      <w:r w:rsidRPr="007B7A39">
        <w:rPr>
          <w:bCs/>
          <w:sz w:val="24"/>
          <w:szCs w:val="24"/>
        </w:rPr>
        <w:br/>
        <w:t xml:space="preserve">on Environmental Impact Assessment </w:t>
      </w:r>
      <w:r w:rsidRPr="007B7A39">
        <w:rPr>
          <w:bCs/>
          <w:sz w:val="24"/>
          <w:szCs w:val="24"/>
        </w:rPr>
        <w:br/>
        <w:t>in a Transboundary Context</w:t>
      </w:r>
      <w:r w:rsidR="00B61EDD">
        <w:rPr>
          <w:bCs/>
          <w:sz w:val="24"/>
          <w:szCs w:val="24"/>
        </w:rPr>
        <w:br/>
      </w:r>
    </w:p>
    <w:p w14:paraId="5BEC20A4" w14:textId="045FC33F" w:rsidR="006C1115" w:rsidRPr="007B7A39" w:rsidRDefault="006C1115" w:rsidP="001C49DA">
      <w:pPr>
        <w:rPr>
          <w:b/>
          <w:bCs/>
          <w:sz w:val="24"/>
          <w:szCs w:val="24"/>
        </w:rPr>
      </w:pPr>
      <w:r w:rsidRPr="007B7A39">
        <w:rPr>
          <w:bCs/>
          <w:sz w:val="24"/>
          <w:szCs w:val="24"/>
        </w:rPr>
        <w:t xml:space="preserve">Meeting of the Parties to the Convention </w:t>
      </w:r>
      <w:r w:rsidRPr="007B7A39">
        <w:rPr>
          <w:bCs/>
          <w:sz w:val="24"/>
          <w:szCs w:val="24"/>
        </w:rPr>
        <w:br/>
        <w:t xml:space="preserve">on Environmental Impact Assessment in </w:t>
      </w:r>
      <w:r w:rsidRPr="007B7A39">
        <w:rPr>
          <w:bCs/>
          <w:sz w:val="24"/>
          <w:szCs w:val="24"/>
        </w:rPr>
        <w:br/>
        <w:t xml:space="preserve">a Transboundary Context serving as the </w:t>
      </w:r>
      <w:r w:rsidRPr="007B7A39">
        <w:rPr>
          <w:bCs/>
          <w:sz w:val="24"/>
          <w:szCs w:val="24"/>
        </w:rPr>
        <w:br/>
        <w:t xml:space="preserve">Meeting of the Parties to the Protocol on </w:t>
      </w:r>
      <w:r w:rsidRPr="007B7A39">
        <w:rPr>
          <w:bCs/>
          <w:sz w:val="24"/>
          <w:szCs w:val="24"/>
        </w:rPr>
        <w:br/>
        <w:t>Strategic Environmental Assessment</w:t>
      </w:r>
      <w:r w:rsidR="001C49DA">
        <w:rPr>
          <w:bCs/>
          <w:sz w:val="24"/>
          <w:szCs w:val="24"/>
        </w:rPr>
        <w:br/>
      </w:r>
    </w:p>
    <w:p w14:paraId="0CAD2240" w14:textId="5286CC77" w:rsidR="006C1115" w:rsidRDefault="006C1115" w:rsidP="006C2C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Group on Environmental Impact Assessment</w:t>
      </w:r>
      <w:r>
        <w:rPr>
          <w:b/>
          <w:sz w:val="24"/>
          <w:szCs w:val="24"/>
        </w:rPr>
        <w:br/>
        <w:t>and Strategic Environmental Assessment</w:t>
      </w:r>
      <w:r w:rsidR="00B61EDD">
        <w:rPr>
          <w:b/>
          <w:sz w:val="24"/>
          <w:szCs w:val="24"/>
        </w:rPr>
        <w:br/>
      </w:r>
    </w:p>
    <w:p w14:paraId="66E8127D" w14:textId="415DC8E8" w:rsidR="006C1115" w:rsidRPr="00327213" w:rsidRDefault="006C1115" w:rsidP="006C1115">
      <w:pPr>
        <w:rPr>
          <w:b/>
        </w:rPr>
      </w:pPr>
      <w:r>
        <w:rPr>
          <w:b/>
        </w:rPr>
        <w:t>Seventh meeting</w:t>
      </w:r>
    </w:p>
    <w:p w14:paraId="701A2F0E" w14:textId="23CCE7BE" w:rsidR="006C1115" w:rsidRPr="00327213" w:rsidRDefault="006C1115" w:rsidP="006C1115">
      <w:r w:rsidRPr="00327213">
        <w:t xml:space="preserve">Geneva, </w:t>
      </w:r>
      <w:r>
        <w:t>28</w:t>
      </w:r>
      <w:r w:rsidR="00B61EDD">
        <w:t>–</w:t>
      </w:r>
      <w:r>
        <w:t>30 May</w:t>
      </w:r>
      <w:r w:rsidRPr="00327213">
        <w:t xml:space="preserve"> 201</w:t>
      </w:r>
      <w:r>
        <w:t>8</w:t>
      </w:r>
    </w:p>
    <w:p w14:paraId="378C30A3" w14:textId="77777777" w:rsidR="006C1115" w:rsidRPr="00327213" w:rsidRDefault="006C1115" w:rsidP="006C1115">
      <w:r w:rsidRPr="00327213">
        <w:t xml:space="preserve">Item </w:t>
      </w:r>
      <w:r>
        <w:t>3</w:t>
      </w:r>
      <w:r w:rsidRPr="00327213">
        <w:t xml:space="preserve"> of the provisional agenda</w:t>
      </w:r>
    </w:p>
    <w:p w14:paraId="18329D22" w14:textId="77777777" w:rsidR="006C1115" w:rsidRPr="007B7A39" w:rsidRDefault="006C1115" w:rsidP="006C1115">
      <w:pPr>
        <w:rPr>
          <w:b/>
          <w:bCs/>
        </w:rPr>
      </w:pPr>
      <w:r>
        <w:rPr>
          <w:b/>
          <w:bCs/>
        </w:rPr>
        <w:t>Compliance and implementation</w:t>
      </w:r>
    </w:p>
    <w:p w14:paraId="62F753A6" w14:textId="2C8305BE" w:rsidR="00124384" w:rsidRDefault="00D15615" w:rsidP="005463A0">
      <w:pPr>
        <w:pStyle w:val="HChG"/>
      </w:pPr>
      <w:r>
        <w:tab/>
      </w:r>
      <w:r>
        <w:tab/>
      </w:r>
      <w:r w:rsidR="001C49DA">
        <w:t>D</w:t>
      </w:r>
      <w:r w:rsidRPr="00C00713">
        <w:t>raft decision IS/1a</w:t>
      </w:r>
      <w:r>
        <w:t xml:space="preserve"> on c</w:t>
      </w:r>
      <w:r w:rsidRPr="00316317">
        <w:t xml:space="preserve">ompliance by Armenia with its obligations under the Convention </w:t>
      </w:r>
      <w:proofErr w:type="gramStart"/>
      <w:r>
        <w:t>with regard to</w:t>
      </w:r>
      <w:proofErr w:type="gramEnd"/>
      <w:r>
        <w:t xml:space="preserve"> its n</w:t>
      </w:r>
      <w:r w:rsidRPr="00316317">
        <w:t>ational legislation</w:t>
      </w:r>
    </w:p>
    <w:p w14:paraId="4550FFDD" w14:textId="2C4CE671" w:rsidR="006C1115" w:rsidRDefault="00C40613" w:rsidP="000A0CAD">
      <w:pPr>
        <w:pStyle w:val="HChG"/>
      </w:pPr>
      <w:r>
        <w:tab/>
      </w:r>
      <w:r>
        <w:tab/>
      </w:r>
      <w:r w:rsidR="000C4882">
        <w:tab/>
      </w:r>
      <w:r w:rsidRPr="00316317">
        <w:t>Proposal by the Implementation Committee</w:t>
      </w:r>
      <w:r w:rsidR="0088771D">
        <w:rPr>
          <w:rStyle w:val="FootnoteReferenc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C1115" w14:paraId="7BB02110" w14:textId="77777777" w:rsidTr="00D9592B">
        <w:trPr>
          <w:jc w:val="center"/>
        </w:trPr>
        <w:tc>
          <w:tcPr>
            <w:tcW w:w="9629" w:type="dxa"/>
            <w:shd w:val="clear" w:color="auto" w:fill="auto"/>
          </w:tcPr>
          <w:p w14:paraId="0CFA5C35" w14:textId="77777777" w:rsidR="006C1115" w:rsidRPr="00B51933" w:rsidRDefault="006C1115" w:rsidP="0031441E">
            <w:pPr>
              <w:rPr>
                <w:i/>
                <w:sz w:val="24"/>
              </w:rPr>
            </w:pPr>
          </w:p>
        </w:tc>
      </w:tr>
      <w:tr w:rsidR="006C1115" w14:paraId="13A49AF6" w14:textId="77777777" w:rsidTr="00D9592B">
        <w:trPr>
          <w:jc w:val="center"/>
        </w:trPr>
        <w:tc>
          <w:tcPr>
            <w:tcW w:w="9629" w:type="dxa"/>
            <w:shd w:val="clear" w:color="auto" w:fill="auto"/>
          </w:tcPr>
          <w:p w14:paraId="2EF14B6A" w14:textId="4E74A1BF" w:rsidR="006C1115" w:rsidRDefault="006C1115" w:rsidP="00A40189">
            <w:pPr>
              <w:pStyle w:val="SingleTxtG"/>
              <w:ind w:firstLine="566"/>
            </w:pPr>
            <w:r>
              <w:tab/>
            </w:r>
            <w:r w:rsidRPr="009A3684">
              <w:t>This note p</w:t>
            </w:r>
            <w:r>
              <w:t xml:space="preserve">resents </w:t>
            </w:r>
            <w:r w:rsidRPr="009A3684">
              <w:t xml:space="preserve">draft decision </w:t>
            </w:r>
            <w:r w:rsidRPr="006C1115">
              <w:t xml:space="preserve">IS/1a </w:t>
            </w:r>
            <w:r w:rsidR="00B61EDD">
              <w:t xml:space="preserve">of the Meeting of the Parties to the Convention at its intermediary session </w:t>
            </w:r>
            <w:r w:rsidR="001C49DA">
              <w:t xml:space="preserve">(Geneva, 5–7 February 2019) </w:t>
            </w:r>
            <w:r w:rsidRPr="006C1115">
              <w:t xml:space="preserve">on compliance by Armenia with its obligations under the </w:t>
            </w:r>
            <w:r>
              <w:t xml:space="preserve">Convention </w:t>
            </w:r>
            <w:r w:rsidRPr="006C1115">
              <w:t>with regar</w:t>
            </w:r>
            <w:r>
              <w:t>d to its national legislation</w:t>
            </w:r>
            <w:r w:rsidR="00B61EDD">
              <w:t xml:space="preserve">. </w:t>
            </w:r>
            <w:r w:rsidR="006D1A5D">
              <w:t xml:space="preserve">As mandated by the Meeting of the Parties at its seventh session (Minsk, 13–16 June 2017), the Implementation Committee prepared the draft decision based on its </w:t>
            </w:r>
            <w:r w:rsidR="001C49DA">
              <w:t>review</w:t>
            </w:r>
            <w:r w:rsidR="006D1A5D">
              <w:t xml:space="preserve"> of the relevant paragraphs of dr</w:t>
            </w:r>
            <w:r w:rsidR="001C49DA">
              <w:t>aft decision VII/2</w:t>
            </w:r>
            <w:r w:rsidR="006D1A5D">
              <w:t xml:space="preserve"> </w:t>
            </w:r>
            <w:r w:rsidR="001C49DA">
              <w:t xml:space="preserve">and </w:t>
            </w:r>
            <w:r w:rsidR="006D1A5D">
              <w:t xml:space="preserve">taking into </w:t>
            </w:r>
            <w:r w:rsidR="001C49DA">
              <w:t>account</w:t>
            </w:r>
            <w:r w:rsidR="006D1A5D">
              <w:t xml:space="preserve"> the progress </w:t>
            </w:r>
            <w:r w:rsidR="00CE7736">
              <w:t xml:space="preserve">made </w:t>
            </w:r>
            <w:r w:rsidR="006D1A5D">
              <w:t>before</w:t>
            </w:r>
            <w:r w:rsidR="003A0C5B">
              <w:t xml:space="preserve">, </w:t>
            </w:r>
            <w:r w:rsidR="006D1A5D">
              <w:t xml:space="preserve">during </w:t>
            </w:r>
            <w:r w:rsidR="003A0C5B">
              <w:t xml:space="preserve">and after </w:t>
            </w:r>
            <w:r w:rsidR="006D1A5D">
              <w:t>the</w:t>
            </w:r>
            <w:r w:rsidR="001C49DA">
              <w:t xml:space="preserve"> </w:t>
            </w:r>
            <w:r w:rsidR="006D1A5D">
              <w:t xml:space="preserve">seventh session. </w:t>
            </w:r>
            <w:r w:rsidR="0023722A">
              <w:t>As suggested by the delegation of Ukraine in June 2017, t</w:t>
            </w:r>
            <w:r w:rsidR="003A0C5B">
              <w:t xml:space="preserve">he Committee decided to present the general and </w:t>
            </w:r>
            <w:r w:rsidR="0023722A">
              <w:t xml:space="preserve">the </w:t>
            </w:r>
            <w:r w:rsidR="003A0C5B">
              <w:t xml:space="preserve">country specific </w:t>
            </w:r>
            <w:r w:rsidR="009A02C4">
              <w:t xml:space="preserve">draft </w:t>
            </w:r>
            <w:r w:rsidR="003A0C5B">
              <w:t xml:space="preserve">decisions in separate documents to facilitate their </w:t>
            </w:r>
            <w:r w:rsidR="0023722A">
              <w:t xml:space="preserve">subsequent </w:t>
            </w:r>
            <w:r w:rsidR="003A0C5B">
              <w:t xml:space="preserve">consideration and adoption by the Meeting of the Parties. </w:t>
            </w:r>
          </w:p>
          <w:p w14:paraId="79E6EADC" w14:textId="3F6B6C7A" w:rsidR="006C1115" w:rsidRDefault="00A40189" w:rsidP="0031441E">
            <w:pPr>
              <w:pStyle w:val="SingleTxtG"/>
            </w:pPr>
            <w:r>
              <w:t xml:space="preserve">            </w:t>
            </w:r>
            <w:r w:rsidR="006C1115">
              <w:t xml:space="preserve">The Chair of the Committee will present the </w:t>
            </w:r>
            <w:r w:rsidR="00D9592B">
              <w:t xml:space="preserve">draft decision </w:t>
            </w:r>
            <w:r w:rsidR="006D1A5D">
              <w:t xml:space="preserve">for information </w:t>
            </w:r>
            <w:r w:rsidR="006C1115" w:rsidRPr="005458EB">
              <w:t xml:space="preserve">to the Working Group on </w:t>
            </w:r>
            <w:r w:rsidR="006D1A5D">
              <w:t>E</w:t>
            </w:r>
            <w:r w:rsidR="006C1115">
              <w:t xml:space="preserve">nvironmental </w:t>
            </w:r>
            <w:r w:rsidR="006D1A5D">
              <w:t>I</w:t>
            </w:r>
            <w:r w:rsidR="006C1115">
              <w:t xml:space="preserve">mpact </w:t>
            </w:r>
            <w:r w:rsidR="006D1A5D">
              <w:t>A</w:t>
            </w:r>
            <w:r w:rsidR="006C1115">
              <w:t xml:space="preserve">ssessment </w:t>
            </w:r>
            <w:r w:rsidR="006C1115" w:rsidRPr="005458EB">
              <w:t xml:space="preserve">and </w:t>
            </w:r>
            <w:r w:rsidR="006D1A5D">
              <w:t>S</w:t>
            </w:r>
            <w:r w:rsidR="006C1115">
              <w:t xml:space="preserve">trategic </w:t>
            </w:r>
            <w:r w:rsidR="006D1A5D">
              <w:t>E</w:t>
            </w:r>
            <w:r w:rsidR="006C1115">
              <w:t xml:space="preserve">nvironmental </w:t>
            </w:r>
            <w:r w:rsidR="006D1A5D">
              <w:t>A</w:t>
            </w:r>
            <w:r w:rsidR="006C1115">
              <w:t>ssessment.</w:t>
            </w:r>
            <w:r w:rsidR="003A0C5B">
              <w:t xml:space="preserve"> The </w:t>
            </w:r>
            <w:r w:rsidR="009A02C4">
              <w:t xml:space="preserve">delegates </w:t>
            </w:r>
            <w:r w:rsidR="003A0C5B">
              <w:t xml:space="preserve">may wish to present </w:t>
            </w:r>
            <w:r w:rsidR="009A02C4">
              <w:t xml:space="preserve">their </w:t>
            </w:r>
            <w:r w:rsidR="003A0C5B">
              <w:t>views on the draft.</w:t>
            </w:r>
          </w:p>
          <w:p w14:paraId="2ACCF375" w14:textId="77EA1D37" w:rsidR="006C1115" w:rsidRDefault="006C1115" w:rsidP="0031441E">
            <w:pPr>
              <w:pStyle w:val="SingleTxtG"/>
            </w:pPr>
            <w:r>
              <w:t xml:space="preserve">            The Committee will finalize the draft decision at its forty-second session (Geneva, 11</w:t>
            </w:r>
            <w:r w:rsidR="003A0C5B">
              <w:t>–</w:t>
            </w:r>
            <w:r>
              <w:t xml:space="preserve">14 September 2018) prior to </w:t>
            </w:r>
            <w:r w:rsidR="003A0C5B">
              <w:t>its</w:t>
            </w:r>
            <w:r>
              <w:t xml:space="preserve"> submission for consideration and adoption </w:t>
            </w:r>
            <w:r w:rsidRPr="009A3684">
              <w:t xml:space="preserve">by </w:t>
            </w:r>
            <w:r>
              <w:t xml:space="preserve">the </w:t>
            </w:r>
            <w:r w:rsidRPr="009A3684">
              <w:t>Meeting of</w:t>
            </w:r>
            <w:r>
              <w:t xml:space="preserve"> the Parties to the Convent</w:t>
            </w:r>
            <w:r w:rsidR="0049211B">
              <w:t>ion at its intermediary session</w:t>
            </w:r>
            <w:r w:rsidRPr="00F451A3">
              <w:t>.</w:t>
            </w:r>
          </w:p>
        </w:tc>
      </w:tr>
      <w:tr w:rsidR="00A40189" w14:paraId="68730A9E" w14:textId="77777777" w:rsidTr="00D9592B">
        <w:trPr>
          <w:jc w:val="center"/>
        </w:trPr>
        <w:tc>
          <w:tcPr>
            <w:tcW w:w="9629" w:type="dxa"/>
            <w:shd w:val="clear" w:color="auto" w:fill="auto"/>
          </w:tcPr>
          <w:p w14:paraId="1ABD3A52" w14:textId="77777777" w:rsidR="00A40189" w:rsidRDefault="00A40189" w:rsidP="003A0C5B">
            <w:pPr>
              <w:pStyle w:val="SingleTxtG"/>
            </w:pPr>
          </w:p>
        </w:tc>
      </w:tr>
    </w:tbl>
    <w:p w14:paraId="2ED6C93E" w14:textId="77777777" w:rsidR="001C49DA" w:rsidRDefault="007A1642" w:rsidP="00132453">
      <w:pPr>
        <w:pStyle w:val="SingleTxtG"/>
      </w:pPr>
      <w:r>
        <w:lastRenderedPageBreak/>
        <w:tab/>
      </w:r>
      <w:r w:rsidR="0028279F">
        <w:tab/>
      </w:r>
    </w:p>
    <w:p w14:paraId="4F74A517" w14:textId="318DFAAF" w:rsidR="00C40613" w:rsidRDefault="00C40613" w:rsidP="006C2CE6">
      <w:pPr>
        <w:pStyle w:val="SingleTxtG"/>
        <w:ind w:firstLine="567"/>
      </w:pPr>
      <w:r w:rsidRPr="00ED3E57">
        <w:rPr>
          <w:i/>
        </w:rPr>
        <w:t>The Meeting of the Parties</w:t>
      </w:r>
      <w:r w:rsidRPr="00316317">
        <w:t xml:space="preserve">, </w:t>
      </w:r>
    </w:p>
    <w:p w14:paraId="48EE3B19" w14:textId="77777777" w:rsidR="00C40613" w:rsidRPr="00774894" w:rsidRDefault="001D44D0" w:rsidP="001D44D0">
      <w:pPr>
        <w:pStyle w:val="SingleTxtG"/>
      </w:pPr>
      <w:r>
        <w:rPr>
          <w:i/>
        </w:rPr>
        <w:tab/>
      </w:r>
      <w:r w:rsidR="0052068C">
        <w:rPr>
          <w:i/>
        </w:rPr>
        <w:tab/>
      </w:r>
      <w:r w:rsidR="00C40613" w:rsidRPr="00A93821">
        <w:rPr>
          <w:i/>
        </w:rPr>
        <w:t>Recalling</w:t>
      </w:r>
      <w:r w:rsidR="00C40613" w:rsidRPr="00316317">
        <w:t xml:space="preserve"> </w:t>
      </w:r>
      <w:r w:rsidR="00C40613" w:rsidRPr="00774894">
        <w:t xml:space="preserve">article 11, paragraph 2, and article 14 </w:t>
      </w:r>
      <w:proofErr w:type="spellStart"/>
      <w:r w:rsidR="00C40613" w:rsidRPr="00774894">
        <w:t>bis</w:t>
      </w:r>
      <w:proofErr w:type="spellEnd"/>
      <w:r w:rsidR="00C40613" w:rsidRPr="00774894">
        <w:t xml:space="preserve"> of the Convention on Environmental Impact Assessment in a Transboundary Context (Espoo Convention),</w:t>
      </w:r>
    </w:p>
    <w:p w14:paraId="765DFC74" w14:textId="77777777" w:rsidR="00C40613" w:rsidRPr="00774894" w:rsidRDefault="001D44D0" w:rsidP="001D44D0">
      <w:pPr>
        <w:pStyle w:val="SingleTxtG"/>
      </w:pPr>
      <w:r>
        <w:rPr>
          <w:i/>
        </w:rPr>
        <w:tab/>
      </w:r>
      <w:r w:rsidR="0052068C">
        <w:rPr>
          <w:i/>
        </w:rPr>
        <w:tab/>
      </w:r>
      <w:r w:rsidR="00C40613" w:rsidRPr="00A93821">
        <w:rPr>
          <w:i/>
        </w:rPr>
        <w:t>Recalling also</w:t>
      </w:r>
      <w:r w:rsidR="00C40613" w:rsidRPr="001D5DD5">
        <w:t xml:space="preserve"> </w:t>
      </w:r>
      <w:r w:rsidR="00C40613" w:rsidRPr="00774894">
        <w:t>its decision IV/2, paragraphs 15–19</w:t>
      </w:r>
      <w:r w:rsidR="00460B47">
        <w:t>,</w:t>
      </w:r>
      <w:r w:rsidR="000B5B1D">
        <w:rPr>
          <w:rStyle w:val="FootnoteReference"/>
        </w:rPr>
        <w:footnoteReference w:id="3"/>
      </w:r>
      <w:r w:rsidR="00C40613" w:rsidRPr="00774894">
        <w:t xml:space="preserve"> </w:t>
      </w:r>
      <w:r w:rsidR="002A1349">
        <w:t xml:space="preserve">its </w:t>
      </w:r>
      <w:r w:rsidR="00C40613" w:rsidRPr="00774894">
        <w:t>decision V/4, paragraphs 27–28</w:t>
      </w:r>
      <w:r w:rsidR="00460B47">
        <w:t>,</w:t>
      </w:r>
      <w:r w:rsidR="0082234B">
        <w:rPr>
          <w:rStyle w:val="FootnoteReference"/>
        </w:rPr>
        <w:footnoteReference w:id="4"/>
      </w:r>
      <w:r w:rsidR="00C40613" w:rsidRPr="00774894">
        <w:t xml:space="preserve"> and </w:t>
      </w:r>
      <w:r w:rsidR="002A1349">
        <w:t xml:space="preserve">its </w:t>
      </w:r>
      <w:r w:rsidR="00C40613" w:rsidRPr="00774894">
        <w:t>decision VI/2, paragraphs 29–35</w:t>
      </w:r>
      <w:r w:rsidR="002A1349">
        <w:t>,</w:t>
      </w:r>
      <w:r w:rsidR="00083C30">
        <w:rPr>
          <w:rStyle w:val="FootnoteReference"/>
        </w:rPr>
        <w:footnoteReference w:id="5"/>
      </w:r>
      <w:r w:rsidR="00C40613" w:rsidRPr="00774894">
        <w:t xml:space="preserve"> concerning compliance by Armenia with regard to its national legislation for the implementation of the Convention,</w:t>
      </w:r>
    </w:p>
    <w:p w14:paraId="0EAAEE32" w14:textId="77777777" w:rsidR="00C40613" w:rsidRPr="00774894" w:rsidRDefault="001D44D0" w:rsidP="001D44D0">
      <w:pPr>
        <w:pStyle w:val="SingleTxtG"/>
      </w:pPr>
      <w:bookmarkStart w:id="0" w:name="_Hlk504650794"/>
      <w:r>
        <w:rPr>
          <w:i/>
        </w:rPr>
        <w:tab/>
      </w:r>
      <w:r w:rsidR="0052068C">
        <w:rPr>
          <w:i/>
        </w:rPr>
        <w:tab/>
      </w:r>
      <w:r w:rsidR="00C40613">
        <w:rPr>
          <w:i/>
        </w:rPr>
        <w:t>R</w:t>
      </w:r>
      <w:r w:rsidR="00C40613" w:rsidRPr="00DA1BB9">
        <w:rPr>
          <w:i/>
        </w:rPr>
        <w:t>ecalling</w:t>
      </w:r>
      <w:r w:rsidR="00C40613">
        <w:rPr>
          <w:i/>
        </w:rPr>
        <w:t xml:space="preserve"> further</w:t>
      </w:r>
      <w:r w:rsidR="00C40613" w:rsidRPr="00DA1BB9">
        <w:rPr>
          <w:i/>
        </w:rPr>
        <w:t xml:space="preserve"> </w:t>
      </w:r>
      <w:r w:rsidR="00C40613" w:rsidRPr="00774894">
        <w:t>its decision at its seventh session (Minsk, 13–16 June 2017) to finalize its deliberations on the review of compliance with the Convention at an intermediary session</w:t>
      </w:r>
      <w:r w:rsidR="007752E9">
        <w:t>,</w:t>
      </w:r>
      <w:r w:rsidR="00C40613" w:rsidRPr="00774894">
        <w:t xml:space="preserve"> based on a revised draft decision </w:t>
      </w:r>
      <w:r w:rsidR="00ED3E57">
        <w:t xml:space="preserve">to be </w:t>
      </w:r>
      <w:r w:rsidR="00C40613" w:rsidRPr="00774894">
        <w:t>prepared by the Implementation Committee</w:t>
      </w:r>
      <w:r w:rsidR="00ED3E57">
        <w:t xml:space="preserve"> and</w:t>
      </w:r>
      <w:r w:rsidR="00C40613" w:rsidRPr="00774894">
        <w:t xml:space="preserve"> taking into account the work carried out and progress achieved before and during </w:t>
      </w:r>
      <w:r w:rsidR="00ED3E57">
        <w:t xml:space="preserve">the seventh </w:t>
      </w:r>
      <w:r w:rsidR="00C40613" w:rsidRPr="00774894">
        <w:t>session</w:t>
      </w:r>
      <w:r w:rsidR="00ED3E57">
        <w:t>,</w:t>
      </w:r>
      <w:r w:rsidR="00E34F1E">
        <w:rPr>
          <w:rStyle w:val="FootnoteReference"/>
        </w:rPr>
        <w:footnoteReference w:id="6"/>
      </w:r>
      <w:r w:rsidR="00C40613" w:rsidRPr="00774894" w:rsidDel="003F0CC6">
        <w:t xml:space="preserve"> </w:t>
      </w:r>
      <w:bookmarkEnd w:id="0"/>
    </w:p>
    <w:p w14:paraId="4E80B7F9" w14:textId="4C3C1F37" w:rsidR="00774894" w:rsidRDefault="001D44D0" w:rsidP="00774894">
      <w:pPr>
        <w:pStyle w:val="SingleTxtG"/>
      </w:pPr>
      <w:r>
        <w:rPr>
          <w:i/>
        </w:rPr>
        <w:tab/>
      </w:r>
      <w:r w:rsidR="0052068C">
        <w:rPr>
          <w:i/>
        </w:rPr>
        <w:tab/>
      </w:r>
      <w:r w:rsidR="00C40613" w:rsidRPr="00A93821">
        <w:rPr>
          <w:i/>
        </w:rPr>
        <w:t>Having considered</w:t>
      </w:r>
      <w:r w:rsidR="00C40613" w:rsidRPr="001D5DD5">
        <w:t xml:space="preserve"> </w:t>
      </w:r>
      <w:r w:rsidR="00C40613" w:rsidRPr="00774894">
        <w:t>paragraphs 22–26 concerning Armenia in the report on the activities of the Implementation Committee to the Meeting of the Parties to the Convention</w:t>
      </w:r>
      <w:r w:rsidR="00ED3E57">
        <w:t xml:space="preserve"> at its seventh session</w:t>
      </w:r>
      <w:r w:rsidR="000B2FB2">
        <w:rPr>
          <w:rStyle w:val="FootnoteReference"/>
        </w:rPr>
        <w:footnoteReference w:id="7"/>
      </w:r>
      <w:r w:rsidR="00C40613" w:rsidRPr="00774894">
        <w:t xml:space="preserve"> </w:t>
      </w:r>
      <w:r w:rsidR="00BF1A34">
        <w:t xml:space="preserve">and </w:t>
      </w:r>
      <w:r w:rsidR="00C40613" w:rsidRPr="00774894">
        <w:t>in the reports of the Committee on its thirty-ninth</w:t>
      </w:r>
      <w:r w:rsidR="00BF1A34">
        <w:t>,</w:t>
      </w:r>
      <w:r w:rsidR="009F1C38">
        <w:rPr>
          <w:rStyle w:val="FootnoteReference"/>
        </w:rPr>
        <w:footnoteReference w:id="8"/>
      </w:r>
      <w:r w:rsidR="00C40613" w:rsidRPr="00774894">
        <w:t xml:space="preserve"> fortieth</w:t>
      </w:r>
      <w:r w:rsidR="005C2A5E">
        <w:rPr>
          <w:rStyle w:val="FootnoteReference"/>
        </w:rPr>
        <w:footnoteReference w:id="9"/>
      </w:r>
      <w:r w:rsidR="00C40613" w:rsidRPr="00774894">
        <w:t>, forty-first</w:t>
      </w:r>
      <w:r w:rsidR="004F3E71">
        <w:rPr>
          <w:rStyle w:val="FootnoteReference"/>
        </w:rPr>
        <w:footnoteReference w:id="10"/>
      </w:r>
      <w:r w:rsidR="00BF1A34">
        <w:t xml:space="preserve"> </w:t>
      </w:r>
      <w:r w:rsidR="005463A0">
        <w:t>[</w:t>
      </w:r>
      <w:r w:rsidR="00C40613" w:rsidRPr="00774894">
        <w:t>and forty-second sessions</w:t>
      </w:r>
      <w:r w:rsidR="00BF1A34">
        <w:t>,</w:t>
      </w:r>
      <w:r w:rsidR="005463A0">
        <w:t>]</w:t>
      </w:r>
      <w:r w:rsidR="00455D4F">
        <w:rPr>
          <w:rStyle w:val="FootnoteReference"/>
        </w:rPr>
        <w:footnoteReference w:id="11"/>
      </w:r>
    </w:p>
    <w:p w14:paraId="3769FE16" w14:textId="77777777" w:rsidR="00B05190" w:rsidRDefault="0052068C" w:rsidP="00B05190">
      <w:pPr>
        <w:pStyle w:val="SingleTxtG"/>
        <w:ind w:firstLine="567"/>
      </w:pPr>
      <w:r>
        <w:tab/>
      </w:r>
      <w:r w:rsidR="00774894">
        <w:tab/>
      </w:r>
      <w:r w:rsidR="00C40613" w:rsidRPr="00E30E74">
        <w:rPr>
          <w:i/>
        </w:rPr>
        <w:t>Acknowledging</w:t>
      </w:r>
      <w:r w:rsidR="00C40613" w:rsidRPr="00316317">
        <w:t xml:space="preserve"> </w:t>
      </w:r>
      <w:r w:rsidR="00C40613" w:rsidRPr="00E30E74">
        <w:rPr>
          <w:rStyle w:val="SingleTxtGChar"/>
        </w:rPr>
        <w:t xml:space="preserve">the technical advice provided by the secretariat to the Government of Armenia to assist </w:t>
      </w:r>
      <w:r w:rsidR="00BC70FB">
        <w:rPr>
          <w:rStyle w:val="SingleTxtGChar"/>
        </w:rPr>
        <w:t xml:space="preserve">the country </w:t>
      </w:r>
      <w:r w:rsidR="00C40613" w:rsidRPr="00E30E74">
        <w:rPr>
          <w:rStyle w:val="SingleTxtGChar"/>
        </w:rPr>
        <w:t>in bringing its legislation in</w:t>
      </w:r>
      <w:r w:rsidR="00BC70FB">
        <w:rPr>
          <w:rStyle w:val="SingleTxtGChar"/>
        </w:rPr>
        <w:t>to</w:t>
      </w:r>
      <w:r w:rsidR="00C40613" w:rsidRPr="00E30E74">
        <w:rPr>
          <w:rStyle w:val="SingleTxtGChar"/>
        </w:rPr>
        <w:t xml:space="preserve"> line with the provisions of the Convention and the Protocol on Strategic Environmental Assessment</w:t>
      </w:r>
      <w:r w:rsidR="00614107">
        <w:rPr>
          <w:rStyle w:val="SingleTxtGChar"/>
        </w:rPr>
        <w:t>,</w:t>
      </w:r>
      <w:r w:rsidR="00C40613" w:rsidRPr="00E30E74">
        <w:rPr>
          <w:rStyle w:val="SingleTxtGChar"/>
        </w:rPr>
        <w:t xml:space="preserve"> further to decision</w:t>
      </w:r>
      <w:r w:rsidR="00BC70FB">
        <w:rPr>
          <w:rStyle w:val="SingleTxtGChar"/>
        </w:rPr>
        <w:t> </w:t>
      </w:r>
      <w:r w:rsidR="00C40613" w:rsidRPr="00E30E74">
        <w:rPr>
          <w:rStyle w:val="SingleTxtGChar"/>
        </w:rPr>
        <w:t>VI/2</w:t>
      </w:r>
      <w:r w:rsidR="00BC70FB">
        <w:rPr>
          <w:rStyle w:val="SingleTxtGChar"/>
        </w:rPr>
        <w:t>,</w:t>
      </w:r>
      <w:r w:rsidR="00C40613" w:rsidRPr="00E30E74">
        <w:rPr>
          <w:rStyle w:val="SingleTxtGChar"/>
        </w:rPr>
        <w:t xml:space="preserve"> paragraph 35,</w:t>
      </w:r>
      <w:r w:rsidR="00B05190" w:rsidRPr="00B05190">
        <w:t xml:space="preserve"> </w:t>
      </w:r>
    </w:p>
    <w:p w14:paraId="54CE4C50" w14:textId="21D304C0" w:rsidR="00B05190" w:rsidRDefault="00B05190" w:rsidP="00B05190">
      <w:pPr>
        <w:pStyle w:val="SingleTxtG"/>
        <w:ind w:firstLine="567"/>
      </w:pPr>
      <w:r w:rsidRPr="005E5FC7">
        <w:t>[</w:t>
      </w:r>
      <w:r w:rsidRPr="0009532E">
        <w:rPr>
          <w:i/>
          <w:iCs/>
        </w:rPr>
        <w:t>Recalling</w:t>
      </w:r>
      <w:r w:rsidRPr="0009532E">
        <w:t xml:space="preserve"> its decision IS/1 on the review of compliance with the Convention adopted at the intermediary session</w:t>
      </w:r>
      <w:r>
        <w:t>,]</w:t>
      </w:r>
    </w:p>
    <w:p w14:paraId="23EE6CCE" w14:textId="6B75FD7F" w:rsidR="008F7BBE" w:rsidRPr="00AF16E2" w:rsidRDefault="008F7BBE" w:rsidP="008F7BBE">
      <w:pPr>
        <w:pStyle w:val="SingleTxtG"/>
        <w:ind w:firstLine="567"/>
        <w:rPr>
          <w:rStyle w:val="SingleTxtGChar"/>
        </w:rPr>
      </w:pPr>
      <w:r>
        <w:rPr>
          <w:rStyle w:val="SingleTxtGChar"/>
          <w:color w:val="000000" w:themeColor="text1"/>
        </w:rPr>
        <w:t>1</w:t>
      </w:r>
      <w:r w:rsidRPr="00BC7928">
        <w:rPr>
          <w:rStyle w:val="SingleTxtGChar"/>
        </w:rPr>
        <w:t>.</w:t>
      </w:r>
      <w:r w:rsidRPr="00BC7928">
        <w:rPr>
          <w:rStyle w:val="SingleTxtGChar"/>
        </w:rPr>
        <w:tab/>
      </w:r>
      <w:r w:rsidRPr="00BC7928">
        <w:rPr>
          <w:rStyle w:val="SingleTxtGChar"/>
          <w:i/>
        </w:rPr>
        <w:t>Appreciates</w:t>
      </w:r>
      <w:r w:rsidRPr="00BC7928">
        <w:rPr>
          <w:rStyle w:val="SingleTxtGChar"/>
        </w:rPr>
        <w:t xml:space="preserve"> the </w:t>
      </w:r>
      <w:r>
        <w:rPr>
          <w:rStyle w:val="SingleTxtGChar"/>
        </w:rPr>
        <w:t xml:space="preserve">regular </w:t>
      </w:r>
      <w:r w:rsidRPr="00BC7928">
        <w:rPr>
          <w:rStyle w:val="SingleTxtGChar"/>
        </w:rPr>
        <w:t xml:space="preserve">reports received from the Government of Armenia </w:t>
      </w:r>
      <w:r w:rsidR="009876D0">
        <w:rPr>
          <w:rStyle w:val="SingleTxtGChar"/>
        </w:rPr>
        <w:t xml:space="preserve">since the </w:t>
      </w:r>
      <w:r w:rsidR="009876D0" w:rsidRPr="00D54925">
        <w:rPr>
          <w:rStyle w:val="SingleTxtGChar"/>
        </w:rPr>
        <w:t>sixth session</w:t>
      </w:r>
      <w:r w:rsidR="009876D0">
        <w:rPr>
          <w:rStyle w:val="SingleTxtGChar"/>
        </w:rPr>
        <w:t xml:space="preserve"> of the Meeting of the Parties (</w:t>
      </w:r>
      <w:r w:rsidR="009876D0">
        <w:t>Geneva, 2–5 June 2014)</w:t>
      </w:r>
      <w:r w:rsidRPr="00AF16E2">
        <w:rPr>
          <w:rStyle w:val="SingleTxtGChar"/>
        </w:rPr>
        <w:t>;</w:t>
      </w:r>
    </w:p>
    <w:p w14:paraId="0CD0EE03" w14:textId="77777777" w:rsidR="008F7BBE" w:rsidRPr="00BC7928" w:rsidRDefault="008F7BBE" w:rsidP="008F7BBE">
      <w:pPr>
        <w:pStyle w:val="SingleTxtG"/>
        <w:ind w:firstLine="567"/>
      </w:pPr>
      <w:r>
        <w:t>2</w:t>
      </w:r>
      <w:r w:rsidRPr="00BC7928">
        <w:t>.</w:t>
      </w:r>
      <w:r w:rsidRPr="00BC7928">
        <w:rPr>
          <w:i/>
        </w:rPr>
        <w:tab/>
        <w:t>Welcomes</w:t>
      </w:r>
      <w:r w:rsidRPr="00BC7928">
        <w:t xml:space="preserve"> the adoption by the Government of Armenia of legislation</w:t>
      </w:r>
      <w:r>
        <w:t xml:space="preserve"> for the implementation of the Convention</w:t>
      </w:r>
      <w:r w:rsidRPr="00BC7928">
        <w:t>, including the regulation on public participation in compliance with the Convention and the Protocol</w:t>
      </w:r>
      <w:r>
        <w:t>,</w:t>
      </w:r>
      <w:r w:rsidRPr="00BC7928">
        <w:t xml:space="preserve"> further to the decision VI/2</w:t>
      </w:r>
      <w:r>
        <w:t>,</w:t>
      </w:r>
      <w:r w:rsidRPr="00BC7928">
        <w:t xml:space="preserve"> paragraph</w:t>
      </w:r>
      <w:r>
        <w:t> </w:t>
      </w:r>
      <w:r w:rsidRPr="00BC7928">
        <w:t>31;</w:t>
      </w:r>
    </w:p>
    <w:p w14:paraId="46478E08" w14:textId="244E5F6A" w:rsidR="008F7BBE" w:rsidRPr="00BC7928" w:rsidRDefault="008F7BBE" w:rsidP="008F7BBE">
      <w:pPr>
        <w:pStyle w:val="SingleTxtG"/>
        <w:ind w:firstLine="567"/>
      </w:pPr>
      <w:r>
        <w:t>3</w:t>
      </w:r>
      <w:r w:rsidRPr="00BC7928">
        <w:t>.</w:t>
      </w:r>
      <w:r w:rsidRPr="00BC7928">
        <w:rPr>
          <w:i/>
        </w:rPr>
        <w:tab/>
        <w:t>Notes</w:t>
      </w:r>
      <w:r>
        <w:t>,</w:t>
      </w:r>
      <w:r w:rsidRPr="00BC7928">
        <w:t xml:space="preserve"> however</w:t>
      </w:r>
      <w:r>
        <w:t>,</w:t>
      </w:r>
      <w:r w:rsidRPr="00BC7928">
        <w:t xml:space="preserve"> some deficiencies in the adopted legislation related to its application; </w:t>
      </w:r>
    </w:p>
    <w:p w14:paraId="42209170" w14:textId="7D8E481C" w:rsidR="008F7BBE" w:rsidRPr="00BC7928" w:rsidRDefault="008F7BBE" w:rsidP="008F7BBE">
      <w:pPr>
        <w:pStyle w:val="SingleTxtG"/>
        <w:ind w:firstLine="567"/>
      </w:pPr>
      <w:r w:rsidRPr="00BC7928">
        <w:t>4.</w:t>
      </w:r>
      <w:r w:rsidRPr="00BC7928">
        <w:tab/>
      </w:r>
      <w:r w:rsidRPr="00173D84">
        <w:rPr>
          <w:i/>
        </w:rPr>
        <w:t>Takes n</w:t>
      </w:r>
      <w:r w:rsidRPr="005A097D">
        <w:rPr>
          <w:i/>
        </w:rPr>
        <w:t>ote</w:t>
      </w:r>
      <w:r w:rsidRPr="00BC7928">
        <w:rPr>
          <w:i/>
        </w:rPr>
        <w:t xml:space="preserve"> with appreciation</w:t>
      </w:r>
      <w:r w:rsidRPr="00BC7928">
        <w:t xml:space="preserve"> </w:t>
      </w:r>
      <w:r>
        <w:t xml:space="preserve">of </w:t>
      </w:r>
      <w:r w:rsidRPr="00BC7928">
        <w:t xml:space="preserve">efforts </w:t>
      </w:r>
      <w:r>
        <w:t xml:space="preserve">undertaken by </w:t>
      </w:r>
      <w:r w:rsidRPr="00BC7928">
        <w:t xml:space="preserve">Armenia to address the deficiencies referred in paragraph </w:t>
      </w:r>
      <w:r w:rsidR="008467FE">
        <w:t>3</w:t>
      </w:r>
      <w:r w:rsidRPr="00BC7928">
        <w:t xml:space="preserve"> </w:t>
      </w:r>
      <w:r>
        <w:t xml:space="preserve">above </w:t>
      </w:r>
      <w:r w:rsidRPr="00BC7928">
        <w:t xml:space="preserve">by amending its legislation and drafting secondary </w:t>
      </w:r>
      <w:r w:rsidR="008467FE">
        <w:t>legislation</w:t>
      </w:r>
      <w:r w:rsidRPr="00BC7928">
        <w:t xml:space="preserve">; </w:t>
      </w:r>
    </w:p>
    <w:p w14:paraId="767848EE" w14:textId="6842E5E6" w:rsidR="008F7BBE" w:rsidRPr="00BC7928" w:rsidRDefault="008615D3" w:rsidP="008F7BBE">
      <w:pPr>
        <w:pStyle w:val="SingleTxtG"/>
        <w:ind w:firstLine="567"/>
      </w:pPr>
      <w:r>
        <w:t>5</w:t>
      </w:r>
      <w:r w:rsidR="008F7BBE" w:rsidRPr="00BC7928">
        <w:t>.</w:t>
      </w:r>
      <w:r w:rsidR="008F7BBE" w:rsidRPr="00BC7928">
        <w:tab/>
      </w:r>
      <w:r w:rsidR="008F7BBE" w:rsidRPr="00BC7928">
        <w:rPr>
          <w:i/>
        </w:rPr>
        <w:t>Requests</w:t>
      </w:r>
      <w:r w:rsidR="008F7BBE" w:rsidRPr="00BC7928">
        <w:t xml:space="preserve"> Armenia to enhance distinction between the </w:t>
      </w:r>
      <w:r w:rsidR="008F7BBE">
        <w:t>environmental impact assessment</w:t>
      </w:r>
      <w:r w:rsidR="008F7BBE" w:rsidRPr="00BC7928">
        <w:t xml:space="preserve"> and </w:t>
      </w:r>
      <w:r w:rsidR="008F7BBE">
        <w:t xml:space="preserve">strategic environmental assessment </w:t>
      </w:r>
      <w:r w:rsidR="008F7BBE" w:rsidRPr="00BC7928">
        <w:t xml:space="preserve">procedures to facilitate practical </w:t>
      </w:r>
      <w:r w:rsidR="008F7BBE" w:rsidRPr="00BC7928">
        <w:lastRenderedPageBreak/>
        <w:t>application of the legislation based on the recommendations of the international consultants to the secretariat;</w:t>
      </w:r>
    </w:p>
    <w:p w14:paraId="7F92CB18" w14:textId="082CCF5F" w:rsidR="008F7BBE" w:rsidRDefault="00D2528F" w:rsidP="008F7BBE">
      <w:pPr>
        <w:pStyle w:val="SingleTxtG"/>
        <w:ind w:firstLine="567"/>
      </w:pPr>
      <w:r>
        <w:t>6</w:t>
      </w:r>
      <w:r w:rsidR="008F7BBE" w:rsidRPr="00BC7928">
        <w:t>.</w:t>
      </w:r>
      <w:r w:rsidR="008F7BBE" w:rsidRPr="00BC7928">
        <w:tab/>
      </w:r>
      <w:r w:rsidR="008F7BBE" w:rsidRPr="0096723F">
        <w:rPr>
          <w:i/>
        </w:rPr>
        <w:t xml:space="preserve">Invites </w:t>
      </w:r>
      <w:r w:rsidR="008F7BBE" w:rsidRPr="0096723F">
        <w:t xml:space="preserve">the Government of Armenia to adopt the proposed amendments to the legislation and the secondary </w:t>
      </w:r>
      <w:r w:rsidR="008467FE">
        <w:t>legislation</w:t>
      </w:r>
      <w:r w:rsidR="008F7BBE" w:rsidRPr="0096723F">
        <w:t xml:space="preserve"> without delay and inform the </w:t>
      </w:r>
      <w:r w:rsidR="008F7BBE">
        <w:t xml:space="preserve">Implementation </w:t>
      </w:r>
      <w:r w:rsidR="008F7BBE" w:rsidRPr="0096723F">
        <w:t>Committee on the progress made</w:t>
      </w:r>
      <w:r w:rsidR="008F7BBE" w:rsidRPr="00BC7928">
        <w:t>;</w:t>
      </w:r>
    </w:p>
    <w:p w14:paraId="3D8642A4" w14:textId="07FD28D0" w:rsidR="008F7BBE" w:rsidRDefault="00D2528F" w:rsidP="008F7BBE">
      <w:pPr>
        <w:pStyle w:val="SingleTxtG"/>
        <w:ind w:firstLine="567"/>
      </w:pPr>
      <w:r>
        <w:t>7</w:t>
      </w:r>
      <w:r w:rsidR="008F7BBE" w:rsidRPr="00BC7928">
        <w:t>.</w:t>
      </w:r>
      <w:r w:rsidR="008F7BBE" w:rsidRPr="00BC7928">
        <w:tab/>
      </w:r>
      <w:r w:rsidR="008F7BBE" w:rsidRPr="00173D84">
        <w:rPr>
          <w:i/>
        </w:rPr>
        <w:t>R</w:t>
      </w:r>
      <w:r w:rsidR="008F7BBE" w:rsidRPr="00BC7928">
        <w:rPr>
          <w:i/>
        </w:rPr>
        <w:t>equests</w:t>
      </w:r>
      <w:r w:rsidR="008F7BBE" w:rsidRPr="00BC7928">
        <w:t xml:space="preserve"> the </w:t>
      </w:r>
      <w:r w:rsidR="008F7BBE">
        <w:t xml:space="preserve">Implementation </w:t>
      </w:r>
      <w:r w:rsidR="008F7BBE" w:rsidRPr="00BC7928">
        <w:t>Committee to evaluat</w:t>
      </w:r>
      <w:r w:rsidR="008F7BBE">
        <w:t>e</w:t>
      </w:r>
      <w:r w:rsidR="008F7BBE" w:rsidRPr="00BC7928">
        <w:t xml:space="preserve"> the </w:t>
      </w:r>
      <w:r w:rsidR="008F7BBE" w:rsidRPr="0096723F">
        <w:t>amendments to the legislation and the secondary regulation</w:t>
      </w:r>
      <w:r w:rsidR="008F7BBE" w:rsidRPr="00BC7928">
        <w:t xml:space="preserve"> adopted by Armenia for the implementation of the Convention</w:t>
      </w:r>
      <w:r w:rsidR="008F7BBE">
        <w:t xml:space="preserve"> and to </w:t>
      </w:r>
      <w:r w:rsidR="008F7BBE" w:rsidRPr="00BC7928">
        <w:t xml:space="preserve">report to the Meeting of the Parties at its eighth session </w:t>
      </w:r>
      <w:r w:rsidR="008F7BBE">
        <w:t>thereon</w:t>
      </w:r>
      <w:r w:rsidR="008F7BBE" w:rsidRPr="00BC7928">
        <w:t>;</w:t>
      </w:r>
    </w:p>
    <w:p w14:paraId="32323818" w14:textId="6AF0A3CF" w:rsidR="00F507EC" w:rsidRPr="00DD2993" w:rsidRDefault="009A02C4" w:rsidP="00DD2993">
      <w:pPr>
        <w:pStyle w:val="SingleTxtG"/>
        <w:jc w:val="center"/>
        <w:rPr>
          <w:u w:val="single"/>
        </w:rPr>
      </w:pPr>
      <w:r>
        <w:rPr>
          <w:u w:val="single"/>
        </w:rPr>
        <w:t>___________</w:t>
      </w:r>
    </w:p>
    <w:sectPr w:rsidR="00F507EC" w:rsidRPr="00DD2993" w:rsidSect="00743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4B0C" w14:textId="77777777" w:rsidR="0090700A" w:rsidRDefault="0090700A"/>
  </w:endnote>
  <w:endnote w:type="continuationSeparator" w:id="0">
    <w:p w14:paraId="6C049281" w14:textId="77777777" w:rsidR="0090700A" w:rsidRDefault="0090700A"/>
  </w:endnote>
  <w:endnote w:type="continuationNotice" w:id="1">
    <w:p w14:paraId="5EA7AE1D" w14:textId="77777777" w:rsidR="0090700A" w:rsidRDefault="00907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412A" w14:textId="419EED11" w:rsidR="002A1349" w:rsidRPr="00743718" w:rsidRDefault="002A1349" w:rsidP="00743718">
    <w:pPr>
      <w:pStyle w:val="Footer"/>
      <w:tabs>
        <w:tab w:val="right" w:pos="9638"/>
      </w:tabs>
      <w:rPr>
        <w:sz w:val="18"/>
      </w:rPr>
    </w:pPr>
    <w:r w:rsidRPr="00743718">
      <w:rPr>
        <w:b/>
        <w:sz w:val="18"/>
      </w:rPr>
      <w:fldChar w:fldCharType="begin"/>
    </w:r>
    <w:r w:rsidRPr="00743718">
      <w:rPr>
        <w:b/>
        <w:sz w:val="18"/>
      </w:rPr>
      <w:instrText xml:space="preserve"> PAGE  \* MERGEFORMAT </w:instrText>
    </w:r>
    <w:r w:rsidRPr="00743718">
      <w:rPr>
        <w:b/>
        <w:sz w:val="18"/>
      </w:rPr>
      <w:fldChar w:fldCharType="separate"/>
    </w:r>
    <w:r w:rsidR="00C15008">
      <w:rPr>
        <w:b/>
        <w:noProof/>
        <w:sz w:val="18"/>
      </w:rPr>
      <w:t>2</w:t>
    </w:r>
    <w:r w:rsidRPr="0074371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75B" w14:textId="77777777" w:rsidR="002A1349" w:rsidRPr="00743718" w:rsidRDefault="002A1349" w:rsidP="00743718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38D6" w14:textId="77777777" w:rsidR="00C15008" w:rsidRDefault="00C1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08DB" w14:textId="77777777" w:rsidR="0090700A" w:rsidRPr="000B175B" w:rsidRDefault="009070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30B096" w14:textId="77777777" w:rsidR="0090700A" w:rsidRPr="00FC68B7" w:rsidRDefault="009070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E4F5D1" w14:textId="77777777" w:rsidR="0090700A" w:rsidRDefault="0090700A"/>
  </w:footnote>
  <w:footnote w:id="2">
    <w:p w14:paraId="29F24382" w14:textId="77777777" w:rsidR="002A1349" w:rsidRDefault="002A134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The present decision relates to</w:t>
      </w:r>
      <w:r w:rsidRPr="003F7AB6">
        <w:t xml:space="preserve"> </w:t>
      </w:r>
      <w:r>
        <w:t xml:space="preserve">an Implementation Committee initiative (reference </w:t>
      </w:r>
      <w:r w:rsidRPr="003F7AB6">
        <w:t>EIA/IC/CI/1</w:t>
      </w:r>
      <w:r>
        <w:t>)</w:t>
      </w:r>
      <w:r w:rsidRPr="003F7AB6">
        <w:t>. More information on Committee initiatives can be found at http://www.unece.org/environmental-policy/conventions/environmental-assessment/areas-of-work/review-of-compliance/committee-initiative.html.</w:t>
      </w:r>
      <w:r>
        <w:t xml:space="preserve"> </w:t>
      </w:r>
    </w:p>
  </w:footnote>
  <w:footnote w:id="3">
    <w:p w14:paraId="4E149DAE" w14:textId="77777777" w:rsidR="002A1349" w:rsidRPr="00132453" w:rsidRDefault="002A1349" w:rsidP="00132453">
      <w:pPr>
        <w:pStyle w:val="FootnoteText"/>
      </w:pPr>
      <w:r>
        <w:tab/>
      </w:r>
      <w:r w:rsidRPr="00132453">
        <w:footnoteRef/>
      </w:r>
      <w:r w:rsidRPr="00132453">
        <w:tab/>
        <w:t>See ECE/MP.EIA/10.</w:t>
      </w:r>
    </w:p>
  </w:footnote>
  <w:footnote w:id="4">
    <w:p w14:paraId="07F1F2AF" w14:textId="77777777" w:rsidR="002A1349" w:rsidRPr="00132453" w:rsidRDefault="002A1349" w:rsidP="00132453">
      <w:pPr>
        <w:pStyle w:val="FootnoteText"/>
      </w:pPr>
      <w:r>
        <w:tab/>
      </w:r>
      <w:r w:rsidRPr="00132453">
        <w:footnoteRef/>
      </w:r>
      <w:r w:rsidRPr="00132453">
        <w:tab/>
        <w:t>See ECE/MP.EIA/15.</w:t>
      </w:r>
    </w:p>
  </w:footnote>
  <w:footnote w:id="5">
    <w:p w14:paraId="67F7C836" w14:textId="77777777" w:rsidR="002A1349" w:rsidRPr="005463A0" w:rsidRDefault="002A1349" w:rsidP="00132453">
      <w:pPr>
        <w:pStyle w:val="FootnoteText"/>
        <w:rPr>
          <w:lang w:val="es-ES"/>
        </w:rPr>
      </w:pPr>
      <w:r>
        <w:tab/>
      </w:r>
      <w:r w:rsidRPr="00132453">
        <w:footnoteRef/>
      </w:r>
      <w:r w:rsidRPr="005463A0">
        <w:rPr>
          <w:lang w:val="es-ES"/>
        </w:rPr>
        <w:tab/>
      </w:r>
      <w:proofErr w:type="spellStart"/>
      <w:r w:rsidRPr="005463A0">
        <w:rPr>
          <w:lang w:val="es-ES"/>
        </w:rPr>
        <w:t>See</w:t>
      </w:r>
      <w:proofErr w:type="spellEnd"/>
      <w:r w:rsidRPr="005463A0">
        <w:rPr>
          <w:lang w:val="es-ES"/>
        </w:rPr>
        <w:t xml:space="preserve"> ECE/MP.EIA/20/Add.1-ECE/MP.EIA/SEA/4/Add.1.</w:t>
      </w:r>
    </w:p>
  </w:footnote>
  <w:footnote w:id="6">
    <w:p w14:paraId="27C8B901" w14:textId="77777777" w:rsidR="002A1349" w:rsidRPr="00132453" w:rsidRDefault="002A1349" w:rsidP="00132453">
      <w:pPr>
        <w:pStyle w:val="FootnoteText"/>
      </w:pPr>
      <w:r w:rsidRPr="005463A0">
        <w:rPr>
          <w:lang w:val="es-ES"/>
        </w:rPr>
        <w:tab/>
      </w:r>
      <w:r w:rsidRPr="00132453">
        <w:footnoteRef/>
      </w:r>
      <w:r w:rsidRPr="005463A0">
        <w:rPr>
          <w:lang w:val="es-ES"/>
        </w:rPr>
        <w:tab/>
      </w:r>
      <w:proofErr w:type="spellStart"/>
      <w:r w:rsidRPr="005463A0">
        <w:rPr>
          <w:lang w:val="es-ES"/>
        </w:rPr>
        <w:t>See</w:t>
      </w:r>
      <w:proofErr w:type="spellEnd"/>
      <w:r w:rsidRPr="005463A0">
        <w:rPr>
          <w:lang w:val="es-ES"/>
        </w:rPr>
        <w:t xml:space="preserve"> ECE/MP.EIA/23-ECE/MP.EIA/SEA/7, para. </w:t>
      </w:r>
      <w:r w:rsidRPr="00132453">
        <w:t xml:space="preserve">27. </w:t>
      </w:r>
      <w:r>
        <w:t>See also draft decision VII/2 (ECE/MP.EIA/2017/8).</w:t>
      </w:r>
    </w:p>
  </w:footnote>
  <w:footnote w:id="7">
    <w:p w14:paraId="5A6E18BA" w14:textId="77777777" w:rsidR="002A1349" w:rsidRPr="00BF1A34" w:rsidRDefault="002A1349" w:rsidP="00132453">
      <w:pPr>
        <w:pStyle w:val="FootnoteText"/>
        <w:rPr>
          <w:lang w:val="es-ES"/>
        </w:rPr>
      </w:pPr>
      <w:r>
        <w:tab/>
      </w:r>
      <w:r w:rsidRPr="00132453">
        <w:footnoteRef/>
      </w:r>
      <w:r w:rsidRPr="00BF1A34">
        <w:rPr>
          <w:lang w:val="es-ES"/>
        </w:rPr>
        <w:tab/>
        <w:t>ECE/MP.EIA/2017/4-ECE/MP.EIA/SEA/2017/4.</w:t>
      </w:r>
    </w:p>
  </w:footnote>
  <w:footnote w:id="8">
    <w:p w14:paraId="4CB78EB5" w14:textId="77777777" w:rsidR="002A1349" w:rsidRPr="005463A0" w:rsidRDefault="002A1349" w:rsidP="00132453">
      <w:pPr>
        <w:pStyle w:val="FootnoteText"/>
        <w:rPr>
          <w:lang w:val="es-ES"/>
        </w:rPr>
      </w:pPr>
      <w:r w:rsidRPr="005463A0">
        <w:rPr>
          <w:lang w:val="es-ES"/>
        </w:rPr>
        <w:tab/>
      </w:r>
      <w:r w:rsidRPr="00132453">
        <w:footnoteRef/>
      </w:r>
      <w:r w:rsidRPr="005463A0">
        <w:rPr>
          <w:lang w:val="es-ES"/>
        </w:rPr>
        <w:tab/>
        <w:t>ECE/MP.EIA/IC/2017/4, paras. 26-30.</w:t>
      </w:r>
    </w:p>
  </w:footnote>
  <w:footnote w:id="9">
    <w:p w14:paraId="38EA8840" w14:textId="77777777" w:rsidR="002A1349" w:rsidRPr="005463A0" w:rsidRDefault="002A1349" w:rsidP="00132453">
      <w:pPr>
        <w:pStyle w:val="FootnoteText"/>
        <w:rPr>
          <w:lang w:val="es-ES"/>
        </w:rPr>
      </w:pPr>
      <w:r w:rsidRPr="005463A0">
        <w:rPr>
          <w:lang w:val="es-ES"/>
        </w:rPr>
        <w:tab/>
      </w:r>
      <w:r w:rsidRPr="00132453">
        <w:footnoteRef/>
      </w:r>
      <w:r w:rsidRPr="005463A0">
        <w:rPr>
          <w:lang w:val="es-ES"/>
        </w:rPr>
        <w:tab/>
        <w:t>ECE/MP.EIA/IC/2017/6, paras. 9-12.</w:t>
      </w:r>
    </w:p>
  </w:footnote>
  <w:footnote w:id="10">
    <w:p w14:paraId="1879D891" w14:textId="1D80D245" w:rsidR="002A1349" w:rsidRPr="00F636D5" w:rsidRDefault="002A1349" w:rsidP="00132453">
      <w:pPr>
        <w:pStyle w:val="FootnoteText"/>
      </w:pPr>
      <w:r w:rsidRPr="005463A0">
        <w:rPr>
          <w:lang w:val="es-ES"/>
        </w:rPr>
        <w:tab/>
      </w:r>
      <w:r w:rsidRPr="00132453">
        <w:footnoteRef/>
      </w:r>
      <w:r w:rsidRPr="00614107">
        <w:rPr>
          <w:lang w:val="es-ES"/>
        </w:rPr>
        <w:tab/>
        <w:t xml:space="preserve">ECE/MP.EIA/IC/2018/2, </w:t>
      </w:r>
      <w:r w:rsidRPr="007E2BBC">
        <w:rPr>
          <w:lang w:val="es-ES"/>
        </w:rPr>
        <w:t>paras</w:t>
      </w:r>
      <w:r w:rsidR="00614107" w:rsidRPr="007E2BBC">
        <w:rPr>
          <w:lang w:val="es-ES"/>
        </w:rPr>
        <w:t>.</w:t>
      </w:r>
      <w:r w:rsidRPr="007E2BBC">
        <w:rPr>
          <w:lang w:val="es-ES"/>
        </w:rPr>
        <w:t xml:space="preserve"> </w:t>
      </w:r>
      <w:r w:rsidR="00F636D5">
        <w:t>9-13.</w:t>
      </w:r>
    </w:p>
  </w:footnote>
  <w:footnote w:id="11">
    <w:p w14:paraId="1575F9EF" w14:textId="77777777" w:rsidR="002A1349" w:rsidRPr="00132453" w:rsidRDefault="002A1349" w:rsidP="00132453">
      <w:pPr>
        <w:pStyle w:val="FootnoteText"/>
      </w:pPr>
      <w:r w:rsidRPr="00F636D5">
        <w:tab/>
      </w:r>
      <w:r w:rsidRPr="00F636D5">
        <w:footnoteRef/>
      </w:r>
      <w:r w:rsidRPr="00F636D5">
        <w:tab/>
        <w:t>ECE/MP.EIA/2018/4, paras</w:t>
      </w:r>
      <w:r w:rsidR="00614107" w:rsidRPr="00F636D5">
        <w:t>.</w:t>
      </w:r>
      <w:r w:rsidRPr="00F636D5">
        <w:t xml:space="preserve"> </w:t>
      </w:r>
      <w:r w:rsidRPr="006C2CE6">
        <w:t>[…]</w:t>
      </w:r>
    </w:p>
    <w:p w14:paraId="6A0215B2" w14:textId="77777777" w:rsidR="002A1349" w:rsidRPr="00132453" w:rsidRDefault="002A13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0363" w14:textId="1A8077D7" w:rsidR="002A1349" w:rsidRPr="00C15008" w:rsidRDefault="00C15008" w:rsidP="00C15008">
    <w:pPr>
      <w:pStyle w:val="Header"/>
    </w:pPr>
    <w:r w:rsidRPr="00C15008">
      <w:t>ECE/MP.EIA/WG.2/2018/INF.4.a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9BF8" w14:textId="77777777" w:rsidR="00C15008" w:rsidRPr="00C15008" w:rsidRDefault="00C15008" w:rsidP="00C15008">
    <w:pPr>
      <w:pBdr>
        <w:bottom w:val="single" w:sz="4" w:space="1" w:color="auto"/>
      </w:pBdr>
      <w:spacing w:line="240" w:lineRule="exact"/>
      <w:jc w:val="right"/>
      <w:rPr>
        <w:b/>
        <w:bCs/>
      </w:rPr>
    </w:pPr>
    <w:r w:rsidRPr="00C15008">
      <w:rPr>
        <w:b/>
        <w:bCs/>
      </w:rPr>
      <w:t xml:space="preserve">ECE/MP.EIA/WG.2/2018/INF.4.a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5524"/>
      <w:gridCol w:w="2839"/>
    </w:tblGrid>
    <w:tr w:rsidR="002A1349" w:rsidRPr="006C2CE6" w14:paraId="079ACF04" w14:textId="77777777" w:rsidTr="002A1349">
      <w:trPr>
        <w:cantSplit/>
        <w:trHeight w:hRule="exact" w:val="958"/>
      </w:trPr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34A8AE" w14:textId="77777777" w:rsidR="002A1349" w:rsidRPr="00C4337F" w:rsidRDefault="002A1349" w:rsidP="00ED43E5">
          <w:pPr>
            <w:spacing w:after="80"/>
            <w:rPr>
              <w:b/>
              <w:sz w:val="24"/>
              <w:szCs w:val="24"/>
            </w:rPr>
          </w:pPr>
        </w:p>
      </w:tc>
      <w:tc>
        <w:tcPr>
          <w:tcW w:w="55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37F92D" w14:textId="77777777" w:rsidR="002A1349" w:rsidRPr="00C4337F" w:rsidRDefault="002A1349" w:rsidP="00ED43E5">
          <w:pPr>
            <w:spacing w:after="80" w:line="240" w:lineRule="auto"/>
            <w:rPr>
              <w:b/>
              <w:sz w:val="44"/>
              <w:szCs w:val="44"/>
            </w:rPr>
          </w:pPr>
        </w:p>
      </w:tc>
      <w:tc>
        <w:tcPr>
          <w:tcW w:w="2839" w:type="dxa"/>
          <w:tcBorders>
            <w:bottom w:val="single" w:sz="4" w:space="0" w:color="auto"/>
          </w:tcBorders>
          <w:shd w:val="clear" w:color="auto" w:fill="auto"/>
        </w:tcPr>
        <w:p w14:paraId="085EDE49" w14:textId="77777777" w:rsidR="002A1349" w:rsidRPr="007E2BBC" w:rsidRDefault="002A1349" w:rsidP="00313C8E">
          <w:pPr>
            <w:spacing w:line="240" w:lineRule="exact"/>
          </w:pPr>
        </w:p>
        <w:p w14:paraId="0CBEAEC9" w14:textId="7819511C" w:rsidR="002A1349" w:rsidRPr="006C2CE6" w:rsidRDefault="006C1115" w:rsidP="00CE7736">
          <w:pPr>
            <w:spacing w:line="240" w:lineRule="exact"/>
          </w:pPr>
          <w:r w:rsidRPr="007E2BBC">
            <w:t>ECE/MP.EIA/WG.2/2018/INF</w:t>
          </w:r>
          <w:r w:rsidRPr="006C2CE6">
            <w:t>.4</w:t>
          </w:r>
          <w:r w:rsidR="00CE7736" w:rsidRPr="006C2CE6">
            <w:t xml:space="preserve">.a </w:t>
          </w:r>
        </w:p>
        <w:p w14:paraId="3CEDBDE5" w14:textId="0B3C8DDD" w:rsidR="00B61EDD" w:rsidRPr="006C2CE6" w:rsidRDefault="00B61EDD" w:rsidP="007E2BBC">
          <w:pPr>
            <w:spacing w:line="240" w:lineRule="exact"/>
            <w:jc w:val="right"/>
            <w:rPr>
              <w:sz w:val="40"/>
            </w:rPr>
          </w:pPr>
          <w:r w:rsidRPr="006C2CE6">
            <w:t xml:space="preserve">English only </w:t>
          </w:r>
          <w:r w:rsidRPr="006C2CE6">
            <w:br/>
            <w:t xml:space="preserve"> </w:t>
          </w:r>
          <w:r w:rsidR="007E2BBC" w:rsidRPr="006C2CE6">
            <w:t>23</w:t>
          </w:r>
          <w:r w:rsidRPr="006C2CE6">
            <w:t>April 2018</w:t>
          </w:r>
        </w:p>
      </w:tc>
    </w:tr>
  </w:tbl>
  <w:p w14:paraId="5904713E" w14:textId="77777777" w:rsidR="002A1349" w:rsidRPr="00ED43E5" w:rsidRDefault="002A1349" w:rsidP="00ED43E5">
    <w:pPr>
      <w:pStyle w:val="Header"/>
      <w:pBdr>
        <w:bottom w:val="none" w:sz="0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8"/>
    <w:rsid w:val="00002A7D"/>
    <w:rsid w:val="000038A8"/>
    <w:rsid w:val="00006790"/>
    <w:rsid w:val="00015F3D"/>
    <w:rsid w:val="00026F24"/>
    <w:rsid w:val="00027624"/>
    <w:rsid w:val="00050F6B"/>
    <w:rsid w:val="000678CD"/>
    <w:rsid w:val="00072B2F"/>
    <w:rsid w:val="00072C8C"/>
    <w:rsid w:val="00081CE0"/>
    <w:rsid w:val="00083BD9"/>
    <w:rsid w:val="00083C30"/>
    <w:rsid w:val="00084D30"/>
    <w:rsid w:val="00090320"/>
    <w:rsid w:val="00090B5B"/>
    <w:rsid w:val="000931C0"/>
    <w:rsid w:val="00097A33"/>
    <w:rsid w:val="000A0CAD"/>
    <w:rsid w:val="000A2E09"/>
    <w:rsid w:val="000A6708"/>
    <w:rsid w:val="000B175B"/>
    <w:rsid w:val="000B2FB2"/>
    <w:rsid w:val="000B3A0F"/>
    <w:rsid w:val="000B5B1D"/>
    <w:rsid w:val="000C3827"/>
    <w:rsid w:val="000C4882"/>
    <w:rsid w:val="000D5AB1"/>
    <w:rsid w:val="000E0415"/>
    <w:rsid w:val="000E3B41"/>
    <w:rsid w:val="000F0386"/>
    <w:rsid w:val="000F7715"/>
    <w:rsid w:val="00115C39"/>
    <w:rsid w:val="00124384"/>
    <w:rsid w:val="00132453"/>
    <w:rsid w:val="001336B4"/>
    <w:rsid w:val="00155D22"/>
    <w:rsid w:val="00156B99"/>
    <w:rsid w:val="00160F8C"/>
    <w:rsid w:val="00166124"/>
    <w:rsid w:val="00166771"/>
    <w:rsid w:val="00184DDA"/>
    <w:rsid w:val="00186755"/>
    <w:rsid w:val="001900CD"/>
    <w:rsid w:val="001968D0"/>
    <w:rsid w:val="001A0452"/>
    <w:rsid w:val="001B4B04"/>
    <w:rsid w:val="001B5875"/>
    <w:rsid w:val="001C49DA"/>
    <w:rsid w:val="001C4A8C"/>
    <w:rsid w:val="001C4B9C"/>
    <w:rsid w:val="001C6663"/>
    <w:rsid w:val="001C7895"/>
    <w:rsid w:val="001D26DF"/>
    <w:rsid w:val="001D3B22"/>
    <w:rsid w:val="001D44D0"/>
    <w:rsid w:val="001D47A3"/>
    <w:rsid w:val="001F0E08"/>
    <w:rsid w:val="001F1599"/>
    <w:rsid w:val="001F19C4"/>
    <w:rsid w:val="002043F0"/>
    <w:rsid w:val="002059C0"/>
    <w:rsid w:val="00211E0B"/>
    <w:rsid w:val="00232575"/>
    <w:rsid w:val="0023722A"/>
    <w:rsid w:val="00247258"/>
    <w:rsid w:val="00257CAC"/>
    <w:rsid w:val="0027237A"/>
    <w:rsid w:val="0028279F"/>
    <w:rsid w:val="002974E9"/>
    <w:rsid w:val="002A1349"/>
    <w:rsid w:val="002A7F94"/>
    <w:rsid w:val="002B109A"/>
    <w:rsid w:val="002C6D45"/>
    <w:rsid w:val="002D6E53"/>
    <w:rsid w:val="002E3487"/>
    <w:rsid w:val="002F046D"/>
    <w:rsid w:val="00301764"/>
    <w:rsid w:val="00313C8E"/>
    <w:rsid w:val="0031411D"/>
    <w:rsid w:val="003175DA"/>
    <w:rsid w:val="003229D8"/>
    <w:rsid w:val="00332C4F"/>
    <w:rsid w:val="00333B62"/>
    <w:rsid w:val="00336C97"/>
    <w:rsid w:val="00337F88"/>
    <w:rsid w:val="00342432"/>
    <w:rsid w:val="003429A5"/>
    <w:rsid w:val="0035223F"/>
    <w:rsid w:val="00352D4B"/>
    <w:rsid w:val="0035638C"/>
    <w:rsid w:val="003630A0"/>
    <w:rsid w:val="003672C4"/>
    <w:rsid w:val="003826AD"/>
    <w:rsid w:val="00396A10"/>
    <w:rsid w:val="003A0C5B"/>
    <w:rsid w:val="003A3EE7"/>
    <w:rsid w:val="003A46BB"/>
    <w:rsid w:val="003A4EC7"/>
    <w:rsid w:val="003A7295"/>
    <w:rsid w:val="003B1F60"/>
    <w:rsid w:val="003C2CC4"/>
    <w:rsid w:val="003D4B23"/>
    <w:rsid w:val="003E278A"/>
    <w:rsid w:val="003E3358"/>
    <w:rsid w:val="003E7D7A"/>
    <w:rsid w:val="003F7AB6"/>
    <w:rsid w:val="004129A5"/>
    <w:rsid w:val="00413520"/>
    <w:rsid w:val="0041745D"/>
    <w:rsid w:val="004325CB"/>
    <w:rsid w:val="00440A07"/>
    <w:rsid w:val="00453553"/>
    <w:rsid w:val="00455D4F"/>
    <w:rsid w:val="00460B47"/>
    <w:rsid w:val="00462880"/>
    <w:rsid w:val="00476F24"/>
    <w:rsid w:val="00485F0D"/>
    <w:rsid w:val="0049211B"/>
    <w:rsid w:val="004959D5"/>
    <w:rsid w:val="004C4157"/>
    <w:rsid w:val="004C55B0"/>
    <w:rsid w:val="004E7F09"/>
    <w:rsid w:val="004F3E71"/>
    <w:rsid w:val="004F6BA0"/>
    <w:rsid w:val="00503BEA"/>
    <w:rsid w:val="00511975"/>
    <w:rsid w:val="00513B50"/>
    <w:rsid w:val="0052068C"/>
    <w:rsid w:val="00533616"/>
    <w:rsid w:val="00535ABA"/>
    <w:rsid w:val="0053768B"/>
    <w:rsid w:val="005420F2"/>
    <w:rsid w:val="0054285C"/>
    <w:rsid w:val="005463A0"/>
    <w:rsid w:val="00550F25"/>
    <w:rsid w:val="00562F21"/>
    <w:rsid w:val="00565EFF"/>
    <w:rsid w:val="00567F89"/>
    <w:rsid w:val="00584173"/>
    <w:rsid w:val="00586506"/>
    <w:rsid w:val="005918CE"/>
    <w:rsid w:val="00592A01"/>
    <w:rsid w:val="00595520"/>
    <w:rsid w:val="005A44B9"/>
    <w:rsid w:val="005B1BA0"/>
    <w:rsid w:val="005B2853"/>
    <w:rsid w:val="005B3DB3"/>
    <w:rsid w:val="005C2A5E"/>
    <w:rsid w:val="005C5121"/>
    <w:rsid w:val="005D15CA"/>
    <w:rsid w:val="005D3403"/>
    <w:rsid w:val="005E2396"/>
    <w:rsid w:val="005F3066"/>
    <w:rsid w:val="005F3E61"/>
    <w:rsid w:val="005F4563"/>
    <w:rsid w:val="00604DDD"/>
    <w:rsid w:val="006115CC"/>
    <w:rsid w:val="00611FC4"/>
    <w:rsid w:val="00614107"/>
    <w:rsid w:val="006176FB"/>
    <w:rsid w:val="006266AD"/>
    <w:rsid w:val="00630FCB"/>
    <w:rsid w:val="006323A8"/>
    <w:rsid w:val="00636368"/>
    <w:rsid w:val="00640B26"/>
    <w:rsid w:val="00653803"/>
    <w:rsid w:val="00660146"/>
    <w:rsid w:val="00662C14"/>
    <w:rsid w:val="00666F7F"/>
    <w:rsid w:val="006755A0"/>
    <w:rsid w:val="006770B2"/>
    <w:rsid w:val="00683DB6"/>
    <w:rsid w:val="006940E1"/>
    <w:rsid w:val="006A3C72"/>
    <w:rsid w:val="006A7392"/>
    <w:rsid w:val="006B03A1"/>
    <w:rsid w:val="006B0865"/>
    <w:rsid w:val="006B4C5B"/>
    <w:rsid w:val="006B67D9"/>
    <w:rsid w:val="006C1115"/>
    <w:rsid w:val="006C138B"/>
    <w:rsid w:val="006C2CE6"/>
    <w:rsid w:val="006C5535"/>
    <w:rsid w:val="006D0589"/>
    <w:rsid w:val="006D1A5D"/>
    <w:rsid w:val="006E0C15"/>
    <w:rsid w:val="006E4DA8"/>
    <w:rsid w:val="006E564B"/>
    <w:rsid w:val="006E7154"/>
    <w:rsid w:val="006F7DDC"/>
    <w:rsid w:val="007003CD"/>
    <w:rsid w:val="0070701E"/>
    <w:rsid w:val="00711210"/>
    <w:rsid w:val="0072632A"/>
    <w:rsid w:val="00730550"/>
    <w:rsid w:val="00732802"/>
    <w:rsid w:val="007358E8"/>
    <w:rsid w:val="00736ECE"/>
    <w:rsid w:val="00743718"/>
    <w:rsid w:val="00743FA0"/>
    <w:rsid w:val="0074533B"/>
    <w:rsid w:val="007643BC"/>
    <w:rsid w:val="00774894"/>
    <w:rsid w:val="007752E9"/>
    <w:rsid w:val="00776839"/>
    <w:rsid w:val="007841BF"/>
    <w:rsid w:val="00786992"/>
    <w:rsid w:val="007959FE"/>
    <w:rsid w:val="007A0CF1"/>
    <w:rsid w:val="007A1642"/>
    <w:rsid w:val="007A7470"/>
    <w:rsid w:val="007A74D1"/>
    <w:rsid w:val="007B6BA5"/>
    <w:rsid w:val="007C3390"/>
    <w:rsid w:val="007C3ADF"/>
    <w:rsid w:val="007C42D8"/>
    <w:rsid w:val="007C4F4B"/>
    <w:rsid w:val="007D0469"/>
    <w:rsid w:val="007D2087"/>
    <w:rsid w:val="007D7362"/>
    <w:rsid w:val="007E2BBC"/>
    <w:rsid w:val="007F0D5A"/>
    <w:rsid w:val="007F3715"/>
    <w:rsid w:val="007F5CE2"/>
    <w:rsid w:val="007F6611"/>
    <w:rsid w:val="00810BAC"/>
    <w:rsid w:val="008175E9"/>
    <w:rsid w:val="0082234B"/>
    <w:rsid w:val="008242D7"/>
    <w:rsid w:val="0082577B"/>
    <w:rsid w:val="00826BDB"/>
    <w:rsid w:val="008467FE"/>
    <w:rsid w:val="008615D3"/>
    <w:rsid w:val="00864D49"/>
    <w:rsid w:val="008665FE"/>
    <w:rsid w:val="00866893"/>
    <w:rsid w:val="00866F02"/>
    <w:rsid w:val="00867D18"/>
    <w:rsid w:val="00871F9A"/>
    <w:rsid w:val="00871FD5"/>
    <w:rsid w:val="0088172E"/>
    <w:rsid w:val="00881EFA"/>
    <w:rsid w:val="0088771D"/>
    <w:rsid w:val="008879CB"/>
    <w:rsid w:val="008979B1"/>
    <w:rsid w:val="008A6B25"/>
    <w:rsid w:val="008A6C4F"/>
    <w:rsid w:val="008B389E"/>
    <w:rsid w:val="008B4C5F"/>
    <w:rsid w:val="008C64C6"/>
    <w:rsid w:val="008D045E"/>
    <w:rsid w:val="008D3314"/>
    <w:rsid w:val="008D3F25"/>
    <w:rsid w:val="008D4D82"/>
    <w:rsid w:val="008D6BA2"/>
    <w:rsid w:val="008E0E46"/>
    <w:rsid w:val="008E4E8A"/>
    <w:rsid w:val="008E7116"/>
    <w:rsid w:val="008F143B"/>
    <w:rsid w:val="008F3882"/>
    <w:rsid w:val="008F4B7C"/>
    <w:rsid w:val="008F797C"/>
    <w:rsid w:val="008F7BBE"/>
    <w:rsid w:val="0090700A"/>
    <w:rsid w:val="009250D9"/>
    <w:rsid w:val="00926E47"/>
    <w:rsid w:val="0092711D"/>
    <w:rsid w:val="00947162"/>
    <w:rsid w:val="00957A5B"/>
    <w:rsid w:val="00957F35"/>
    <w:rsid w:val="009610D0"/>
    <w:rsid w:val="0096375C"/>
    <w:rsid w:val="00965B3F"/>
    <w:rsid w:val="009662E6"/>
    <w:rsid w:val="0097095E"/>
    <w:rsid w:val="00974065"/>
    <w:rsid w:val="0097584F"/>
    <w:rsid w:val="0098592B"/>
    <w:rsid w:val="00985FC4"/>
    <w:rsid w:val="009876D0"/>
    <w:rsid w:val="00990766"/>
    <w:rsid w:val="00991261"/>
    <w:rsid w:val="009964C4"/>
    <w:rsid w:val="009A02C4"/>
    <w:rsid w:val="009A7B81"/>
    <w:rsid w:val="009B059A"/>
    <w:rsid w:val="009C0CFA"/>
    <w:rsid w:val="009D01C0"/>
    <w:rsid w:val="009D6A08"/>
    <w:rsid w:val="009E0A16"/>
    <w:rsid w:val="009E6CB7"/>
    <w:rsid w:val="009E7970"/>
    <w:rsid w:val="009F1C38"/>
    <w:rsid w:val="009F2EAC"/>
    <w:rsid w:val="009F57E3"/>
    <w:rsid w:val="00A04C9D"/>
    <w:rsid w:val="00A10F4F"/>
    <w:rsid w:val="00A11067"/>
    <w:rsid w:val="00A1704A"/>
    <w:rsid w:val="00A21A6F"/>
    <w:rsid w:val="00A22A43"/>
    <w:rsid w:val="00A2472C"/>
    <w:rsid w:val="00A35706"/>
    <w:rsid w:val="00A373FB"/>
    <w:rsid w:val="00A40189"/>
    <w:rsid w:val="00A4078D"/>
    <w:rsid w:val="00A425EB"/>
    <w:rsid w:val="00A43419"/>
    <w:rsid w:val="00A47A15"/>
    <w:rsid w:val="00A50C7C"/>
    <w:rsid w:val="00A56095"/>
    <w:rsid w:val="00A623D3"/>
    <w:rsid w:val="00A72F22"/>
    <w:rsid w:val="00A733BC"/>
    <w:rsid w:val="00A748A6"/>
    <w:rsid w:val="00A76A69"/>
    <w:rsid w:val="00A879A4"/>
    <w:rsid w:val="00AA0FF8"/>
    <w:rsid w:val="00AA7F8B"/>
    <w:rsid w:val="00AC0F2C"/>
    <w:rsid w:val="00AC502A"/>
    <w:rsid w:val="00AD3767"/>
    <w:rsid w:val="00AD3D61"/>
    <w:rsid w:val="00AD7B15"/>
    <w:rsid w:val="00AE1B02"/>
    <w:rsid w:val="00AF0FB4"/>
    <w:rsid w:val="00AF58C1"/>
    <w:rsid w:val="00AF75D5"/>
    <w:rsid w:val="00B033C9"/>
    <w:rsid w:val="00B03634"/>
    <w:rsid w:val="00B04A3F"/>
    <w:rsid w:val="00B05190"/>
    <w:rsid w:val="00B06643"/>
    <w:rsid w:val="00B15055"/>
    <w:rsid w:val="00B2426C"/>
    <w:rsid w:val="00B30179"/>
    <w:rsid w:val="00B33185"/>
    <w:rsid w:val="00B36272"/>
    <w:rsid w:val="00B37B15"/>
    <w:rsid w:val="00B43AA8"/>
    <w:rsid w:val="00B45C02"/>
    <w:rsid w:val="00B61EDD"/>
    <w:rsid w:val="00B678B7"/>
    <w:rsid w:val="00B72A1E"/>
    <w:rsid w:val="00B7317B"/>
    <w:rsid w:val="00B81E12"/>
    <w:rsid w:val="00B82DDF"/>
    <w:rsid w:val="00BA23AA"/>
    <w:rsid w:val="00BA339B"/>
    <w:rsid w:val="00BC1E7E"/>
    <w:rsid w:val="00BC5035"/>
    <w:rsid w:val="00BC70FB"/>
    <w:rsid w:val="00BC74E9"/>
    <w:rsid w:val="00BC7F91"/>
    <w:rsid w:val="00BD5B70"/>
    <w:rsid w:val="00BE0B4B"/>
    <w:rsid w:val="00BE36A9"/>
    <w:rsid w:val="00BE5FAF"/>
    <w:rsid w:val="00BE618E"/>
    <w:rsid w:val="00BE7BEC"/>
    <w:rsid w:val="00BF0A5A"/>
    <w:rsid w:val="00BF0E63"/>
    <w:rsid w:val="00BF12A3"/>
    <w:rsid w:val="00BF16D7"/>
    <w:rsid w:val="00BF1A34"/>
    <w:rsid w:val="00BF2373"/>
    <w:rsid w:val="00C044E2"/>
    <w:rsid w:val="00C048CB"/>
    <w:rsid w:val="00C066F3"/>
    <w:rsid w:val="00C15008"/>
    <w:rsid w:val="00C31458"/>
    <w:rsid w:val="00C40613"/>
    <w:rsid w:val="00C463DD"/>
    <w:rsid w:val="00C52BCD"/>
    <w:rsid w:val="00C745C3"/>
    <w:rsid w:val="00C84344"/>
    <w:rsid w:val="00C97F32"/>
    <w:rsid w:val="00CA080F"/>
    <w:rsid w:val="00CA24A4"/>
    <w:rsid w:val="00CB02BE"/>
    <w:rsid w:val="00CB348D"/>
    <w:rsid w:val="00CB3CC7"/>
    <w:rsid w:val="00CB71F8"/>
    <w:rsid w:val="00CD46F5"/>
    <w:rsid w:val="00CE4A8F"/>
    <w:rsid w:val="00CE7736"/>
    <w:rsid w:val="00CF071D"/>
    <w:rsid w:val="00D038CE"/>
    <w:rsid w:val="00D15615"/>
    <w:rsid w:val="00D15B04"/>
    <w:rsid w:val="00D2031B"/>
    <w:rsid w:val="00D2528F"/>
    <w:rsid w:val="00D25FE2"/>
    <w:rsid w:val="00D37DA9"/>
    <w:rsid w:val="00D406A7"/>
    <w:rsid w:val="00D43252"/>
    <w:rsid w:val="00D44D86"/>
    <w:rsid w:val="00D50B7D"/>
    <w:rsid w:val="00D52012"/>
    <w:rsid w:val="00D53124"/>
    <w:rsid w:val="00D54925"/>
    <w:rsid w:val="00D56701"/>
    <w:rsid w:val="00D56CCD"/>
    <w:rsid w:val="00D704E5"/>
    <w:rsid w:val="00D711E9"/>
    <w:rsid w:val="00D72727"/>
    <w:rsid w:val="00D83DF8"/>
    <w:rsid w:val="00D9592B"/>
    <w:rsid w:val="00D978C6"/>
    <w:rsid w:val="00DA0956"/>
    <w:rsid w:val="00DA1DFB"/>
    <w:rsid w:val="00DA357F"/>
    <w:rsid w:val="00DA3E12"/>
    <w:rsid w:val="00DC18AD"/>
    <w:rsid w:val="00DD2993"/>
    <w:rsid w:val="00DD7BF2"/>
    <w:rsid w:val="00DF25AE"/>
    <w:rsid w:val="00DF3555"/>
    <w:rsid w:val="00DF7C68"/>
    <w:rsid w:val="00DF7CAE"/>
    <w:rsid w:val="00E02668"/>
    <w:rsid w:val="00E231EC"/>
    <w:rsid w:val="00E308E1"/>
    <w:rsid w:val="00E30E74"/>
    <w:rsid w:val="00E31B4F"/>
    <w:rsid w:val="00E33E74"/>
    <w:rsid w:val="00E34F1E"/>
    <w:rsid w:val="00E42352"/>
    <w:rsid w:val="00E423C0"/>
    <w:rsid w:val="00E5186C"/>
    <w:rsid w:val="00E53B85"/>
    <w:rsid w:val="00E6414C"/>
    <w:rsid w:val="00E7260F"/>
    <w:rsid w:val="00E73541"/>
    <w:rsid w:val="00E8198D"/>
    <w:rsid w:val="00E8274B"/>
    <w:rsid w:val="00E8702D"/>
    <w:rsid w:val="00E916A9"/>
    <w:rsid w:val="00E916DE"/>
    <w:rsid w:val="00E925AD"/>
    <w:rsid w:val="00E96630"/>
    <w:rsid w:val="00E97EF9"/>
    <w:rsid w:val="00EA4364"/>
    <w:rsid w:val="00EC1968"/>
    <w:rsid w:val="00ED18DC"/>
    <w:rsid w:val="00ED3E57"/>
    <w:rsid w:val="00ED43E5"/>
    <w:rsid w:val="00ED6201"/>
    <w:rsid w:val="00ED7A2A"/>
    <w:rsid w:val="00EF1D7F"/>
    <w:rsid w:val="00EF5518"/>
    <w:rsid w:val="00EF73D5"/>
    <w:rsid w:val="00F0137E"/>
    <w:rsid w:val="00F03258"/>
    <w:rsid w:val="00F06CDC"/>
    <w:rsid w:val="00F12B9B"/>
    <w:rsid w:val="00F21786"/>
    <w:rsid w:val="00F2559E"/>
    <w:rsid w:val="00F26A10"/>
    <w:rsid w:val="00F348C3"/>
    <w:rsid w:val="00F3742B"/>
    <w:rsid w:val="00F41FDB"/>
    <w:rsid w:val="00F507EC"/>
    <w:rsid w:val="00F55399"/>
    <w:rsid w:val="00F56D63"/>
    <w:rsid w:val="00F609A9"/>
    <w:rsid w:val="00F636D5"/>
    <w:rsid w:val="00F669E0"/>
    <w:rsid w:val="00F80C99"/>
    <w:rsid w:val="00F867EC"/>
    <w:rsid w:val="00F91B2B"/>
    <w:rsid w:val="00FA3EF8"/>
    <w:rsid w:val="00FC0186"/>
    <w:rsid w:val="00FC03CD"/>
    <w:rsid w:val="00FC0646"/>
    <w:rsid w:val="00FC68B7"/>
    <w:rsid w:val="00FC7FFE"/>
    <w:rsid w:val="00FD6AFC"/>
    <w:rsid w:val="00FE0A28"/>
    <w:rsid w:val="00FE3D1F"/>
    <w:rsid w:val="00FE4493"/>
    <w:rsid w:val="00FE6985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F5AFC"/>
  <w15:docId w15:val="{90B2B51B-4F88-4448-8A8D-BC29F5A5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00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0613"/>
    <w:rPr>
      <w:sz w:val="18"/>
      <w:lang w:eastAsia="en-US"/>
    </w:rPr>
  </w:style>
  <w:style w:type="character" w:customStyle="1" w:styleId="SingleTxtGChar">
    <w:name w:val="_ Single Txt_G Char"/>
    <w:link w:val="SingleTxtG"/>
    <w:rsid w:val="00C40613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4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13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40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061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3E57"/>
    <w:rPr>
      <w:b/>
      <w:bCs/>
      <w:lang w:eastAsia="en-US"/>
    </w:rPr>
  </w:style>
  <w:style w:type="paragraph" w:styleId="Revision">
    <w:name w:val="Revision"/>
    <w:hidden/>
    <w:uiPriority w:val="99"/>
    <w:semiHidden/>
    <w:rsid w:val="00ED3E57"/>
    <w:rPr>
      <w:lang w:eastAsia="en-US"/>
    </w:rPr>
  </w:style>
  <w:style w:type="character" w:customStyle="1" w:styleId="HChGChar">
    <w:name w:val="_ H _Ch_G Char"/>
    <w:link w:val="HChG"/>
    <w:rsid w:val="006C1115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78F8-B5FF-4305-B0D1-D4988094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3</Pages>
  <Words>739</Words>
  <Characters>4220</Characters>
  <Application>Microsoft Office Word</Application>
  <DocSecurity>0</DocSecurity>
  <Lines>72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Anelia Rambosson</dc:creator>
  <cp:lastModifiedBy>Elena Santer</cp:lastModifiedBy>
  <cp:revision>5</cp:revision>
  <cp:lastPrinted>2009-02-18T09:36:00Z</cp:lastPrinted>
  <dcterms:created xsi:type="dcterms:W3CDTF">2018-04-23T10:21:00Z</dcterms:created>
  <dcterms:modified xsi:type="dcterms:W3CDTF">2018-04-24T11:55:00Z</dcterms:modified>
</cp:coreProperties>
</file>