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277A25" w:rsidTr="00295CCA">
        <w:trPr>
          <w:trHeight w:hRule="exact" w:val="851"/>
        </w:trPr>
        <w:tc>
          <w:tcPr>
            <w:tcW w:w="1276" w:type="dxa"/>
            <w:tcBorders>
              <w:bottom w:val="single" w:sz="4" w:space="0" w:color="auto"/>
            </w:tcBorders>
          </w:tcPr>
          <w:p w:rsidR="001433FD" w:rsidRPr="00277A25" w:rsidRDefault="001433FD" w:rsidP="004B586A"/>
        </w:tc>
        <w:tc>
          <w:tcPr>
            <w:tcW w:w="2268" w:type="dxa"/>
            <w:tcBorders>
              <w:bottom w:val="single" w:sz="4" w:space="0" w:color="auto"/>
            </w:tcBorders>
            <w:vAlign w:val="bottom"/>
          </w:tcPr>
          <w:p w:rsidR="001433FD" w:rsidRPr="00277A25" w:rsidRDefault="001433FD" w:rsidP="00295CCA">
            <w:pPr>
              <w:spacing w:after="80" w:line="300" w:lineRule="exact"/>
              <w:rPr>
                <w:sz w:val="28"/>
              </w:rPr>
            </w:pPr>
            <w:r w:rsidRPr="00277A25">
              <w:rPr>
                <w:sz w:val="28"/>
              </w:rPr>
              <w:t>Nations Unies</w:t>
            </w:r>
          </w:p>
        </w:tc>
        <w:tc>
          <w:tcPr>
            <w:tcW w:w="6095" w:type="dxa"/>
            <w:gridSpan w:val="2"/>
            <w:tcBorders>
              <w:bottom w:val="single" w:sz="4" w:space="0" w:color="auto"/>
            </w:tcBorders>
            <w:vAlign w:val="bottom"/>
          </w:tcPr>
          <w:p w:rsidR="001433FD" w:rsidRPr="00277A25" w:rsidRDefault="004B586A" w:rsidP="004B586A">
            <w:pPr>
              <w:jc w:val="right"/>
            </w:pPr>
            <w:r w:rsidRPr="00277A25">
              <w:rPr>
                <w:sz w:val="40"/>
              </w:rPr>
              <w:t>ECE</w:t>
            </w:r>
            <w:r w:rsidRPr="00277A25">
              <w:t>/CEP/2017/9</w:t>
            </w:r>
          </w:p>
        </w:tc>
      </w:tr>
      <w:tr w:rsidR="001433FD" w:rsidRPr="00277A25" w:rsidTr="00295CCA">
        <w:trPr>
          <w:trHeight w:hRule="exact" w:val="2835"/>
        </w:trPr>
        <w:tc>
          <w:tcPr>
            <w:tcW w:w="1276" w:type="dxa"/>
            <w:tcBorders>
              <w:top w:val="single" w:sz="4" w:space="0" w:color="auto"/>
              <w:bottom w:val="single" w:sz="12" w:space="0" w:color="auto"/>
            </w:tcBorders>
          </w:tcPr>
          <w:p w:rsidR="001433FD" w:rsidRPr="00277A25" w:rsidRDefault="001433FD" w:rsidP="00295CCA">
            <w:pPr>
              <w:spacing w:before="120"/>
              <w:jc w:val="center"/>
            </w:pPr>
            <w:r w:rsidRPr="00277A25">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277A25" w:rsidRDefault="001433FD" w:rsidP="00295CCA">
            <w:pPr>
              <w:spacing w:before="120" w:line="420" w:lineRule="exact"/>
              <w:rPr>
                <w:b/>
                <w:sz w:val="40"/>
                <w:szCs w:val="40"/>
              </w:rPr>
            </w:pPr>
            <w:r w:rsidRPr="00277A25">
              <w:rPr>
                <w:b/>
                <w:sz w:val="40"/>
                <w:szCs w:val="40"/>
              </w:rPr>
              <w:t>Conseil économique et social</w:t>
            </w:r>
          </w:p>
        </w:tc>
        <w:tc>
          <w:tcPr>
            <w:tcW w:w="2835" w:type="dxa"/>
            <w:tcBorders>
              <w:top w:val="single" w:sz="4" w:space="0" w:color="auto"/>
              <w:bottom w:val="single" w:sz="12" w:space="0" w:color="auto"/>
            </w:tcBorders>
          </w:tcPr>
          <w:p w:rsidR="001433FD" w:rsidRPr="00277A25" w:rsidRDefault="004B586A" w:rsidP="00295CCA">
            <w:pPr>
              <w:spacing w:before="240"/>
            </w:pPr>
            <w:r w:rsidRPr="00277A25">
              <w:t>Distr. générale</w:t>
            </w:r>
          </w:p>
          <w:p w:rsidR="004B586A" w:rsidRPr="00277A25" w:rsidRDefault="004B586A" w:rsidP="004B586A">
            <w:pPr>
              <w:spacing w:line="240" w:lineRule="exact"/>
            </w:pPr>
            <w:r w:rsidRPr="00277A25">
              <w:t>5 septembre 2017</w:t>
            </w:r>
          </w:p>
          <w:p w:rsidR="004B586A" w:rsidRPr="00277A25" w:rsidRDefault="004B586A" w:rsidP="004B586A">
            <w:pPr>
              <w:spacing w:line="240" w:lineRule="exact"/>
            </w:pPr>
            <w:r w:rsidRPr="00277A25">
              <w:t>Français</w:t>
            </w:r>
          </w:p>
          <w:p w:rsidR="004B586A" w:rsidRPr="00277A25" w:rsidRDefault="004B586A" w:rsidP="004B586A">
            <w:pPr>
              <w:spacing w:line="240" w:lineRule="exact"/>
            </w:pPr>
            <w:r w:rsidRPr="00277A25">
              <w:t>Original : anglais</w:t>
            </w:r>
          </w:p>
        </w:tc>
      </w:tr>
    </w:tbl>
    <w:p w:rsidR="005316B0" w:rsidRPr="00277A25" w:rsidRDefault="005316B0" w:rsidP="005316B0">
      <w:pPr>
        <w:spacing w:before="120"/>
        <w:rPr>
          <w:b/>
          <w:sz w:val="28"/>
          <w:szCs w:val="28"/>
        </w:rPr>
      </w:pPr>
      <w:r w:rsidRPr="00277A25">
        <w:rPr>
          <w:b/>
          <w:sz w:val="28"/>
          <w:szCs w:val="28"/>
        </w:rPr>
        <w:t>Commission économique pour l’Europe</w:t>
      </w:r>
    </w:p>
    <w:p w:rsidR="004B586A" w:rsidRPr="00277A25" w:rsidRDefault="004B586A" w:rsidP="00446B0A">
      <w:pPr>
        <w:spacing w:before="120"/>
        <w:rPr>
          <w:sz w:val="28"/>
          <w:szCs w:val="28"/>
        </w:rPr>
      </w:pPr>
      <w:r w:rsidRPr="00277A25">
        <w:rPr>
          <w:sz w:val="28"/>
          <w:szCs w:val="28"/>
        </w:rPr>
        <w:t>Comité des politiques de l’environnement</w:t>
      </w:r>
    </w:p>
    <w:p w:rsidR="004B586A" w:rsidRPr="00277A25" w:rsidRDefault="004B586A" w:rsidP="00446B0A">
      <w:pPr>
        <w:spacing w:before="120"/>
        <w:rPr>
          <w:b/>
        </w:rPr>
      </w:pPr>
      <w:r w:rsidRPr="00277A25">
        <w:rPr>
          <w:b/>
        </w:rPr>
        <w:t>Vingt-troisième session</w:t>
      </w:r>
    </w:p>
    <w:p w:rsidR="004B586A" w:rsidRPr="00277A25" w:rsidRDefault="004B586A" w:rsidP="00446B0A">
      <w:r w:rsidRPr="00277A25">
        <w:t>Genève, 14-17 novembre 2017</w:t>
      </w:r>
    </w:p>
    <w:p w:rsidR="004B586A" w:rsidRPr="00277A25" w:rsidRDefault="004B586A" w:rsidP="00446B0A">
      <w:r w:rsidRPr="00277A25">
        <w:t>Point 9 b) de l’ordre du jour provisoire</w:t>
      </w:r>
    </w:p>
    <w:p w:rsidR="00DE76F2" w:rsidRPr="00277A25" w:rsidRDefault="00DE76F2" w:rsidP="004B586A">
      <w:pPr>
        <w:rPr>
          <w:b/>
        </w:rPr>
      </w:pPr>
      <w:r w:rsidRPr="00277A25">
        <w:rPr>
          <w:b/>
        </w:rPr>
        <w:t>Programme de travail relatif au sous-programme Environnement :</w:t>
      </w:r>
      <w:r w:rsidRPr="00277A25">
        <w:rPr>
          <w:b/>
        </w:rPr>
        <w:br/>
        <w:t>Évaluation de l’exécution du sous-programme Environnement en 2016-2017</w:t>
      </w:r>
      <w:r w:rsidR="005230B7" w:rsidRPr="00277A25">
        <w:rPr>
          <w:b/>
        </w:rPr>
        <w:br/>
      </w:r>
      <w:r w:rsidRPr="00277A25">
        <w:rPr>
          <w:b/>
        </w:rPr>
        <w:t>et plan de performance pour la période 2018-2019</w:t>
      </w:r>
    </w:p>
    <w:p w:rsidR="00DE76F2" w:rsidRPr="00277A25" w:rsidRDefault="00DE76F2" w:rsidP="004B586A">
      <w:pPr>
        <w:pStyle w:val="HChG"/>
      </w:pPr>
      <w:r w:rsidRPr="00277A25">
        <w:tab/>
      </w:r>
      <w:r w:rsidRPr="00277A25">
        <w:tab/>
        <w:t xml:space="preserve">Plan de performance biennale du sous-programme </w:t>
      </w:r>
      <w:r w:rsidRPr="00277A25">
        <w:br/>
        <w:t>Environnement pour la période 2018-2019</w:t>
      </w:r>
    </w:p>
    <w:p w:rsidR="00446FE5" w:rsidRPr="00277A25" w:rsidRDefault="00DE76F2" w:rsidP="004B586A">
      <w:pPr>
        <w:pStyle w:val="H1G"/>
        <w:rPr>
          <w:b w:val="0"/>
          <w:sz w:val="20"/>
        </w:rPr>
      </w:pPr>
      <w:r w:rsidRPr="00277A25">
        <w:tab/>
      </w:r>
      <w:r w:rsidRPr="00277A25">
        <w:tab/>
        <w:t>Note du secrétariat</w:t>
      </w:r>
      <w:r w:rsidRPr="00277A25">
        <w:rPr>
          <w:rStyle w:val="Appelnotedebasdep"/>
          <w:b w:val="0"/>
          <w:sz w:val="20"/>
          <w:vertAlign w:val="baseline"/>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5230B7" w:rsidRPr="00277A25" w:rsidTr="00DE76F2">
        <w:trPr>
          <w:jc w:val="center"/>
        </w:trPr>
        <w:tc>
          <w:tcPr>
            <w:tcW w:w="9637" w:type="dxa"/>
            <w:shd w:val="clear" w:color="auto" w:fill="auto"/>
          </w:tcPr>
          <w:p w:rsidR="005230B7" w:rsidRPr="00277A25" w:rsidRDefault="005230B7" w:rsidP="00DE76F2">
            <w:pPr>
              <w:spacing w:before="240" w:after="120"/>
              <w:ind w:left="255"/>
              <w:rPr>
                <w:i/>
                <w:sz w:val="24"/>
              </w:rPr>
            </w:pPr>
            <w:r w:rsidRPr="00277A25">
              <w:rPr>
                <w:i/>
                <w:sz w:val="24"/>
              </w:rPr>
              <w:t>Résumé</w:t>
            </w:r>
          </w:p>
        </w:tc>
      </w:tr>
      <w:tr w:rsidR="005230B7" w:rsidRPr="00277A25" w:rsidTr="00DE76F2">
        <w:trPr>
          <w:jc w:val="center"/>
        </w:trPr>
        <w:tc>
          <w:tcPr>
            <w:tcW w:w="9637" w:type="dxa"/>
            <w:shd w:val="clear" w:color="auto" w:fill="auto"/>
          </w:tcPr>
          <w:p w:rsidR="005230B7" w:rsidRPr="00277A25" w:rsidRDefault="005230B7" w:rsidP="00867877">
            <w:pPr>
              <w:pStyle w:val="SingleTxtG"/>
              <w:ind w:firstLine="567"/>
            </w:pPr>
            <w:r w:rsidRPr="00277A25">
              <w:t>À sa vingtième session, en 2014, le Comité des politiques de l’environnement de la Commission économique pour l’Europe (CEE) a décidé de poursuivre l’évaluation biennale de l’exécution du sous-programme Environnement pour un nouveau cycle au moins. À sa vingt et unième session, en 2015, le Comité a approuvé le plan de performance biennale du sous-programme Environnement pour 2016-2017 (ECE/CEP/2015/5).</w:t>
            </w:r>
          </w:p>
          <w:p w:rsidR="005230B7" w:rsidRPr="00277A25" w:rsidRDefault="005230B7" w:rsidP="00867877">
            <w:pPr>
              <w:pStyle w:val="SingleTxtG"/>
              <w:ind w:firstLine="567"/>
            </w:pPr>
            <w:r w:rsidRPr="00277A25">
              <w:t>Le rapport biennal sur l’exécution du sous-programme Environnement pour 2016</w:t>
            </w:r>
            <w:r w:rsidRPr="00277A25">
              <w:noBreakHyphen/>
              <w:t>2017 figure dans le document ECE/CEP/2017/8. Le présent document contient le plan de performance biennale du sous-programme Environnement pour la période 2018</w:t>
            </w:r>
            <w:r w:rsidRPr="00277A25">
              <w:noBreakHyphen/>
              <w:t>2019. Il est structuré selon les modules dans lesquels ont été classées les activités du sous-programme.</w:t>
            </w:r>
          </w:p>
          <w:p w:rsidR="005230B7" w:rsidRPr="00277A25" w:rsidRDefault="005230B7" w:rsidP="00867877">
            <w:pPr>
              <w:pStyle w:val="SingleTxtG"/>
              <w:ind w:firstLine="567"/>
            </w:pPr>
            <w:r w:rsidRPr="00277A25">
              <w:t>Le Comité sera invité à examiner le plan de performance du sous-programme Environnement pour 2018-2019 en vue de son éventuelle approbation. À cet égard, le Comité sera invité à se pencher sur la nécessité de poursuivre la planification et l’évaluation biennales de l’exécution du sous-programme, étant donné que le Comité exécutif de la CEE a mis un terme à ces évaluations en juin 2014, ce qui a entraîné leur interruption dans d’autres comités sectoriels de la CEE.</w:t>
            </w:r>
          </w:p>
        </w:tc>
      </w:tr>
      <w:tr w:rsidR="005230B7" w:rsidRPr="00277A25" w:rsidTr="00DE76F2">
        <w:trPr>
          <w:jc w:val="center"/>
        </w:trPr>
        <w:tc>
          <w:tcPr>
            <w:tcW w:w="9637" w:type="dxa"/>
            <w:shd w:val="clear" w:color="auto" w:fill="auto"/>
          </w:tcPr>
          <w:p w:rsidR="005230B7" w:rsidRPr="00277A25" w:rsidRDefault="005230B7" w:rsidP="00DE76F2"/>
        </w:tc>
      </w:tr>
    </w:tbl>
    <w:p w:rsidR="005230B7" w:rsidRPr="00277A25" w:rsidRDefault="005230B7" w:rsidP="005230B7"/>
    <w:p w:rsidR="00DE76F2" w:rsidRPr="00277A25" w:rsidRDefault="005230B7" w:rsidP="00203A14">
      <w:pPr>
        <w:pStyle w:val="HChG"/>
      </w:pPr>
      <w:r w:rsidRPr="00277A25">
        <w:br w:type="page"/>
      </w:r>
      <w:r w:rsidR="00DE76F2" w:rsidRPr="00277A25">
        <w:lastRenderedPageBreak/>
        <w:tab/>
        <w:t>I.</w:t>
      </w:r>
      <w:r w:rsidR="00DE76F2" w:rsidRPr="00277A25">
        <w:tab/>
        <w:t>Introduction</w:t>
      </w:r>
    </w:p>
    <w:p w:rsidR="00DE76F2" w:rsidRPr="00277A25" w:rsidRDefault="00DE76F2" w:rsidP="00203A14">
      <w:pPr>
        <w:pStyle w:val="SingleTxtG"/>
      </w:pPr>
      <w:r w:rsidRPr="00277A25">
        <w:t>1.</w:t>
      </w:r>
      <w:r w:rsidRPr="00277A25">
        <w:tab/>
        <w:t xml:space="preserve">Dans le cadre stratégique pour la période 2018-2019 </w:t>
      </w:r>
      <w:r w:rsidR="00203A14" w:rsidRPr="00277A25">
        <w:t>[A/71/6 (Programme </w:t>
      </w:r>
      <w:r w:rsidRPr="00277A25">
        <w:t>17)] figurent les quatre grandes réalisations escomptées du sous-programme Environnement de la Commission économique pour l’Europe (CEE). Il sera rendu compte de leur mise en œuvre à l’Assemblée générale des Nations Unies.</w:t>
      </w:r>
    </w:p>
    <w:p w:rsidR="00DE76F2" w:rsidRPr="00277A25" w:rsidRDefault="00DE76F2" w:rsidP="00203A14">
      <w:pPr>
        <w:pStyle w:val="SingleTxtG"/>
      </w:pPr>
      <w:r w:rsidRPr="00277A25">
        <w:t>2.</w:t>
      </w:r>
      <w:r w:rsidRPr="00277A25">
        <w:tab/>
        <w:t>Les activités au titre du sous-programme Environnement pour la période 2018-2019 sont organisées en plusieurs modules. Il sera rendu compte de leur mise en œuvre au Comité des politiques de l’environnement.</w:t>
      </w:r>
    </w:p>
    <w:p w:rsidR="00DE76F2" w:rsidRPr="00277A25" w:rsidRDefault="00DE76F2" w:rsidP="00203A14">
      <w:pPr>
        <w:pStyle w:val="SingleTxtG"/>
      </w:pPr>
      <w:r w:rsidRPr="00277A25">
        <w:t>3.</w:t>
      </w:r>
      <w:r w:rsidRPr="00277A25">
        <w:tab/>
        <w:t>Le tableau ci-après présente les réalisations escomptées et les indicateurs de succès pour la période 2018-2019 pour chacun des modules du sous-programme. La colonne de gauche contient les quatre grandes réalisations escomptées telles qu’elles figurent dans le cadre stratégique pour la période 2018-2019. La colonne du milieu contient les modules. La</w:t>
      </w:r>
      <w:r w:rsidR="000F79CA">
        <w:t> </w:t>
      </w:r>
      <w:r w:rsidRPr="00277A25">
        <w:t>colonne de droite présente les réalisations escomptées et les indicateurs de succès, ainsi que les résultats pour chaque module. Le tableau est organisé de manière à montrer la corrélation entre le cadre stratégique de la CEE et l’approche par modules utilisée pour l’évaluation biennale de l’exécution du sous-programme pour la période 2018-2019</w:t>
      </w:r>
      <w:r w:rsidRPr="00277A25">
        <w:rPr>
          <w:bCs/>
        </w:rPr>
        <w:t>. Les</w:t>
      </w:r>
      <w:r w:rsidR="00D331FF">
        <w:rPr>
          <w:bCs/>
        </w:rPr>
        <w:t> </w:t>
      </w:r>
      <w:bookmarkStart w:id="0" w:name="_GoBack"/>
      <w:bookmarkEnd w:id="0"/>
      <w:r w:rsidRPr="00277A25">
        <w:rPr>
          <w:bCs/>
        </w:rPr>
        <w:t xml:space="preserve">« résultats obtenus pour 2016-2017 » sont généralement présentés en date du 15 août 2017, car le présent document a été élaboré avant la fin de la période biennale considérée. </w:t>
      </w:r>
    </w:p>
    <w:p w:rsidR="00DE76F2" w:rsidRPr="00277A25" w:rsidRDefault="00DE76F2" w:rsidP="00203A14">
      <w:pPr>
        <w:pStyle w:val="SingleTxtG"/>
      </w:pPr>
      <w:r w:rsidRPr="00277A25">
        <w:t>4.</w:t>
      </w:r>
      <w:r w:rsidRPr="00277A25">
        <w:tab/>
        <w:t>Le Comité sera invité à examiner le plan de performance du sous-programme Environnement pour 2018-2019 en vue de son approbation éventuelle. À cet égard, le</w:t>
      </w:r>
      <w:r w:rsidR="000F79CA">
        <w:t> </w:t>
      </w:r>
      <w:r w:rsidRPr="00277A25">
        <w:t xml:space="preserve">Comité sera invité à se pencher sur la nécessité de poursuivre la planification et l’évaluation biennales de l’exécution du sous-programme, étant donné que le Comité exécutif de la CEE a mis un terme à ces évaluations en juin 2014, ce qui a entraîné leur interruption dans d’autres comités sectoriels de la CEE. </w:t>
      </w:r>
    </w:p>
    <w:p w:rsidR="00DE76F2" w:rsidRPr="00277A25" w:rsidRDefault="00DE76F2" w:rsidP="00203A14">
      <w:pPr>
        <w:pStyle w:val="HChG"/>
      </w:pPr>
      <w:r w:rsidRPr="00277A25">
        <w:tab/>
        <w:t>II.</w:t>
      </w:r>
      <w:r w:rsidRPr="00277A25">
        <w:tab/>
        <w:t xml:space="preserve">Réalisations escomptées et indicateurs de succès </w:t>
      </w:r>
      <w:r w:rsidRPr="00277A25">
        <w:br/>
        <w:t>pour la période 2018-2019</w:t>
      </w:r>
    </w:p>
    <w:tbl>
      <w:tblPr>
        <w:tblW w:w="9637" w:type="dxa"/>
        <w:tblLayout w:type="fixed"/>
        <w:tblCellMar>
          <w:left w:w="0" w:type="dxa"/>
          <w:right w:w="0" w:type="dxa"/>
        </w:tblCellMar>
        <w:tblLook w:val="01E0" w:firstRow="1" w:lastRow="1" w:firstColumn="1" w:lastColumn="1" w:noHBand="0" w:noVBand="0"/>
      </w:tblPr>
      <w:tblGrid>
        <w:gridCol w:w="2694"/>
        <w:gridCol w:w="2808"/>
        <w:gridCol w:w="4135"/>
      </w:tblGrid>
      <w:tr w:rsidR="00277A25" w:rsidRPr="00277A25" w:rsidTr="00DE76F2">
        <w:trPr>
          <w:tblHeader/>
        </w:trPr>
        <w:tc>
          <w:tcPr>
            <w:tcW w:w="2694" w:type="dxa"/>
            <w:tcBorders>
              <w:top w:val="single" w:sz="4" w:space="0" w:color="auto"/>
              <w:bottom w:val="single" w:sz="12" w:space="0" w:color="auto"/>
            </w:tcBorders>
            <w:shd w:val="clear" w:color="auto" w:fill="auto"/>
            <w:vAlign w:val="bottom"/>
          </w:tcPr>
          <w:p w:rsidR="00781DE2" w:rsidRPr="00277A25" w:rsidRDefault="00781DE2" w:rsidP="00FE4858">
            <w:pPr>
              <w:spacing w:before="80" w:after="80" w:line="200" w:lineRule="exact"/>
              <w:ind w:right="113"/>
              <w:rPr>
                <w:i/>
                <w:sz w:val="16"/>
              </w:rPr>
            </w:pPr>
            <w:r w:rsidRPr="00277A25">
              <w:rPr>
                <w:i/>
                <w:sz w:val="16"/>
              </w:rPr>
              <w:br w:type="page"/>
              <w:t>Réalisations escomptées et indicateurs</w:t>
            </w:r>
            <w:r w:rsidR="00277A25">
              <w:rPr>
                <w:i/>
                <w:sz w:val="16"/>
              </w:rPr>
              <w:t xml:space="preserve"> </w:t>
            </w:r>
            <w:r w:rsidRPr="00277A25">
              <w:rPr>
                <w:i/>
                <w:sz w:val="16"/>
              </w:rPr>
              <w:t>de succès au titre du cadre stratégique</w:t>
            </w:r>
            <w:r w:rsidR="006B1452">
              <w:rPr>
                <w:i/>
                <w:sz w:val="16"/>
              </w:rPr>
              <w:t xml:space="preserve"> </w:t>
            </w:r>
            <w:r w:rsidRPr="00277A25">
              <w:rPr>
                <w:i/>
                <w:sz w:val="16"/>
              </w:rPr>
              <w:t>pour la période 2018-2019</w:t>
            </w:r>
          </w:p>
        </w:tc>
        <w:tc>
          <w:tcPr>
            <w:tcW w:w="2808" w:type="dxa"/>
            <w:tcBorders>
              <w:top w:val="single" w:sz="4" w:space="0" w:color="auto"/>
              <w:bottom w:val="single" w:sz="12" w:space="0" w:color="auto"/>
            </w:tcBorders>
            <w:shd w:val="clear" w:color="auto" w:fill="auto"/>
            <w:vAlign w:val="bottom"/>
          </w:tcPr>
          <w:p w:rsidR="00781DE2" w:rsidRPr="00277A25" w:rsidRDefault="00781DE2" w:rsidP="00277A25">
            <w:pPr>
              <w:spacing w:before="80" w:after="80" w:line="200" w:lineRule="exact"/>
              <w:ind w:right="113"/>
              <w:rPr>
                <w:i/>
                <w:sz w:val="16"/>
              </w:rPr>
            </w:pPr>
            <w:r w:rsidRPr="00277A25">
              <w:rPr>
                <w:i/>
                <w:sz w:val="16"/>
              </w:rPr>
              <w:t xml:space="preserve">Modules </w:t>
            </w:r>
          </w:p>
        </w:tc>
        <w:tc>
          <w:tcPr>
            <w:tcW w:w="4135" w:type="dxa"/>
            <w:tcBorders>
              <w:top w:val="single" w:sz="4" w:space="0" w:color="auto"/>
              <w:bottom w:val="single" w:sz="12" w:space="0" w:color="auto"/>
            </w:tcBorders>
            <w:shd w:val="clear" w:color="auto" w:fill="auto"/>
            <w:vAlign w:val="bottom"/>
          </w:tcPr>
          <w:p w:rsidR="00781DE2" w:rsidRPr="00277A25" w:rsidRDefault="00781DE2" w:rsidP="006B1452">
            <w:pPr>
              <w:spacing w:before="80" w:after="80" w:line="200" w:lineRule="exact"/>
              <w:ind w:right="113"/>
              <w:rPr>
                <w:i/>
                <w:sz w:val="16"/>
              </w:rPr>
            </w:pPr>
            <w:r w:rsidRPr="00277A25">
              <w:rPr>
                <w:i/>
                <w:sz w:val="16"/>
              </w:rPr>
              <w:t xml:space="preserve">Réalisations escomptées et indicateurs de succès au titre </w:t>
            </w:r>
            <w:r w:rsidR="006B1452">
              <w:rPr>
                <w:i/>
                <w:sz w:val="16"/>
              </w:rPr>
              <w:br/>
            </w:r>
            <w:r w:rsidRPr="00277A25">
              <w:rPr>
                <w:i/>
                <w:sz w:val="16"/>
              </w:rPr>
              <w:t>de</w:t>
            </w:r>
            <w:r w:rsidR="006B1452">
              <w:rPr>
                <w:i/>
                <w:sz w:val="16"/>
              </w:rPr>
              <w:t xml:space="preserve"> </w:t>
            </w:r>
            <w:r w:rsidRPr="00277A25">
              <w:rPr>
                <w:i/>
                <w:sz w:val="16"/>
              </w:rPr>
              <w:t>l’évaluation biennale pour la période 2018-2019</w:t>
            </w:r>
          </w:p>
        </w:tc>
      </w:tr>
      <w:tr w:rsidR="00277A25" w:rsidRPr="00277A25" w:rsidTr="00DE76F2">
        <w:trPr>
          <w:trHeight w:hRule="exact" w:val="113"/>
          <w:tblHeader/>
        </w:trPr>
        <w:tc>
          <w:tcPr>
            <w:tcW w:w="2694" w:type="dxa"/>
            <w:tcBorders>
              <w:top w:val="single" w:sz="12" w:space="0" w:color="auto"/>
            </w:tcBorders>
            <w:shd w:val="clear" w:color="auto" w:fill="auto"/>
          </w:tcPr>
          <w:p w:rsidR="00277A25" w:rsidRPr="00277A25" w:rsidRDefault="00277A25" w:rsidP="00277A25">
            <w:pPr>
              <w:spacing w:before="40" w:after="120"/>
              <w:ind w:right="113"/>
            </w:pPr>
          </w:p>
        </w:tc>
        <w:tc>
          <w:tcPr>
            <w:tcW w:w="2808" w:type="dxa"/>
            <w:tcBorders>
              <w:top w:val="single" w:sz="12" w:space="0" w:color="auto"/>
            </w:tcBorders>
            <w:shd w:val="clear" w:color="auto" w:fill="auto"/>
          </w:tcPr>
          <w:p w:rsidR="00277A25" w:rsidRPr="00277A25" w:rsidRDefault="00277A25" w:rsidP="00277A25">
            <w:pPr>
              <w:spacing w:before="40" w:after="120"/>
              <w:ind w:right="113"/>
            </w:pPr>
          </w:p>
        </w:tc>
        <w:tc>
          <w:tcPr>
            <w:tcW w:w="4135" w:type="dxa"/>
            <w:tcBorders>
              <w:top w:val="single" w:sz="12" w:space="0" w:color="auto"/>
            </w:tcBorders>
            <w:shd w:val="clear" w:color="auto" w:fill="auto"/>
          </w:tcPr>
          <w:p w:rsidR="00277A25" w:rsidRPr="00277A25" w:rsidRDefault="00277A25" w:rsidP="00277A25">
            <w:pPr>
              <w:spacing w:before="40" w:after="120"/>
              <w:ind w:right="113"/>
            </w:pPr>
          </w:p>
        </w:tc>
      </w:tr>
      <w:tr w:rsidR="00277A25" w:rsidRPr="00277A25" w:rsidTr="00DE76F2">
        <w:tc>
          <w:tcPr>
            <w:tcW w:w="2694" w:type="dxa"/>
            <w:shd w:val="clear" w:color="auto" w:fill="auto"/>
          </w:tcPr>
          <w:p w:rsidR="00781DE2" w:rsidRPr="00277A25" w:rsidRDefault="00781DE2" w:rsidP="00277A25">
            <w:pPr>
              <w:spacing w:before="40" w:after="120"/>
              <w:ind w:right="113"/>
            </w:pPr>
            <w:r w:rsidRPr="00277A25">
              <w:t xml:space="preserve">Réalisation escomptée a) </w:t>
            </w:r>
            <w:r w:rsidRPr="00277A25">
              <w:br/>
              <w:t>Renforcement de l’action menée par les pays dont s’occupe la CEE pour faire face</w:t>
            </w:r>
            <w:r w:rsidR="001131BC">
              <w:t> </w:t>
            </w:r>
            <w:r w:rsidRPr="00277A25">
              <w:t xml:space="preserve">aux problèmes environnementaux </w:t>
            </w:r>
          </w:p>
          <w:p w:rsidR="00781DE2" w:rsidRPr="001131BC" w:rsidRDefault="00781DE2" w:rsidP="00277A25">
            <w:pPr>
              <w:spacing w:before="40" w:after="120"/>
              <w:ind w:right="113"/>
              <w:rPr>
                <w:i/>
              </w:rPr>
            </w:pPr>
            <w:r w:rsidRPr="001131BC">
              <w:rPr>
                <w:i/>
              </w:rPr>
              <w:t>Résultats :</w:t>
            </w:r>
          </w:p>
          <w:p w:rsidR="00781DE2" w:rsidRPr="00277A25" w:rsidRDefault="00781DE2" w:rsidP="00277A25">
            <w:pPr>
              <w:spacing w:before="40" w:after="120"/>
              <w:ind w:right="113"/>
            </w:pPr>
            <w:r w:rsidRPr="00277A25">
              <w:t>2012-2013 : sans objet (s.o.)</w:t>
            </w:r>
          </w:p>
          <w:p w:rsidR="00781DE2" w:rsidRPr="00277A25" w:rsidRDefault="00781DE2" w:rsidP="00277A25">
            <w:pPr>
              <w:spacing w:before="40" w:after="120"/>
              <w:ind w:right="113"/>
            </w:pPr>
            <w:r w:rsidRPr="00277A25">
              <w:t>2014-2015 : s.o.</w:t>
            </w:r>
          </w:p>
          <w:p w:rsidR="00781DE2" w:rsidRPr="00277A25" w:rsidRDefault="00781DE2" w:rsidP="00277A25">
            <w:pPr>
              <w:spacing w:before="40" w:after="120"/>
              <w:ind w:right="113"/>
            </w:pPr>
            <w:r w:rsidRPr="00277A25">
              <w:t>Objectif pour 2016-2017 : 2 mesures</w:t>
            </w:r>
          </w:p>
          <w:p w:rsidR="00781DE2" w:rsidRPr="00277A25" w:rsidRDefault="00781DE2" w:rsidP="00277A25">
            <w:pPr>
              <w:spacing w:before="40" w:after="120"/>
              <w:ind w:right="113"/>
            </w:pPr>
            <w:r w:rsidRPr="00277A25">
              <w:t>Résultats obtenus pour 2016-2017 (au</w:t>
            </w:r>
            <w:r w:rsidR="00DE76F2">
              <w:t xml:space="preserve"> 15 </w:t>
            </w:r>
            <w:r w:rsidRPr="00277A25">
              <w:t xml:space="preserve">août 2017) : 2 mesures </w:t>
            </w:r>
          </w:p>
          <w:p w:rsidR="00781DE2" w:rsidRPr="00277A25" w:rsidRDefault="00781DE2" w:rsidP="00277A25">
            <w:pPr>
              <w:spacing w:before="40" w:after="120"/>
              <w:ind w:right="113"/>
            </w:pPr>
            <w:r w:rsidRPr="00277A25">
              <w:t>Objectif pour 2018-2019 : 2 mesures</w:t>
            </w:r>
          </w:p>
        </w:tc>
        <w:tc>
          <w:tcPr>
            <w:tcW w:w="2808" w:type="dxa"/>
            <w:shd w:val="clear" w:color="auto" w:fill="auto"/>
          </w:tcPr>
          <w:p w:rsidR="00781DE2" w:rsidRPr="00277A25" w:rsidRDefault="00781DE2" w:rsidP="00DE76F2">
            <w:pPr>
              <w:spacing w:before="40" w:after="120"/>
              <w:ind w:right="113"/>
            </w:pPr>
            <w:r w:rsidRPr="00277A25">
              <w:t xml:space="preserve">1. Meilleure réponse des pays face aux problèmes environnementaux </w:t>
            </w:r>
            <w:r w:rsidR="00547FF5" w:rsidRPr="00277A25">
              <w:br/>
            </w:r>
            <w:r w:rsidRPr="00277A25">
              <w:t>(Ce module peut recouvrir, s’il y</w:t>
            </w:r>
            <w:r w:rsidR="00DE76F2">
              <w:t> </w:t>
            </w:r>
            <w:r w:rsidRPr="00277A25">
              <w:t>a lieu, des produits/activités relevant d’autres modules. Ces</w:t>
            </w:r>
            <w:r w:rsidR="00DE76F2">
              <w:t> </w:t>
            </w:r>
            <w:r w:rsidRPr="00277A25">
              <w:t>produits/activités peuvent se rapporter au suivi des décisions adoptées lors des grandes réunions et à la mise en œuvre du</w:t>
            </w:r>
            <w:r w:rsidR="00DE76F2">
              <w:t> </w:t>
            </w:r>
            <w:r w:rsidRPr="00277A25">
              <w:t>Programme de développement durable à l’horizon 2030)</w:t>
            </w:r>
          </w:p>
        </w:tc>
        <w:tc>
          <w:tcPr>
            <w:tcW w:w="4135" w:type="dxa"/>
            <w:shd w:val="clear" w:color="auto" w:fill="auto"/>
          </w:tcPr>
          <w:p w:rsidR="00781DE2" w:rsidRPr="00277A25" w:rsidRDefault="00781DE2" w:rsidP="00277A25">
            <w:pPr>
              <w:spacing w:before="40" w:after="120"/>
              <w:ind w:right="113"/>
            </w:pPr>
            <w:r w:rsidRPr="00277A25">
              <w:t xml:space="preserve">Réalisation escomptée 1 </w:t>
            </w:r>
            <w:r w:rsidRPr="00277A25">
              <w:br/>
              <w:t xml:space="preserve">Meilleure réponse des pays dont s’occupe la CEE face aux problèmes environnementaux </w:t>
            </w:r>
          </w:p>
          <w:p w:rsidR="00781DE2" w:rsidRPr="00277A25" w:rsidRDefault="00781DE2" w:rsidP="00277A25">
            <w:pPr>
              <w:spacing w:before="40" w:after="120"/>
              <w:ind w:right="113"/>
            </w:pPr>
            <w:r w:rsidRPr="00277A25">
              <w:t>Indicateur de succès 1 a)</w:t>
            </w:r>
            <w:r w:rsidRPr="00277A25">
              <w:br/>
              <w:t>Nombre de nouvelles mesures prises par les pays dont s’occupe la CEE en réponse à des problèmes environnementaux existants ou naissants</w:t>
            </w:r>
          </w:p>
          <w:p w:rsidR="00781DE2" w:rsidRPr="001131BC" w:rsidRDefault="00781DE2" w:rsidP="00277A25">
            <w:pPr>
              <w:spacing w:before="40" w:after="120"/>
              <w:ind w:right="113"/>
              <w:rPr>
                <w:i/>
              </w:rPr>
            </w:pPr>
            <w:r w:rsidRPr="001131BC">
              <w:rPr>
                <w:i/>
              </w:rPr>
              <w:t>Résultats :</w:t>
            </w:r>
          </w:p>
          <w:p w:rsidR="00781DE2" w:rsidRPr="00277A25" w:rsidRDefault="00781DE2" w:rsidP="00277A25">
            <w:pPr>
              <w:spacing w:before="40" w:after="120"/>
              <w:ind w:right="113"/>
            </w:pPr>
            <w:r w:rsidRPr="00277A25">
              <w:t>2012-2013 : s.o.</w:t>
            </w:r>
          </w:p>
          <w:p w:rsidR="00781DE2" w:rsidRPr="00277A25" w:rsidRDefault="00781DE2" w:rsidP="00277A25">
            <w:pPr>
              <w:spacing w:before="40" w:after="120"/>
              <w:ind w:right="113"/>
            </w:pPr>
            <w:r w:rsidRPr="00277A25">
              <w:t>2014-2015 : s.o.</w:t>
            </w:r>
          </w:p>
          <w:p w:rsidR="00781DE2" w:rsidRPr="00277A25" w:rsidRDefault="00781DE2" w:rsidP="00277A25">
            <w:pPr>
              <w:spacing w:before="40" w:after="120"/>
              <w:ind w:right="113"/>
            </w:pPr>
            <w:r w:rsidRPr="00277A25">
              <w:t>Objectif pour 2016-2017 : 2 mesures</w:t>
            </w:r>
          </w:p>
          <w:p w:rsidR="00781DE2" w:rsidRPr="00277A25" w:rsidRDefault="00781DE2" w:rsidP="00277A25">
            <w:pPr>
              <w:spacing w:before="40" w:after="120"/>
              <w:ind w:right="113"/>
            </w:pPr>
            <w:r w:rsidRPr="00277A25">
              <w:t xml:space="preserve">Résultats obtenus pour 2016-2017 </w:t>
            </w:r>
            <w:r w:rsidR="00DE76F2">
              <w:br/>
            </w:r>
            <w:r w:rsidRPr="00277A25">
              <w:t>(au</w:t>
            </w:r>
            <w:r w:rsidR="00DE76F2">
              <w:t xml:space="preserve"> 15 </w:t>
            </w:r>
            <w:r w:rsidRPr="00277A25">
              <w:t xml:space="preserve">août 2017) : 2 mesures </w:t>
            </w:r>
          </w:p>
          <w:p w:rsidR="00781DE2" w:rsidRPr="00277A25" w:rsidRDefault="00781DE2" w:rsidP="00277A25">
            <w:pPr>
              <w:spacing w:before="40" w:after="120"/>
              <w:ind w:right="113"/>
            </w:pPr>
            <w:r w:rsidRPr="00277A25">
              <w:t>Objectif pour 2018-2019 </w:t>
            </w:r>
            <w:r w:rsidR="00DE76F2">
              <w:t>: 2 </w:t>
            </w:r>
            <w:r w:rsidRPr="00277A25">
              <w:t xml:space="preserve">mesures </w:t>
            </w:r>
          </w:p>
        </w:tc>
      </w:tr>
      <w:tr w:rsidR="00277A25" w:rsidRPr="00277A25" w:rsidTr="00DE76F2">
        <w:trPr>
          <w:cantSplit/>
        </w:trPr>
        <w:tc>
          <w:tcPr>
            <w:tcW w:w="2694" w:type="dxa"/>
            <w:vMerge w:val="restart"/>
            <w:shd w:val="clear" w:color="auto" w:fill="auto"/>
          </w:tcPr>
          <w:p w:rsidR="00781DE2" w:rsidRPr="00277A25" w:rsidRDefault="00781DE2" w:rsidP="00277A25">
            <w:pPr>
              <w:spacing w:before="40" w:after="120"/>
              <w:ind w:right="113"/>
            </w:pPr>
            <w:r w:rsidRPr="00277A25">
              <w:lastRenderedPageBreak/>
              <w:t>Réalisation escomptée b)</w:t>
            </w:r>
            <w:r w:rsidRPr="00277A25">
              <w:br/>
              <w:t>Renforcement de l’exécution et élargissement du champ d’application géographique des accords environnementaux multilatéraux de la CEE</w:t>
            </w:r>
          </w:p>
          <w:p w:rsidR="00781DE2" w:rsidRPr="00277A25" w:rsidRDefault="00304B17" w:rsidP="00277A25">
            <w:pPr>
              <w:spacing w:before="40" w:after="120"/>
              <w:ind w:right="113"/>
            </w:pPr>
            <w:r>
              <w:t>Indicateur de succès b) </w:t>
            </w:r>
            <w:r w:rsidR="00781DE2" w:rsidRPr="00277A25">
              <w:t>i)</w:t>
            </w:r>
            <w:r w:rsidR="00781DE2" w:rsidRPr="00277A25">
              <w:br/>
              <w:t>Augmentation du pourcentage de Parties contractantes rendant compte de l’application des accords environnementaux multilatéraux de la CEE</w:t>
            </w:r>
          </w:p>
          <w:p w:rsidR="00781DE2" w:rsidRPr="001131BC" w:rsidRDefault="00781DE2" w:rsidP="00277A25">
            <w:pPr>
              <w:spacing w:before="40" w:after="120"/>
              <w:ind w:right="113"/>
              <w:rPr>
                <w:i/>
              </w:rPr>
            </w:pPr>
            <w:r w:rsidRPr="001131BC">
              <w:rPr>
                <w:i/>
              </w:rPr>
              <w:t>Résultats :</w:t>
            </w:r>
          </w:p>
          <w:p w:rsidR="00781DE2" w:rsidRPr="00277A25" w:rsidRDefault="00781DE2" w:rsidP="00277A25">
            <w:pPr>
              <w:spacing w:before="40" w:after="120"/>
              <w:ind w:right="113"/>
            </w:pPr>
            <w:r w:rsidRPr="00277A25">
              <w:t>2012-2013 : s.o.</w:t>
            </w:r>
          </w:p>
          <w:p w:rsidR="00781DE2" w:rsidRPr="00277A25" w:rsidRDefault="00781DE2" w:rsidP="00277A25">
            <w:pPr>
              <w:spacing w:before="40" w:after="120"/>
              <w:ind w:right="113"/>
            </w:pPr>
            <w:r w:rsidRPr="00277A25">
              <w:t>2014-2015 : s.o.</w:t>
            </w:r>
          </w:p>
          <w:p w:rsidR="00781DE2" w:rsidRPr="00277A25" w:rsidRDefault="00781DE2" w:rsidP="00277A25">
            <w:pPr>
              <w:spacing w:before="40" w:after="120"/>
              <w:ind w:right="113"/>
            </w:pPr>
            <w:r w:rsidRPr="00277A25">
              <w:t>Objectif pour 2016-2017 : 85 %</w:t>
            </w:r>
          </w:p>
          <w:p w:rsidR="00781DE2" w:rsidRPr="00277A25" w:rsidRDefault="00781DE2" w:rsidP="00277A25">
            <w:pPr>
              <w:spacing w:before="40" w:after="120"/>
              <w:ind w:right="113"/>
            </w:pPr>
            <w:r w:rsidRPr="00277A25">
              <w:t xml:space="preserve">Résultats obtenus pour </w:t>
            </w:r>
            <w:r w:rsidR="002433F4">
              <w:t>2016</w:t>
            </w:r>
            <w:r w:rsidR="002433F4">
              <w:noBreakHyphen/>
            </w:r>
            <w:r w:rsidR="00DE76F2">
              <w:t>2017 (au 15 </w:t>
            </w:r>
            <w:r w:rsidRPr="00277A25">
              <w:t>août 2017) : 91 %</w:t>
            </w:r>
          </w:p>
          <w:p w:rsidR="00781DE2" w:rsidRPr="00277A25" w:rsidRDefault="00781DE2" w:rsidP="00277A25">
            <w:pPr>
              <w:spacing w:before="40" w:after="120"/>
              <w:ind w:right="113"/>
            </w:pPr>
            <w:r w:rsidRPr="00277A25">
              <w:t>Objectif pour 2018-2019 : 87 %</w:t>
            </w:r>
          </w:p>
          <w:p w:rsidR="00781DE2" w:rsidRPr="00277A25" w:rsidRDefault="00781DE2" w:rsidP="00277A25">
            <w:pPr>
              <w:spacing w:before="40" w:after="120"/>
              <w:ind w:right="113"/>
            </w:pPr>
          </w:p>
          <w:p w:rsidR="00781DE2" w:rsidRPr="00277A25" w:rsidRDefault="00781DE2" w:rsidP="00277A25">
            <w:pPr>
              <w:spacing w:before="40" w:after="120"/>
              <w:ind w:right="113"/>
            </w:pPr>
            <w:r w:rsidRPr="00277A25">
              <w:t>Indicateur de succès b) ii)</w:t>
            </w:r>
            <w:r w:rsidRPr="00277A25">
              <w:br/>
              <w:t>Augmentation du nombre de Parties contractantes aux accords environnementaux multilatéraux de la CEE</w:t>
            </w:r>
          </w:p>
          <w:p w:rsidR="00781DE2" w:rsidRPr="001131BC" w:rsidRDefault="00781DE2" w:rsidP="00277A25">
            <w:pPr>
              <w:spacing w:before="40" w:after="120"/>
              <w:ind w:right="113"/>
              <w:rPr>
                <w:i/>
              </w:rPr>
            </w:pPr>
            <w:r w:rsidRPr="001131BC">
              <w:rPr>
                <w:i/>
              </w:rPr>
              <w:t>Résultats :</w:t>
            </w:r>
          </w:p>
          <w:p w:rsidR="00781DE2" w:rsidRPr="00277A25" w:rsidRDefault="00781DE2" w:rsidP="00277A25">
            <w:pPr>
              <w:spacing w:before="40" w:after="120"/>
              <w:ind w:right="113"/>
            </w:pPr>
            <w:r w:rsidRPr="00277A25">
              <w:t>2012-2013 : s.o.</w:t>
            </w:r>
          </w:p>
          <w:p w:rsidR="00781DE2" w:rsidRPr="00277A25" w:rsidRDefault="00781DE2" w:rsidP="00277A25">
            <w:pPr>
              <w:spacing w:before="40" w:after="120"/>
              <w:ind w:right="113"/>
            </w:pPr>
            <w:r w:rsidRPr="00277A25">
              <w:t>2014-2015 : s.o.</w:t>
            </w:r>
          </w:p>
          <w:p w:rsidR="00781DE2" w:rsidRPr="00277A25" w:rsidRDefault="00781DE2" w:rsidP="00277A25">
            <w:pPr>
              <w:spacing w:before="40" w:after="120"/>
              <w:ind w:right="113"/>
            </w:pPr>
            <w:r w:rsidRPr="00277A25">
              <w:t xml:space="preserve">Objectif pour 2016-2017 : </w:t>
            </w:r>
            <w:r w:rsidR="00DE76F2">
              <w:t>310 </w:t>
            </w:r>
            <w:r w:rsidRPr="00277A25">
              <w:t>Parties</w:t>
            </w:r>
          </w:p>
          <w:p w:rsidR="00781DE2" w:rsidRPr="00277A25" w:rsidRDefault="00781DE2" w:rsidP="00277A25">
            <w:pPr>
              <w:spacing w:before="40" w:after="120"/>
              <w:ind w:right="113"/>
            </w:pPr>
            <w:r w:rsidRPr="00277A25">
              <w:t>Résultats obtenus pour 2016</w:t>
            </w:r>
            <w:r w:rsidR="00DE76F2">
              <w:noBreakHyphen/>
            </w:r>
            <w:r w:rsidRPr="00277A25">
              <w:t>2017 (au</w:t>
            </w:r>
            <w:r w:rsidR="00DE76F2">
              <w:t xml:space="preserve"> 15 </w:t>
            </w:r>
            <w:r w:rsidRPr="00277A25">
              <w:t>août 2017) : 318 Parties</w:t>
            </w:r>
          </w:p>
          <w:p w:rsidR="00781DE2" w:rsidRPr="00277A25" w:rsidRDefault="00781DE2" w:rsidP="00277A25">
            <w:pPr>
              <w:spacing w:before="40" w:after="120"/>
              <w:ind w:right="113"/>
            </w:pPr>
            <w:r w:rsidRPr="00277A25">
              <w:t>Objectif pour 2018-</w:t>
            </w:r>
            <w:r w:rsidR="00DE76F2">
              <w:t>2019 </w:t>
            </w:r>
            <w:r w:rsidRPr="00277A25">
              <w:t>: 318 Parties</w:t>
            </w:r>
          </w:p>
          <w:p w:rsidR="00781DE2" w:rsidRPr="00277A25" w:rsidRDefault="00781DE2" w:rsidP="00277A25">
            <w:pPr>
              <w:spacing w:before="40" w:after="120"/>
              <w:ind w:right="113"/>
            </w:pPr>
          </w:p>
        </w:tc>
        <w:tc>
          <w:tcPr>
            <w:tcW w:w="2808" w:type="dxa"/>
            <w:shd w:val="clear" w:color="auto" w:fill="auto"/>
          </w:tcPr>
          <w:p w:rsidR="00781DE2" w:rsidRPr="00277A25" w:rsidRDefault="00781DE2" w:rsidP="00DE76F2">
            <w:pPr>
              <w:spacing w:before="40" w:after="120"/>
              <w:ind w:right="113"/>
            </w:pPr>
            <w:r w:rsidRPr="00277A25">
              <w:t xml:space="preserve">2. Activités déployées dans le cadre du processus </w:t>
            </w:r>
            <w:r w:rsidR="00277A25" w:rsidRPr="00277A25">
              <w:br/>
            </w:r>
            <w:r w:rsidRPr="00277A25">
              <w:t>« Un environnement pour</w:t>
            </w:r>
            <w:r w:rsidR="00DE76F2">
              <w:t> </w:t>
            </w:r>
            <w:r w:rsidRPr="00277A25">
              <w:t xml:space="preserve">l’Europe » </w:t>
            </w:r>
          </w:p>
        </w:tc>
        <w:tc>
          <w:tcPr>
            <w:tcW w:w="4135" w:type="dxa"/>
            <w:shd w:val="clear" w:color="auto" w:fill="auto"/>
          </w:tcPr>
          <w:p w:rsidR="00781DE2" w:rsidRPr="00277A25" w:rsidRDefault="00781DE2" w:rsidP="00277A25">
            <w:pPr>
              <w:spacing w:before="40" w:after="120"/>
              <w:ind w:right="113"/>
            </w:pPr>
            <w:r w:rsidRPr="00277A25">
              <w:t xml:space="preserve">Réalisation escomptée 2 </w:t>
            </w:r>
            <w:r w:rsidRPr="00277A25">
              <w:br/>
              <w:t>Mise en œuvre réussie de la réforme du processus « Un environnement pour l’Europe »</w:t>
            </w:r>
          </w:p>
          <w:p w:rsidR="00781DE2" w:rsidRPr="00277A25" w:rsidRDefault="00112E8D" w:rsidP="00277A25">
            <w:pPr>
              <w:spacing w:before="40" w:after="120"/>
              <w:ind w:right="113"/>
            </w:pPr>
            <w:r>
              <w:t>Indicateur de succès 2 </w:t>
            </w:r>
            <w:r w:rsidR="00781DE2" w:rsidRPr="00277A25">
              <w:t>a)</w:t>
            </w:r>
            <w:r w:rsidR="00781DE2" w:rsidRPr="00277A25">
              <w:br/>
              <w:t>Accord des États membres sur les activités au titre du processus « Un environnement pour l’Europe »</w:t>
            </w:r>
          </w:p>
          <w:p w:rsidR="00781DE2" w:rsidRPr="001131BC" w:rsidRDefault="00781DE2" w:rsidP="00277A25">
            <w:pPr>
              <w:spacing w:before="40" w:after="120"/>
              <w:ind w:right="113"/>
              <w:rPr>
                <w:i/>
              </w:rPr>
            </w:pPr>
            <w:r w:rsidRPr="001131BC">
              <w:rPr>
                <w:i/>
              </w:rPr>
              <w:t>Résultats :</w:t>
            </w:r>
          </w:p>
          <w:p w:rsidR="00781DE2" w:rsidRPr="00277A25" w:rsidRDefault="00781DE2" w:rsidP="00277A25">
            <w:pPr>
              <w:spacing w:before="40" w:after="120"/>
              <w:ind w:right="113"/>
            </w:pPr>
            <w:r w:rsidRPr="00277A25">
              <w:t>2012-2013 : Accord sur l’organisation de l’examen à mi-parcours</w:t>
            </w:r>
          </w:p>
          <w:p w:rsidR="00781DE2" w:rsidRPr="00277A25" w:rsidRDefault="00781DE2" w:rsidP="00277A25">
            <w:pPr>
              <w:spacing w:before="40" w:after="120"/>
              <w:ind w:right="113"/>
            </w:pPr>
            <w:r w:rsidRPr="00277A25">
              <w:t>2014-2015 : Accord sur la suite à donner à l’examen à mi-parcours et préparatifs de la huitième Conférence ministérielle « Un</w:t>
            </w:r>
            <w:r w:rsidR="00DE76F2">
              <w:t> </w:t>
            </w:r>
            <w:r w:rsidR="004C1B89">
              <w:t xml:space="preserve">environnement pour l’Europe » </w:t>
            </w:r>
            <w:r w:rsidRPr="00277A25">
              <w:t>(Batumi, Géorgie</w:t>
            </w:r>
            <w:r w:rsidR="00DE76F2">
              <w:t>, 8-10 </w:t>
            </w:r>
            <w:r w:rsidRPr="00277A25">
              <w:t>juin 2016)</w:t>
            </w:r>
          </w:p>
          <w:p w:rsidR="00781DE2" w:rsidRPr="00277A25" w:rsidRDefault="00781DE2" w:rsidP="00277A25">
            <w:pPr>
              <w:spacing w:before="40" w:after="120"/>
              <w:ind w:right="113"/>
            </w:pPr>
            <w:r w:rsidRPr="00277A25">
              <w:t>Objectif pour 2016-2017 : Accord à trouver sur la suite à donner à la huitième Conférence ministérielle « Un environnement pour l’Europe »</w:t>
            </w:r>
          </w:p>
          <w:p w:rsidR="00781DE2" w:rsidRPr="00277A25" w:rsidRDefault="00781DE2" w:rsidP="00277A25">
            <w:pPr>
              <w:spacing w:before="40" w:after="120"/>
              <w:ind w:right="113"/>
            </w:pPr>
            <w:r w:rsidRPr="00277A25">
              <w:t>Résultats obtenus pour 2016-2017 (au</w:t>
            </w:r>
            <w:r w:rsidR="00DE76F2">
              <w:t xml:space="preserve"> 15 </w:t>
            </w:r>
            <w:r w:rsidRPr="00277A25">
              <w:t xml:space="preserve">août 2017) : Un accord sur la suite à donner à la huitième Conférence ministérielle </w:t>
            </w:r>
            <w:r w:rsidR="00DE76F2">
              <w:br/>
            </w:r>
            <w:r w:rsidRPr="00277A25">
              <w:t>« Un environnement pour l’Europe », notamment sur l’organisation de l’examen à mi-parcours, devrait être conclu à la vingt-troisième session du Comité (Genève, 14-17 novembre 2017)</w:t>
            </w:r>
          </w:p>
          <w:p w:rsidR="00781DE2" w:rsidRPr="00277A25" w:rsidRDefault="00781DE2" w:rsidP="00277A25">
            <w:pPr>
              <w:spacing w:before="40" w:after="120"/>
              <w:ind w:right="113"/>
            </w:pPr>
            <w:r w:rsidRPr="00277A25">
              <w:t>Objectif pour 2018-2019 : Accord à trouver sur la suite à donner à l’examen à mi-parcours et préparatifs de la neuvième Conférence ministérielle « Un environnement pour l’Europe »</w:t>
            </w:r>
          </w:p>
        </w:tc>
      </w:tr>
      <w:tr w:rsidR="00277A25" w:rsidRPr="00277A25" w:rsidTr="00DE76F2">
        <w:tc>
          <w:tcPr>
            <w:tcW w:w="2694" w:type="dxa"/>
            <w:vMerge/>
            <w:shd w:val="clear" w:color="auto" w:fill="auto"/>
          </w:tcPr>
          <w:p w:rsidR="00781DE2" w:rsidRPr="00277A25" w:rsidRDefault="00781DE2" w:rsidP="00277A25">
            <w:pPr>
              <w:spacing w:before="40" w:after="120"/>
              <w:ind w:right="113"/>
            </w:pPr>
          </w:p>
        </w:tc>
        <w:tc>
          <w:tcPr>
            <w:tcW w:w="2808" w:type="dxa"/>
            <w:shd w:val="clear" w:color="auto" w:fill="auto"/>
          </w:tcPr>
          <w:p w:rsidR="00781DE2" w:rsidRPr="00277A25" w:rsidRDefault="00781DE2" w:rsidP="00277A25">
            <w:pPr>
              <w:spacing w:before="40" w:after="120"/>
              <w:ind w:right="113"/>
            </w:pPr>
            <w:r w:rsidRPr="00277A25">
              <w:t xml:space="preserve">3. Éducation au développement durable </w:t>
            </w:r>
          </w:p>
        </w:tc>
        <w:tc>
          <w:tcPr>
            <w:tcW w:w="4135" w:type="dxa"/>
            <w:shd w:val="clear" w:color="auto" w:fill="auto"/>
          </w:tcPr>
          <w:p w:rsidR="00781DE2" w:rsidRPr="00277A25" w:rsidRDefault="00781DE2" w:rsidP="00277A25">
            <w:pPr>
              <w:spacing w:before="40" w:after="120"/>
              <w:ind w:right="113"/>
            </w:pPr>
            <w:r w:rsidRPr="00277A25">
              <w:t>Réalisation escomptée 3</w:t>
            </w:r>
            <w:r w:rsidRPr="00277A25">
              <w:br/>
              <w:t>Meilleure application de la Stratégie de la CEE pour l’éducation au développement durable au niveau national</w:t>
            </w:r>
          </w:p>
          <w:p w:rsidR="00781DE2" w:rsidRPr="00277A25" w:rsidRDefault="00781DE2" w:rsidP="00277A25">
            <w:pPr>
              <w:spacing w:before="40" w:after="120"/>
              <w:ind w:right="113"/>
            </w:pPr>
            <w:r w:rsidRPr="00277A25">
              <w:t>Indicateur de succès 3</w:t>
            </w:r>
            <w:r w:rsidRPr="00277A25">
              <w:br/>
              <w:t>Mesures permettant de mettre en œuvre la Stratégie pour l’éducation au développement durable au niveau national, sur la base des rapports des États membres</w:t>
            </w:r>
          </w:p>
          <w:p w:rsidR="00781DE2" w:rsidRPr="001131BC" w:rsidRDefault="00781DE2" w:rsidP="00277A25">
            <w:pPr>
              <w:spacing w:before="40" w:after="120"/>
              <w:ind w:right="113"/>
              <w:rPr>
                <w:i/>
              </w:rPr>
            </w:pPr>
            <w:r w:rsidRPr="001131BC">
              <w:rPr>
                <w:i/>
              </w:rPr>
              <w:t>Résultats :</w:t>
            </w:r>
          </w:p>
          <w:p w:rsidR="00781DE2" w:rsidRPr="00277A25" w:rsidRDefault="00781DE2" w:rsidP="00277A25">
            <w:pPr>
              <w:spacing w:before="40" w:after="120"/>
              <w:ind w:right="113"/>
            </w:pPr>
            <w:r w:rsidRPr="00277A25">
              <w:t>2012-2013 : 42 pays</w:t>
            </w:r>
          </w:p>
          <w:p w:rsidR="00781DE2" w:rsidRPr="00277A25" w:rsidRDefault="00781DE2" w:rsidP="00277A25">
            <w:pPr>
              <w:spacing w:before="40" w:after="120"/>
              <w:ind w:right="113"/>
            </w:pPr>
            <w:r w:rsidRPr="00277A25">
              <w:t>2014-2015</w:t>
            </w:r>
            <w:r w:rsidR="00DE76F2">
              <w:t> : 38 </w:t>
            </w:r>
            <w:r w:rsidRPr="00277A25">
              <w:t>pays</w:t>
            </w:r>
            <w:r w:rsidRPr="000F79CA">
              <w:rPr>
                <w:rStyle w:val="Appeldenotedefin"/>
                <w:i/>
              </w:rPr>
              <w:t>a</w:t>
            </w:r>
            <w:r w:rsidRPr="00277A25">
              <w:t xml:space="preserve"> </w:t>
            </w:r>
          </w:p>
          <w:p w:rsidR="00781DE2" w:rsidRPr="00277A25" w:rsidRDefault="00781DE2" w:rsidP="00277A25">
            <w:pPr>
              <w:spacing w:before="40" w:after="120"/>
              <w:ind w:right="113"/>
            </w:pPr>
            <w:r w:rsidRPr="00277A25">
              <w:t>Objectif pour 2016-2017 :</w:t>
            </w:r>
            <w:r w:rsidR="00DE76F2">
              <w:t xml:space="preserve"> 38 </w:t>
            </w:r>
            <w:r w:rsidRPr="00277A25">
              <w:t>pays</w:t>
            </w:r>
          </w:p>
          <w:p w:rsidR="00781DE2" w:rsidRPr="00277A25" w:rsidRDefault="00781DE2" w:rsidP="00277A25">
            <w:pPr>
              <w:spacing w:before="40" w:after="120"/>
              <w:ind w:right="113"/>
            </w:pPr>
            <w:r w:rsidRPr="00277A25">
              <w:t>Résultats obtenus pour 2016-2017 : 16 pays</w:t>
            </w:r>
            <w:r w:rsidRPr="000F79CA">
              <w:rPr>
                <w:rStyle w:val="Appeldenotedefin"/>
                <w:i/>
              </w:rPr>
              <w:t>b</w:t>
            </w:r>
          </w:p>
          <w:p w:rsidR="00DE76F2" w:rsidRPr="00277A25" w:rsidRDefault="00781DE2" w:rsidP="000F79CA">
            <w:pPr>
              <w:spacing w:before="40" w:after="960"/>
              <w:ind w:right="113"/>
            </w:pPr>
            <w:r w:rsidRPr="00277A25">
              <w:t>Objectif pour 2018-2019 : 30 pays</w:t>
            </w:r>
          </w:p>
        </w:tc>
      </w:tr>
      <w:tr w:rsidR="00277A25" w:rsidRPr="00277A25" w:rsidTr="00DE76F2">
        <w:tc>
          <w:tcPr>
            <w:tcW w:w="2694" w:type="dxa"/>
            <w:vMerge/>
            <w:shd w:val="clear" w:color="auto" w:fill="auto"/>
          </w:tcPr>
          <w:p w:rsidR="00781DE2" w:rsidRPr="00277A25" w:rsidRDefault="00781DE2" w:rsidP="00277A25">
            <w:pPr>
              <w:spacing w:before="40" w:after="120"/>
              <w:ind w:right="113"/>
            </w:pPr>
          </w:p>
        </w:tc>
        <w:tc>
          <w:tcPr>
            <w:tcW w:w="2808" w:type="dxa"/>
            <w:shd w:val="clear" w:color="auto" w:fill="auto"/>
          </w:tcPr>
          <w:p w:rsidR="00781DE2" w:rsidRPr="00277A25" w:rsidRDefault="00781DE2" w:rsidP="00277A25">
            <w:pPr>
              <w:keepNext/>
              <w:spacing w:before="40" w:after="120"/>
              <w:ind w:right="113"/>
            </w:pPr>
            <w:r w:rsidRPr="00277A25">
              <w:t xml:space="preserve">4. Transport, santé et environnement </w:t>
            </w:r>
          </w:p>
        </w:tc>
        <w:tc>
          <w:tcPr>
            <w:tcW w:w="4135" w:type="dxa"/>
            <w:shd w:val="clear" w:color="auto" w:fill="auto"/>
          </w:tcPr>
          <w:p w:rsidR="00781DE2" w:rsidRPr="00277A25" w:rsidRDefault="00781DE2" w:rsidP="00277A25">
            <w:pPr>
              <w:spacing w:before="40" w:after="120"/>
              <w:ind w:right="113"/>
            </w:pPr>
            <w:r w:rsidRPr="00277A25">
              <w:t>Réalisation escomptée 4</w:t>
            </w:r>
            <w:r w:rsidRPr="00277A25">
              <w:br/>
              <w:t>Meilleure intégration des politiques relatives aux transports, à la santé et à l’environnement par l’échange de données d’expérience et de bonnes pratiques et le renforcement des capacités, en mettant l’accent sur les pays du Caucase, d’Asie centrale et d’Europe orientale et du Sud-Est</w:t>
            </w:r>
          </w:p>
          <w:p w:rsidR="00781DE2" w:rsidRPr="00277A25" w:rsidRDefault="00781DE2" w:rsidP="00277A25">
            <w:pPr>
              <w:spacing w:before="40" w:after="120"/>
              <w:ind w:right="113"/>
            </w:pPr>
            <w:r w:rsidRPr="00277A25">
              <w:t>Indicateur de succès 4</w:t>
            </w:r>
            <w:r w:rsidRPr="00277A25">
              <w:br/>
              <w:t>Nombre d’États membres, des organisations intergouvernementales (OIG) et des organisations non gouvernementales (ONG) ayant participé aux réunions du Comité directeur du Programme paneuropéen sur les transports, la santé et l’environnement (PPE-TSE) et aux ateliers entrepris dans ce cadre</w:t>
            </w:r>
          </w:p>
          <w:p w:rsidR="00781DE2" w:rsidRPr="001131BC" w:rsidRDefault="00781DE2" w:rsidP="00277A25">
            <w:pPr>
              <w:spacing w:before="40" w:after="120"/>
              <w:ind w:right="113"/>
              <w:rPr>
                <w:i/>
              </w:rPr>
            </w:pPr>
            <w:r w:rsidRPr="001131BC">
              <w:rPr>
                <w:i/>
              </w:rPr>
              <w:t>Résultats :</w:t>
            </w:r>
          </w:p>
          <w:p w:rsidR="00781DE2" w:rsidRPr="00277A25" w:rsidRDefault="00781DE2" w:rsidP="00277A25">
            <w:pPr>
              <w:spacing w:before="40" w:after="120"/>
              <w:ind w:right="113"/>
            </w:pPr>
            <w:r w:rsidRPr="00277A25">
              <w:t xml:space="preserve">2012-2013 : </w:t>
            </w:r>
            <w:r w:rsidR="00DE76F2">
              <w:t>Participation de 62 </w:t>
            </w:r>
            <w:r w:rsidRPr="00277A25">
              <w:t>pays et de 31</w:t>
            </w:r>
            <w:r w:rsidR="00DE76F2">
              <w:t> </w:t>
            </w:r>
            <w:r w:rsidRPr="00277A25">
              <w:t>OIG et ONG à 4 réunions de fond, à savoir 2 ateliers sur le renforcement des capacités et 2 sessions du Comité directeur du PPE-TSE</w:t>
            </w:r>
          </w:p>
          <w:p w:rsidR="00781DE2" w:rsidRPr="00277A25" w:rsidRDefault="00781DE2" w:rsidP="00277A25">
            <w:pPr>
              <w:spacing w:before="40" w:after="120"/>
              <w:ind w:right="113"/>
            </w:pPr>
            <w:r w:rsidRPr="00277A25">
              <w:t>2014-2015 : Participation de 82 pays et de 30</w:t>
            </w:r>
            <w:r w:rsidR="00E37820">
              <w:t> </w:t>
            </w:r>
            <w:r w:rsidRPr="00277A25">
              <w:t>OIG et ONG à 5 réunions de fond, à savoir 2</w:t>
            </w:r>
            <w:r w:rsidR="00E37820">
              <w:t> </w:t>
            </w:r>
            <w:r w:rsidRPr="00277A25">
              <w:t>ateliers sur le renforcement des capacités, 1</w:t>
            </w:r>
            <w:r w:rsidR="00E37820">
              <w:t> </w:t>
            </w:r>
            <w:r w:rsidRPr="00277A25">
              <w:t>réunion de haut niveau et 2</w:t>
            </w:r>
            <w:r w:rsidR="00E37820">
              <w:t> </w:t>
            </w:r>
            <w:r w:rsidRPr="00277A25">
              <w:t>sessions du Comité directeur du PPE-TSE</w:t>
            </w:r>
          </w:p>
          <w:p w:rsidR="00781DE2" w:rsidRPr="00277A25" w:rsidRDefault="00781DE2" w:rsidP="00277A25">
            <w:pPr>
              <w:spacing w:before="40" w:after="120"/>
              <w:ind w:right="113"/>
            </w:pPr>
            <w:r w:rsidRPr="00277A25">
              <w:t>Objectif pour 2016-2017 : Participation de 60</w:t>
            </w:r>
            <w:r w:rsidR="00E37820">
              <w:t> </w:t>
            </w:r>
            <w:r w:rsidRPr="00277A25">
              <w:t>pays et de 20 OIG et ONG à 6 réunions de fond, à savoir 4 ateliers sur le renforcement des capacités et 2 sessions du Comité directeur du PPE-TSE</w:t>
            </w:r>
          </w:p>
          <w:p w:rsidR="00781DE2" w:rsidRPr="00277A25" w:rsidRDefault="00781DE2" w:rsidP="00277A25">
            <w:pPr>
              <w:spacing w:before="40" w:after="120"/>
              <w:ind w:right="113"/>
            </w:pPr>
            <w:r w:rsidRPr="00277A25">
              <w:t>Résultats obtenus pour</w:t>
            </w:r>
            <w:r w:rsidR="00E37820">
              <w:t xml:space="preserve"> 2016-2017 (au 15 </w:t>
            </w:r>
            <w:r w:rsidRPr="00277A25">
              <w:t xml:space="preserve">août 2017) : Participation de </w:t>
            </w:r>
            <w:r w:rsidR="00E37820">
              <w:t>60 pays et de 43 OIG et ONG à 6 </w:t>
            </w:r>
            <w:r w:rsidRPr="00277A25">
              <w:t>réunions de fond, à savoir 5 ateliers sur le renforcement des capacités et 1 session du Comité directeur du PPE-TSE</w:t>
            </w:r>
          </w:p>
          <w:p w:rsidR="00781DE2" w:rsidRPr="00277A25" w:rsidRDefault="00781DE2" w:rsidP="00277A25">
            <w:pPr>
              <w:spacing w:before="40" w:after="120"/>
              <w:ind w:right="113"/>
            </w:pPr>
            <w:r w:rsidRPr="00277A25">
              <w:t>Objectif pour 2018-2019 : Participation de 60 pays et de 20 OIG et ONG à 6 réunions de fond, à sav</w:t>
            </w:r>
            <w:r w:rsidR="00E37820">
              <w:t>oir 1 réunion de haut niveau, 3 </w:t>
            </w:r>
            <w:r w:rsidRPr="00277A25">
              <w:t>ateliers sur le renforcement des capacités et 2 sessions du Comité directeur du PPE-TSE</w:t>
            </w:r>
          </w:p>
        </w:tc>
      </w:tr>
      <w:tr w:rsidR="00277A25" w:rsidRPr="00277A25" w:rsidTr="00DE76F2">
        <w:trPr>
          <w:cantSplit/>
        </w:trPr>
        <w:tc>
          <w:tcPr>
            <w:tcW w:w="2694" w:type="dxa"/>
            <w:vMerge/>
            <w:shd w:val="clear" w:color="auto" w:fill="auto"/>
          </w:tcPr>
          <w:p w:rsidR="00781DE2" w:rsidRPr="00277A25" w:rsidRDefault="00781DE2" w:rsidP="00277A25">
            <w:pPr>
              <w:spacing w:before="40" w:after="120"/>
              <w:ind w:right="113"/>
            </w:pPr>
          </w:p>
        </w:tc>
        <w:tc>
          <w:tcPr>
            <w:tcW w:w="2808" w:type="dxa"/>
            <w:shd w:val="clear" w:color="auto" w:fill="auto"/>
          </w:tcPr>
          <w:p w:rsidR="00781DE2" w:rsidRPr="00277A25" w:rsidRDefault="00781DE2" w:rsidP="00277A25">
            <w:pPr>
              <w:spacing w:before="40" w:after="120"/>
              <w:ind w:right="113"/>
            </w:pPr>
            <w:r w:rsidRPr="00277A25">
              <w:t xml:space="preserve">5. Convention sur la pollution atmosphérique transfrontière à longue distance </w:t>
            </w:r>
          </w:p>
        </w:tc>
        <w:tc>
          <w:tcPr>
            <w:tcW w:w="4135" w:type="dxa"/>
            <w:shd w:val="clear" w:color="auto" w:fill="auto"/>
          </w:tcPr>
          <w:p w:rsidR="00781DE2" w:rsidRPr="00277A25" w:rsidRDefault="00781DE2" w:rsidP="00277A25">
            <w:pPr>
              <w:spacing w:before="40" w:after="120"/>
              <w:ind w:right="113"/>
            </w:pPr>
            <w:r w:rsidRPr="00277A25">
              <w:t>Réalisation escomptée 5</w:t>
            </w:r>
            <w:r w:rsidRPr="00277A25">
              <w:br/>
              <w:t>Ratification et mise en œuvre accrues, par les États membres de la CEE, en particulier les pays du Caucase, d’Asie centrale et d’Europe orientale et du Sud-Est, de la Convention sur la pollution atmosphérique transfrontière à longue distance et de ses trois protocoles les plus récents (le</w:t>
            </w:r>
            <w:r w:rsidR="00E37820">
              <w:t> </w:t>
            </w:r>
            <w:r w:rsidRPr="00277A25">
              <w:t>Protocole relatif aux métaux lourds, le</w:t>
            </w:r>
            <w:r w:rsidR="00E37820">
              <w:t> </w:t>
            </w:r>
            <w:r w:rsidRPr="00277A25">
              <w:t>Protocole relatif aux polluants organiques persistants et le Protocole relatif à la réduction de l’acidification, de l’eutrophisation et de l’ozone troposphérique (Protocole de Göteborg))</w:t>
            </w:r>
          </w:p>
          <w:p w:rsidR="00781DE2" w:rsidRPr="00277A25" w:rsidRDefault="00781DE2" w:rsidP="00277A25">
            <w:pPr>
              <w:spacing w:before="40" w:after="120"/>
              <w:ind w:right="113"/>
            </w:pPr>
            <w:r w:rsidRPr="00277A25">
              <w:t>Indicateur de succès 5</w:t>
            </w:r>
            <w:r w:rsidRPr="00277A25">
              <w:br/>
              <w:t>Indicateurs des progrès accomplis dans l’application de la Convention et de ses trois protocoles les plus récents :</w:t>
            </w:r>
          </w:p>
          <w:p w:rsidR="00781DE2" w:rsidRPr="00277A25" w:rsidRDefault="00781DE2" w:rsidP="00277A25">
            <w:pPr>
              <w:spacing w:before="40" w:after="120"/>
              <w:ind w:right="113"/>
            </w:pPr>
            <w:r w:rsidRPr="00277A25">
              <w:t>a) Nombre de rapports sur les engagements en matière de réduction des émissions ;</w:t>
            </w:r>
          </w:p>
          <w:p w:rsidR="00781DE2" w:rsidRPr="00277A25" w:rsidRDefault="00781DE2" w:rsidP="00277A25">
            <w:pPr>
              <w:spacing w:before="40" w:after="120"/>
              <w:ind w:right="113"/>
            </w:pPr>
            <w:r w:rsidRPr="00277A25">
              <w:t>b) Intensité du renforcement des capacités des non-Parties à l</w:t>
            </w:r>
            <w:r w:rsidR="00BE1F06">
              <w:t>a Convention (moyenne des jours</w:t>
            </w:r>
            <w:r w:rsidR="00BE1F06">
              <w:noBreakHyphen/>
            </w:r>
            <w:r w:rsidRPr="00277A25">
              <w:t>participants pour chaque non-Partie) ;</w:t>
            </w:r>
          </w:p>
          <w:p w:rsidR="00781DE2" w:rsidRPr="00277A25" w:rsidRDefault="00781DE2" w:rsidP="00277A25">
            <w:pPr>
              <w:spacing w:before="40" w:after="120"/>
              <w:ind w:right="113"/>
            </w:pPr>
            <w:r w:rsidRPr="00277A25">
              <w:t>c) Nombre de ratifications des trois</w:t>
            </w:r>
            <w:r w:rsidRPr="00277A25">
              <w:rPr>
                <w:bCs/>
              </w:rPr>
              <w:t xml:space="preserve"> protocoles à la Convention les plus récents ;</w:t>
            </w:r>
          </w:p>
          <w:p w:rsidR="00781DE2" w:rsidRPr="00277A25" w:rsidRDefault="00781DE2" w:rsidP="00277A25">
            <w:pPr>
              <w:spacing w:before="40" w:after="120"/>
              <w:ind w:right="113"/>
            </w:pPr>
            <w:r w:rsidRPr="00277A25">
              <w:t xml:space="preserve">d) Nombre de sessions de formation à l’application de la Convention et de ses protocoles dans les pays du Caucase, d’Asie centrale et d’Europe orientale et du Sud-Est. </w:t>
            </w:r>
          </w:p>
          <w:p w:rsidR="00781DE2" w:rsidRPr="001131BC" w:rsidRDefault="00781DE2" w:rsidP="00277A25">
            <w:pPr>
              <w:spacing w:before="40" w:after="120"/>
              <w:ind w:right="113"/>
              <w:rPr>
                <w:i/>
              </w:rPr>
            </w:pPr>
            <w:r w:rsidRPr="001131BC">
              <w:rPr>
                <w:i/>
              </w:rPr>
              <w:t>Résultats :</w:t>
            </w:r>
          </w:p>
          <w:p w:rsidR="00781DE2" w:rsidRPr="00277A25" w:rsidRDefault="00781DE2" w:rsidP="00277A25">
            <w:pPr>
              <w:spacing w:before="40" w:after="120"/>
              <w:ind w:right="113"/>
            </w:pPr>
            <w:r w:rsidRPr="00277A25">
              <w:t>2012-2013 : a)</w:t>
            </w:r>
            <w:r w:rsidR="00112E8D">
              <w:t> </w:t>
            </w:r>
            <w:r w:rsidRPr="00277A25">
              <w:t>37</w:t>
            </w:r>
            <w:r w:rsidR="00112E8D">
              <w:t> </w:t>
            </w:r>
            <w:r w:rsidRPr="00277A25">
              <w:t>; b)</w:t>
            </w:r>
            <w:r w:rsidR="00112E8D">
              <w:t> </w:t>
            </w:r>
            <w:r w:rsidRPr="00277A25">
              <w:t>27</w:t>
            </w:r>
            <w:r w:rsidR="00112E8D">
              <w:t> </w:t>
            </w:r>
            <w:r w:rsidRPr="00277A25">
              <w:t>; c)</w:t>
            </w:r>
            <w:r w:rsidR="00112E8D">
              <w:t> </w:t>
            </w:r>
            <w:r w:rsidRPr="00277A25">
              <w:t>91</w:t>
            </w:r>
            <w:r w:rsidR="00112E8D">
              <w:t> </w:t>
            </w:r>
            <w:r w:rsidRPr="00277A25">
              <w:t>; d)</w:t>
            </w:r>
            <w:r w:rsidR="00112E8D">
              <w:t> </w:t>
            </w:r>
            <w:r w:rsidRPr="00277A25">
              <w:t>6</w:t>
            </w:r>
          </w:p>
          <w:p w:rsidR="00781DE2" w:rsidRPr="00277A25" w:rsidRDefault="00781DE2" w:rsidP="00277A25">
            <w:pPr>
              <w:spacing w:before="40" w:after="120"/>
              <w:ind w:right="113"/>
            </w:pPr>
            <w:r w:rsidRPr="00277A25">
              <w:t>2014-2015 : a)</w:t>
            </w:r>
            <w:r w:rsidR="00112E8D">
              <w:t> </w:t>
            </w:r>
            <w:r w:rsidRPr="00277A25">
              <w:t>45</w:t>
            </w:r>
            <w:r w:rsidR="00112E8D">
              <w:t> ; b) </w:t>
            </w:r>
            <w:r w:rsidRPr="00277A25">
              <w:t>28</w:t>
            </w:r>
            <w:r w:rsidR="00112E8D">
              <w:t> ; c) </w:t>
            </w:r>
            <w:r w:rsidRPr="00277A25">
              <w:t>92</w:t>
            </w:r>
            <w:r w:rsidR="00112E8D">
              <w:t> ; d) </w:t>
            </w:r>
            <w:r w:rsidRPr="00277A25">
              <w:t>6</w:t>
            </w:r>
          </w:p>
          <w:p w:rsidR="00781DE2" w:rsidRPr="00277A25" w:rsidRDefault="00112E8D" w:rsidP="006E2D4E">
            <w:pPr>
              <w:spacing w:before="40" w:after="120"/>
            </w:pPr>
            <w:r>
              <w:t>Objectif pour 2016-2017 : a) </w:t>
            </w:r>
            <w:r w:rsidR="00781DE2" w:rsidRPr="00277A25">
              <w:t>45</w:t>
            </w:r>
            <w:r>
              <w:t> ; b) </w:t>
            </w:r>
            <w:r w:rsidR="00781DE2" w:rsidRPr="00277A25">
              <w:t>28</w:t>
            </w:r>
            <w:r>
              <w:t> ; c) </w:t>
            </w:r>
            <w:r w:rsidR="00781DE2" w:rsidRPr="00277A25">
              <w:t>93</w:t>
            </w:r>
            <w:r>
              <w:t> </w:t>
            </w:r>
            <w:r w:rsidR="00781DE2" w:rsidRPr="00277A25">
              <w:t>; d)</w:t>
            </w:r>
            <w:r>
              <w:t> </w:t>
            </w:r>
            <w:r w:rsidR="00781DE2" w:rsidRPr="00277A25">
              <w:t>6</w:t>
            </w:r>
          </w:p>
          <w:p w:rsidR="00781DE2" w:rsidRPr="00277A25" w:rsidRDefault="00781DE2" w:rsidP="00277A25">
            <w:pPr>
              <w:spacing w:before="40" w:after="120"/>
              <w:ind w:right="113"/>
            </w:pPr>
            <w:r w:rsidRPr="00277A25">
              <w:t>Résultats</w:t>
            </w:r>
            <w:r w:rsidR="00112E8D">
              <w:t xml:space="preserve"> obtenus pour 2016-2017 : a) </w:t>
            </w:r>
            <w:r w:rsidRPr="00277A25">
              <w:t>46</w:t>
            </w:r>
            <w:r w:rsidR="00112E8D">
              <w:t> ; b) </w:t>
            </w:r>
            <w:r w:rsidRPr="00277A25">
              <w:t>35</w:t>
            </w:r>
            <w:r w:rsidR="00112E8D">
              <w:t> </w:t>
            </w:r>
            <w:r w:rsidRPr="00277A25">
              <w:t>; c)</w:t>
            </w:r>
            <w:r w:rsidR="00112E8D">
              <w:t> </w:t>
            </w:r>
            <w:r w:rsidRPr="00277A25">
              <w:t>93</w:t>
            </w:r>
            <w:r w:rsidR="00112E8D">
              <w:t> </w:t>
            </w:r>
            <w:r w:rsidRPr="00277A25">
              <w:t>; d)</w:t>
            </w:r>
            <w:r w:rsidR="00112E8D">
              <w:t> </w:t>
            </w:r>
            <w:r w:rsidRPr="00277A25">
              <w:t>6</w:t>
            </w:r>
          </w:p>
          <w:p w:rsidR="00781DE2" w:rsidRPr="006E2D4E" w:rsidRDefault="00781DE2" w:rsidP="00D91FE7">
            <w:pPr>
              <w:spacing w:before="40" w:after="120"/>
              <w:rPr>
                <w:spacing w:val="-2"/>
              </w:rPr>
            </w:pPr>
            <w:r w:rsidRPr="006E2D4E">
              <w:rPr>
                <w:spacing w:val="-2"/>
              </w:rPr>
              <w:t>Objectif pour 2018-2019 : a)</w:t>
            </w:r>
            <w:r w:rsidR="00112E8D" w:rsidRPr="006E2D4E">
              <w:rPr>
                <w:spacing w:val="-2"/>
              </w:rPr>
              <w:t> </w:t>
            </w:r>
            <w:r w:rsidRPr="006E2D4E">
              <w:rPr>
                <w:spacing w:val="-2"/>
              </w:rPr>
              <w:t>46</w:t>
            </w:r>
            <w:r w:rsidR="00112E8D" w:rsidRPr="006E2D4E">
              <w:rPr>
                <w:spacing w:val="-2"/>
              </w:rPr>
              <w:t> </w:t>
            </w:r>
            <w:r w:rsidRPr="006E2D4E">
              <w:rPr>
                <w:spacing w:val="-2"/>
              </w:rPr>
              <w:t>; b)</w:t>
            </w:r>
            <w:r w:rsidR="00112E8D" w:rsidRPr="006E2D4E">
              <w:rPr>
                <w:spacing w:val="-2"/>
              </w:rPr>
              <w:t> </w:t>
            </w:r>
            <w:r w:rsidRPr="006E2D4E">
              <w:rPr>
                <w:spacing w:val="-2"/>
              </w:rPr>
              <w:t>15</w:t>
            </w:r>
            <w:r w:rsidR="00112E8D" w:rsidRPr="006E2D4E">
              <w:rPr>
                <w:spacing w:val="-2"/>
              </w:rPr>
              <w:t> </w:t>
            </w:r>
            <w:r w:rsidRPr="006E2D4E">
              <w:rPr>
                <w:spacing w:val="-2"/>
              </w:rPr>
              <w:t>; c)</w:t>
            </w:r>
            <w:r w:rsidR="00112E8D" w:rsidRPr="006E2D4E">
              <w:rPr>
                <w:spacing w:val="-2"/>
              </w:rPr>
              <w:t> </w:t>
            </w:r>
            <w:r w:rsidRPr="006E2D4E">
              <w:rPr>
                <w:spacing w:val="-2"/>
              </w:rPr>
              <w:t>95</w:t>
            </w:r>
            <w:r w:rsidR="00112E8D" w:rsidRPr="006E2D4E">
              <w:rPr>
                <w:spacing w:val="-2"/>
              </w:rPr>
              <w:t> </w:t>
            </w:r>
            <w:r w:rsidRPr="006E2D4E">
              <w:rPr>
                <w:spacing w:val="-2"/>
              </w:rPr>
              <w:t>; d)</w:t>
            </w:r>
            <w:r w:rsidR="00112E8D" w:rsidRPr="006E2D4E">
              <w:rPr>
                <w:spacing w:val="-2"/>
              </w:rPr>
              <w:t> </w:t>
            </w:r>
            <w:r w:rsidRPr="006E2D4E">
              <w:rPr>
                <w:spacing w:val="-2"/>
              </w:rPr>
              <w:t>6</w:t>
            </w:r>
          </w:p>
        </w:tc>
      </w:tr>
      <w:tr w:rsidR="00277A25" w:rsidRPr="00277A25" w:rsidTr="00DE76F2">
        <w:tc>
          <w:tcPr>
            <w:tcW w:w="2694" w:type="dxa"/>
            <w:vMerge/>
            <w:shd w:val="clear" w:color="auto" w:fill="auto"/>
          </w:tcPr>
          <w:p w:rsidR="00781DE2" w:rsidRPr="00277A25" w:rsidRDefault="00781DE2" w:rsidP="00277A25">
            <w:pPr>
              <w:spacing w:before="40" w:after="120"/>
              <w:ind w:right="113"/>
            </w:pPr>
          </w:p>
        </w:tc>
        <w:tc>
          <w:tcPr>
            <w:tcW w:w="2808" w:type="dxa"/>
            <w:shd w:val="clear" w:color="auto" w:fill="auto"/>
          </w:tcPr>
          <w:p w:rsidR="00781DE2" w:rsidRPr="00277A25" w:rsidRDefault="00781DE2" w:rsidP="00277A25">
            <w:pPr>
              <w:spacing w:before="40" w:after="120"/>
              <w:ind w:right="113"/>
            </w:pPr>
            <w:r w:rsidRPr="00277A25">
              <w:t xml:space="preserve">6. Convention sur l’accès à l’information, la participation du public au processus décisionnel et l’accès à la justice en matière d’environnement (Convention d’Aarhus) </w:t>
            </w:r>
          </w:p>
        </w:tc>
        <w:tc>
          <w:tcPr>
            <w:tcW w:w="4135" w:type="dxa"/>
            <w:shd w:val="clear" w:color="auto" w:fill="auto"/>
          </w:tcPr>
          <w:p w:rsidR="00781DE2" w:rsidRPr="00277A25" w:rsidRDefault="00781DE2" w:rsidP="00277A25">
            <w:pPr>
              <w:spacing w:before="40" w:after="120"/>
              <w:ind w:right="113"/>
              <w:rPr>
                <w:rFonts w:eastAsia="Calibri"/>
              </w:rPr>
            </w:pPr>
            <w:r w:rsidRPr="00277A25">
              <w:rPr>
                <w:rFonts w:eastAsia="Calibri"/>
              </w:rPr>
              <w:t>Réalisation escomptée 6</w:t>
            </w:r>
            <w:r w:rsidRPr="00277A25">
              <w:rPr>
                <w:rFonts w:eastAsia="Calibri"/>
              </w:rPr>
              <w:br/>
              <w:t>Accélération de la ratification et de la mise en œuvre de la Convention d’Aarhus et de son protocole sur les registres des rejets et transferts de polluants (RRTP)</w:t>
            </w:r>
          </w:p>
          <w:p w:rsidR="00781DE2" w:rsidRPr="00277A25" w:rsidRDefault="00781DE2" w:rsidP="00277A25">
            <w:pPr>
              <w:spacing w:before="40" w:after="120"/>
              <w:ind w:right="113"/>
              <w:rPr>
                <w:rFonts w:eastAsia="Calibri"/>
              </w:rPr>
            </w:pPr>
            <w:r w:rsidRPr="00277A25">
              <w:rPr>
                <w:rFonts w:eastAsia="Calibri"/>
              </w:rPr>
              <w:t>Indicateur de succès 6</w:t>
            </w:r>
            <w:r w:rsidRPr="00277A25">
              <w:rPr>
                <w:rFonts w:eastAsia="Calibri"/>
              </w:rPr>
              <w:br/>
              <w:t>Augmentation du nombre de pays s’employant à mieux appliquer la Convention d’Aarhus et son Protocole sur le</w:t>
            </w:r>
            <w:r w:rsidR="00BE1F06">
              <w:rPr>
                <w:rFonts w:eastAsia="Calibri"/>
              </w:rPr>
              <w:t>s RRTP, d’après les critères ci</w:t>
            </w:r>
            <w:r w:rsidR="00BE1F06">
              <w:rPr>
                <w:rFonts w:eastAsia="Calibri"/>
              </w:rPr>
              <w:noBreakHyphen/>
            </w:r>
            <w:r w:rsidRPr="00277A25">
              <w:rPr>
                <w:rFonts w:eastAsia="Calibri"/>
              </w:rPr>
              <w:t>après :</w:t>
            </w:r>
          </w:p>
          <w:p w:rsidR="00781DE2" w:rsidRPr="00277A25" w:rsidRDefault="00781DE2" w:rsidP="00277A25">
            <w:pPr>
              <w:spacing w:before="40" w:after="120"/>
              <w:ind w:right="113"/>
              <w:rPr>
                <w:rFonts w:eastAsia="Calibri"/>
              </w:rPr>
            </w:pPr>
            <w:r w:rsidRPr="00277A25">
              <w:rPr>
                <w:rFonts w:eastAsia="Calibri"/>
              </w:rPr>
              <w:t xml:space="preserve">a) </w:t>
            </w:r>
            <w:r w:rsidRPr="00277A25">
              <w:t>Intensité du renforcement des capacités des non-Parties à la Convention d’Aarhus (moyenne des jours-participants pour chaque non-Partie) ;</w:t>
            </w:r>
          </w:p>
          <w:p w:rsidR="00781DE2" w:rsidRPr="00277A25" w:rsidRDefault="00781DE2" w:rsidP="00277A25">
            <w:pPr>
              <w:spacing w:before="40" w:after="120"/>
              <w:ind w:right="113"/>
              <w:rPr>
                <w:rFonts w:eastAsia="Calibri"/>
              </w:rPr>
            </w:pPr>
            <w:r w:rsidRPr="00277A25">
              <w:rPr>
                <w:rFonts w:eastAsia="Calibri"/>
              </w:rPr>
              <w:lastRenderedPageBreak/>
              <w:t xml:space="preserve">b) </w:t>
            </w:r>
            <w:r w:rsidRPr="00277A25">
              <w:t>Intensité du renforcement des capacités des non-Parties au Protocole sur les RRTP (moyenne des jours-participants pour chaque non-Partie) ;</w:t>
            </w:r>
          </w:p>
          <w:p w:rsidR="00781DE2" w:rsidRPr="00277A25" w:rsidRDefault="00781DE2" w:rsidP="00277A25">
            <w:pPr>
              <w:spacing w:before="40" w:after="120"/>
              <w:ind w:right="113"/>
              <w:rPr>
                <w:rFonts w:eastAsia="Calibri"/>
              </w:rPr>
            </w:pPr>
            <w:r w:rsidRPr="00277A25">
              <w:rPr>
                <w:rFonts w:eastAsia="Calibri"/>
              </w:rPr>
              <w:t xml:space="preserve">c) </w:t>
            </w:r>
            <w:r w:rsidRPr="00277A25">
              <w:t>Nombre de ratifications de la Convention d’Aarhus </w:t>
            </w:r>
            <w:r w:rsidRPr="00277A25">
              <w:rPr>
                <w:rFonts w:eastAsia="Calibri"/>
              </w:rPr>
              <w:t xml:space="preserve">; </w:t>
            </w:r>
          </w:p>
          <w:p w:rsidR="00781DE2" w:rsidRPr="00277A25" w:rsidRDefault="00781DE2" w:rsidP="00277A25">
            <w:pPr>
              <w:spacing w:before="40" w:after="120"/>
              <w:ind w:right="113"/>
              <w:rPr>
                <w:rFonts w:eastAsia="Calibri"/>
              </w:rPr>
            </w:pPr>
            <w:r w:rsidRPr="00277A25">
              <w:rPr>
                <w:rFonts w:eastAsia="Calibri"/>
              </w:rPr>
              <w:t xml:space="preserve">d) </w:t>
            </w:r>
            <w:r w:rsidRPr="00277A25">
              <w:t>Nombre de ratifications du Protocole sur les</w:t>
            </w:r>
            <w:r w:rsidR="00827616">
              <w:t> </w:t>
            </w:r>
            <w:r w:rsidRPr="00277A25">
              <w:t>RRTP </w:t>
            </w:r>
            <w:r w:rsidRPr="00277A25">
              <w:rPr>
                <w:rFonts w:eastAsia="Calibri"/>
              </w:rPr>
              <w:t>;</w:t>
            </w:r>
          </w:p>
          <w:p w:rsidR="00781DE2" w:rsidRPr="00277A25" w:rsidRDefault="00781DE2" w:rsidP="00277A25">
            <w:pPr>
              <w:spacing w:before="40" w:after="120"/>
              <w:ind w:right="113"/>
            </w:pPr>
            <w:r w:rsidRPr="00277A25">
              <w:rPr>
                <w:bCs/>
              </w:rPr>
              <w:t xml:space="preserve">e) </w:t>
            </w:r>
            <w:r w:rsidRPr="00277A25">
              <w:t>Nombre de pays présentant des rapports nationaux de mise en œuvre à la Réunion des Parties à la Convention d’Aarhus faisant état de progrès pour ce qui est de s’acquitter de leurs obligations essentielles ;</w:t>
            </w:r>
          </w:p>
          <w:p w:rsidR="00781DE2" w:rsidRPr="00277A25" w:rsidRDefault="00781DE2" w:rsidP="00277A25">
            <w:pPr>
              <w:spacing w:before="40" w:after="120"/>
              <w:ind w:right="113"/>
            </w:pPr>
            <w:r w:rsidRPr="00277A25">
              <w:t>f) Nombre de pays présentant des rapports nationaux de mise en œuvre à la Réunion des Parties au Protocole sur les RRTP faisant état de progrès pour ce qui est de s’acquitter de leurs obligations essentielles.</w:t>
            </w:r>
          </w:p>
          <w:p w:rsidR="00781DE2" w:rsidRPr="001131BC" w:rsidRDefault="00781DE2" w:rsidP="00277A25">
            <w:pPr>
              <w:spacing w:before="40" w:after="120"/>
              <w:ind w:right="113"/>
              <w:rPr>
                <w:i/>
              </w:rPr>
            </w:pPr>
            <w:r w:rsidRPr="001131BC">
              <w:rPr>
                <w:i/>
              </w:rPr>
              <w:t>Résultats :</w:t>
            </w:r>
          </w:p>
          <w:p w:rsidR="00781DE2" w:rsidRPr="00867877" w:rsidRDefault="00E37820" w:rsidP="00277A25">
            <w:pPr>
              <w:spacing w:before="40" w:after="120"/>
              <w:ind w:right="113"/>
            </w:pPr>
            <w:r w:rsidRPr="00867877">
              <w:t>2012-2013 : a) </w:t>
            </w:r>
            <w:r w:rsidR="00781DE2" w:rsidRPr="00867877">
              <w:t>4</w:t>
            </w:r>
            <w:r w:rsidRPr="00867877">
              <w:t> </w:t>
            </w:r>
            <w:r w:rsidR="00781DE2" w:rsidRPr="00867877">
              <w:t xml:space="preserve">; </w:t>
            </w:r>
            <w:r w:rsidRPr="00867877">
              <w:t>b) 3 ; c) 46 ; d) 33 ; e) s.o. ; f) </w:t>
            </w:r>
            <w:r w:rsidR="00781DE2" w:rsidRPr="00867877">
              <w:t>s.o.</w:t>
            </w:r>
          </w:p>
          <w:p w:rsidR="00781DE2" w:rsidRPr="00277A25" w:rsidRDefault="00781DE2" w:rsidP="006E2D4E">
            <w:pPr>
              <w:spacing w:before="40" w:after="120"/>
            </w:pPr>
            <w:r w:rsidRPr="00277A25">
              <w:t>2014-2015 : a) ; 6</w:t>
            </w:r>
            <w:r w:rsidR="00E37820">
              <w:t> </w:t>
            </w:r>
            <w:r w:rsidRPr="00277A25">
              <w:t>b) 6</w:t>
            </w:r>
            <w:r w:rsidR="00E37820">
              <w:t> </w:t>
            </w:r>
            <w:r w:rsidRPr="00277A25">
              <w:t>; c)</w:t>
            </w:r>
            <w:r w:rsidR="00E37820">
              <w:t> </w:t>
            </w:r>
            <w:r w:rsidRPr="00277A25">
              <w:t>47</w:t>
            </w:r>
            <w:r w:rsidR="00E37820">
              <w:t> </w:t>
            </w:r>
            <w:r w:rsidRPr="00277A25">
              <w:t>; d)</w:t>
            </w:r>
            <w:r w:rsidR="00E37820">
              <w:t> </w:t>
            </w:r>
            <w:r w:rsidRPr="00277A25">
              <w:t>33</w:t>
            </w:r>
            <w:r w:rsidR="00E37820">
              <w:t> </w:t>
            </w:r>
            <w:r w:rsidRPr="00277A25">
              <w:t>; e)</w:t>
            </w:r>
            <w:r w:rsidR="00E37820">
              <w:t> </w:t>
            </w:r>
            <w:r w:rsidRPr="00277A25">
              <w:t>46</w:t>
            </w:r>
            <w:r w:rsidR="00E37820">
              <w:t> </w:t>
            </w:r>
            <w:r w:rsidRPr="00277A25">
              <w:t>; f) 32</w:t>
            </w:r>
          </w:p>
          <w:p w:rsidR="00781DE2" w:rsidRPr="00277A25" w:rsidRDefault="00781DE2" w:rsidP="00277A25">
            <w:pPr>
              <w:spacing w:before="40" w:after="120"/>
              <w:ind w:right="113"/>
            </w:pPr>
            <w:r w:rsidRPr="00277A25">
              <w:t>Objectif pour 2016-2017 : a)</w:t>
            </w:r>
            <w:r w:rsidR="00E37820">
              <w:t> </w:t>
            </w:r>
            <w:r w:rsidRPr="00277A25">
              <w:t>2</w:t>
            </w:r>
            <w:r w:rsidR="00E37820">
              <w:t> </w:t>
            </w:r>
            <w:r w:rsidRPr="00277A25">
              <w:t>; b)</w:t>
            </w:r>
            <w:r w:rsidR="00E37820">
              <w:t> </w:t>
            </w:r>
            <w:r w:rsidRPr="00277A25">
              <w:t>3</w:t>
            </w:r>
            <w:r w:rsidR="00E37820">
              <w:t> </w:t>
            </w:r>
            <w:r w:rsidRPr="00277A25">
              <w:t>; c)</w:t>
            </w:r>
            <w:r w:rsidR="00E37820">
              <w:t> </w:t>
            </w:r>
            <w:r w:rsidRPr="00277A25">
              <w:t>47</w:t>
            </w:r>
            <w:r w:rsidR="00E37820">
              <w:t> </w:t>
            </w:r>
            <w:r w:rsidRPr="00277A25">
              <w:t>; d) 34</w:t>
            </w:r>
            <w:r w:rsidR="00E37820">
              <w:t> </w:t>
            </w:r>
            <w:r w:rsidRPr="00277A25">
              <w:t>; e) 46</w:t>
            </w:r>
            <w:r w:rsidR="00E37820">
              <w:t> </w:t>
            </w:r>
            <w:r w:rsidRPr="00277A25">
              <w:t>; f)</w:t>
            </w:r>
            <w:r w:rsidR="00E37820">
              <w:t> </w:t>
            </w:r>
            <w:r w:rsidRPr="00277A25">
              <w:t>32</w:t>
            </w:r>
          </w:p>
          <w:p w:rsidR="00781DE2" w:rsidRPr="00277A25" w:rsidRDefault="00781DE2" w:rsidP="00277A25">
            <w:pPr>
              <w:spacing w:before="40" w:after="120"/>
              <w:ind w:right="113"/>
            </w:pPr>
            <w:r w:rsidRPr="00277A25">
              <w:t>Résultat</w:t>
            </w:r>
            <w:r w:rsidR="00112E8D">
              <w:t>s obtenus pour 2016-2017 (au 15 </w:t>
            </w:r>
            <w:r w:rsidRPr="00277A25">
              <w:t>août 2017) : a)</w:t>
            </w:r>
            <w:r w:rsidR="00112E8D">
              <w:t> </w:t>
            </w:r>
            <w:r w:rsidRPr="00277A25">
              <w:t>3</w:t>
            </w:r>
            <w:r w:rsidR="00112E8D">
              <w:t> </w:t>
            </w:r>
            <w:r w:rsidRPr="00277A25">
              <w:t>; b)</w:t>
            </w:r>
            <w:r w:rsidR="00112E8D">
              <w:t> </w:t>
            </w:r>
            <w:r w:rsidRPr="00277A25">
              <w:t>7</w:t>
            </w:r>
            <w:r w:rsidR="00112E8D">
              <w:t> </w:t>
            </w:r>
            <w:r w:rsidRPr="00277A25">
              <w:t>; c)</w:t>
            </w:r>
            <w:r w:rsidR="00112E8D">
              <w:t> </w:t>
            </w:r>
            <w:r w:rsidRPr="00277A25">
              <w:t>47</w:t>
            </w:r>
            <w:r w:rsidR="00112E8D">
              <w:t> </w:t>
            </w:r>
            <w:r w:rsidRPr="00277A25">
              <w:t>; d)</w:t>
            </w:r>
            <w:r w:rsidR="00112E8D">
              <w:t> </w:t>
            </w:r>
            <w:r w:rsidRPr="00277A25">
              <w:t>35</w:t>
            </w:r>
            <w:r w:rsidR="00112E8D">
              <w:t> </w:t>
            </w:r>
            <w:r w:rsidRPr="00277A25">
              <w:t>; e)</w:t>
            </w:r>
            <w:r w:rsidR="00112E8D">
              <w:t> </w:t>
            </w:r>
            <w:r w:rsidRPr="00277A25">
              <w:t>40</w:t>
            </w:r>
            <w:r w:rsidRPr="00D91FE7">
              <w:rPr>
                <w:rStyle w:val="Appeldenotedefin"/>
                <w:i/>
              </w:rPr>
              <w:t>c</w:t>
            </w:r>
            <w:r w:rsidR="00112E8D">
              <w:t> ;</w:t>
            </w:r>
            <w:r w:rsidR="00E533B3">
              <w:rPr>
                <w:rStyle w:val="Appelnotedebasdep"/>
                <w:sz w:val="20"/>
              </w:rPr>
              <w:t xml:space="preserve"> </w:t>
            </w:r>
            <w:r w:rsidRPr="00277A25">
              <w:t>f)</w:t>
            </w:r>
            <w:r w:rsidR="00112E8D">
              <w:t> </w:t>
            </w:r>
            <w:r w:rsidRPr="00277A25">
              <w:t>30</w:t>
            </w:r>
          </w:p>
          <w:p w:rsidR="00781DE2" w:rsidRPr="00277A25" w:rsidRDefault="00112E8D" w:rsidP="00112E8D">
            <w:pPr>
              <w:spacing w:before="40" w:after="120"/>
              <w:ind w:right="113"/>
            </w:pPr>
            <w:r>
              <w:t>Objectif pour 2018-2019 : a) </w:t>
            </w:r>
            <w:r w:rsidR="00781DE2" w:rsidRPr="00277A25">
              <w:t>2</w:t>
            </w:r>
            <w:r>
              <w:t> </w:t>
            </w:r>
            <w:r w:rsidR="00781DE2" w:rsidRPr="00277A25">
              <w:t>; b)</w:t>
            </w:r>
            <w:r>
              <w:t> </w:t>
            </w:r>
            <w:r w:rsidR="00781DE2" w:rsidRPr="00277A25">
              <w:t>3</w:t>
            </w:r>
            <w:r>
              <w:t> </w:t>
            </w:r>
            <w:r w:rsidR="00781DE2" w:rsidRPr="00277A25">
              <w:t>; c)</w:t>
            </w:r>
            <w:r>
              <w:t> </w:t>
            </w:r>
            <w:r w:rsidR="00781DE2" w:rsidRPr="00277A25">
              <w:t>47</w:t>
            </w:r>
            <w:r>
              <w:t> </w:t>
            </w:r>
            <w:r w:rsidR="00781DE2" w:rsidRPr="00277A25">
              <w:t>; d) 35</w:t>
            </w:r>
            <w:r>
              <w:t> </w:t>
            </w:r>
            <w:r w:rsidR="00781DE2" w:rsidRPr="00277A25">
              <w:t>; e) s.o.</w:t>
            </w:r>
            <w:r w:rsidR="00781DE2" w:rsidRPr="00D91FE7">
              <w:rPr>
                <w:rStyle w:val="Appeldenotedefin"/>
                <w:i/>
              </w:rPr>
              <w:t>d</w:t>
            </w:r>
            <w:r w:rsidR="00E533B3">
              <w:t xml:space="preserve"> ; </w:t>
            </w:r>
            <w:r w:rsidR="00781DE2" w:rsidRPr="00277A25">
              <w:t>f)</w:t>
            </w:r>
            <w:r>
              <w:t> </w:t>
            </w:r>
            <w:r w:rsidR="00781DE2" w:rsidRPr="00277A25">
              <w:t>s.o.</w:t>
            </w:r>
            <w:r w:rsidR="00781DE2" w:rsidRPr="00D91FE7">
              <w:rPr>
                <w:rStyle w:val="Appeldenotedefin"/>
                <w:i/>
              </w:rPr>
              <w:t>d</w:t>
            </w:r>
          </w:p>
        </w:tc>
      </w:tr>
      <w:tr w:rsidR="00277A25" w:rsidRPr="00277A25" w:rsidTr="00DE76F2">
        <w:tc>
          <w:tcPr>
            <w:tcW w:w="2694" w:type="dxa"/>
            <w:vMerge/>
            <w:shd w:val="clear" w:color="auto" w:fill="auto"/>
          </w:tcPr>
          <w:p w:rsidR="00781DE2" w:rsidRPr="00277A25" w:rsidRDefault="00781DE2" w:rsidP="00277A25">
            <w:pPr>
              <w:spacing w:before="40" w:after="120"/>
              <w:ind w:right="113"/>
            </w:pPr>
          </w:p>
        </w:tc>
        <w:tc>
          <w:tcPr>
            <w:tcW w:w="2808" w:type="dxa"/>
            <w:shd w:val="clear" w:color="auto" w:fill="auto"/>
          </w:tcPr>
          <w:p w:rsidR="00781DE2" w:rsidRPr="00277A25" w:rsidRDefault="00781DE2" w:rsidP="00277A25">
            <w:pPr>
              <w:spacing w:before="40" w:after="120"/>
              <w:ind w:right="113"/>
            </w:pPr>
            <w:r w:rsidRPr="00277A25">
              <w:t>7. Convention sur l’évaluation de l’impact sur l’environnement dans un contexte transfrontière (Convention d’Espoo)</w:t>
            </w:r>
          </w:p>
        </w:tc>
        <w:tc>
          <w:tcPr>
            <w:tcW w:w="4135" w:type="dxa"/>
            <w:shd w:val="clear" w:color="auto" w:fill="auto"/>
          </w:tcPr>
          <w:p w:rsidR="00781DE2" w:rsidRPr="00277A25" w:rsidRDefault="00781DE2" w:rsidP="00277A25">
            <w:pPr>
              <w:spacing w:before="40" w:after="120"/>
              <w:ind w:right="113"/>
            </w:pPr>
            <w:r w:rsidRPr="00277A25">
              <w:t>Réalisation escomptée 7</w:t>
            </w:r>
            <w:r w:rsidRPr="00277A25">
              <w:br/>
              <w:t>Accélération de la ratification et de la mise en</w:t>
            </w:r>
            <w:r w:rsidR="00827616">
              <w:t> </w:t>
            </w:r>
            <w:r w:rsidRPr="00277A25">
              <w:t>œuvre de la Convention d’Espoo et de son protocole relatif à l’évaluation stratégique environnementale (Protocole relatif à l’ESE)</w:t>
            </w:r>
          </w:p>
          <w:p w:rsidR="00781DE2" w:rsidRPr="00277A25" w:rsidRDefault="00781DE2" w:rsidP="00277A25">
            <w:pPr>
              <w:spacing w:before="40" w:after="120"/>
              <w:ind w:right="113"/>
            </w:pPr>
            <w:r w:rsidRPr="00277A25">
              <w:t>Indicateur de succès 7</w:t>
            </w:r>
            <w:r w:rsidRPr="00277A25">
              <w:br/>
              <w:t>Augmentation du nombre de pays s’employant à</w:t>
            </w:r>
            <w:r w:rsidR="00827616">
              <w:t> </w:t>
            </w:r>
            <w:r w:rsidRPr="00277A25">
              <w:t>mieux appliquer la Convention et son protocole relatif à l’ESE, d’après les critères ci-après :</w:t>
            </w:r>
          </w:p>
          <w:p w:rsidR="00781DE2" w:rsidRPr="00277A25" w:rsidRDefault="00781DE2" w:rsidP="00277A25">
            <w:pPr>
              <w:spacing w:before="40" w:after="120"/>
              <w:ind w:right="113"/>
            </w:pPr>
            <w:r w:rsidRPr="00277A25">
              <w:t>a) Nombre de pays contribuant à la coopération sous-régionale dans le cadre de la Convention d’Espoo ;</w:t>
            </w:r>
          </w:p>
          <w:p w:rsidR="00781DE2" w:rsidRPr="00277A25" w:rsidRDefault="00781DE2" w:rsidP="00277A25">
            <w:pPr>
              <w:spacing w:before="40" w:after="120"/>
              <w:ind w:right="113"/>
            </w:pPr>
            <w:r w:rsidRPr="00277A25">
              <w:t xml:space="preserve">b) Nombre de Parties rendant compte de leur application de la Convention d’Espoo ; </w:t>
            </w:r>
          </w:p>
          <w:p w:rsidR="00781DE2" w:rsidRPr="00277A25" w:rsidRDefault="00781DE2" w:rsidP="00827616">
            <w:pPr>
              <w:keepNext/>
              <w:spacing w:before="40" w:after="120"/>
              <w:ind w:right="113"/>
            </w:pPr>
            <w:r w:rsidRPr="00277A25">
              <w:t>c) Intensité du renforcement des capacités des non-Parties à la Convention d’Espoo (moyenne des jours-participants pour chaque non-Partie) ;</w:t>
            </w:r>
          </w:p>
          <w:p w:rsidR="00781DE2" w:rsidRPr="00277A25" w:rsidRDefault="00781DE2" w:rsidP="00277A25">
            <w:pPr>
              <w:spacing w:before="40" w:after="120"/>
              <w:ind w:right="113"/>
            </w:pPr>
            <w:r w:rsidRPr="00277A25">
              <w:t>d) Intensité du renforcement des capacités des non-Parties au Protocole relatif à l’ESE (moyenne des jours-participants pour chaque non-Partie) ;</w:t>
            </w:r>
          </w:p>
          <w:p w:rsidR="00781DE2" w:rsidRPr="00277A25" w:rsidRDefault="00781DE2" w:rsidP="00277A25">
            <w:pPr>
              <w:spacing w:before="40" w:after="120"/>
              <w:ind w:right="113"/>
            </w:pPr>
            <w:r w:rsidRPr="00277A25">
              <w:lastRenderedPageBreak/>
              <w:t>e) Nombre de ratifications du Protocole relatif à l’ESE ;</w:t>
            </w:r>
          </w:p>
          <w:p w:rsidR="00781DE2" w:rsidRPr="00277A25" w:rsidRDefault="00781DE2" w:rsidP="00277A25">
            <w:pPr>
              <w:spacing w:before="40" w:after="120"/>
              <w:ind w:right="113"/>
            </w:pPr>
            <w:r w:rsidRPr="00277A25">
              <w:t>f) Nombre de ratifications, d’approbations ou d’acceptations de la Convention d’Espoo ;</w:t>
            </w:r>
          </w:p>
          <w:p w:rsidR="00781DE2" w:rsidRPr="00277A25" w:rsidRDefault="00781DE2" w:rsidP="00277A25">
            <w:pPr>
              <w:spacing w:before="40" w:after="120"/>
              <w:ind w:right="113"/>
            </w:pPr>
            <w:r w:rsidRPr="00277A25">
              <w:t>g) Nombre de ratifications, d’approbations ou d’acceptations des deux amendements à la Convention d’Espoo ;</w:t>
            </w:r>
          </w:p>
          <w:p w:rsidR="00781DE2" w:rsidRPr="00277A25" w:rsidRDefault="00781DE2" w:rsidP="00277A25">
            <w:pPr>
              <w:spacing w:before="40" w:after="120"/>
              <w:ind w:right="113"/>
            </w:pPr>
            <w:r w:rsidRPr="00277A25">
              <w:t>h) Nombre de Parties rendant compte de leur application du Protocole relatif à l’ESE</w:t>
            </w:r>
            <w:r w:rsidRPr="00D91FE7">
              <w:rPr>
                <w:rStyle w:val="Appeldenotedefin"/>
                <w:i/>
              </w:rPr>
              <w:t>e</w:t>
            </w:r>
            <w:r w:rsidRPr="00277A25">
              <w:t>.</w:t>
            </w:r>
          </w:p>
          <w:p w:rsidR="00781DE2" w:rsidRPr="001131BC" w:rsidRDefault="00781DE2" w:rsidP="00277A25">
            <w:pPr>
              <w:spacing w:before="40" w:after="120"/>
              <w:ind w:right="113"/>
              <w:rPr>
                <w:i/>
              </w:rPr>
            </w:pPr>
            <w:r w:rsidRPr="001131BC">
              <w:rPr>
                <w:i/>
              </w:rPr>
              <w:t>Résultats :</w:t>
            </w:r>
          </w:p>
          <w:p w:rsidR="00781DE2" w:rsidRPr="00277A25" w:rsidRDefault="00827616" w:rsidP="00277A25">
            <w:pPr>
              <w:spacing w:before="40" w:after="120"/>
              <w:ind w:right="113"/>
            </w:pPr>
            <w:r>
              <w:t>2012-2013 : a) </w:t>
            </w:r>
            <w:r w:rsidR="00781DE2" w:rsidRPr="00277A25">
              <w:t>16</w:t>
            </w:r>
            <w:r>
              <w:t> </w:t>
            </w:r>
            <w:r w:rsidR="00781DE2" w:rsidRPr="00277A25">
              <w:t>; b)</w:t>
            </w:r>
            <w:r>
              <w:t> </w:t>
            </w:r>
            <w:r w:rsidR="00781DE2" w:rsidRPr="00277A25">
              <w:t>38</w:t>
            </w:r>
            <w:r>
              <w:t> </w:t>
            </w:r>
            <w:r w:rsidR="00781DE2" w:rsidRPr="00277A25">
              <w:t>; c)</w:t>
            </w:r>
            <w:r>
              <w:t> </w:t>
            </w:r>
            <w:r w:rsidR="00781DE2" w:rsidRPr="00277A25">
              <w:t>11</w:t>
            </w:r>
            <w:r>
              <w:t> </w:t>
            </w:r>
            <w:r w:rsidR="00781DE2" w:rsidRPr="00277A25">
              <w:t>; d)</w:t>
            </w:r>
            <w:r>
              <w:t> </w:t>
            </w:r>
            <w:r w:rsidR="00781DE2" w:rsidRPr="00277A25">
              <w:t>10</w:t>
            </w:r>
            <w:r>
              <w:t> </w:t>
            </w:r>
            <w:r w:rsidR="00781DE2" w:rsidRPr="00277A25">
              <w:t>; e)</w:t>
            </w:r>
            <w:r>
              <w:t> </w:t>
            </w:r>
            <w:r w:rsidR="00781DE2" w:rsidRPr="00277A25">
              <w:t>25</w:t>
            </w:r>
            <w:r>
              <w:t> </w:t>
            </w:r>
            <w:r w:rsidR="00781DE2" w:rsidRPr="00277A25">
              <w:t>; f)</w:t>
            </w:r>
            <w:r>
              <w:t> </w:t>
            </w:r>
            <w:r w:rsidR="00781DE2" w:rsidRPr="00277A25">
              <w:t>45</w:t>
            </w:r>
            <w:r>
              <w:t> </w:t>
            </w:r>
            <w:r w:rsidR="00781DE2" w:rsidRPr="00277A25">
              <w:t>; g)</w:t>
            </w:r>
            <w:r>
              <w:t> premier amendement 24, deuxième amendement </w:t>
            </w:r>
            <w:r w:rsidR="00781DE2" w:rsidRPr="00277A25">
              <w:t>24</w:t>
            </w:r>
            <w:r>
              <w:t> </w:t>
            </w:r>
            <w:r w:rsidR="00781DE2" w:rsidRPr="00277A25">
              <w:t>; h)</w:t>
            </w:r>
            <w:r>
              <w:t> </w:t>
            </w:r>
            <w:r w:rsidR="00781DE2" w:rsidRPr="00277A25">
              <w:t>s.o.</w:t>
            </w:r>
          </w:p>
          <w:p w:rsidR="00781DE2" w:rsidRPr="00277A25" w:rsidRDefault="00781DE2" w:rsidP="00277A25">
            <w:pPr>
              <w:spacing w:before="40" w:after="120"/>
              <w:ind w:right="113"/>
            </w:pPr>
            <w:r w:rsidRPr="00277A25">
              <w:t>2014-2015 : a)</w:t>
            </w:r>
            <w:r w:rsidR="00827616">
              <w:t> </w:t>
            </w:r>
            <w:r w:rsidRPr="00277A25">
              <w:t>30</w:t>
            </w:r>
            <w:r w:rsidR="00827616">
              <w:t> </w:t>
            </w:r>
            <w:r w:rsidRPr="00277A25">
              <w:t>; b)</w:t>
            </w:r>
            <w:r w:rsidR="00827616">
              <w:t> </w:t>
            </w:r>
            <w:r w:rsidRPr="00277A25">
              <w:t>41</w:t>
            </w:r>
            <w:r w:rsidR="00827616">
              <w:t> </w:t>
            </w:r>
            <w:r w:rsidRPr="00277A25">
              <w:t>; c)</w:t>
            </w:r>
            <w:r w:rsidR="00827616">
              <w:t> </w:t>
            </w:r>
            <w:r w:rsidRPr="00277A25">
              <w:t>37</w:t>
            </w:r>
            <w:r w:rsidR="00827616">
              <w:t> </w:t>
            </w:r>
            <w:r w:rsidRPr="00277A25">
              <w:t>; d)</w:t>
            </w:r>
            <w:r w:rsidR="00827616">
              <w:t> </w:t>
            </w:r>
            <w:r w:rsidRPr="00277A25">
              <w:t>71</w:t>
            </w:r>
            <w:r w:rsidR="00827616">
              <w:t> ; e) </w:t>
            </w:r>
            <w:r w:rsidRPr="00277A25">
              <w:t>26</w:t>
            </w:r>
            <w:r w:rsidR="00827616">
              <w:t> </w:t>
            </w:r>
            <w:r w:rsidRPr="00277A25">
              <w:t>; f)</w:t>
            </w:r>
            <w:r w:rsidR="00827616">
              <w:t> </w:t>
            </w:r>
            <w:r w:rsidRPr="00277A25">
              <w:t>45</w:t>
            </w:r>
            <w:r w:rsidR="00827616">
              <w:t> </w:t>
            </w:r>
            <w:r w:rsidRPr="00277A25">
              <w:t>; g)</w:t>
            </w:r>
            <w:r w:rsidR="00827616">
              <w:t> premier amendement 26, deuxième amendement </w:t>
            </w:r>
            <w:r w:rsidRPr="00277A25">
              <w:t>26</w:t>
            </w:r>
            <w:r w:rsidR="00827616">
              <w:t> </w:t>
            </w:r>
            <w:r w:rsidRPr="00277A25">
              <w:t>; h)</w:t>
            </w:r>
            <w:r w:rsidR="00827616">
              <w:t> </w:t>
            </w:r>
            <w:r w:rsidRPr="00277A25">
              <w:t>s.o.</w:t>
            </w:r>
          </w:p>
          <w:p w:rsidR="00781DE2" w:rsidRPr="00277A25" w:rsidRDefault="00781DE2" w:rsidP="00277A25">
            <w:pPr>
              <w:spacing w:before="40" w:after="120"/>
              <w:ind w:right="113"/>
            </w:pPr>
            <w:r w:rsidRPr="00277A25">
              <w:t>Objectif pour 2016-2017 : a)</w:t>
            </w:r>
            <w:r w:rsidR="00827616">
              <w:t> </w:t>
            </w:r>
            <w:r w:rsidRPr="00277A25">
              <w:t>35</w:t>
            </w:r>
            <w:r w:rsidR="00827616">
              <w:t> </w:t>
            </w:r>
            <w:r w:rsidRPr="00277A25">
              <w:t>; b)</w:t>
            </w:r>
            <w:r w:rsidR="00827616">
              <w:t> </w:t>
            </w:r>
            <w:r w:rsidRPr="00277A25">
              <w:t>45</w:t>
            </w:r>
            <w:r w:rsidR="00827616">
              <w:t> </w:t>
            </w:r>
            <w:r w:rsidRPr="00277A25">
              <w:t>; c)</w:t>
            </w:r>
            <w:r w:rsidR="00827616">
              <w:t> </w:t>
            </w:r>
            <w:r w:rsidRPr="00277A25">
              <w:t>18</w:t>
            </w:r>
            <w:r w:rsidR="00827616">
              <w:t> </w:t>
            </w:r>
            <w:r w:rsidRPr="00277A25">
              <w:t>; d) 35</w:t>
            </w:r>
            <w:r w:rsidR="00827616">
              <w:t> </w:t>
            </w:r>
            <w:r w:rsidRPr="00277A25">
              <w:t>; e)</w:t>
            </w:r>
            <w:r w:rsidR="00827616">
              <w:t> </w:t>
            </w:r>
            <w:r w:rsidRPr="00277A25">
              <w:t>31</w:t>
            </w:r>
            <w:r w:rsidR="00827616">
              <w:t> </w:t>
            </w:r>
            <w:r w:rsidRPr="00277A25">
              <w:t>; f)</w:t>
            </w:r>
            <w:r w:rsidR="00827616">
              <w:t> </w:t>
            </w:r>
            <w:r w:rsidRPr="00277A25">
              <w:t>47</w:t>
            </w:r>
            <w:r w:rsidR="00827616">
              <w:t> </w:t>
            </w:r>
            <w:r w:rsidRPr="00277A25">
              <w:t>; g)</w:t>
            </w:r>
            <w:r w:rsidR="00827616">
              <w:t> premier amendement 32, deuxième amendement </w:t>
            </w:r>
            <w:r w:rsidRPr="00277A25">
              <w:t>31</w:t>
            </w:r>
            <w:r w:rsidR="00827616">
              <w:t> </w:t>
            </w:r>
            <w:r w:rsidRPr="00277A25">
              <w:t>; h)</w:t>
            </w:r>
            <w:r w:rsidR="00827616">
              <w:t> </w:t>
            </w:r>
            <w:r w:rsidRPr="00277A25">
              <w:t>26</w:t>
            </w:r>
          </w:p>
          <w:p w:rsidR="00781DE2" w:rsidRPr="00277A25" w:rsidRDefault="00781DE2" w:rsidP="00277A25">
            <w:pPr>
              <w:spacing w:before="40" w:after="120"/>
              <w:ind w:right="113"/>
            </w:pPr>
            <w:r w:rsidRPr="00277A25">
              <w:t>Résultat</w:t>
            </w:r>
            <w:r w:rsidR="00827616">
              <w:t>s obtenus pour 2016-2017 (au 15 août 2017) : a) </w:t>
            </w:r>
            <w:r w:rsidRPr="00277A25">
              <w:t>35</w:t>
            </w:r>
            <w:r w:rsidR="00827616">
              <w:t> </w:t>
            </w:r>
            <w:r w:rsidRPr="00277A25">
              <w:t>; b)</w:t>
            </w:r>
            <w:r w:rsidR="00827616">
              <w:t> </w:t>
            </w:r>
            <w:r w:rsidRPr="00277A25">
              <w:t>43</w:t>
            </w:r>
            <w:r w:rsidR="00827616">
              <w:t> </w:t>
            </w:r>
            <w:r w:rsidRPr="00277A25">
              <w:t>; c)</w:t>
            </w:r>
            <w:r w:rsidR="00827616">
              <w:t> </w:t>
            </w:r>
            <w:r w:rsidRPr="00277A25">
              <w:t>18</w:t>
            </w:r>
            <w:r w:rsidR="00827616">
              <w:t> </w:t>
            </w:r>
            <w:r w:rsidRPr="00277A25">
              <w:t>; d) 44</w:t>
            </w:r>
            <w:r w:rsidR="00827616">
              <w:t> </w:t>
            </w:r>
            <w:r w:rsidRPr="00277A25">
              <w:t>; e)</w:t>
            </w:r>
            <w:r w:rsidR="00827616">
              <w:t> </w:t>
            </w:r>
            <w:r w:rsidRPr="00277A25">
              <w:t>32</w:t>
            </w:r>
            <w:r w:rsidR="00827616">
              <w:t> </w:t>
            </w:r>
            <w:r w:rsidRPr="00277A25">
              <w:t>; f)</w:t>
            </w:r>
            <w:r w:rsidR="00827616">
              <w:t> </w:t>
            </w:r>
            <w:r w:rsidRPr="00277A25">
              <w:t>45</w:t>
            </w:r>
            <w:r w:rsidR="00827616">
              <w:t> </w:t>
            </w:r>
            <w:r w:rsidRPr="00277A25">
              <w:t>;</w:t>
            </w:r>
            <w:r w:rsidR="00827616">
              <w:t xml:space="preserve"> </w:t>
            </w:r>
            <w:r w:rsidRPr="00277A25">
              <w:t>g)</w:t>
            </w:r>
            <w:r w:rsidR="00827616">
              <w:t> premier amendement </w:t>
            </w:r>
            <w:r w:rsidRPr="00277A25">
              <w:t>32, de</w:t>
            </w:r>
            <w:r w:rsidR="00827616">
              <w:t>uxième amendement </w:t>
            </w:r>
            <w:r w:rsidRPr="00277A25">
              <w:t>31</w:t>
            </w:r>
            <w:r w:rsidR="00827616">
              <w:t> </w:t>
            </w:r>
            <w:r w:rsidRPr="00277A25">
              <w:t>; h)</w:t>
            </w:r>
            <w:r w:rsidR="00827616">
              <w:t> </w:t>
            </w:r>
            <w:r w:rsidRPr="00277A25">
              <w:t>24</w:t>
            </w:r>
          </w:p>
          <w:p w:rsidR="00781DE2" w:rsidRPr="00277A25" w:rsidRDefault="00827616" w:rsidP="00827616">
            <w:pPr>
              <w:spacing w:before="40" w:after="120"/>
              <w:ind w:right="113"/>
            </w:pPr>
            <w:r>
              <w:t>Objectif pour 2018-2019 : a) </w:t>
            </w:r>
            <w:r w:rsidR="00781DE2" w:rsidRPr="00277A25">
              <w:t>36</w:t>
            </w:r>
            <w:r>
              <w:t> </w:t>
            </w:r>
            <w:r w:rsidR="00781DE2" w:rsidRPr="00277A25">
              <w:t>; b)</w:t>
            </w:r>
            <w:r>
              <w:t> </w:t>
            </w:r>
            <w:r w:rsidR="00781DE2" w:rsidRPr="00277A25">
              <w:t>45</w:t>
            </w:r>
            <w:r>
              <w:t> </w:t>
            </w:r>
            <w:r w:rsidR="00781DE2" w:rsidRPr="00277A25">
              <w:t>; c)</w:t>
            </w:r>
            <w:r>
              <w:t> </w:t>
            </w:r>
            <w:r w:rsidR="00781DE2" w:rsidRPr="00277A25">
              <w:t>10</w:t>
            </w:r>
            <w:r>
              <w:t> </w:t>
            </w:r>
            <w:r w:rsidR="00781DE2" w:rsidRPr="00277A25">
              <w:t>; d) 30</w:t>
            </w:r>
            <w:r>
              <w:t> </w:t>
            </w:r>
            <w:r w:rsidR="00781DE2" w:rsidRPr="00277A25">
              <w:t>; e)</w:t>
            </w:r>
            <w:r>
              <w:t> </w:t>
            </w:r>
            <w:r w:rsidR="00781DE2" w:rsidRPr="00277A25">
              <w:t>34</w:t>
            </w:r>
            <w:r>
              <w:t> </w:t>
            </w:r>
            <w:r w:rsidR="00781DE2" w:rsidRPr="00277A25">
              <w:t>; f)</w:t>
            </w:r>
            <w:r>
              <w:t> </w:t>
            </w:r>
            <w:r w:rsidR="00781DE2" w:rsidRPr="00277A25">
              <w:t>46</w:t>
            </w:r>
            <w:r>
              <w:t> </w:t>
            </w:r>
            <w:r w:rsidR="00781DE2" w:rsidRPr="00277A25">
              <w:t>; g)</w:t>
            </w:r>
            <w:r>
              <w:t> premier amendement 36, deuxième amendement </w:t>
            </w:r>
            <w:r w:rsidR="00781DE2" w:rsidRPr="00277A25">
              <w:t>34</w:t>
            </w:r>
            <w:r>
              <w:t> </w:t>
            </w:r>
            <w:r w:rsidR="00781DE2" w:rsidRPr="00277A25">
              <w:t>; h)</w:t>
            </w:r>
            <w:r>
              <w:t> </w:t>
            </w:r>
            <w:r w:rsidR="00781DE2" w:rsidRPr="00277A25">
              <w:t>31</w:t>
            </w:r>
          </w:p>
        </w:tc>
      </w:tr>
      <w:tr w:rsidR="00277A25" w:rsidRPr="00277A25" w:rsidTr="00DE76F2">
        <w:tc>
          <w:tcPr>
            <w:tcW w:w="2694" w:type="dxa"/>
            <w:vMerge/>
            <w:shd w:val="clear" w:color="auto" w:fill="auto"/>
          </w:tcPr>
          <w:p w:rsidR="00781DE2" w:rsidRPr="00277A25" w:rsidRDefault="00781DE2" w:rsidP="00277A25">
            <w:pPr>
              <w:spacing w:before="40" w:after="120"/>
              <w:ind w:right="113"/>
            </w:pPr>
          </w:p>
        </w:tc>
        <w:tc>
          <w:tcPr>
            <w:tcW w:w="2808" w:type="dxa"/>
            <w:shd w:val="clear" w:color="auto" w:fill="auto"/>
          </w:tcPr>
          <w:p w:rsidR="00781DE2" w:rsidRPr="00277A25" w:rsidRDefault="00781DE2" w:rsidP="00F24782">
            <w:pPr>
              <w:spacing w:before="40" w:after="120"/>
              <w:ind w:right="113"/>
            </w:pPr>
            <w:r w:rsidRPr="00277A25">
              <w:t>8. Convention sur la protection et</w:t>
            </w:r>
            <w:r w:rsidR="00F24782">
              <w:t> </w:t>
            </w:r>
            <w:r w:rsidRPr="00277A25">
              <w:t>l’utilisation des cours d’eau transfrontières et des lacs internationaux (Convention sur</w:t>
            </w:r>
            <w:r w:rsidR="00F24782">
              <w:t> </w:t>
            </w:r>
            <w:r w:rsidRPr="00277A25">
              <w:t xml:space="preserve">l’eau) </w:t>
            </w:r>
          </w:p>
        </w:tc>
        <w:tc>
          <w:tcPr>
            <w:tcW w:w="4135" w:type="dxa"/>
            <w:shd w:val="clear" w:color="auto" w:fill="auto"/>
          </w:tcPr>
          <w:p w:rsidR="00781DE2" w:rsidRPr="00277A25" w:rsidRDefault="00781DE2" w:rsidP="00277A25">
            <w:pPr>
              <w:spacing w:before="40" w:after="120"/>
              <w:ind w:right="113"/>
              <w:rPr>
                <w:bCs/>
              </w:rPr>
            </w:pPr>
            <w:r w:rsidRPr="00277A25">
              <w:t>Réalisation escomptée 8</w:t>
            </w:r>
            <w:r w:rsidRPr="00277A25">
              <w:br/>
              <w:t xml:space="preserve">Accélération de la ratification et de la mise en œuvre de la Convention et du </w:t>
            </w:r>
            <w:r w:rsidR="00BF290C">
              <w:t>Protocole sur l’eau et la santé</w:t>
            </w:r>
          </w:p>
          <w:p w:rsidR="00781DE2" w:rsidRPr="00277A25" w:rsidRDefault="00781DE2" w:rsidP="00277A25">
            <w:pPr>
              <w:spacing w:before="40" w:after="120"/>
              <w:ind w:right="113"/>
            </w:pPr>
            <w:r w:rsidRPr="00277A25">
              <w:t>Indicateur de succès 8</w:t>
            </w:r>
            <w:r w:rsidRPr="00277A25">
              <w:br/>
              <w:t>Augmentation du nombre de pays faisant état de progrès dans l’application de la Convention et du Protocole sur l’eau et la santé, d’après les critères ci-après :</w:t>
            </w:r>
          </w:p>
          <w:p w:rsidR="00781DE2" w:rsidRPr="00277A25" w:rsidRDefault="00781DE2" w:rsidP="00277A25">
            <w:pPr>
              <w:spacing w:before="40" w:after="120"/>
              <w:ind w:right="113"/>
            </w:pPr>
            <w:r w:rsidRPr="00277A25">
              <w:t>a)</w:t>
            </w:r>
            <w:r w:rsidRPr="00277A25">
              <w:rPr>
                <w:bCs/>
              </w:rPr>
              <w:t xml:space="preserve"> </w:t>
            </w:r>
            <w:r w:rsidRPr="00277A25">
              <w:t>Intensité du renforcement des capacités des non-Parties à l</w:t>
            </w:r>
            <w:r w:rsidR="006E2D4E">
              <w:t>a Convention (moyenne des jours</w:t>
            </w:r>
            <w:r w:rsidR="006E2D4E">
              <w:noBreakHyphen/>
            </w:r>
            <w:r w:rsidRPr="00277A25">
              <w:t>participants pour chaque non-Partie)</w:t>
            </w:r>
            <w:r w:rsidR="00BF290C">
              <w:rPr>
                <w:bCs/>
              </w:rPr>
              <w:t> </w:t>
            </w:r>
            <w:r w:rsidRPr="00277A25">
              <w:rPr>
                <w:bCs/>
              </w:rPr>
              <w:t>;</w:t>
            </w:r>
          </w:p>
          <w:p w:rsidR="00781DE2" w:rsidRPr="00277A25" w:rsidRDefault="00781DE2" w:rsidP="00277A25">
            <w:pPr>
              <w:spacing w:before="40" w:after="120"/>
              <w:ind w:right="113"/>
            </w:pPr>
            <w:r w:rsidRPr="00277A25">
              <w:t>b)</w:t>
            </w:r>
            <w:r w:rsidRPr="00277A25">
              <w:rPr>
                <w:bCs/>
              </w:rPr>
              <w:t xml:space="preserve"> </w:t>
            </w:r>
            <w:r w:rsidRPr="00277A25">
              <w:t>Intensité du renforcement des capacités des non-Parties au Protocole sur l’eau et la santé (moyenne des jou</w:t>
            </w:r>
            <w:r w:rsidR="006E2D4E">
              <w:t>rs-participants pour chaque non</w:t>
            </w:r>
            <w:r w:rsidR="006E2D4E">
              <w:noBreakHyphen/>
            </w:r>
            <w:r w:rsidRPr="00277A25">
              <w:t>Partie) </w:t>
            </w:r>
            <w:r w:rsidRPr="00277A25">
              <w:rPr>
                <w:bCs/>
              </w:rPr>
              <w:t>;</w:t>
            </w:r>
          </w:p>
          <w:p w:rsidR="00781DE2" w:rsidRPr="00277A25" w:rsidRDefault="00781DE2" w:rsidP="00277A25">
            <w:pPr>
              <w:spacing w:before="40" w:after="120"/>
              <w:ind w:right="113"/>
            </w:pPr>
            <w:r w:rsidRPr="00277A25">
              <w:t>c) Nombre de ratifications du Protocole sur l’eau et la santé ;</w:t>
            </w:r>
          </w:p>
          <w:p w:rsidR="00781DE2" w:rsidRPr="00277A25" w:rsidRDefault="00781DE2" w:rsidP="006E2D4E">
            <w:pPr>
              <w:spacing w:before="40" w:after="480"/>
              <w:ind w:right="113"/>
            </w:pPr>
            <w:r w:rsidRPr="00277A25">
              <w:t>d) Nombre d’adhésions à la Convention sur l’eau par des États non membres de la CEE</w:t>
            </w:r>
            <w:r w:rsidRPr="006E2D4E">
              <w:rPr>
                <w:rStyle w:val="Appeldenotedefin"/>
                <w:i/>
              </w:rPr>
              <w:t>f</w:t>
            </w:r>
            <w:r w:rsidRPr="00277A25">
              <w:rPr>
                <w:vertAlign w:val="superscript"/>
              </w:rPr>
              <w:t xml:space="preserve"> </w:t>
            </w:r>
          </w:p>
          <w:p w:rsidR="00781DE2" w:rsidRPr="001131BC" w:rsidRDefault="00BF290C" w:rsidP="00277A25">
            <w:pPr>
              <w:spacing w:before="40" w:after="120"/>
              <w:ind w:right="113"/>
              <w:rPr>
                <w:i/>
              </w:rPr>
            </w:pPr>
            <w:r w:rsidRPr="001131BC">
              <w:rPr>
                <w:i/>
              </w:rPr>
              <w:lastRenderedPageBreak/>
              <w:t>Résultats </w:t>
            </w:r>
            <w:r w:rsidR="00781DE2" w:rsidRPr="001131BC">
              <w:rPr>
                <w:i/>
              </w:rPr>
              <w:t>:</w:t>
            </w:r>
          </w:p>
          <w:p w:rsidR="00781DE2" w:rsidRPr="00277A25" w:rsidRDefault="00BF290C" w:rsidP="00277A25">
            <w:pPr>
              <w:spacing w:before="40" w:after="120"/>
              <w:ind w:right="113"/>
            </w:pPr>
            <w:r>
              <w:t>2012-2013 : a) </w:t>
            </w:r>
            <w:r w:rsidR="00781DE2" w:rsidRPr="00277A25">
              <w:t>66</w:t>
            </w:r>
            <w:r>
              <w:t> </w:t>
            </w:r>
            <w:r w:rsidR="00781DE2" w:rsidRPr="00277A25">
              <w:t>; b)</w:t>
            </w:r>
            <w:r>
              <w:t> </w:t>
            </w:r>
            <w:r w:rsidR="00781DE2" w:rsidRPr="00277A25">
              <w:t>25</w:t>
            </w:r>
            <w:r>
              <w:t> </w:t>
            </w:r>
            <w:r w:rsidR="00781DE2" w:rsidRPr="00277A25">
              <w:t>; c)</w:t>
            </w:r>
            <w:r>
              <w:t> </w:t>
            </w:r>
            <w:r w:rsidR="00781DE2" w:rsidRPr="00277A25">
              <w:t>26</w:t>
            </w:r>
            <w:r>
              <w:t> </w:t>
            </w:r>
            <w:r w:rsidR="00781DE2" w:rsidRPr="00277A25">
              <w:t>; d)</w:t>
            </w:r>
            <w:r>
              <w:t> </w:t>
            </w:r>
            <w:r w:rsidR="00781DE2" w:rsidRPr="00277A25">
              <w:t>s.o.</w:t>
            </w:r>
          </w:p>
          <w:p w:rsidR="00781DE2" w:rsidRPr="00277A25" w:rsidRDefault="00781DE2" w:rsidP="00277A25">
            <w:pPr>
              <w:spacing w:before="40" w:after="120"/>
              <w:ind w:right="113"/>
            </w:pPr>
            <w:r w:rsidRPr="00277A25">
              <w:t>2014-2015 : a)</w:t>
            </w:r>
            <w:r w:rsidR="00BF290C">
              <w:t> </w:t>
            </w:r>
            <w:r w:rsidRPr="00277A25">
              <w:t>67</w:t>
            </w:r>
            <w:r w:rsidR="00BF290C">
              <w:t> </w:t>
            </w:r>
            <w:r w:rsidRPr="00277A25">
              <w:t>; b)</w:t>
            </w:r>
            <w:r w:rsidR="00BF290C">
              <w:t> </w:t>
            </w:r>
            <w:r w:rsidRPr="00277A25">
              <w:t>50</w:t>
            </w:r>
            <w:r w:rsidR="00BF290C">
              <w:t> </w:t>
            </w:r>
            <w:r w:rsidRPr="00277A25">
              <w:t>; c)</w:t>
            </w:r>
            <w:r w:rsidR="00BF290C">
              <w:t> </w:t>
            </w:r>
            <w:r w:rsidRPr="00277A25">
              <w:t>26</w:t>
            </w:r>
            <w:r w:rsidR="00BF290C">
              <w:t> ; d) </w:t>
            </w:r>
            <w:r w:rsidRPr="00277A25">
              <w:t>0</w:t>
            </w:r>
            <w:r w:rsidRPr="00D91FE7">
              <w:rPr>
                <w:rStyle w:val="Appeldenotedefin"/>
                <w:i/>
              </w:rPr>
              <w:t>g</w:t>
            </w:r>
          </w:p>
          <w:p w:rsidR="00781DE2" w:rsidRPr="00277A25" w:rsidRDefault="00BF290C" w:rsidP="00277A25">
            <w:pPr>
              <w:spacing w:before="40" w:after="120"/>
              <w:ind w:right="113"/>
            </w:pPr>
            <w:r>
              <w:t>Objectif pour 2016-2017 : a) </w:t>
            </w:r>
            <w:r w:rsidR="00781DE2" w:rsidRPr="00277A25">
              <w:t>50</w:t>
            </w:r>
            <w:r>
              <w:t> </w:t>
            </w:r>
            <w:r w:rsidR="00781DE2" w:rsidRPr="00277A25">
              <w:t>; b)</w:t>
            </w:r>
            <w:r>
              <w:t> </w:t>
            </w:r>
            <w:r w:rsidR="00781DE2" w:rsidRPr="00277A25">
              <w:t>35</w:t>
            </w:r>
            <w:r>
              <w:t> </w:t>
            </w:r>
            <w:r w:rsidR="00781DE2" w:rsidRPr="00277A25">
              <w:t>; c)</w:t>
            </w:r>
            <w:r>
              <w:t> </w:t>
            </w:r>
            <w:r w:rsidR="00781DE2" w:rsidRPr="00277A25">
              <w:t>27</w:t>
            </w:r>
            <w:r>
              <w:t> ; d) 1</w:t>
            </w:r>
          </w:p>
          <w:p w:rsidR="00781DE2" w:rsidRPr="00277A25" w:rsidRDefault="00781DE2" w:rsidP="00277A25">
            <w:pPr>
              <w:spacing w:before="40" w:after="120"/>
              <w:ind w:right="113"/>
            </w:pPr>
            <w:r w:rsidRPr="00277A25">
              <w:t>Résultat</w:t>
            </w:r>
            <w:r w:rsidR="00BF290C">
              <w:t>s obtenus pour 2016-2017 (au 15 août 2017) : a) </w:t>
            </w:r>
            <w:r w:rsidRPr="00277A25">
              <w:t>35</w:t>
            </w:r>
            <w:r w:rsidR="00BF290C">
              <w:t> ; b) </w:t>
            </w:r>
            <w:r w:rsidRPr="00277A25">
              <w:t>31</w:t>
            </w:r>
            <w:r w:rsidR="00BF290C">
              <w:t> </w:t>
            </w:r>
            <w:r w:rsidRPr="00277A25">
              <w:t>; c)</w:t>
            </w:r>
            <w:r w:rsidR="00BF290C">
              <w:t> </w:t>
            </w:r>
            <w:r w:rsidRPr="00277A25">
              <w:t>26</w:t>
            </w:r>
            <w:r w:rsidR="00BF290C">
              <w:t> </w:t>
            </w:r>
            <w:r w:rsidRPr="00277A25">
              <w:t>; d)</w:t>
            </w:r>
            <w:r w:rsidR="00BF290C">
              <w:t> </w:t>
            </w:r>
            <w:r w:rsidRPr="00277A25">
              <w:t>0</w:t>
            </w:r>
          </w:p>
          <w:p w:rsidR="00781DE2" w:rsidRPr="00277A25" w:rsidRDefault="00781DE2" w:rsidP="00BF290C">
            <w:pPr>
              <w:spacing w:before="40" w:after="120"/>
              <w:ind w:right="113"/>
            </w:pPr>
            <w:r w:rsidRPr="00277A25">
              <w:t>Objectif pour 20</w:t>
            </w:r>
            <w:r w:rsidR="00BF290C">
              <w:t>18-2019 : a) </w:t>
            </w:r>
            <w:r w:rsidRPr="00277A25">
              <w:t>40</w:t>
            </w:r>
            <w:r w:rsidR="00BF290C">
              <w:t> </w:t>
            </w:r>
            <w:r w:rsidRPr="00277A25">
              <w:t>; b)</w:t>
            </w:r>
            <w:r w:rsidR="00BF290C">
              <w:t> </w:t>
            </w:r>
            <w:r w:rsidRPr="00277A25">
              <w:t>40</w:t>
            </w:r>
            <w:r w:rsidR="00BF290C">
              <w:t> </w:t>
            </w:r>
            <w:r w:rsidRPr="00277A25">
              <w:t>; c)</w:t>
            </w:r>
            <w:r w:rsidR="00BF290C">
              <w:t> </w:t>
            </w:r>
            <w:r w:rsidRPr="00277A25">
              <w:t>27</w:t>
            </w:r>
            <w:r w:rsidR="00BF290C">
              <w:t> </w:t>
            </w:r>
            <w:r w:rsidRPr="00277A25">
              <w:t>; d)</w:t>
            </w:r>
            <w:r w:rsidR="00BF290C">
              <w:t> </w:t>
            </w:r>
            <w:r w:rsidRPr="00277A25">
              <w:t>1</w:t>
            </w:r>
          </w:p>
        </w:tc>
      </w:tr>
      <w:tr w:rsidR="00277A25" w:rsidRPr="00277A25" w:rsidTr="00DE76F2">
        <w:tc>
          <w:tcPr>
            <w:tcW w:w="2694" w:type="dxa"/>
            <w:vMerge/>
            <w:shd w:val="clear" w:color="auto" w:fill="auto"/>
          </w:tcPr>
          <w:p w:rsidR="00781DE2" w:rsidRPr="00277A25" w:rsidRDefault="00781DE2" w:rsidP="00277A25">
            <w:pPr>
              <w:spacing w:before="40" w:after="120"/>
              <w:ind w:right="113"/>
            </w:pPr>
          </w:p>
        </w:tc>
        <w:tc>
          <w:tcPr>
            <w:tcW w:w="2808" w:type="dxa"/>
            <w:shd w:val="clear" w:color="auto" w:fill="auto"/>
          </w:tcPr>
          <w:p w:rsidR="00781DE2" w:rsidRPr="00277A25" w:rsidRDefault="00781DE2" w:rsidP="00277A25">
            <w:pPr>
              <w:spacing w:before="40" w:after="120"/>
              <w:ind w:right="113"/>
            </w:pPr>
            <w:r w:rsidRPr="00277A25">
              <w:t xml:space="preserve">9. Convention sur les effets transfrontières des accidents industriels </w:t>
            </w:r>
          </w:p>
        </w:tc>
        <w:tc>
          <w:tcPr>
            <w:tcW w:w="4135" w:type="dxa"/>
            <w:shd w:val="clear" w:color="auto" w:fill="auto"/>
          </w:tcPr>
          <w:p w:rsidR="00781DE2" w:rsidRPr="00277A25" w:rsidRDefault="00781DE2" w:rsidP="00277A25">
            <w:pPr>
              <w:spacing w:before="40" w:after="120"/>
              <w:ind w:right="113"/>
            </w:pPr>
            <w:r w:rsidRPr="00277A25">
              <w:t>Réalisation escomptée 9</w:t>
            </w:r>
            <w:r w:rsidRPr="00277A25">
              <w:br/>
              <w:t>Application renforcée de la Convention sur les effets transfrontières des accidents industriels</w:t>
            </w:r>
          </w:p>
          <w:p w:rsidR="00781DE2" w:rsidRPr="00277A25" w:rsidRDefault="00781DE2" w:rsidP="00277A25">
            <w:pPr>
              <w:spacing w:before="40" w:after="120"/>
              <w:ind w:right="113"/>
            </w:pPr>
            <w:r w:rsidRPr="00277A25">
              <w:t>Indicateur de réussite 9</w:t>
            </w:r>
            <w:r w:rsidRPr="00277A25">
              <w:br/>
              <w:t>Augmentation du nombre de pays faisant état de progrès dans la mise en œuvre de la Convention dans cinq domaines principaux :</w:t>
            </w:r>
          </w:p>
          <w:p w:rsidR="00781DE2" w:rsidRPr="00277A25" w:rsidRDefault="00781DE2" w:rsidP="00277A25">
            <w:pPr>
              <w:spacing w:before="40" w:after="120"/>
              <w:ind w:right="113"/>
              <w:rPr>
                <w:bCs/>
              </w:rPr>
            </w:pPr>
            <w:r w:rsidRPr="00277A25">
              <w:t>a)</w:t>
            </w:r>
            <w:r w:rsidRPr="00277A25">
              <w:rPr>
                <w:bCs/>
              </w:rPr>
              <w:t xml:space="preserve"> </w:t>
            </w:r>
            <w:r w:rsidRPr="00277A25">
              <w:t>Intensité du renforcement des capacités des non-Parties à la Convention (moyenne des jours</w:t>
            </w:r>
            <w:r w:rsidR="00576287">
              <w:noBreakHyphen/>
            </w:r>
            <w:r w:rsidRPr="00277A25">
              <w:t>participants pour chaque non-Partie) </w:t>
            </w:r>
            <w:r w:rsidRPr="00277A25">
              <w:rPr>
                <w:bCs/>
              </w:rPr>
              <w:t>;</w:t>
            </w:r>
          </w:p>
          <w:p w:rsidR="00781DE2" w:rsidRPr="00277A25" w:rsidRDefault="00781DE2" w:rsidP="00277A25">
            <w:pPr>
              <w:spacing w:before="40" w:after="120"/>
              <w:ind w:right="113"/>
            </w:pPr>
            <w:r w:rsidRPr="00277A25">
              <w:t>b)</w:t>
            </w:r>
            <w:r w:rsidRPr="00277A25">
              <w:rPr>
                <w:bCs/>
              </w:rPr>
              <w:t xml:space="preserve"> </w:t>
            </w:r>
            <w:r w:rsidRPr="00277A25">
              <w:t>Intensité du renforcement des capacités des Parties à la Convention (moyenne des jours</w:t>
            </w:r>
            <w:r w:rsidR="00576287">
              <w:noBreakHyphen/>
            </w:r>
            <w:r w:rsidRPr="00277A25">
              <w:t>participants pour chaque Partie) </w:t>
            </w:r>
            <w:r w:rsidRPr="00277A25">
              <w:rPr>
                <w:bCs/>
              </w:rPr>
              <w:t>;</w:t>
            </w:r>
          </w:p>
          <w:p w:rsidR="00781DE2" w:rsidRPr="00277A25" w:rsidRDefault="00781DE2" w:rsidP="00277A25">
            <w:pPr>
              <w:spacing w:before="40" w:after="120"/>
              <w:ind w:right="113"/>
            </w:pPr>
            <w:r w:rsidRPr="00277A25">
              <w:t>c) Recensement des activités dangereuses à la faveur de sessions de formation ;</w:t>
            </w:r>
          </w:p>
          <w:p w:rsidR="00781DE2" w:rsidRPr="00277A25" w:rsidRDefault="00781DE2" w:rsidP="00277A25">
            <w:pPr>
              <w:spacing w:before="40" w:after="120"/>
              <w:ind w:right="113"/>
            </w:pPr>
            <w:r w:rsidRPr="00277A25">
              <w:t xml:space="preserve">d) Prévention – application et renforcement des mesures de prévention concernant les activités dangereuses à la faveur de sessions de renforcement des capacités ; </w:t>
            </w:r>
          </w:p>
          <w:p w:rsidR="00781DE2" w:rsidRPr="00277A25" w:rsidRDefault="00781DE2" w:rsidP="00277A25">
            <w:pPr>
              <w:spacing w:before="40" w:after="120"/>
              <w:ind w:right="113"/>
            </w:pPr>
            <w:r w:rsidRPr="00277A25">
              <w:t>e) Notification des accidents industriels par le biais du système de notification des accidents industriels, mis en œuvre à l’occasion de sessions de formation</w:t>
            </w:r>
          </w:p>
          <w:p w:rsidR="00781DE2" w:rsidRPr="001131BC" w:rsidRDefault="00781DE2" w:rsidP="00277A25">
            <w:pPr>
              <w:spacing w:before="40" w:after="120"/>
              <w:ind w:right="113"/>
              <w:rPr>
                <w:i/>
              </w:rPr>
            </w:pPr>
            <w:r w:rsidRPr="001131BC">
              <w:rPr>
                <w:i/>
              </w:rPr>
              <w:t>Résultats :</w:t>
            </w:r>
          </w:p>
          <w:p w:rsidR="00781DE2" w:rsidRPr="00867877" w:rsidRDefault="00BF290C" w:rsidP="00277A25">
            <w:pPr>
              <w:spacing w:before="40" w:after="120"/>
              <w:ind w:right="113"/>
            </w:pPr>
            <w:r w:rsidRPr="00867877">
              <w:t>2012-2013 : a) </w:t>
            </w:r>
            <w:r w:rsidR="00781DE2" w:rsidRPr="00867877">
              <w:t>26</w:t>
            </w:r>
            <w:r w:rsidRPr="00867877">
              <w:t> ; b) </w:t>
            </w:r>
            <w:r w:rsidR="00781DE2" w:rsidRPr="00867877">
              <w:t>32</w:t>
            </w:r>
            <w:r w:rsidRPr="00867877">
              <w:t> ; c) </w:t>
            </w:r>
            <w:r w:rsidR="00781DE2" w:rsidRPr="00867877">
              <w:t>32</w:t>
            </w:r>
            <w:r w:rsidRPr="00867877">
              <w:t> ; d) </w:t>
            </w:r>
            <w:r w:rsidR="00781DE2" w:rsidRPr="00867877">
              <w:t>39</w:t>
            </w:r>
            <w:r w:rsidRPr="00867877">
              <w:t> </w:t>
            </w:r>
            <w:r w:rsidR="00781DE2" w:rsidRPr="00867877">
              <w:t>; e) 16</w:t>
            </w:r>
          </w:p>
          <w:p w:rsidR="00781DE2" w:rsidRPr="00867877" w:rsidRDefault="00BF290C" w:rsidP="00277A25">
            <w:pPr>
              <w:spacing w:before="40" w:after="120"/>
              <w:ind w:right="113"/>
            </w:pPr>
            <w:r w:rsidRPr="00867877">
              <w:t>2014-2015 : a) </w:t>
            </w:r>
            <w:r w:rsidR="00781DE2" w:rsidRPr="00867877">
              <w:t>26</w:t>
            </w:r>
            <w:r w:rsidRPr="00867877">
              <w:t> ; b) </w:t>
            </w:r>
            <w:r w:rsidR="00781DE2" w:rsidRPr="00867877">
              <w:t>30</w:t>
            </w:r>
            <w:r w:rsidRPr="00867877">
              <w:t> ; c) 33</w:t>
            </w:r>
            <w:r w:rsidR="00E533B3" w:rsidRPr="00867877">
              <w:t> </w:t>
            </w:r>
            <w:r w:rsidRPr="00867877">
              <w:t>; d) 40</w:t>
            </w:r>
            <w:r w:rsidR="00E533B3" w:rsidRPr="00867877">
              <w:t> </w:t>
            </w:r>
            <w:r w:rsidRPr="00867877">
              <w:t>; e) </w:t>
            </w:r>
            <w:r w:rsidR="00781DE2" w:rsidRPr="00867877">
              <w:t>14</w:t>
            </w:r>
          </w:p>
          <w:p w:rsidR="00781DE2" w:rsidRPr="00277A25" w:rsidRDefault="00BF290C" w:rsidP="00277A25">
            <w:pPr>
              <w:spacing w:before="40" w:after="120"/>
              <w:ind w:right="113"/>
            </w:pPr>
            <w:r>
              <w:t>Objectif pour 2016-2017 : a) </w:t>
            </w:r>
            <w:r w:rsidR="00781DE2" w:rsidRPr="00277A25">
              <w:t>17</w:t>
            </w:r>
            <w:r>
              <w:t> ; b) </w:t>
            </w:r>
            <w:r w:rsidR="00781DE2" w:rsidRPr="00277A25">
              <w:t>15</w:t>
            </w:r>
            <w:r>
              <w:t> ; c) </w:t>
            </w:r>
            <w:r w:rsidR="00781DE2" w:rsidRPr="00277A25">
              <w:t>34</w:t>
            </w:r>
            <w:r>
              <w:t> </w:t>
            </w:r>
            <w:r w:rsidR="00781DE2" w:rsidRPr="00277A25">
              <w:t>; d) 40</w:t>
            </w:r>
            <w:r>
              <w:t> </w:t>
            </w:r>
            <w:r w:rsidR="00781DE2" w:rsidRPr="00277A25">
              <w:t>; e)</w:t>
            </w:r>
            <w:r>
              <w:t> </w:t>
            </w:r>
            <w:r w:rsidR="00781DE2" w:rsidRPr="00277A25">
              <w:t>15</w:t>
            </w:r>
          </w:p>
          <w:p w:rsidR="00781DE2" w:rsidRPr="00277A25" w:rsidRDefault="00781DE2" w:rsidP="00277A25">
            <w:pPr>
              <w:spacing w:before="40" w:after="120"/>
              <w:ind w:right="113"/>
            </w:pPr>
            <w:r w:rsidRPr="00277A25">
              <w:t>Résultat</w:t>
            </w:r>
            <w:r w:rsidR="00BF290C">
              <w:t>s obtenus pour 2016-2017 (au 15 </w:t>
            </w:r>
            <w:r w:rsidRPr="00277A25">
              <w:t>août 2017) : a) 30</w:t>
            </w:r>
            <w:r w:rsidRPr="00D91FE7">
              <w:rPr>
                <w:rStyle w:val="Appeldenotedefin"/>
                <w:i/>
              </w:rPr>
              <w:t>h</w:t>
            </w:r>
            <w:r w:rsidR="00BF290C">
              <w:t> ;</w:t>
            </w:r>
            <w:r w:rsidRPr="00277A25">
              <w:t xml:space="preserve"> b)</w:t>
            </w:r>
            <w:r w:rsidR="00BF290C">
              <w:t> </w:t>
            </w:r>
            <w:r w:rsidRPr="00277A25">
              <w:t>12</w:t>
            </w:r>
            <w:r w:rsidRPr="00D91FE7">
              <w:rPr>
                <w:rStyle w:val="Appeldenotedefin"/>
                <w:i/>
              </w:rPr>
              <w:t>i</w:t>
            </w:r>
            <w:r w:rsidR="00BF290C">
              <w:t> ; c) </w:t>
            </w:r>
            <w:r w:rsidRPr="00277A25">
              <w:t>33</w:t>
            </w:r>
            <w:r w:rsidRPr="00D91FE7">
              <w:rPr>
                <w:rStyle w:val="Appeldenotedefin"/>
                <w:i/>
              </w:rPr>
              <w:t>j</w:t>
            </w:r>
            <w:r w:rsidR="00BF290C">
              <w:t> ;</w:t>
            </w:r>
            <w:r w:rsidRPr="00277A25">
              <w:t xml:space="preserve"> d) 40</w:t>
            </w:r>
            <w:r w:rsidRPr="00D91FE7">
              <w:rPr>
                <w:rStyle w:val="Appeldenotedefin"/>
                <w:i/>
              </w:rPr>
              <w:t>k</w:t>
            </w:r>
            <w:r w:rsidR="00BF290C">
              <w:t> ; e) </w:t>
            </w:r>
            <w:r w:rsidRPr="00277A25">
              <w:t>25</w:t>
            </w:r>
            <w:r w:rsidRPr="00D91FE7">
              <w:rPr>
                <w:rStyle w:val="Appeldenotedefin"/>
                <w:i/>
              </w:rPr>
              <w:t>l</w:t>
            </w:r>
          </w:p>
          <w:p w:rsidR="00781DE2" w:rsidRPr="00277A25" w:rsidRDefault="00BF290C" w:rsidP="00BF290C">
            <w:pPr>
              <w:spacing w:before="40" w:after="120"/>
              <w:ind w:right="113"/>
            </w:pPr>
            <w:r>
              <w:t>Objectif pour 2018-2019 : a) </w:t>
            </w:r>
            <w:r w:rsidR="00781DE2" w:rsidRPr="00277A25">
              <w:t>17</w:t>
            </w:r>
            <w:r w:rsidR="00781DE2" w:rsidRPr="00D91FE7">
              <w:rPr>
                <w:rStyle w:val="Appeldenotedefin"/>
                <w:i/>
              </w:rPr>
              <w:t>m</w:t>
            </w:r>
            <w:r>
              <w:t> ;</w:t>
            </w:r>
            <w:r w:rsidR="00781DE2" w:rsidRPr="00277A25">
              <w:t xml:space="preserve"> b)</w:t>
            </w:r>
            <w:r>
              <w:t> </w:t>
            </w:r>
            <w:r w:rsidR="00781DE2" w:rsidRPr="00277A25">
              <w:t>6</w:t>
            </w:r>
            <w:r w:rsidR="00781DE2" w:rsidRPr="00D91FE7">
              <w:rPr>
                <w:rStyle w:val="Appeldenotedefin"/>
                <w:i/>
              </w:rPr>
              <w:t>n</w:t>
            </w:r>
            <w:r>
              <w:t> ;</w:t>
            </w:r>
            <w:r w:rsidR="00781DE2" w:rsidRPr="00277A25">
              <w:t xml:space="preserve"> c)</w:t>
            </w:r>
            <w:r>
              <w:t> </w:t>
            </w:r>
            <w:r w:rsidR="00781DE2" w:rsidRPr="00277A25">
              <w:t>34</w:t>
            </w:r>
            <w:r>
              <w:t> </w:t>
            </w:r>
            <w:r w:rsidR="00781DE2" w:rsidRPr="00277A25">
              <w:t>; d) 41</w:t>
            </w:r>
            <w:r>
              <w:t> </w:t>
            </w:r>
            <w:r w:rsidR="00781DE2" w:rsidRPr="00277A25">
              <w:t>;</w:t>
            </w:r>
            <w:r>
              <w:t xml:space="preserve"> e) </w:t>
            </w:r>
            <w:r w:rsidR="00781DE2" w:rsidRPr="00277A25">
              <w:t xml:space="preserve">15 </w:t>
            </w:r>
          </w:p>
        </w:tc>
      </w:tr>
      <w:tr w:rsidR="00277A25" w:rsidRPr="00277A25" w:rsidTr="00DE76F2">
        <w:trPr>
          <w:cantSplit/>
        </w:trPr>
        <w:tc>
          <w:tcPr>
            <w:tcW w:w="2694" w:type="dxa"/>
            <w:shd w:val="clear" w:color="auto" w:fill="auto"/>
          </w:tcPr>
          <w:p w:rsidR="00781DE2" w:rsidRPr="00277A25" w:rsidRDefault="00781DE2" w:rsidP="00277A25">
            <w:pPr>
              <w:spacing w:before="40" w:after="120"/>
              <w:ind w:right="113"/>
            </w:pPr>
            <w:r w:rsidRPr="00277A25">
              <w:lastRenderedPageBreak/>
              <w:t>Réalisation escomptée c)</w:t>
            </w:r>
            <w:r w:rsidRPr="00277A25">
              <w:br/>
              <w:t>Renforcement des capacités nationales relatives aux systèmes de surveillance et d’évaluation environnementales dans les pays du Caucase, d’Asie centrale et d’Europe orientale et du Sud-Est</w:t>
            </w:r>
          </w:p>
          <w:p w:rsidR="00781DE2" w:rsidRPr="00277A25" w:rsidRDefault="00781DE2" w:rsidP="00277A25">
            <w:pPr>
              <w:spacing w:before="40" w:after="120"/>
              <w:ind w:right="113"/>
            </w:pPr>
            <w:r w:rsidRPr="00277A25">
              <w:t>Indicateur de succès c)</w:t>
            </w:r>
            <w:r w:rsidRPr="00277A25">
              <w:br/>
              <w:t>Augmentation du pourcentage de recommandations de la CEE relatives aux systèmes de surveillance environnementale appliquées par les États membres</w:t>
            </w:r>
          </w:p>
          <w:p w:rsidR="00781DE2" w:rsidRPr="001131BC" w:rsidRDefault="00DE76F2" w:rsidP="00277A25">
            <w:pPr>
              <w:spacing w:before="40" w:after="120"/>
              <w:ind w:right="113"/>
              <w:rPr>
                <w:i/>
              </w:rPr>
            </w:pPr>
            <w:r w:rsidRPr="001131BC">
              <w:rPr>
                <w:i/>
              </w:rPr>
              <w:t>Résultats </w:t>
            </w:r>
            <w:r w:rsidR="00781DE2" w:rsidRPr="001131BC">
              <w:rPr>
                <w:i/>
              </w:rPr>
              <w:t>:</w:t>
            </w:r>
          </w:p>
          <w:p w:rsidR="00781DE2" w:rsidRPr="00277A25" w:rsidRDefault="00781DE2" w:rsidP="00277A25">
            <w:pPr>
              <w:spacing w:before="40" w:after="120"/>
              <w:ind w:right="113"/>
            </w:pPr>
            <w:r w:rsidRPr="00277A25">
              <w:t>2012-2013 : s.o.</w:t>
            </w:r>
          </w:p>
          <w:p w:rsidR="00781DE2" w:rsidRPr="00277A25" w:rsidRDefault="00781DE2" w:rsidP="00277A25">
            <w:pPr>
              <w:spacing w:before="40" w:after="120"/>
              <w:ind w:right="113"/>
            </w:pPr>
            <w:r w:rsidRPr="00277A25">
              <w:t>2014–2015 : s.o.</w:t>
            </w:r>
          </w:p>
          <w:p w:rsidR="00781DE2" w:rsidRPr="00277A25" w:rsidRDefault="00781DE2" w:rsidP="00277A25">
            <w:pPr>
              <w:spacing w:before="40" w:after="120"/>
              <w:ind w:right="113"/>
            </w:pPr>
            <w:r w:rsidRPr="00277A25">
              <w:t>Objectif pour 2016-2017 : 50 %</w:t>
            </w:r>
          </w:p>
          <w:p w:rsidR="00781DE2" w:rsidRPr="00277A25" w:rsidRDefault="00781DE2" w:rsidP="00277A25">
            <w:pPr>
              <w:spacing w:before="40" w:after="120"/>
              <w:ind w:right="113"/>
            </w:pPr>
            <w:r w:rsidRPr="00277A25">
              <w:t>Résultats obtenus pour 2016</w:t>
            </w:r>
            <w:r w:rsidR="00DE76F2">
              <w:noBreakHyphen/>
            </w:r>
            <w:r w:rsidRPr="00277A25">
              <w:t>2017 (au 31</w:t>
            </w:r>
            <w:r w:rsidR="00DE76F2">
              <w:t> </w:t>
            </w:r>
            <w:r w:rsidRPr="00277A25">
              <w:t>décembre 2016) : 54 %</w:t>
            </w:r>
          </w:p>
          <w:p w:rsidR="00781DE2" w:rsidRPr="00277A25" w:rsidRDefault="00781DE2" w:rsidP="00277A25">
            <w:pPr>
              <w:spacing w:before="40" w:after="120"/>
              <w:ind w:right="113"/>
            </w:pPr>
            <w:r w:rsidRPr="00277A25">
              <w:t>Objectif pour</w:t>
            </w:r>
            <w:r w:rsidRPr="00277A25">
              <w:rPr>
                <w:lang w:eastAsia="en-GB"/>
              </w:rPr>
              <w:t xml:space="preserve"> 2018-2019 : 52 %</w:t>
            </w:r>
          </w:p>
        </w:tc>
        <w:tc>
          <w:tcPr>
            <w:tcW w:w="2808" w:type="dxa"/>
            <w:shd w:val="clear" w:color="auto" w:fill="auto"/>
          </w:tcPr>
          <w:p w:rsidR="00781DE2" w:rsidRPr="00277A25" w:rsidRDefault="00781DE2" w:rsidP="00277A25">
            <w:pPr>
              <w:spacing w:before="40" w:after="120"/>
              <w:ind w:right="113"/>
            </w:pPr>
            <w:r w:rsidRPr="00277A25">
              <w:t>10. Surveillance et évaluation de l’environnement</w:t>
            </w:r>
          </w:p>
        </w:tc>
        <w:tc>
          <w:tcPr>
            <w:tcW w:w="4135" w:type="dxa"/>
            <w:shd w:val="clear" w:color="auto" w:fill="auto"/>
          </w:tcPr>
          <w:p w:rsidR="00781DE2" w:rsidRPr="00277A25" w:rsidRDefault="00781DE2" w:rsidP="00277A25">
            <w:pPr>
              <w:spacing w:before="40" w:after="120"/>
              <w:ind w:right="113"/>
            </w:pPr>
            <w:r w:rsidRPr="00277A25">
              <w:t>Réalisation escomptée 10</w:t>
            </w:r>
            <w:r w:rsidRPr="00277A25">
              <w:br/>
              <w:t xml:space="preserve">Renforcement des capacités nationales en matière de systèmes de surveillance et d’évaluation de l’environnement dans les pays du Caucase, d’Asie centrale </w:t>
            </w:r>
            <w:r w:rsidR="00576287">
              <w:t>et d’Europe orientale et du Sud</w:t>
            </w:r>
            <w:r w:rsidR="00576287">
              <w:noBreakHyphen/>
            </w:r>
            <w:r w:rsidRPr="00277A25">
              <w:t>Est</w:t>
            </w:r>
          </w:p>
          <w:p w:rsidR="00781DE2" w:rsidRPr="00277A25" w:rsidRDefault="00781DE2" w:rsidP="00277A25">
            <w:pPr>
              <w:spacing w:before="40" w:after="120"/>
              <w:ind w:right="113"/>
            </w:pPr>
            <w:r w:rsidRPr="00277A25">
              <w:t>Indicateur de succès 10</w:t>
            </w:r>
            <w:r w:rsidRPr="00277A25">
              <w:br/>
              <w:t>Augmentation du pourcentage de recommandations de la CEE sur la surveillance environnementale appliquées par les États membres</w:t>
            </w:r>
          </w:p>
          <w:p w:rsidR="00781DE2" w:rsidRPr="00277A25" w:rsidRDefault="00781DE2" w:rsidP="00277A25">
            <w:pPr>
              <w:spacing w:before="40" w:after="120"/>
              <w:ind w:right="113"/>
            </w:pPr>
          </w:p>
          <w:p w:rsidR="00781DE2" w:rsidRPr="001131BC" w:rsidRDefault="00781DE2" w:rsidP="00277A25">
            <w:pPr>
              <w:spacing w:before="40" w:after="120"/>
              <w:ind w:right="113"/>
              <w:rPr>
                <w:i/>
              </w:rPr>
            </w:pPr>
            <w:r w:rsidRPr="001131BC">
              <w:rPr>
                <w:i/>
              </w:rPr>
              <w:t>Résultats :</w:t>
            </w:r>
          </w:p>
          <w:p w:rsidR="00781DE2" w:rsidRPr="00277A25" w:rsidRDefault="00781DE2" w:rsidP="00277A25">
            <w:pPr>
              <w:spacing w:before="40" w:after="120"/>
              <w:ind w:right="113"/>
            </w:pPr>
            <w:r w:rsidRPr="00277A25">
              <w:t>2012-2013 : s.o.</w:t>
            </w:r>
          </w:p>
          <w:p w:rsidR="00781DE2" w:rsidRPr="00277A25" w:rsidRDefault="00781DE2" w:rsidP="00277A25">
            <w:pPr>
              <w:spacing w:before="40" w:after="120"/>
              <w:ind w:right="113"/>
            </w:pPr>
            <w:r w:rsidRPr="00277A25">
              <w:t>2014-2015 : s.o.</w:t>
            </w:r>
          </w:p>
          <w:p w:rsidR="00781DE2" w:rsidRPr="00277A25" w:rsidRDefault="00781DE2" w:rsidP="00277A25">
            <w:pPr>
              <w:spacing w:before="40" w:after="120"/>
              <w:ind w:right="113"/>
            </w:pPr>
            <w:r w:rsidRPr="00277A25">
              <w:t>Objectif pour 2016-2017 : 50 %</w:t>
            </w:r>
          </w:p>
          <w:p w:rsidR="00781DE2" w:rsidRPr="00277A25" w:rsidRDefault="00781DE2" w:rsidP="00277A25">
            <w:pPr>
              <w:spacing w:before="40" w:after="120"/>
              <w:ind w:right="113"/>
            </w:pPr>
            <w:r w:rsidRPr="00277A25">
              <w:t>Résultats obtenus pour 2016-2017</w:t>
            </w:r>
            <w:r w:rsidR="00576287">
              <w:t xml:space="preserve"> </w:t>
            </w:r>
            <w:r w:rsidRPr="00277A25">
              <w:t>(au</w:t>
            </w:r>
            <w:r w:rsidR="00576287">
              <w:t> </w:t>
            </w:r>
            <w:r w:rsidRPr="00277A25">
              <w:t>31</w:t>
            </w:r>
            <w:r w:rsidR="0071509D">
              <w:t> </w:t>
            </w:r>
            <w:r w:rsidRPr="00277A25">
              <w:t>décembre 2016) : 54 %</w:t>
            </w:r>
            <w:r w:rsidR="00E533B3">
              <w:t xml:space="preserve"> </w:t>
            </w:r>
          </w:p>
          <w:p w:rsidR="00781DE2" w:rsidRPr="00277A25" w:rsidRDefault="00781DE2" w:rsidP="00277A25">
            <w:pPr>
              <w:spacing w:before="40" w:after="120"/>
              <w:ind w:right="113"/>
            </w:pPr>
            <w:r w:rsidRPr="00277A25">
              <w:t>Objectif pour 2018-2019 : 52 %</w:t>
            </w:r>
          </w:p>
        </w:tc>
      </w:tr>
      <w:tr w:rsidR="00277A25" w:rsidRPr="00277A25" w:rsidTr="00DE76F2">
        <w:tc>
          <w:tcPr>
            <w:tcW w:w="2694" w:type="dxa"/>
            <w:tcBorders>
              <w:bottom w:val="single" w:sz="12" w:space="0" w:color="auto"/>
            </w:tcBorders>
            <w:shd w:val="clear" w:color="auto" w:fill="auto"/>
          </w:tcPr>
          <w:p w:rsidR="00781DE2" w:rsidRPr="00277A25" w:rsidRDefault="00781DE2" w:rsidP="00277A25">
            <w:pPr>
              <w:spacing w:before="40" w:after="120"/>
              <w:ind w:right="113"/>
            </w:pPr>
            <w:r w:rsidRPr="00277A25">
              <w:t>Réalisation escomptée d)</w:t>
            </w:r>
            <w:r w:rsidRPr="00277A25">
              <w:br/>
              <w:t>Renforcement de la performance environnementale des États membres</w:t>
            </w:r>
          </w:p>
          <w:p w:rsidR="00781DE2" w:rsidRPr="00277A25" w:rsidRDefault="00781DE2" w:rsidP="00277A25">
            <w:pPr>
              <w:spacing w:before="40" w:after="120"/>
              <w:ind w:right="113"/>
            </w:pPr>
            <w:r w:rsidRPr="00277A25">
              <w:t>Indicateur de succès d)</w:t>
            </w:r>
            <w:r w:rsidRPr="00277A25">
              <w:br/>
              <w:t>Pourcentage de recommandations issues d’un examen de la performance environnementale appliquées par les pays ayant fait l’objet d’un examen pendant une période biennale</w:t>
            </w:r>
          </w:p>
          <w:p w:rsidR="00781DE2" w:rsidRPr="001131BC" w:rsidRDefault="00781DE2" w:rsidP="00277A25">
            <w:pPr>
              <w:spacing w:before="40" w:after="120"/>
              <w:ind w:right="113"/>
              <w:rPr>
                <w:i/>
              </w:rPr>
            </w:pPr>
            <w:r w:rsidRPr="001131BC">
              <w:rPr>
                <w:i/>
              </w:rPr>
              <w:t>Résultats :</w:t>
            </w:r>
          </w:p>
          <w:p w:rsidR="00781DE2" w:rsidRPr="00277A25" w:rsidRDefault="00781DE2" w:rsidP="00277A25">
            <w:pPr>
              <w:spacing w:before="40" w:after="120"/>
              <w:ind w:right="113"/>
            </w:pPr>
            <w:r w:rsidRPr="00277A25">
              <w:t>2012-2013 : s.o.</w:t>
            </w:r>
          </w:p>
          <w:p w:rsidR="00781DE2" w:rsidRPr="00277A25" w:rsidRDefault="00781DE2" w:rsidP="00277A25">
            <w:pPr>
              <w:spacing w:before="40" w:after="120"/>
              <w:ind w:right="113"/>
            </w:pPr>
            <w:r w:rsidRPr="00277A25">
              <w:t>2014-2015 : s.o.</w:t>
            </w:r>
          </w:p>
          <w:p w:rsidR="00781DE2" w:rsidRPr="00277A25" w:rsidRDefault="00781DE2" w:rsidP="00277A25">
            <w:pPr>
              <w:spacing w:before="40" w:after="120"/>
              <w:ind w:right="113"/>
            </w:pPr>
            <w:r w:rsidRPr="00277A25">
              <w:t>Objectif pour 2016-2017 : 65 %</w:t>
            </w:r>
          </w:p>
          <w:p w:rsidR="00781DE2" w:rsidRPr="00277A25" w:rsidRDefault="00781DE2" w:rsidP="00277A25">
            <w:pPr>
              <w:spacing w:before="40" w:after="120"/>
              <w:ind w:right="113"/>
              <w:rPr>
                <w:lang w:eastAsia="en-GB"/>
              </w:rPr>
            </w:pPr>
            <w:r w:rsidRPr="00277A25">
              <w:t>Résultats obtenus pour 2016</w:t>
            </w:r>
            <w:r w:rsidR="00DE76F2">
              <w:noBreakHyphen/>
            </w:r>
            <w:r w:rsidRPr="00277A25">
              <w:t>2017 (au</w:t>
            </w:r>
            <w:r w:rsidR="00DE76F2">
              <w:t xml:space="preserve"> 31 </w:t>
            </w:r>
            <w:r w:rsidRPr="00277A25">
              <w:t>décembre 2016) : 75 %</w:t>
            </w:r>
          </w:p>
          <w:p w:rsidR="00781DE2" w:rsidRPr="00277A25" w:rsidRDefault="00781DE2" w:rsidP="00277A25">
            <w:pPr>
              <w:spacing w:before="40" w:after="120"/>
              <w:ind w:right="113"/>
            </w:pPr>
            <w:r w:rsidRPr="00277A25">
              <w:t>Objectif pour</w:t>
            </w:r>
            <w:r w:rsidRPr="00277A25">
              <w:rPr>
                <w:lang w:eastAsia="en-GB"/>
              </w:rPr>
              <w:t xml:space="preserve"> 2018-2019 : 65 %</w:t>
            </w:r>
          </w:p>
        </w:tc>
        <w:tc>
          <w:tcPr>
            <w:tcW w:w="2808" w:type="dxa"/>
            <w:tcBorders>
              <w:bottom w:val="single" w:sz="12" w:space="0" w:color="auto"/>
            </w:tcBorders>
            <w:shd w:val="clear" w:color="auto" w:fill="auto"/>
          </w:tcPr>
          <w:p w:rsidR="00781DE2" w:rsidRPr="00277A25" w:rsidRDefault="00781DE2" w:rsidP="00277A25">
            <w:pPr>
              <w:spacing w:before="40" w:after="120"/>
              <w:ind w:right="113"/>
            </w:pPr>
            <w:r w:rsidRPr="00277A25">
              <w:t xml:space="preserve">11. Études de la performance environnementale </w:t>
            </w:r>
          </w:p>
        </w:tc>
        <w:tc>
          <w:tcPr>
            <w:tcW w:w="4135" w:type="dxa"/>
            <w:tcBorders>
              <w:bottom w:val="single" w:sz="12" w:space="0" w:color="auto"/>
            </w:tcBorders>
            <w:shd w:val="clear" w:color="auto" w:fill="auto"/>
          </w:tcPr>
          <w:p w:rsidR="00781DE2" w:rsidRPr="00277A25" w:rsidRDefault="00781DE2" w:rsidP="00277A25">
            <w:pPr>
              <w:spacing w:before="40" w:after="120"/>
              <w:ind w:right="113"/>
            </w:pPr>
            <w:r w:rsidRPr="00277A25">
              <w:t>Réalisation escomptée 11</w:t>
            </w:r>
            <w:r w:rsidRPr="00277A25">
              <w:br/>
              <w:t>Amélioration de la performance environnementale dans les pays intéressés</w:t>
            </w:r>
          </w:p>
          <w:p w:rsidR="00781DE2" w:rsidRPr="00277A25" w:rsidRDefault="00EA6493" w:rsidP="00277A25">
            <w:pPr>
              <w:spacing w:before="40" w:after="120"/>
              <w:ind w:right="113"/>
            </w:pPr>
            <w:r>
              <w:t>Indicateur de succès 11</w:t>
            </w:r>
            <w:r w:rsidR="00781DE2" w:rsidRPr="00277A25">
              <w:br/>
              <w:t>Pourcentage de recommandations issues d’un examen de la performance environnementale appliquées par les pays ayant fait l’objet d’un examen pendant une période biennale</w:t>
            </w:r>
          </w:p>
          <w:p w:rsidR="00781DE2" w:rsidRPr="001131BC" w:rsidRDefault="00781DE2" w:rsidP="00277A25">
            <w:pPr>
              <w:spacing w:before="40" w:after="120"/>
              <w:ind w:right="113"/>
              <w:rPr>
                <w:i/>
              </w:rPr>
            </w:pPr>
            <w:r w:rsidRPr="001131BC">
              <w:rPr>
                <w:i/>
              </w:rPr>
              <w:t>Résultats :</w:t>
            </w:r>
          </w:p>
          <w:p w:rsidR="00781DE2" w:rsidRPr="00277A25" w:rsidRDefault="00781DE2" w:rsidP="00277A25">
            <w:pPr>
              <w:spacing w:before="40" w:after="120"/>
              <w:ind w:right="113"/>
            </w:pPr>
            <w:r w:rsidRPr="00277A25">
              <w:t>2012-2013 : s.o.</w:t>
            </w:r>
          </w:p>
          <w:p w:rsidR="00781DE2" w:rsidRPr="00277A25" w:rsidRDefault="00781DE2" w:rsidP="00277A25">
            <w:pPr>
              <w:spacing w:before="40" w:after="120"/>
              <w:ind w:right="113"/>
            </w:pPr>
            <w:r w:rsidRPr="00277A25">
              <w:t>2014-2015 : s.o.</w:t>
            </w:r>
          </w:p>
          <w:p w:rsidR="00781DE2" w:rsidRPr="00277A25" w:rsidRDefault="00781DE2" w:rsidP="00277A25">
            <w:pPr>
              <w:spacing w:before="40" w:after="120"/>
              <w:ind w:right="113"/>
            </w:pPr>
            <w:r w:rsidRPr="00277A25">
              <w:t>Objectif pour 2016-2017 : 65 %</w:t>
            </w:r>
          </w:p>
          <w:p w:rsidR="00781DE2" w:rsidRPr="00277A25" w:rsidRDefault="00781DE2" w:rsidP="00277A25">
            <w:pPr>
              <w:spacing w:before="40" w:after="120"/>
              <w:ind w:right="113"/>
            </w:pPr>
            <w:r w:rsidRPr="00277A25">
              <w:t>Résultat</w:t>
            </w:r>
            <w:r w:rsidR="00BF290C">
              <w:t>s obtenus pour 2016-2017 (au</w:t>
            </w:r>
            <w:r w:rsidR="00576287">
              <w:t> </w:t>
            </w:r>
            <w:r w:rsidR="00BF290C">
              <w:t>31 </w:t>
            </w:r>
            <w:r w:rsidRPr="00277A25">
              <w:t>décembre 2016) : 75 %</w:t>
            </w:r>
          </w:p>
          <w:p w:rsidR="00781DE2" w:rsidRPr="00277A25" w:rsidRDefault="00781DE2" w:rsidP="00277A25">
            <w:pPr>
              <w:spacing w:before="40" w:after="120"/>
              <w:ind w:right="113"/>
            </w:pPr>
            <w:r w:rsidRPr="00277A25">
              <w:t>Objectif pour 2018-2019 : 65 %</w:t>
            </w:r>
          </w:p>
          <w:p w:rsidR="00781DE2" w:rsidRPr="00277A25" w:rsidRDefault="00781DE2" w:rsidP="00277A25">
            <w:pPr>
              <w:spacing w:before="40" w:after="120"/>
              <w:ind w:right="113"/>
            </w:pPr>
          </w:p>
        </w:tc>
      </w:tr>
    </w:tbl>
    <w:p w:rsidR="006B1452" w:rsidRPr="00754CF4" w:rsidRDefault="006B1452" w:rsidP="006E2D4E">
      <w:pPr>
        <w:spacing w:before="120"/>
        <w:ind w:firstLine="170"/>
        <w:rPr>
          <w:i/>
          <w:sz w:val="18"/>
          <w:szCs w:val="18"/>
          <w:vertAlign w:val="superscript"/>
        </w:rPr>
      </w:pPr>
      <w:r w:rsidRPr="00754CF4">
        <w:rPr>
          <w:i/>
          <w:sz w:val="18"/>
          <w:szCs w:val="18"/>
          <w:vertAlign w:val="superscript"/>
        </w:rPr>
        <w:t>a</w:t>
      </w:r>
      <w:r w:rsidR="00E533B3">
        <w:rPr>
          <w:i/>
          <w:sz w:val="18"/>
          <w:szCs w:val="18"/>
          <w:vertAlign w:val="superscript"/>
        </w:rPr>
        <w:t xml:space="preserve"> </w:t>
      </w:r>
      <w:r w:rsidR="006E2D4E">
        <w:rPr>
          <w:i/>
          <w:sz w:val="18"/>
          <w:szCs w:val="18"/>
          <w:vertAlign w:val="superscript"/>
        </w:rPr>
        <w:t xml:space="preserve"> </w:t>
      </w:r>
      <w:r w:rsidRPr="00754CF4">
        <w:rPr>
          <w:sz w:val="18"/>
          <w:szCs w:val="18"/>
        </w:rPr>
        <w:t>Le nombre tient seulement compte des rapports nationaux de mise en œuvre officiels présentés par les États membres dans le cadre du troisième cycle de présentation de ces rapports. En outre, 20 pays ont soumis leur rapport pour la neuvième réunion du Comité directeur pour l</w:t>
      </w:r>
      <w:r>
        <w:rPr>
          <w:sz w:val="18"/>
          <w:szCs w:val="18"/>
        </w:rPr>
        <w:t>’</w:t>
      </w:r>
      <w:r w:rsidRPr="00754CF4">
        <w:rPr>
          <w:sz w:val="18"/>
          <w:szCs w:val="18"/>
        </w:rPr>
        <w:t>éducation au</w:t>
      </w:r>
      <w:r w:rsidR="001131BC">
        <w:rPr>
          <w:sz w:val="18"/>
          <w:szCs w:val="18"/>
        </w:rPr>
        <w:t xml:space="preserve"> développement durable en avril </w:t>
      </w:r>
      <w:r w:rsidRPr="00754CF4">
        <w:rPr>
          <w:sz w:val="18"/>
          <w:szCs w:val="18"/>
        </w:rPr>
        <w:t>2014.</w:t>
      </w:r>
    </w:p>
    <w:p w:rsidR="006B1452" w:rsidRPr="00FD76A9" w:rsidRDefault="006B1452" w:rsidP="006E2D4E">
      <w:pPr>
        <w:ind w:firstLine="170"/>
        <w:rPr>
          <w:sz w:val="18"/>
          <w:szCs w:val="18"/>
        </w:rPr>
      </w:pPr>
      <w:r w:rsidRPr="00FD76A9">
        <w:rPr>
          <w:i/>
          <w:sz w:val="18"/>
          <w:szCs w:val="18"/>
          <w:vertAlign w:val="superscript"/>
        </w:rPr>
        <w:lastRenderedPageBreak/>
        <w:t>b</w:t>
      </w:r>
      <w:r w:rsidR="00E533B3">
        <w:rPr>
          <w:i/>
          <w:sz w:val="18"/>
          <w:szCs w:val="18"/>
          <w:vertAlign w:val="superscript"/>
        </w:rPr>
        <w:t xml:space="preserve"> </w:t>
      </w:r>
      <w:r w:rsidR="006E2D4E">
        <w:rPr>
          <w:i/>
          <w:sz w:val="18"/>
          <w:szCs w:val="18"/>
          <w:vertAlign w:val="superscript"/>
        </w:rPr>
        <w:t xml:space="preserve"> </w:t>
      </w:r>
      <w:r w:rsidRPr="00FD76A9">
        <w:rPr>
          <w:sz w:val="18"/>
          <w:szCs w:val="18"/>
        </w:rPr>
        <w:t>Le Comité directeur pour l</w:t>
      </w:r>
      <w:r>
        <w:rPr>
          <w:sz w:val="18"/>
          <w:szCs w:val="18"/>
        </w:rPr>
        <w:t>’</w:t>
      </w:r>
      <w:r w:rsidRPr="00FD76A9">
        <w:rPr>
          <w:sz w:val="18"/>
          <w:szCs w:val="18"/>
        </w:rPr>
        <w:t xml:space="preserve">éducation au développement durable </w:t>
      </w:r>
      <w:r>
        <w:rPr>
          <w:sz w:val="18"/>
          <w:szCs w:val="18"/>
        </w:rPr>
        <w:t>n’a pas officiellement demandé de rapport national de mise en œuvre au cours de la période biennale 2016-2017. Ce nombre plus faible correspond aux pays qui ont répondu au questionnaire informel élaboré pour la douzième réunion du C</w:t>
      </w:r>
      <w:r w:rsidR="00D37DC5">
        <w:rPr>
          <w:sz w:val="18"/>
          <w:szCs w:val="18"/>
        </w:rPr>
        <w:t>omité directeur (20-21 avril 2017, Genève).</w:t>
      </w:r>
    </w:p>
    <w:p w:rsidR="006B1452" w:rsidRPr="00FE6292" w:rsidRDefault="006B1452" w:rsidP="006E2D4E">
      <w:pPr>
        <w:ind w:firstLine="170"/>
        <w:rPr>
          <w:sz w:val="18"/>
          <w:szCs w:val="18"/>
        </w:rPr>
      </w:pPr>
      <w:r w:rsidRPr="00FE6292">
        <w:rPr>
          <w:i/>
          <w:sz w:val="18"/>
          <w:szCs w:val="18"/>
          <w:vertAlign w:val="superscript"/>
        </w:rPr>
        <w:t>c</w:t>
      </w:r>
      <w:r w:rsidR="00D91FE7">
        <w:rPr>
          <w:i/>
          <w:sz w:val="18"/>
          <w:szCs w:val="18"/>
          <w:vertAlign w:val="superscript"/>
        </w:rPr>
        <w:t xml:space="preserve"> </w:t>
      </w:r>
      <w:r w:rsidRPr="00FE6292">
        <w:rPr>
          <w:i/>
          <w:sz w:val="18"/>
          <w:szCs w:val="18"/>
          <w:vertAlign w:val="superscript"/>
        </w:rPr>
        <w:t xml:space="preserve"> </w:t>
      </w:r>
      <w:r w:rsidRPr="00FE6292">
        <w:rPr>
          <w:sz w:val="18"/>
          <w:szCs w:val="18"/>
        </w:rPr>
        <w:t>Le nombre total de rapports nationaux de mise en œuvre pourrait encore changer à mesure que d</w:t>
      </w:r>
      <w:r>
        <w:rPr>
          <w:sz w:val="18"/>
          <w:szCs w:val="18"/>
        </w:rPr>
        <w:t>’autres</w:t>
      </w:r>
      <w:r w:rsidRPr="00FE6292">
        <w:rPr>
          <w:sz w:val="18"/>
          <w:szCs w:val="18"/>
        </w:rPr>
        <w:t xml:space="preserve"> Parties </w:t>
      </w:r>
      <w:r>
        <w:rPr>
          <w:sz w:val="18"/>
          <w:szCs w:val="18"/>
        </w:rPr>
        <w:t>à la Convention d’Aarhus et au Protocole sur les RRTP soumettent leur rapport.</w:t>
      </w:r>
    </w:p>
    <w:p w:rsidR="006B1452" w:rsidRPr="00FE6292" w:rsidRDefault="006B1452" w:rsidP="006E2D4E">
      <w:pPr>
        <w:ind w:firstLine="170"/>
        <w:rPr>
          <w:sz w:val="18"/>
          <w:szCs w:val="18"/>
        </w:rPr>
      </w:pPr>
      <w:r w:rsidRPr="00FE6292">
        <w:rPr>
          <w:i/>
          <w:sz w:val="18"/>
          <w:szCs w:val="18"/>
          <w:vertAlign w:val="superscript"/>
        </w:rPr>
        <w:t>d</w:t>
      </w:r>
      <w:r w:rsidR="00D91FE7">
        <w:rPr>
          <w:i/>
          <w:sz w:val="18"/>
          <w:szCs w:val="18"/>
          <w:vertAlign w:val="superscript"/>
        </w:rPr>
        <w:t xml:space="preserve"> </w:t>
      </w:r>
      <w:r w:rsidR="00E533B3">
        <w:rPr>
          <w:i/>
          <w:sz w:val="18"/>
          <w:szCs w:val="18"/>
          <w:vertAlign w:val="superscript"/>
        </w:rPr>
        <w:t xml:space="preserve"> </w:t>
      </w:r>
      <w:r w:rsidRPr="00FE6292">
        <w:rPr>
          <w:sz w:val="18"/>
          <w:szCs w:val="18"/>
        </w:rPr>
        <w:t>Aucun rapport national de mise en œuvre n</w:t>
      </w:r>
      <w:r>
        <w:rPr>
          <w:sz w:val="18"/>
          <w:szCs w:val="18"/>
        </w:rPr>
        <w:t>’</w:t>
      </w:r>
      <w:r w:rsidRPr="00FE6292">
        <w:rPr>
          <w:sz w:val="18"/>
          <w:szCs w:val="18"/>
        </w:rPr>
        <w:t xml:space="preserve">est attendu pour 2018-2019. </w:t>
      </w:r>
      <w:r>
        <w:rPr>
          <w:sz w:val="18"/>
          <w:szCs w:val="18"/>
        </w:rPr>
        <w:t>Le prochain cycle d’établissement de rapports aura lieu en 2021 à la fois pour la Convention d’Aarhus et pour le Protocole sur les RRTP.</w:t>
      </w:r>
    </w:p>
    <w:p w:rsidR="006B1452" w:rsidRPr="00FE6292" w:rsidRDefault="006B1452" w:rsidP="006E2D4E">
      <w:pPr>
        <w:ind w:firstLine="170"/>
        <w:rPr>
          <w:sz w:val="18"/>
          <w:szCs w:val="18"/>
        </w:rPr>
      </w:pPr>
      <w:r w:rsidRPr="00FE6292">
        <w:rPr>
          <w:i/>
          <w:sz w:val="18"/>
          <w:szCs w:val="18"/>
          <w:vertAlign w:val="superscript"/>
        </w:rPr>
        <w:t>e</w:t>
      </w:r>
      <w:r w:rsidR="00D91FE7">
        <w:rPr>
          <w:i/>
          <w:sz w:val="18"/>
          <w:szCs w:val="18"/>
          <w:vertAlign w:val="superscript"/>
        </w:rPr>
        <w:t xml:space="preserve"> </w:t>
      </w:r>
      <w:r w:rsidR="00E533B3">
        <w:rPr>
          <w:i/>
          <w:sz w:val="18"/>
          <w:szCs w:val="18"/>
          <w:vertAlign w:val="superscript"/>
        </w:rPr>
        <w:t xml:space="preserve"> </w:t>
      </w:r>
      <w:r w:rsidRPr="00FE6292">
        <w:rPr>
          <w:sz w:val="18"/>
          <w:szCs w:val="18"/>
        </w:rPr>
        <w:t>Nouvel indicateur propos</w:t>
      </w:r>
      <w:r>
        <w:rPr>
          <w:sz w:val="18"/>
          <w:szCs w:val="18"/>
        </w:rPr>
        <w:t>é</w:t>
      </w:r>
      <w:r w:rsidR="00E533B3">
        <w:rPr>
          <w:sz w:val="18"/>
          <w:szCs w:val="18"/>
        </w:rPr>
        <w:t xml:space="preserve"> à partir de 2016-2017.</w:t>
      </w:r>
    </w:p>
    <w:p w:rsidR="006B1452" w:rsidRPr="00FE6292" w:rsidRDefault="006B1452" w:rsidP="006E2D4E">
      <w:pPr>
        <w:ind w:firstLine="170"/>
        <w:rPr>
          <w:sz w:val="18"/>
          <w:szCs w:val="18"/>
        </w:rPr>
      </w:pPr>
      <w:r w:rsidRPr="00FE6292">
        <w:rPr>
          <w:i/>
          <w:sz w:val="18"/>
          <w:szCs w:val="18"/>
          <w:vertAlign w:val="superscript"/>
        </w:rPr>
        <w:t>f</w:t>
      </w:r>
      <w:r w:rsidR="00D91FE7">
        <w:rPr>
          <w:i/>
          <w:sz w:val="18"/>
          <w:szCs w:val="18"/>
          <w:vertAlign w:val="superscript"/>
        </w:rPr>
        <w:t xml:space="preserve"> </w:t>
      </w:r>
      <w:r w:rsidR="00E533B3">
        <w:rPr>
          <w:i/>
          <w:sz w:val="18"/>
          <w:szCs w:val="18"/>
          <w:vertAlign w:val="superscript"/>
        </w:rPr>
        <w:t xml:space="preserve"> </w:t>
      </w:r>
      <w:r>
        <w:rPr>
          <w:sz w:val="18"/>
          <w:szCs w:val="18"/>
        </w:rPr>
        <w:t xml:space="preserve">Toutes les Parties qui avaient adopté l’amendement ouvrant la Convention ne l’ayant pas ratifié dans les temps, les pays extérieurs à la région de la CEE n’ont pas pu adhérer à </w:t>
      </w:r>
      <w:r w:rsidR="00D37DC5">
        <w:rPr>
          <w:sz w:val="18"/>
          <w:szCs w:val="18"/>
        </w:rPr>
        <w:t>la Convention avant mars 2016.</w:t>
      </w:r>
    </w:p>
    <w:p w:rsidR="006B1452" w:rsidRPr="00CB42E8" w:rsidRDefault="006B1452" w:rsidP="006E2D4E">
      <w:pPr>
        <w:ind w:firstLine="170"/>
        <w:rPr>
          <w:sz w:val="18"/>
          <w:szCs w:val="18"/>
        </w:rPr>
      </w:pPr>
      <w:r w:rsidRPr="00CB42E8">
        <w:rPr>
          <w:i/>
          <w:sz w:val="18"/>
          <w:szCs w:val="18"/>
          <w:vertAlign w:val="superscript"/>
        </w:rPr>
        <w:t>g</w:t>
      </w:r>
      <w:r w:rsidR="00D91FE7">
        <w:rPr>
          <w:i/>
          <w:sz w:val="18"/>
          <w:szCs w:val="18"/>
          <w:vertAlign w:val="superscript"/>
        </w:rPr>
        <w:t xml:space="preserve"> </w:t>
      </w:r>
      <w:r w:rsidR="00E533B3">
        <w:rPr>
          <w:i/>
          <w:sz w:val="18"/>
          <w:szCs w:val="18"/>
          <w:vertAlign w:val="superscript"/>
        </w:rPr>
        <w:t xml:space="preserve"> </w:t>
      </w:r>
      <w:r w:rsidRPr="00CB42E8">
        <w:rPr>
          <w:sz w:val="18"/>
          <w:szCs w:val="18"/>
        </w:rPr>
        <w:t>Ibid.</w:t>
      </w:r>
    </w:p>
    <w:p w:rsidR="006B1452" w:rsidRPr="00CB42E8" w:rsidRDefault="006B1452" w:rsidP="006E2D4E">
      <w:pPr>
        <w:ind w:firstLine="170"/>
        <w:rPr>
          <w:sz w:val="18"/>
          <w:szCs w:val="18"/>
        </w:rPr>
      </w:pPr>
      <w:r w:rsidRPr="00CB42E8">
        <w:rPr>
          <w:i/>
          <w:sz w:val="18"/>
          <w:szCs w:val="18"/>
          <w:vertAlign w:val="superscript"/>
        </w:rPr>
        <w:t>h</w:t>
      </w:r>
      <w:r w:rsidR="00D91FE7">
        <w:rPr>
          <w:i/>
          <w:sz w:val="18"/>
          <w:szCs w:val="18"/>
          <w:vertAlign w:val="superscript"/>
        </w:rPr>
        <w:t xml:space="preserve"> </w:t>
      </w:r>
      <w:r w:rsidR="00E533B3">
        <w:rPr>
          <w:i/>
          <w:sz w:val="18"/>
          <w:szCs w:val="18"/>
          <w:vertAlign w:val="superscript"/>
        </w:rPr>
        <w:t xml:space="preserve"> </w:t>
      </w:r>
      <w:r w:rsidRPr="00CB42E8">
        <w:rPr>
          <w:sz w:val="18"/>
          <w:szCs w:val="18"/>
        </w:rPr>
        <w:t>Au cours de la période biennale 2016-2017, l</w:t>
      </w:r>
      <w:r>
        <w:rPr>
          <w:sz w:val="18"/>
          <w:szCs w:val="18"/>
        </w:rPr>
        <w:t>’</w:t>
      </w:r>
      <w:r w:rsidRPr="00CB42E8">
        <w:rPr>
          <w:sz w:val="18"/>
          <w:szCs w:val="18"/>
        </w:rPr>
        <w:t xml:space="preserve">accent a été mis sur les activités de renforcement des capacités </w:t>
      </w:r>
      <w:r>
        <w:rPr>
          <w:sz w:val="18"/>
          <w:szCs w:val="18"/>
        </w:rPr>
        <w:t>des non-Parties, ce qu</w:t>
      </w:r>
      <w:r w:rsidR="00D37DC5">
        <w:rPr>
          <w:sz w:val="18"/>
          <w:szCs w:val="18"/>
        </w:rPr>
        <w:t>i explique l’augmentation de a) et la baisse de </w:t>
      </w:r>
      <w:r>
        <w:rPr>
          <w:sz w:val="18"/>
          <w:szCs w:val="18"/>
        </w:rPr>
        <w:t>b).</w:t>
      </w:r>
    </w:p>
    <w:p w:rsidR="006B1452" w:rsidRPr="00CB42E8" w:rsidRDefault="006B1452" w:rsidP="006E2D4E">
      <w:pPr>
        <w:ind w:firstLine="170"/>
        <w:rPr>
          <w:sz w:val="18"/>
          <w:szCs w:val="18"/>
        </w:rPr>
      </w:pPr>
      <w:r w:rsidRPr="00CB42E8">
        <w:rPr>
          <w:i/>
          <w:sz w:val="18"/>
          <w:szCs w:val="18"/>
          <w:vertAlign w:val="superscript"/>
        </w:rPr>
        <w:t>i</w:t>
      </w:r>
      <w:r w:rsidR="00D91FE7">
        <w:rPr>
          <w:i/>
          <w:sz w:val="18"/>
          <w:szCs w:val="18"/>
          <w:vertAlign w:val="superscript"/>
        </w:rPr>
        <w:t xml:space="preserve"> </w:t>
      </w:r>
      <w:r w:rsidR="00E533B3">
        <w:rPr>
          <w:i/>
          <w:sz w:val="18"/>
          <w:szCs w:val="18"/>
          <w:vertAlign w:val="superscript"/>
        </w:rPr>
        <w:t xml:space="preserve"> </w:t>
      </w:r>
      <w:r w:rsidRPr="00CB42E8">
        <w:rPr>
          <w:sz w:val="18"/>
          <w:szCs w:val="18"/>
        </w:rPr>
        <w:t>Ibid.</w:t>
      </w:r>
    </w:p>
    <w:p w:rsidR="006B1452" w:rsidRPr="00CB42E8" w:rsidRDefault="006B1452" w:rsidP="006E2D4E">
      <w:pPr>
        <w:ind w:firstLine="170"/>
        <w:rPr>
          <w:sz w:val="18"/>
          <w:szCs w:val="18"/>
        </w:rPr>
      </w:pPr>
      <w:r w:rsidRPr="00CB42E8">
        <w:rPr>
          <w:i/>
          <w:sz w:val="18"/>
          <w:szCs w:val="18"/>
          <w:vertAlign w:val="superscript"/>
        </w:rPr>
        <w:t>j</w:t>
      </w:r>
      <w:r w:rsidR="00D91FE7">
        <w:rPr>
          <w:i/>
          <w:sz w:val="18"/>
          <w:szCs w:val="18"/>
          <w:vertAlign w:val="superscript"/>
        </w:rPr>
        <w:t xml:space="preserve"> </w:t>
      </w:r>
      <w:r w:rsidR="00E533B3">
        <w:rPr>
          <w:i/>
          <w:sz w:val="18"/>
          <w:szCs w:val="18"/>
          <w:vertAlign w:val="superscript"/>
        </w:rPr>
        <w:t xml:space="preserve"> </w:t>
      </w:r>
      <w:r w:rsidRPr="00CB42E8">
        <w:rPr>
          <w:sz w:val="18"/>
          <w:szCs w:val="18"/>
        </w:rPr>
        <w:t>D</w:t>
      </w:r>
      <w:r>
        <w:rPr>
          <w:sz w:val="18"/>
          <w:szCs w:val="18"/>
        </w:rPr>
        <w:t>’</w:t>
      </w:r>
      <w:r w:rsidRPr="00CB42E8">
        <w:rPr>
          <w:sz w:val="18"/>
          <w:szCs w:val="18"/>
        </w:rPr>
        <w:t>après les données issues des rapports nationaux de mise en œuvre soumis en 2016 au titre du cycle d</w:t>
      </w:r>
      <w:r>
        <w:rPr>
          <w:sz w:val="18"/>
          <w:szCs w:val="18"/>
        </w:rPr>
        <w:t>’</w:t>
      </w:r>
      <w:r w:rsidRPr="00CB42E8">
        <w:rPr>
          <w:sz w:val="18"/>
          <w:szCs w:val="18"/>
        </w:rPr>
        <w:t>établiss</w:t>
      </w:r>
      <w:r w:rsidR="00D37DC5">
        <w:rPr>
          <w:sz w:val="18"/>
          <w:szCs w:val="18"/>
        </w:rPr>
        <w:t>ement de rapports de 2014-2015.</w:t>
      </w:r>
    </w:p>
    <w:p w:rsidR="006B1452" w:rsidRPr="0049134F" w:rsidRDefault="006B1452" w:rsidP="006E2D4E">
      <w:pPr>
        <w:ind w:firstLine="170"/>
        <w:rPr>
          <w:sz w:val="18"/>
          <w:szCs w:val="18"/>
        </w:rPr>
      </w:pPr>
      <w:r w:rsidRPr="0049134F">
        <w:rPr>
          <w:i/>
          <w:sz w:val="18"/>
          <w:szCs w:val="18"/>
          <w:vertAlign w:val="superscript"/>
        </w:rPr>
        <w:t>k</w:t>
      </w:r>
      <w:r w:rsidR="00D91FE7">
        <w:rPr>
          <w:i/>
          <w:sz w:val="18"/>
          <w:szCs w:val="18"/>
          <w:vertAlign w:val="superscript"/>
        </w:rPr>
        <w:t xml:space="preserve"> </w:t>
      </w:r>
      <w:r w:rsidR="00E533B3">
        <w:rPr>
          <w:i/>
          <w:sz w:val="18"/>
          <w:szCs w:val="18"/>
          <w:vertAlign w:val="superscript"/>
        </w:rPr>
        <w:t xml:space="preserve"> </w:t>
      </w:r>
      <w:r w:rsidRPr="0049134F">
        <w:rPr>
          <w:sz w:val="18"/>
          <w:szCs w:val="18"/>
        </w:rPr>
        <w:t>Ibid.</w:t>
      </w:r>
    </w:p>
    <w:p w:rsidR="006B1452" w:rsidRPr="0049134F" w:rsidRDefault="006B1452" w:rsidP="006E2D4E">
      <w:pPr>
        <w:ind w:firstLine="170"/>
        <w:rPr>
          <w:sz w:val="18"/>
          <w:szCs w:val="18"/>
        </w:rPr>
      </w:pPr>
      <w:r w:rsidRPr="0049134F">
        <w:rPr>
          <w:i/>
          <w:sz w:val="18"/>
          <w:szCs w:val="18"/>
          <w:vertAlign w:val="superscript"/>
        </w:rPr>
        <w:t>l</w:t>
      </w:r>
      <w:r w:rsidR="00D91FE7">
        <w:rPr>
          <w:i/>
          <w:sz w:val="18"/>
          <w:szCs w:val="18"/>
          <w:vertAlign w:val="superscript"/>
        </w:rPr>
        <w:t xml:space="preserve"> </w:t>
      </w:r>
      <w:r w:rsidR="00E533B3">
        <w:rPr>
          <w:i/>
          <w:sz w:val="18"/>
          <w:szCs w:val="18"/>
          <w:vertAlign w:val="superscript"/>
        </w:rPr>
        <w:t xml:space="preserve"> </w:t>
      </w:r>
      <w:r w:rsidRPr="0049134F">
        <w:rPr>
          <w:sz w:val="18"/>
          <w:szCs w:val="18"/>
        </w:rPr>
        <w:t xml:space="preserve">La formation sur </w:t>
      </w:r>
      <w:r>
        <w:rPr>
          <w:sz w:val="18"/>
          <w:szCs w:val="18"/>
        </w:rPr>
        <w:t xml:space="preserve">la mise en œuvre du </w:t>
      </w:r>
      <w:r w:rsidRPr="00DC642D">
        <w:rPr>
          <w:sz w:val="18"/>
          <w:szCs w:val="18"/>
        </w:rPr>
        <w:t>système de notification des accidents industriels</w:t>
      </w:r>
      <w:r>
        <w:rPr>
          <w:sz w:val="18"/>
          <w:szCs w:val="18"/>
        </w:rPr>
        <w:t xml:space="preserve"> a été r</w:t>
      </w:r>
      <w:r w:rsidR="00D37DC5">
        <w:rPr>
          <w:sz w:val="18"/>
          <w:szCs w:val="18"/>
        </w:rPr>
        <w:t>éalisée par voie électronique.</w:t>
      </w:r>
    </w:p>
    <w:p w:rsidR="006B1452" w:rsidRPr="00FD70F7" w:rsidRDefault="006B1452" w:rsidP="006E2D4E">
      <w:pPr>
        <w:ind w:firstLine="170"/>
        <w:rPr>
          <w:sz w:val="18"/>
          <w:szCs w:val="18"/>
        </w:rPr>
      </w:pPr>
      <w:r w:rsidRPr="00FD70F7">
        <w:rPr>
          <w:i/>
          <w:sz w:val="18"/>
          <w:szCs w:val="18"/>
          <w:vertAlign w:val="superscript"/>
        </w:rPr>
        <w:t>m</w:t>
      </w:r>
      <w:r w:rsidR="00E533B3">
        <w:rPr>
          <w:i/>
          <w:sz w:val="18"/>
          <w:szCs w:val="18"/>
          <w:vertAlign w:val="superscript"/>
        </w:rPr>
        <w:t xml:space="preserve"> </w:t>
      </w:r>
      <w:r w:rsidR="006E2D4E">
        <w:rPr>
          <w:i/>
          <w:sz w:val="18"/>
          <w:szCs w:val="18"/>
          <w:vertAlign w:val="superscript"/>
        </w:rPr>
        <w:t xml:space="preserve"> </w:t>
      </w:r>
      <w:r w:rsidRPr="00FD70F7">
        <w:rPr>
          <w:sz w:val="18"/>
          <w:szCs w:val="18"/>
        </w:rPr>
        <w:t>En 2018, les activités de renforcement des capacités dans le cadre d</w:t>
      </w:r>
      <w:r>
        <w:rPr>
          <w:sz w:val="18"/>
          <w:szCs w:val="18"/>
        </w:rPr>
        <w:t>’</w:t>
      </w:r>
      <w:r w:rsidRPr="00FD70F7">
        <w:rPr>
          <w:sz w:val="18"/>
          <w:szCs w:val="18"/>
        </w:rPr>
        <w:t xml:space="preserve">un projet en cours seront axées sur les </w:t>
      </w:r>
      <w:r>
        <w:rPr>
          <w:sz w:val="18"/>
          <w:szCs w:val="18"/>
        </w:rPr>
        <w:t xml:space="preserve">États d’Asie centrale qui ne sont pas Parties à la Convention sur les effets transfrontières des accidents industriels. Le programme de travail de la Convention pour 2019-2020 sera déterminé par la Conférence des Parties à sa </w:t>
      </w:r>
      <w:r w:rsidR="00D37DC5">
        <w:rPr>
          <w:sz w:val="18"/>
          <w:szCs w:val="18"/>
        </w:rPr>
        <w:t>dixième réunion (Genève, 4 au 6 décembre 2018).</w:t>
      </w:r>
    </w:p>
    <w:p w:rsidR="006B1452" w:rsidRDefault="006B1452" w:rsidP="006E2D4E">
      <w:pPr>
        <w:ind w:firstLine="170"/>
        <w:rPr>
          <w:sz w:val="18"/>
          <w:szCs w:val="18"/>
          <w:lang w:val="fr-FR"/>
        </w:rPr>
      </w:pPr>
      <w:r w:rsidRPr="0045756E">
        <w:rPr>
          <w:i/>
          <w:sz w:val="18"/>
          <w:szCs w:val="18"/>
          <w:vertAlign w:val="superscript"/>
          <w:lang w:val="fr-FR"/>
        </w:rPr>
        <w:t>n</w:t>
      </w:r>
      <w:r w:rsidR="006E2D4E">
        <w:rPr>
          <w:i/>
          <w:sz w:val="18"/>
          <w:szCs w:val="18"/>
          <w:vertAlign w:val="superscript"/>
          <w:lang w:val="fr-FR"/>
        </w:rPr>
        <w:t xml:space="preserve"> </w:t>
      </w:r>
      <w:r w:rsidR="00E533B3">
        <w:rPr>
          <w:i/>
          <w:sz w:val="18"/>
          <w:szCs w:val="18"/>
          <w:vertAlign w:val="superscript"/>
          <w:lang w:val="fr-FR"/>
        </w:rPr>
        <w:t xml:space="preserve"> </w:t>
      </w:r>
      <w:r w:rsidR="00D37DC5">
        <w:rPr>
          <w:sz w:val="18"/>
          <w:szCs w:val="18"/>
          <w:lang w:val="fr-FR"/>
        </w:rPr>
        <w:t>Ibid.</w:t>
      </w:r>
    </w:p>
    <w:p w:rsidR="005230B7" w:rsidRPr="00A85B10" w:rsidRDefault="00A85B10" w:rsidP="00A85B10">
      <w:pPr>
        <w:pStyle w:val="SingleTxtG"/>
        <w:spacing w:before="240" w:after="0"/>
        <w:jc w:val="center"/>
        <w:rPr>
          <w:u w:val="single"/>
        </w:rPr>
      </w:pPr>
      <w:r>
        <w:rPr>
          <w:u w:val="single"/>
        </w:rPr>
        <w:tab/>
      </w:r>
      <w:r>
        <w:rPr>
          <w:u w:val="single"/>
        </w:rPr>
        <w:tab/>
      </w:r>
      <w:r>
        <w:rPr>
          <w:u w:val="single"/>
        </w:rPr>
        <w:tab/>
      </w:r>
    </w:p>
    <w:sectPr w:rsidR="005230B7" w:rsidRPr="00A85B10" w:rsidSect="004B586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6F2" w:rsidRDefault="00DE76F2" w:rsidP="00F95C08">
      <w:pPr>
        <w:spacing w:line="240" w:lineRule="auto"/>
      </w:pPr>
    </w:p>
  </w:endnote>
  <w:endnote w:type="continuationSeparator" w:id="0">
    <w:p w:rsidR="00DE76F2" w:rsidRPr="00AC3823" w:rsidRDefault="00DE76F2" w:rsidP="00AC3823">
      <w:pPr>
        <w:pStyle w:val="Pieddepage"/>
      </w:pPr>
    </w:p>
  </w:endnote>
  <w:endnote w:type="continuationNotice" w:id="1">
    <w:p w:rsidR="00DE76F2" w:rsidRDefault="00DE76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F2" w:rsidRPr="004B586A" w:rsidRDefault="00DE76F2" w:rsidP="004B586A">
    <w:pPr>
      <w:pStyle w:val="Pieddepage"/>
      <w:tabs>
        <w:tab w:val="right" w:pos="9638"/>
      </w:tabs>
    </w:pPr>
    <w:r w:rsidRPr="004B586A">
      <w:rPr>
        <w:b/>
        <w:sz w:val="18"/>
      </w:rPr>
      <w:fldChar w:fldCharType="begin"/>
    </w:r>
    <w:r w:rsidRPr="004B586A">
      <w:rPr>
        <w:b/>
        <w:sz w:val="18"/>
      </w:rPr>
      <w:instrText xml:space="preserve"> PAGE  \* MERGEFORMAT </w:instrText>
    </w:r>
    <w:r w:rsidRPr="004B586A">
      <w:rPr>
        <w:b/>
        <w:sz w:val="18"/>
      </w:rPr>
      <w:fldChar w:fldCharType="separate"/>
    </w:r>
    <w:r w:rsidR="001A71A2">
      <w:rPr>
        <w:b/>
        <w:noProof/>
        <w:sz w:val="18"/>
      </w:rPr>
      <w:t>2</w:t>
    </w:r>
    <w:r w:rsidRPr="004B586A">
      <w:rPr>
        <w:b/>
        <w:sz w:val="18"/>
      </w:rPr>
      <w:fldChar w:fldCharType="end"/>
    </w:r>
    <w:r>
      <w:rPr>
        <w:b/>
        <w:sz w:val="18"/>
      </w:rPr>
      <w:tab/>
    </w:r>
    <w:r>
      <w:t>GE.17-15376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F2" w:rsidRPr="004B586A" w:rsidRDefault="00DE76F2" w:rsidP="004B586A">
    <w:pPr>
      <w:pStyle w:val="Pieddepage"/>
      <w:tabs>
        <w:tab w:val="right" w:pos="9638"/>
      </w:tabs>
      <w:rPr>
        <w:b/>
        <w:sz w:val="18"/>
      </w:rPr>
    </w:pPr>
    <w:r>
      <w:t>GE.17-15376</w:t>
    </w:r>
    <w:r>
      <w:tab/>
    </w:r>
    <w:r w:rsidRPr="004B586A">
      <w:rPr>
        <w:b/>
        <w:sz w:val="18"/>
      </w:rPr>
      <w:fldChar w:fldCharType="begin"/>
    </w:r>
    <w:r w:rsidRPr="004B586A">
      <w:rPr>
        <w:b/>
        <w:sz w:val="18"/>
      </w:rPr>
      <w:instrText xml:space="preserve"> PAGE  \* MERGEFORMAT </w:instrText>
    </w:r>
    <w:r w:rsidRPr="004B586A">
      <w:rPr>
        <w:b/>
        <w:sz w:val="18"/>
      </w:rPr>
      <w:fldChar w:fldCharType="separate"/>
    </w:r>
    <w:r w:rsidR="001A71A2">
      <w:rPr>
        <w:b/>
        <w:noProof/>
        <w:sz w:val="18"/>
      </w:rPr>
      <w:t>3</w:t>
    </w:r>
    <w:r w:rsidRPr="004B58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F2" w:rsidRPr="004B586A" w:rsidRDefault="00DE76F2" w:rsidP="004B586A">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17-15376  (F)    210917    220917</w:t>
    </w:r>
    <w:r>
      <w:rPr>
        <w:sz w:val="20"/>
      </w:rPr>
      <w:br/>
    </w:r>
    <w:r w:rsidRPr="004B586A">
      <w:rPr>
        <w:rFonts w:ascii="C39T30Lfz" w:hAnsi="C39T30Lfz"/>
        <w:sz w:val="56"/>
      </w:rPr>
      <w:t></w:t>
    </w:r>
    <w:r w:rsidRPr="004B586A">
      <w:rPr>
        <w:rFonts w:ascii="C39T30Lfz" w:hAnsi="C39T30Lfz"/>
        <w:sz w:val="56"/>
      </w:rPr>
      <w:t></w:t>
    </w:r>
    <w:r w:rsidRPr="004B586A">
      <w:rPr>
        <w:rFonts w:ascii="C39T30Lfz" w:hAnsi="C39T30Lfz"/>
        <w:sz w:val="56"/>
      </w:rPr>
      <w:t></w:t>
    </w:r>
    <w:r w:rsidRPr="004B586A">
      <w:rPr>
        <w:rFonts w:ascii="C39T30Lfz" w:hAnsi="C39T30Lfz"/>
        <w:sz w:val="56"/>
      </w:rPr>
      <w:t></w:t>
    </w:r>
    <w:r w:rsidRPr="004B586A">
      <w:rPr>
        <w:rFonts w:ascii="C39T30Lfz" w:hAnsi="C39T30Lfz"/>
        <w:sz w:val="56"/>
      </w:rPr>
      <w:t></w:t>
    </w:r>
    <w:r w:rsidRPr="004B586A">
      <w:rPr>
        <w:rFonts w:ascii="C39T30Lfz" w:hAnsi="C39T30Lfz"/>
        <w:sz w:val="56"/>
      </w:rPr>
      <w:t></w:t>
    </w:r>
    <w:r w:rsidRPr="004B586A">
      <w:rPr>
        <w:rFonts w:ascii="C39T30Lfz" w:hAnsi="C39T30Lfz"/>
        <w:sz w:val="56"/>
      </w:rPr>
      <w:t></w:t>
    </w:r>
    <w:r w:rsidRPr="004B586A">
      <w:rPr>
        <w:rFonts w:ascii="C39T30Lfz" w:hAnsi="C39T30Lfz"/>
        <w:sz w:val="56"/>
      </w:rPr>
      <w:t></w:t>
    </w:r>
    <w:r w:rsidRPr="004B586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CEP/2017/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6F2" w:rsidRPr="00AC3823" w:rsidRDefault="00DE76F2" w:rsidP="00AC3823">
      <w:pPr>
        <w:pStyle w:val="Pieddepage"/>
        <w:tabs>
          <w:tab w:val="right" w:pos="2155"/>
        </w:tabs>
        <w:spacing w:after="80" w:line="240" w:lineRule="atLeast"/>
        <w:ind w:left="680"/>
        <w:rPr>
          <w:u w:val="single"/>
        </w:rPr>
      </w:pPr>
      <w:r>
        <w:rPr>
          <w:u w:val="single"/>
        </w:rPr>
        <w:tab/>
      </w:r>
    </w:p>
  </w:footnote>
  <w:footnote w:type="continuationSeparator" w:id="0">
    <w:p w:rsidR="00DE76F2" w:rsidRPr="00AC3823" w:rsidRDefault="00DE76F2" w:rsidP="00AC3823">
      <w:pPr>
        <w:pStyle w:val="Pieddepage"/>
        <w:tabs>
          <w:tab w:val="right" w:pos="2155"/>
        </w:tabs>
        <w:spacing w:after="80" w:line="240" w:lineRule="atLeast"/>
        <w:ind w:left="680"/>
        <w:rPr>
          <w:u w:val="single"/>
        </w:rPr>
      </w:pPr>
      <w:r>
        <w:rPr>
          <w:u w:val="single"/>
        </w:rPr>
        <w:tab/>
      </w:r>
    </w:p>
  </w:footnote>
  <w:footnote w:type="continuationNotice" w:id="1">
    <w:p w:rsidR="00DE76F2" w:rsidRPr="00AC3823" w:rsidRDefault="00DE76F2">
      <w:pPr>
        <w:spacing w:line="240" w:lineRule="auto"/>
        <w:rPr>
          <w:sz w:val="2"/>
          <w:szCs w:val="2"/>
        </w:rPr>
      </w:pPr>
    </w:p>
  </w:footnote>
  <w:footnote w:id="2">
    <w:p w:rsidR="00DE76F2" w:rsidRPr="000946D9" w:rsidRDefault="00DE76F2" w:rsidP="004B586A">
      <w:pPr>
        <w:pStyle w:val="Notedebasdepage"/>
      </w:pPr>
      <w:r w:rsidRPr="000946D9">
        <w:rPr>
          <w:rStyle w:val="Appelnotedebasdep"/>
        </w:rPr>
        <w:tab/>
      </w:r>
      <w:r w:rsidRPr="000946D9">
        <w:rPr>
          <w:rStyle w:val="Appelnotedebasdep"/>
          <w:sz w:val="20"/>
        </w:rPr>
        <w:t>*</w:t>
      </w:r>
      <w:r w:rsidRPr="000946D9">
        <w:rPr>
          <w:rStyle w:val="Appelnotedebasdep"/>
          <w:sz w:val="20"/>
        </w:rPr>
        <w:tab/>
      </w:r>
      <w:r>
        <w:t>L</w:t>
      </w:r>
      <w:r w:rsidRPr="000946D9">
        <w:t xml:space="preserve">e présent document n’a pas été </w:t>
      </w:r>
      <w:r>
        <w:t>revu par les services d’édition</w:t>
      </w:r>
      <w:r w:rsidRPr="000946D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F2" w:rsidRPr="004B586A" w:rsidRDefault="002433F4">
    <w:pPr>
      <w:pStyle w:val="En-tte"/>
    </w:pPr>
    <w:fldSimple w:instr=" TITLE  \* MERGEFORMAT ">
      <w:r w:rsidR="001A71A2">
        <w:t>ECE/CEP/2017/9</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6F2" w:rsidRPr="004B586A" w:rsidRDefault="002433F4" w:rsidP="004B586A">
    <w:pPr>
      <w:pStyle w:val="En-tte"/>
      <w:jc w:val="right"/>
    </w:pPr>
    <w:fldSimple w:instr=" TITLE  \* MERGEFORMAT ">
      <w:r w:rsidR="001A71A2">
        <w:t>ECE/CEP/2017/9</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68"/>
    <w:rsid w:val="00017F94"/>
    <w:rsid w:val="00023842"/>
    <w:rsid w:val="000334F9"/>
    <w:rsid w:val="0007796D"/>
    <w:rsid w:val="000B7790"/>
    <w:rsid w:val="000D3EE9"/>
    <w:rsid w:val="000F79CA"/>
    <w:rsid w:val="00111F2F"/>
    <w:rsid w:val="00112E8D"/>
    <w:rsid w:val="001131BC"/>
    <w:rsid w:val="001433FD"/>
    <w:rsid w:val="0014365E"/>
    <w:rsid w:val="001541D3"/>
    <w:rsid w:val="00176178"/>
    <w:rsid w:val="001A71A2"/>
    <w:rsid w:val="001C6458"/>
    <w:rsid w:val="001F525A"/>
    <w:rsid w:val="00203A14"/>
    <w:rsid w:val="00223272"/>
    <w:rsid w:val="002433F4"/>
    <w:rsid w:val="0024779E"/>
    <w:rsid w:val="00277A25"/>
    <w:rsid w:val="002832AC"/>
    <w:rsid w:val="00295CCA"/>
    <w:rsid w:val="002D7C93"/>
    <w:rsid w:val="00304B17"/>
    <w:rsid w:val="00441C3B"/>
    <w:rsid w:val="00446B0A"/>
    <w:rsid w:val="00446FE5"/>
    <w:rsid w:val="00452396"/>
    <w:rsid w:val="004B586A"/>
    <w:rsid w:val="004C1B89"/>
    <w:rsid w:val="004E468C"/>
    <w:rsid w:val="00506BE1"/>
    <w:rsid w:val="005230B7"/>
    <w:rsid w:val="005316B0"/>
    <w:rsid w:val="00547FF5"/>
    <w:rsid w:val="005505B7"/>
    <w:rsid w:val="00573BE5"/>
    <w:rsid w:val="00576287"/>
    <w:rsid w:val="00586ED3"/>
    <w:rsid w:val="005912CF"/>
    <w:rsid w:val="00596AA9"/>
    <w:rsid w:val="005F2353"/>
    <w:rsid w:val="00611B82"/>
    <w:rsid w:val="006B1452"/>
    <w:rsid w:val="006E2D4E"/>
    <w:rsid w:val="00706363"/>
    <w:rsid w:val="0071509D"/>
    <w:rsid w:val="0071601D"/>
    <w:rsid w:val="0074674C"/>
    <w:rsid w:val="00781DE2"/>
    <w:rsid w:val="007A62E6"/>
    <w:rsid w:val="0080684C"/>
    <w:rsid w:val="00827616"/>
    <w:rsid w:val="008474E6"/>
    <w:rsid w:val="00867877"/>
    <w:rsid w:val="00871C75"/>
    <w:rsid w:val="008776DC"/>
    <w:rsid w:val="009705C8"/>
    <w:rsid w:val="009C1CF4"/>
    <w:rsid w:val="00A30353"/>
    <w:rsid w:val="00A85B10"/>
    <w:rsid w:val="00A978DD"/>
    <w:rsid w:val="00AA113A"/>
    <w:rsid w:val="00AC3823"/>
    <w:rsid w:val="00AE323C"/>
    <w:rsid w:val="00AF5511"/>
    <w:rsid w:val="00B00181"/>
    <w:rsid w:val="00B00B0D"/>
    <w:rsid w:val="00B765F7"/>
    <w:rsid w:val="00BA0CA9"/>
    <w:rsid w:val="00BE1F06"/>
    <w:rsid w:val="00BF290C"/>
    <w:rsid w:val="00C02897"/>
    <w:rsid w:val="00D331FF"/>
    <w:rsid w:val="00D3439C"/>
    <w:rsid w:val="00D37DC5"/>
    <w:rsid w:val="00D91FE7"/>
    <w:rsid w:val="00DB1831"/>
    <w:rsid w:val="00DD3BFD"/>
    <w:rsid w:val="00DE76F2"/>
    <w:rsid w:val="00DF6678"/>
    <w:rsid w:val="00E34E89"/>
    <w:rsid w:val="00E37820"/>
    <w:rsid w:val="00E533B3"/>
    <w:rsid w:val="00EA6493"/>
    <w:rsid w:val="00EF2E22"/>
    <w:rsid w:val="00F24782"/>
    <w:rsid w:val="00F660DF"/>
    <w:rsid w:val="00F71A68"/>
    <w:rsid w:val="00F95C08"/>
    <w:rsid w:val="00FE485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7AF4F3"/>
  <w15:docId w15:val="{E1EFAAF7-39BC-4094-9B68-52CB0477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5230B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10</Pages>
  <Words>2709</Words>
  <Characters>18693</Characters>
  <Application>Microsoft Office Word</Application>
  <DocSecurity>0</DocSecurity>
  <Lines>2077</Lines>
  <Paragraphs>891</Paragraphs>
  <ScaleCrop>false</ScaleCrop>
  <HeadingPairs>
    <vt:vector size="2" baseType="variant">
      <vt:variant>
        <vt:lpstr>Titre</vt:lpstr>
      </vt:variant>
      <vt:variant>
        <vt:i4>1</vt:i4>
      </vt:variant>
    </vt:vector>
  </HeadingPairs>
  <TitlesOfParts>
    <vt:vector size="1" baseType="lpstr">
      <vt:lpstr>ECE/CEP/2017/9</vt:lpstr>
    </vt:vector>
  </TitlesOfParts>
  <Company>DCM</Company>
  <LinksUpToDate>false</LinksUpToDate>
  <CharactersWithSpaces>20511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ECE/CEP/2017/9</dc:title>
  <dc:subject/>
  <dc:creator>ROY</dc:creator>
  <cp:keywords/>
  <cp:lastModifiedBy>ROY</cp:lastModifiedBy>
  <cp:revision>3</cp:revision>
  <cp:lastPrinted>2017-09-22T15:40:00Z</cp:lastPrinted>
  <dcterms:created xsi:type="dcterms:W3CDTF">2017-09-22T15:40:00Z</dcterms:created>
  <dcterms:modified xsi:type="dcterms:W3CDTF">2017-09-22T15:41:00Z</dcterms:modified>
</cp:coreProperties>
</file>