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113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11382" w:rsidP="00E11382">
            <w:pPr>
              <w:jc w:val="right"/>
            </w:pPr>
            <w:r w:rsidRPr="00E11382">
              <w:rPr>
                <w:sz w:val="40"/>
              </w:rPr>
              <w:t>ECE</w:t>
            </w:r>
            <w:r>
              <w:t>/CEP/2017/8</w:t>
            </w:r>
          </w:p>
        </w:tc>
      </w:tr>
      <w:tr w:rsidR="002D5AAC" w:rsidRPr="0062405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1138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11382" w:rsidRDefault="00E11382" w:rsidP="00E113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September 2017</w:t>
            </w:r>
          </w:p>
          <w:p w:rsidR="00E11382" w:rsidRDefault="00E11382" w:rsidP="00E113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11382" w:rsidRPr="008D53B6" w:rsidRDefault="00E11382" w:rsidP="00E113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7C2E5E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</w:t>
      </w:r>
      <w:bookmarkStart w:id="0" w:name="_GoBack"/>
      <w:bookmarkEnd w:id="0"/>
      <w:r w:rsidRPr="00245892">
        <w:rPr>
          <w:b/>
          <w:sz w:val="28"/>
          <w:szCs w:val="28"/>
        </w:rPr>
        <w:t>еская комиссия</w:t>
      </w:r>
    </w:p>
    <w:p w:rsidR="007C2E5E" w:rsidRPr="007C2E5E" w:rsidRDefault="007C2E5E" w:rsidP="007C2E5E">
      <w:pPr>
        <w:spacing w:after="120"/>
        <w:rPr>
          <w:sz w:val="28"/>
          <w:szCs w:val="28"/>
        </w:rPr>
      </w:pPr>
      <w:r w:rsidRPr="007C2E5E">
        <w:rPr>
          <w:sz w:val="28"/>
          <w:szCs w:val="28"/>
        </w:rPr>
        <w:t>Комитет по экологической политике</w:t>
      </w:r>
    </w:p>
    <w:p w:rsidR="007C2E5E" w:rsidRPr="007C2E5E" w:rsidRDefault="007C2E5E" w:rsidP="007C2E5E">
      <w:pPr>
        <w:rPr>
          <w:b/>
          <w:bCs/>
        </w:rPr>
      </w:pPr>
      <w:r w:rsidRPr="007C2E5E">
        <w:rPr>
          <w:b/>
          <w:bCs/>
        </w:rPr>
        <w:t>Двадцать третья сессия</w:t>
      </w:r>
    </w:p>
    <w:p w:rsidR="007C2E5E" w:rsidRPr="007C2E5E" w:rsidRDefault="007C2E5E" w:rsidP="007C2E5E">
      <w:r w:rsidRPr="007C2E5E">
        <w:t>Женева, 14</w:t>
      </w:r>
      <w:r w:rsidRPr="000330AE">
        <w:t>–</w:t>
      </w:r>
      <w:r w:rsidRPr="007C2E5E">
        <w:t>17 ноября 2017 года</w:t>
      </w:r>
    </w:p>
    <w:p w:rsidR="007C2E5E" w:rsidRPr="007C2E5E" w:rsidRDefault="007C2E5E" w:rsidP="007C2E5E">
      <w:r w:rsidRPr="007C2E5E">
        <w:t>Пункт 9 b) предварительной повестки дня</w:t>
      </w:r>
    </w:p>
    <w:p w:rsidR="007C2E5E" w:rsidRPr="007C2E5E" w:rsidRDefault="007C2E5E" w:rsidP="007C2E5E">
      <w:pPr>
        <w:rPr>
          <w:b/>
          <w:bCs/>
        </w:rPr>
      </w:pPr>
      <w:r w:rsidRPr="007C2E5E">
        <w:rPr>
          <w:b/>
          <w:bCs/>
        </w:rPr>
        <w:t xml:space="preserve">Программа работы Подпрограммы </w:t>
      </w:r>
      <w:r w:rsidRPr="007C2E5E">
        <w:rPr>
          <w:b/>
          <w:bCs/>
        </w:rPr>
        <w:br/>
        <w:t xml:space="preserve">по окружающей среде: оценка результативности </w:t>
      </w:r>
      <w:r w:rsidRPr="007C2E5E">
        <w:rPr>
          <w:b/>
          <w:bCs/>
        </w:rPr>
        <w:br/>
        <w:t xml:space="preserve">Подпрограммы по окружающей среде </w:t>
      </w:r>
      <w:r w:rsidRPr="007C2E5E">
        <w:rPr>
          <w:b/>
          <w:bCs/>
        </w:rPr>
        <w:br/>
      </w:r>
      <w:r>
        <w:rPr>
          <w:b/>
          <w:bCs/>
        </w:rPr>
        <w:t>за 2016</w:t>
      </w:r>
      <w:r w:rsidRPr="007C2E5E">
        <w:rPr>
          <w:b/>
          <w:bCs/>
        </w:rPr>
        <w:t xml:space="preserve">–2017 годы и план оценки </w:t>
      </w:r>
      <w:r w:rsidRPr="007C2E5E">
        <w:rPr>
          <w:b/>
          <w:bCs/>
        </w:rPr>
        <w:br/>
        <w:t>результативности на 2018</w:t>
      </w:r>
      <w:r w:rsidRPr="00582C6D">
        <w:rPr>
          <w:b/>
          <w:bCs/>
        </w:rPr>
        <w:t>–</w:t>
      </w:r>
      <w:r w:rsidRPr="007C2E5E">
        <w:rPr>
          <w:b/>
          <w:bCs/>
        </w:rPr>
        <w:t>2019 годы</w:t>
      </w:r>
    </w:p>
    <w:p w:rsidR="007C2E5E" w:rsidRPr="007C2E5E" w:rsidRDefault="007C2E5E" w:rsidP="007C2E5E">
      <w:pPr>
        <w:pStyle w:val="HChGR"/>
      </w:pPr>
      <w:r w:rsidRPr="007C2E5E">
        <w:tab/>
      </w:r>
      <w:r w:rsidRPr="007C2E5E">
        <w:tab/>
        <w:t>Доклад о выполнении Подпрограммы по окружающей ср</w:t>
      </w:r>
      <w:r>
        <w:t>еде за двухгодичный период 2016</w:t>
      </w:r>
      <w:r w:rsidRPr="007C2E5E">
        <w:t>–2017 годы</w:t>
      </w:r>
    </w:p>
    <w:p w:rsidR="007C2E5E" w:rsidRDefault="007C2E5E" w:rsidP="00582C6D">
      <w:pPr>
        <w:pStyle w:val="H1GR"/>
        <w:rPr>
          <w:b w:val="0"/>
          <w:bCs/>
          <w:sz w:val="20"/>
          <w:lang w:val="en-US"/>
        </w:rPr>
      </w:pPr>
      <w:r w:rsidRPr="007C2E5E">
        <w:tab/>
      </w:r>
      <w:r w:rsidRPr="007C2E5E">
        <w:tab/>
        <w:t>Записка секретариата</w:t>
      </w:r>
      <w:r w:rsidRPr="00582C6D">
        <w:rPr>
          <w:b w:val="0"/>
          <w:bCs/>
          <w:sz w:val="20"/>
        </w:rPr>
        <w:footnoteReference w:customMarkFollows="1" w:id="1"/>
        <w:t>*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582C6D" w:rsidRPr="00582C6D" w:rsidTr="00582C6D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582C6D" w:rsidRPr="00582C6D" w:rsidRDefault="00582C6D" w:rsidP="00582C6D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82C6D">
              <w:rPr>
                <w:rFonts w:cs="Times New Roman"/>
              </w:rPr>
              <w:tab/>
            </w:r>
            <w:r w:rsidRPr="00582C6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82C6D" w:rsidRPr="00582C6D" w:rsidTr="00582C6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82C6D" w:rsidRPr="00582C6D" w:rsidRDefault="00582C6D" w:rsidP="00582C6D">
            <w:pPr>
              <w:pStyle w:val="SingleTxtGR"/>
            </w:pPr>
            <w:r w:rsidRPr="000330AE">
              <w:tab/>
            </w:r>
            <w:r w:rsidRPr="007C2E5E">
              <w:t>На своей двадцатой сессии в 2014 году Комитет по экологической пол</w:t>
            </w:r>
            <w:r w:rsidRPr="007C2E5E">
              <w:t>и</w:t>
            </w:r>
            <w:r w:rsidRPr="007C2E5E">
              <w:t>тике (КЭП) Европейской экономической комиссии (ЕЭК) Организации Объед</w:t>
            </w:r>
            <w:r w:rsidRPr="007C2E5E">
              <w:t>и</w:t>
            </w:r>
            <w:r w:rsidRPr="007C2E5E">
              <w:t>ненных Наций принял решение продолжить двухгодичную оценку результати</w:t>
            </w:r>
            <w:r w:rsidRPr="007C2E5E">
              <w:t>в</w:t>
            </w:r>
            <w:r w:rsidRPr="007C2E5E">
              <w:t>ности Подпрограммы по окружающей среде как минимум в течение еще одного цикла. На своей двадцать первой сессии в 2015 году Комитет утвердил доклад о выполнении Подпрограммы по окружающей среде за двухгоди</w:t>
            </w:r>
            <w:r w:rsidR="00E57B7E">
              <w:t>чный период 2014</w:t>
            </w:r>
            <w:r w:rsidR="00E57B7E" w:rsidRPr="00E57B7E">
              <w:t>–</w:t>
            </w:r>
            <w:r w:rsidRPr="007C2E5E">
              <w:t>2015 годы (ECE/CEP/2015/6) и план оценки результативности Подпр</w:t>
            </w:r>
            <w:r w:rsidRPr="007C2E5E">
              <w:t>о</w:t>
            </w:r>
            <w:r w:rsidRPr="007C2E5E">
              <w:t>граммы по окружающей среде на двухгодичный период 2016–2017 годов (ECE/CEP/2015/5).</w:t>
            </w:r>
          </w:p>
        </w:tc>
      </w:tr>
      <w:tr w:rsidR="00E57B7E" w:rsidRPr="00582C6D" w:rsidTr="00582C6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E57B7E" w:rsidRPr="00E57B7E" w:rsidRDefault="00E57B7E" w:rsidP="00E57B7E">
            <w:pPr>
              <w:pStyle w:val="SingleTxtGR"/>
            </w:pPr>
            <w:r w:rsidRPr="000330AE">
              <w:tab/>
            </w:r>
            <w:r w:rsidRPr="007C2E5E">
              <w:t>На основе этого плана секретариат подготовил оценку результативности Подпрограммы по окружающей среде за 2016–2017 годы для рассмотрения и утверждения Комитетом. Его структура соответствует тематическим блокам, по которым сгруппированы виды деятельности Подпрограммы по окружающей среде.</w:t>
            </w:r>
          </w:p>
        </w:tc>
      </w:tr>
      <w:tr w:rsidR="00E57B7E" w:rsidRPr="00582C6D" w:rsidTr="00582C6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E57B7E" w:rsidRPr="00E57B7E" w:rsidRDefault="00E57B7E" w:rsidP="00E57B7E">
            <w:pPr>
              <w:pStyle w:val="SingleTxtGR"/>
            </w:pPr>
            <w:r w:rsidRPr="000330AE">
              <w:tab/>
            </w:r>
            <w:r w:rsidRPr="007C2E5E">
              <w:t>Комитету будет предложено рассмотреть доклад о выполнении Подпр</w:t>
            </w:r>
            <w:r w:rsidRPr="007C2E5E">
              <w:t>о</w:t>
            </w:r>
            <w:r w:rsidRPr="007C2E5E">
              <w:t>граммы по окружающей среде за двухгодичный период 2016</w:t>
            </w:r>
            <w:r w:rsidRPr="00751EAD">
              <w:t>–</w:t>
            </w:r>
            <w:r w:rsidRPr="007C2E5E">
              <w:t>2017 годов для его будущего утверждения.</w:t>
            </w:r>
          </w:p>
        </w:tc>
      </w:tr>
      <w:tr w:rsidR="00582C6D" w:rsidRPr="00582C6D" w:rsidTr="00582C6D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582C6D" w:rsidRPr="00582C6D" w:rsidRDefault="00582C6D" w:rsidP="00582C6D">
            <w:pPr>
              <w:rPr>
                <w:rFonts w:cs="Times New Roman"/>
              </w:rPr>
            </w:pPr>
          </w:p>
        </w:tc>
      </w:tr>
    </w:tbl>
    <w:p w:rsidR="00582C6D" w:rsidRPr="00582C6D" w:rsidRDefault="00582C6D" w:rsidP="00582C6D">
      <w:pPr>
        <w:rPr>
          <w:lang w:eastAsia="ru-RU"/>
        </w:rPr>
      </w:pPr>
    </w:p>
    <w:p w:rsidR="007C2E5E" w:rsidRPr="007C2E5E" w:rsidRDefault="00751EAD" w:rsidP="00751EAD">
      <w:pPr>
        <w:pStyle w:val="HChGR"/>
      </w:pPr>
      <w:r>
        <w:br w:type="page"/>
      </w:r>
      <w:r w:rsidR="007C2E5E" w:rsidRPr="007C2E5E">
        <w:lastRenderedPageBreak/>
        <w:tab/>
      </w:r>
      <w:r w:rsidR="007C2E5E" w:rsidRPr="007C2E5E">
        <w:tab/>
        <w:t>Введение</w:t>
      </w:r>
    </w:p>
    <w:p w:rsidR="007C2E5E" w:rsidRPr="007C2E5E" w:rsidRDefault="007C2E5E" w:rsidP="007C2E5E">
      <w:pPr>
        <w:pStyle w:val="SingleTxtGR"/>
      </w:pPr>
      <w:r w:rsidRPr="007C2E5E">
        <w:t>1.</w:t>
      </w:r>
      <w:r w:rsidRPr="007C2E5E">
        <w:tab/>
        <w:t>Стратегическими рамками для Подпрограммы по окружающей среде Е</w:t>
      </w:r>
      <w:r w:rsidRPr="007C2E5E">
        <w:t>в</w:t>
      </w:r>
      <w:r w:rsidRPr="007C2E5E">
        <w:t>ропейской экономической комиссии Организации Объединенных Наций (ЕЭК) на период 2016–2017 годов (A/69/6 (Программа 17)</w:t>
      </w:r>
      <w:r w:rsidR="007B5D18">
        <w:t xml:space="preserve"> и </w:t>
      </w:r>
      <w:proofErr w:type="spellStart"/>
      <w:r w:rsidR="007B5D18">
        <w:rPr>
          <w:lang w:val="en-US"/>
        </w:rPr>
        <w:t>Corr</w:t>
      </w:r>
      <w:proofErr w:type="spellEnd"/>
      <w:r w:rsidR="007B5D18" w:rsidRPr="007B5D18">
        <w:t>.1</w:t>
      </w:r>
      <w:r w:rsidRPr="007C2E5E">
        <w:t>) предусмотрены четыре основных ожидаемых достижения. Подпрограмма представит Генерал</w:t>
      </w:r>
      <w:r w:rsidRPr="007C2E5E">
        <w:t>ь</w:t>
      </w:r>
      <w:r w:rsidRPr="007C2E5E">
        <w:t xml:space="preserve">ной Ассамблее Организации Объединенных Наций доклад об их реализации. </w:t>
      </w:r>
    </w:p>
    <w:p w:rsidR="007C2E5E" w:rsidRPr="007C2E5E" w:rsidRDefault="007C2E5E" w:rsidP="007C2E5E">
      <w:pPr>
        <w:pStyle w:val="SingleTxtGR"/>
      </w:pPr>
      <w:r w:rsidRPr="007C2E5E">
        <w:t>2.</w:t>
      </w:r>
      <w:r w:rsidRPr="007C2E5E">
        <w:tab/>
        <w:t>Деятельность по Подпрограмме по окружающей среде на двухгодичный период 2016−2017 годов сгруппирована по тематическим блокам; в отношении каждого из них ниже приводятся ожидаемые достижения и показатели дост</w:t>
      </w:r>
      <w:r w:rsidRPr="007C2E5E">
        <w:t>и</w:t>
      </w:r>
      <w:r w:rsidRPr="007C2E5E">
        <w:t>жения результатов, о которых Подпрограмма докладывает Комитету по экол</w:t>
      </w:r>
      <w:r w:rsidRPr="007C2E5E">
        <w:t>о</w:t>
      </w:r>
      <w:r w:rsidRPr="007C2E5E">
        <w:t xml:space="preserve">гической политике ЕЭК, как изложено ниже. </w:t>
      </w:r>
      <w:r w:rsidR="00845258">
        <w:t>«</w:t>
      </w:r>
      <w:r w:rsidRPr="007C2E5E">
        <w:t>Фактические результаты за</w:t>
      </w:r>
      <w:r w:rsidR="007563B3">
        <w:t xml:space="preserve"> </w:t>
      </w:r>
      <w:r w:rsidRPr="007C2E5E">
        <w:t>2016−2017 годы</w:t>
      </w:r>
      <w:r w:rsidR="00845258">
        <w:t>»</w:t>
      </w:r>
      <w:r w:rsidRPr="007C2E5E">
        <w:t xml:space="preserve"> в целом приводятся по состоянию на 15 августа 2017 года с учетом того, что настоящий документ был подготовлен до завершения отчетн</w:t>
      </w:r>
      <w:r w:rsidRPr="007C2E5E">
        <w:t>о</w:t>
      </w:r>
      <w:r w:rsidRPr="007C2E5E">
        <w:t>го двухгодичного периода.</w:t>
      </w:r>
    </w:p>
    <w:p w:rsidR="007C2E5E" w:rsidRPr="007C2E5E" w:rsidRDefault="007C2E5E" w:rsidP="007563B3">
      <w:pPr>
        <w:pStyle w:val="SingleTxtGR"/>
      </w:pPr>
      <w:r w:rsidRPr="007C2E5E">
        <w:t>3.</w:t>
      </w:r>
      <w:r w:rsidRPr="007C2E5E">
        <w:tab/>
        <w:t>Комитету будет предложено рассмотреть доклад о выполнении Подпр</w:t>
      </w:r>
      <w:r w:rsidRPr="007C2E5E">
        <w:t>о</w:t>
      </w:r>
      <w:r w:rsidRPr="007C2E5E">
        <w:t>граммы по окружающей среде за двухгодичный период 2016</w:t>
      </w:r>
      <w:r w:rsidR="007563B3" w:rsidRPr="007563B3">
        <w:t>–</w:t>
      </w:r>
      <w:r w:rsidRPr="007C2E5E">
        <w:t>2017 годов для его будущего утверждения.</w:t>
      </w:r>
    </w:p>
    <w:p w:rsidR="007C2E5E" w:rsidRPr="007C2E5E" w:rsidRDefault="007C2E5E" w:rsidP="00FF3E65">
      <w:pPr>
        <w:pStyle w:val="HChGR"/>
      </w:pPr>
      <w:r w:rsidRPr="007C2E5E">
        <w:tab/>
      </w:r>
      <w:r w:rsidRPr="007C2E5E">
        <w:tab/>
        <w:t>Тематический блок 1</w:t>
      </w:r>
      <w:proofErr w:type="gramStart"/>
      <w:r w:rsidRPr="007C2E5E">
        <w:t xml:space="preserve"> </w:t>
      </w:r>
      <w:r w:rsidR="007563B3" w:rsidRPr="007563B3">
        <w:br/>
      </w:r>
      <w:r w:rsidRPr="007C2E5E">
        <w:t>Б</w:t>
      </w:r>
      <w:proofErr w:type="gramEnd"/>
      <w:r w:rsidRPr="007C2E5E">
        <w:t>олее эффективное реагирование на экологические проблемы</w:t>
      </w:r>
      <w:r w:rsidRPr="00364F5D">
        <w:rPr>
          <w:rStyle w:val="aa"/>
          <w:b w:val="0"/>
          <w:bCs/>
        </w:rPr>
        <w:footnoteReference w:id="2"/>
      </w:r>
    </w:p>
    <w:p w:rsidR="007C2E5E" w:rsidRPr="007C2E5E" w:rsidRDefault="007C2E5E" w:rsidP="007563B3">
      <w:pPr>
        <w:pStyle w:val="H4GR"/>
      </w:pPr>
      <w:r w:rsidRPr="007C2E5E">
        <w:tab/>
      </w:r>
      <w:r w:rsidRPr="007C2E5E">
        <w:tab/>
        <w:t>Ожидаемое достижение</w:t>
      </w:r>
    </w:p>
    <w:p w:rsidR="007C2E5E" w:rsidRPr="007C2E5E" w:rsidRDefault="007C2E5E" w:rsidP="007C2E5E">
      <w:pPr>
        <w:pStyle w:val="SingleTxtGR"/>
      </w:pPr>
      <w:r w:rsidRPr="007C2E5E">
        <w:t>Более активное реагирование государств – членов ЕЭК на экологические пр</w:t>
      </w:r>
      <w:r w:rsidRPr="007C2E5E">
        <w:t>о</w:t>
      </w:r>
      <w:r w:rsidRPr="007C2E5E">
        <w:t xml:space="preserve">блемы </w:t>
      </w:r>
    </w:p>
    <w:p w:rsidR="007C2E5E" w:rsidRPr="007C2E5E" w:rsidRDefault="007C2E5E" w:rsidP="007563B3">
      <w:pPr>
        <w:pStyle w:val="H4GR"/>
      </w:pPr>
      <w:r w:rsidRPr="007C2E5E">
        <w:tab/>
      </w:r>
      <w:r w:rsidRPr="007C2E5E">
        <w:tab/>
        <w:t>Отчет о достижениях/полученных результатах</w:t>
      </w:r>
    </w:p>
    <w:p w:rsidR="007C2E5E" w:rsidRPr="007C2E5E" w:rsidRDefault="007C2E5E" w:rsidP="007563B3">
      <w:pPr>
        <w:pStyle w:val="SingleTxtGR"/>
      </w:pPr>
      <w:r w:rsidRPr="007C2E5E">
        <w:t>4.</w:t>
      </w:r>
      <w:r w:rsidRPr="007C2E5E">
        <w:tab/>
      </w:r>
      <w:proofErr w:type="gramStart"/>
      <w:r w:rsidRPr="007C2E5E">
        <w:t>Был</w:t>
      </w:r>
      <w:proofErr w:type="gramEnd"/>
      <w:r w:rsidRPr="007C2E5E">
        <w:t xml:space="preserve"> достигнут дальнейший прогресс в обеспечении более эффективного реагирования на экологические проблемы в регионе ЕЭК. В ходе восьмой Ко</w:t>
      </w:r>
      <w:r w:rsidRPr="007C2E5E">
        <w:t>н</w:t>
      </w:r>
      <w:r w:rsidRPr="007C2E5E">
        <w:t xml:space="preserve">ференции министров </w:t>
      </w:r>
      <w:r w:rsidR="00845258">
        <w:t>«</w:t>
      </w:r>
      <w:r w:rsidRPr="007C2E5E">
        <w:t>Окружающая среда для Европы</w:t>
      </w:r>
      <w:r w:rsidR="00845258">
        <w:t>»</w:t>
      </w:r>
      <w:r w:rsidRPr="007C2E5E">
        <w:t xml:space="preserve"> (Батуми, Грузия, июнь 2016 года) были одобрены Панъевропейские стратегические рамки </w:t>
      </w:r>
      <w:proofErr w:type="spellStart"/>
      <w:r w:rsidRPr="007C2E5E">
        <w:t>экологиз</w:t>
      </w:r>
      <w:r w:rsidRPr="007C2E5E">
        <w:t>а</w:t>
      </w:r>
      <w:r w:rsidRPr="007C2E5E">
        <w:t>ции</w:t>
      </w:r>
      <w:proofErr w:type="spellEnd"/>
      <w:r w:rsidRPr="007C2E5E">
        <w:t xml:space="preserve"> экономики (Стратегические рамки) </w:t>
      </w:r>
      <w:r w:rsidR="007563B3" w:rsidRPr="007563B3">
        <w:t>–</w:t>
      </w:r>
      <w:r w:rsidRPr="007C2E5E">
        <w:t xml:space="preserve"> инструмент оказания странам по</w:t>
      </w:r>
      <w:r w:rsidRPr="007C2E5E">
        <w:t>д</w:t>
      </w:r>
      <w:r w:rsidRPr="007C2E5E">
        <w:t xml:space="preserve">держки в их усилиях по переходу к </w:t>
      </w:r>
      <w:r w:rsidR="00845258">
        <w:t>«</w:t>
      </w:r>
      <w:r w:rsidRPr="007C2E5E">
        <w:t>зеленой</w:t>
      </w:r>
      <w:r w:rsidR="00845258">
        <w:t>»</w:t>
      </w:r>
      <w:r w:rsidRPr="007C2E5E">
        <w:t xml:space="preserve"> экономике и достижению целей в области устойчивого развития. С целью введению в действие Стратегических рамок на период до 2030 года министры выступили с Батумской инициативой по </w:t>
      </w:r>
      <w:r w:rsidR="00845258">
        <w:t>«</w:t>
      </w:r>
      <w:r w:rsidRPr="007C2E5E">
        <w:t>зеленой</w:t>
      </w:r>
      <w:r w:rsidR="00845258">
        <w:t>»</w:t>
      </w:r>
      <w:r w:rsidRPr="007C2E5E">
        <w:t xml:space="preserve"> экономике (БИЗ-Э), которая вклю</w:t>
      </w:r>
      <w:r w:rsidR="007563B3">
        <w:t>чает в себя, по состоянию на 15</w:t>
      </w:r>
      <w:r w:rsidR="007563B3">
        <w:rPr>
          <w:lang w:val="en-US"/>
        </w:rPr>
        <w:t> </w:t>
      </w:r>
      <w:r w:rsidRPr="007C2E5E">
        <w:t>августа 2017 года, 117 добровольных обязательств 38 стран и организаций. Кроме того, Конференция одобрила Батумскую инициативу по борьбе за чистый воздух (БАКА), направленную на поддержку стран в их усилиях по повышению качества воздуха и защите здоровья населения и экосистем. По состоянию на 15</w:t>
      </w:r>
      <w:r w:rsidR="007563B3">
        <w:rPr>
          <w:lang w:val="en-US"/>
        </w:rPr>
        <w:t> </w:t>
      </w:r>
      <w:r w:rsidRPr="007C2E5E">
        <w:t>августа 2017 года 31 страна и другие заинтересованные стороны выдвинули 108 инициатив в рамках БАКА, которые направлены на повышение качества воздуха и защиту здоровья населения и экосистем.</w:t>
      </w:r>
    </w:p>
    <w:p w:rsidR="007C2E5E" w:rsidRPr="007C2E5E" w:rsidRDefault="007C2E5E" w:rsidP="007563B3">
      <w:pPr>
        <w:pStyle w:val="H4GR"/>
      </w:pPr>
      <w:r w:rsidRPr="007C2E5E">
        <w:tab/>
      </w:r>
      <w:r w:rsidRPr="007C2E5E">
        <w:tab/>
        <w:t>Извлеченные уроки/области, нуждающиеся в усовершенствовании</w:t>
      </w:r>
    </w:p>
    <w:p w:rsidR="007C2E5E" w:rsidRPr="007C2E5E" w:rsidRDefault="007C2E5E" w:rsidP="007C2E5E">
      <w:pPr>
        <w:pStyle w:val="SingleTxtGR"/>
      </w:pPr>
      <w:r w:rsidRPr="007C2E5E">
        <w:t>5.</w:t>
      </w:r>
      <w:r w:rsidRPr="007C2E5E">
        <w:tab/>
        <w:t>Наличие политической воли, опыта и ресурсов представляют собой те благоприятные условия, которые необходимы странам для присоединения к двум батумским инициативам и выполнения взятых обязательств. Для оказания помощи с учетом существующих потребностей будут определены потребности стран в плане развития потенциала и обмена опытом. В настоящее время опр</w:t>
      </w:r>
      <w:r w:rsidRPr="007C2E5E">
        <w:t>е</w:t>
      </w:r>
      <w:r w:rsidRPr="007C2E5E">
        <w:t xml:space="preserve">деляются имеющие отношение к </w:t>
      </w:r>
      <w:r w:rsidR="00845258">
        <w:t>«</w:t>
      </w:r>
      <w:r w:rsidRPr="007C2E5E">
        <w:t>зеленой</w:t>
      </w:r>
      <w:r w:rsidR="00845258">
        <w:t>»</w:t>
      </w:r>
      <w:r w:rsidRPr="007C2E5E">
        <w:t xml:space="preserve"> экономике мероприятия организ</w:t>
      </w:r>
      <w:r w:rsidRPr="007C2E5E">
        <w:t>а</w:t>
      </w:r>
      <w:r w:rsidRPr="007C2E5E">
        <w:t xml:space="preserve">ций, действующих в регионе, в целях содействия </w:t>
      </w:r>
      <w:proofErr w:type="spellStart"/>
      <w:r w:rsidRPr="007C2E5E">
        <w:t>межучрежденческой</w:t>
      </w:r>
      <w:proofErr w:type="spellEnd"/>
      <w:r w:rsidRPr="007C2E5E">
        <w:t xml:space="preserve"> коорд</w:t>
      </w:r>
      <w:r w:rsidRPr="007C2E5E">
        <w:t>и</w:t>
      </w:r>
      <w:r w:rsidRPr="007C2E5E">
        <w:t>нации, выявления существующих пробелов и поощрения совместной деятел</w:t>
      </w:r>
      <w:r w:rsidRPr="007C2E5E">
        <w:t>ь</w:t>
      </w:r>
      <w:r w:rsidRPr="007C2E5E">
        <w:t>ности.</w:t>
      </w:r>
    </w:p>
    <w:p w:rsidR="007C2E5E" w:rsidRPr="007C2E5E" w:rsidRDefault="007C2E5E" w:rsidP="00845258">
      <w:pPr>
        <w:pStyle w:val="H4GR"/>
      </w:pPr>
      <w:r w:rsidRPr="007C2E5E">
        <w:tab/>
      </w:r>
      <w:r w:rsidRPr="007C2E5E">
        <w:tab/>
        <w:t>Показатель достижения результатов</w:t>
      </w:r>
    </w:p>
    <w:p w:rsidR="007C2E5E" w:rsidRPr="007C2E5E" w:rsidRDefault="007C2E5E" w:rsidP="007C2E5E">
      <w:pPr>
        <w:pStyle w:val="SingleTxtGR"/>
      </w:pPr>
      <w:r w:rsidRPr="007C2E5E">
        <w:t>Число новых мер, принятых государствами – членами ЕЭК в связи с существ</w:t>
      </w:r>
      <w:r w:rsidRPr="007C2E5E">
        <w:t>у</w:t>
      </w:r>
      <w:r w:rsidRPr="007C2E5E">
        <w:t>ющими и возникающими экологическими проблемами</w:t>
      </w:r>
    </w:p>
    <w:p w:rsidR="007C2E5E" w:rsidRPr="007C2E5E" w:rsidRDefault="007C2E5E" w:rsidP="00845258">
      <w:pPr>
        <w:pStyle w:val="H4GR"/>
      </w:pPr>
      <w:r w:rsidRPr="007C2E5E">
        <w:tab/>
      </w:r>
      <w:r w:rsidRPr="007C2E5E">
        <w:tab/>
        <w:t>Итоги измерения результативности</w:t>
      </w:r>
    </w:p>
    <w:p w:rsidR="007C2E5E" w:rsidRPr="007C2E5E" w:rsidRDefault="007C2E5E" w:rsidP="007C2E5E">
      <w:pPr>
        <w:pStyle w:val="SingleTxtGR"/>
      </w:pPr>
      <w:r w:rsidRPr="007C2E5E">
        <w:t>2010–2011 годы: неприменимо</w:t>
      </w:r>
    </w:p>
    <w:p w:rsidR="007C2E5E" w:rsidRPr="007C2E5E" w:rsidRDefault="00845258" w:rsidP="007C2E5E">
      <w:pPr>
        <w:pStyle w:val="SingleTxtGR"/>
      </w:pPr>
      <w:r>
        <w:t>2012–</w:t>
      </w:r>
      <w:r w:rsidR="007C2E5E" w:rsidRPr="007C2E5E">
        <w:t>2013 годы: неприменимо</w:t>
      </w:r>
    </w:p>
    <w:p w:rsidR="007C2E5E" w:rsidRPr="007C2E5E" w:rsidRDefault="00845258" w:rsidP="007C2E5E">
      <w:pPr>
        <w:pStyle w:val="SingleTxtGR"/>
      </w:pPr>
      <w:r>
        <w:t>2014–</w:t>
      </w:r>
      <w:r w:rsidR="007C2E5E" w:rsidRPr="007C2E5E">
        <w:t>2015 годы: неприменимо</w:t>
      </w:r>
    </w:p>
    <w:p w:rsidR="007C2E5E" w:rsidRPr="007C2E5E" w:rsidRDefault="007C2E5E" w:rsidP="007C2E5E">
      <w:pPr>
        <w:pStyle w:val="SingleTxtGR"/>
      </w:pPr>
      <w:r w:rsidRPr="007C2E5E">
        <w:t>Целевой показатель на 2016–2017 годы: 2 меры</w:t>
      </w:r>
    </w:p>
    <w:p w:rsidR="007C2E5E" w:rsidRPr="007C2E5E" w:rsidRDefault="00845258" w:rsidP="00845258">
      <w:pPr>
        <w:pStyle w:val="SingleTxtGR"/>
      </w:pPr>
      <w:r>
        <w:t>Фактические результаты за 2016–</w:t>
      </w:r>
      <w:r w:rsidR="007C2E5E" w:rsidRPr="007C2E5E">
        <w:t>2017 годы (по состоянию на 15 августа 2016</w:t>
      </w:r>
      <w:r>
        <w:t> </w:t>
      </w:r>
      <w:r w:rsidR="007C2E5E" w:rsidRPr="007C2E5E">
        <w:t xml:space="preserve">года): 2 меры, которыми являются Стратегические рамки, осуществляемые на основе Батумской инициативы по </w:t>
      </w:r>
      <w:r>
        <w:t>«</w:t>
      </w:r>
      <w:r w:rsidR="007C2E5E" w:rsidRPr="007C2E5E">
        <w:t>зеленой</w:t>
      </w:r>
      <w:r>
        <w:t>»</w:t>
      </w:r>
      <w:r w:rsidR="007C2E5E" w:rsidRPr="007C2E5E">
        <w:t xml:space="preserve"> экономике, и Батумская иници</w:t>
      </w:r>
      <w:r w:rsidR="007C2E5E" w:rsidRPr="007C2E5E">
        <w:t>а</w:t>
      </w:r>
      <w:r w:rsidR="007C2E5E" w:rsidRPr="007C2E5E">
        <w:t>тива по борьбе за чистый воздух</w:t>
      </w:r>
    </w:p>
    <w:p w:rsidR="007C2E5E" w:rsidRPr="007C2E5E" w:rsidRDefault="007C2E5E" w:rsidP="00FF3E65">
      <w:pPr>
        <w:pStyle w:val="HChGR"/>
      </w:pPr>
      <w:r w:rsidRPr="007C2E5E">
        <w:tab/>
      </w:r>
      <w:r w:rsidRPr="007C2E5E">
        <w:tab/>
        <w:t xml:space="preserve">Тематический блок 2 </w:t>
      </w:r>
      <w:r w:rsidR="00845258">
        <w:br/>
      </w:r>
      <w:r w:rsidRPr="007C2E5E">
        <w:t xml:space="preserve">Деятельность в рамках процесса </w:t>
      </w:r>
      <w:r w:rsidR="00845258">
        <w:t>«</w:t>
      </w:r>
      <w:r w:rsidRPr="007C2E5E">
        <w:t>Окружающая среда для</w:t>
      </w:r>
      <w:r w:rsidR="00845258">
        <w:t> </w:t>
      </w:r>
      <w:r w:rsidRPr="007C2E5E">
        <w:t>Европы</w:t>
      </w:r>
      <w:r w:rsidR="00845258">
        <w:t>»</w:t>
      </w:r>
    </w:p>
    <w:p w:rsidR="007C2E5E" w:rsidRPr="007C2E5E" w:rsidRDefault="007C2E5E" w:rsidP="00845258">
      <w:pPr>
        <w:pStyle w:val="H4GR"/>
      </w:pPr>
      <w:r w:rsidRPr="007C2E5E">
        <w:tab/>
      </w:r>
      <w:r w:rsidRPr="007C2E5E">
        <w:tab/>
        <w:t>Ожидаемое достижение</w:t>
      </w:r>
    </w:p>
    <w:p w:rsidR="007C2E5E" w:rsidRPr="007C2E5E" w:rsidRDefault="007C2E5E" w:rsidP="007C2E5E">
      <w:pPr>
        <w:pStyle w:val="SingleTxtGR"/>
      </w:pPr>
      <w:r w:rsidRPr="007C2E5E">
        <w:t xml:space="preserve">Успешное осуществление реформы процесса </w:t>
      </w:r>
      <w:r w:rsidR="00845258">
        <w:t>«</w:t>
      </w:r>
      <w:r w:rsidRPr="007C2E5E">
        <w:t>Окружающая среда для Европы</w:t>
      </w:r>
      <w:r w:rsidR="00845258">
        <w:t>»</w:t>
      </w:r>
    </w:p>
    <w:p w:rsidR="007C2E5E" w:rsidRPr="007C2E5E" w:rsidRDefault="007C2E5E" w:rsidP="00845258">
      <w:pPr>
        <w:pStyle w:val="H4GR"/>
      </w:pPr>
      <w:r w:rsidRPr="007C2E5E">
        <w:tab/>
      </w:r>
      <w:r w:rsidRPr="007C2E5E">
        <w:tab/>
        <w:t>Отчет о достижениях/полученных результатах</w:t>
      </w:r>
    </w:p>
    <w:p w:rsidR="007C2E5E" w:rsidRPr="007C2E5E" w:rsidRDefault="007C2E5E" w:rsidP="00845258">
      <w:pPr>
        <w:pStyle w:val="SingleTxtGR"/>
      </w:pPr>
      <w:r w:rsidRPr="007C2E5E">
        <w:t>6.</w:t>
      </w:r>
      <w:r w:rsidRPr="007C2E5E">
        <w:tab/>
      </w:r>
      <w:proofErr w:type="gramStart"/>
      <w:r w:rsidRPr="007C2E5E">
        <w:t xml:space="preserve">В соответствии с положениями плана реформы процесса </w:t>
      </w:r>
      <w:r w:rsidR="00845258">
        <w:t>«</w:t>
      </w:r>
      <w:r w:rsidRPr="007C2E5E">
        <w:t>Окружающая среда для Европы</w:t>
      </w:r>
      <w:r w:rsidR="00845258">
        <w:t>»</w:t>
      </w:r>
      <w:r w:rsidRPr="007C2E5E">
        <w:t xml:space="preserve"> Комитет по экологической политике (КЭП), который являе</w:t>
      </w:r>
      <w:r w:rsidRPr="007C2E5E">
        <w:t>т</w:t>
      </w:r>
      <w:r w:rsidRPr="007C2E5E">
        <w:t xml:space="preserve">ся органом, ответственным за процесс подготовки конференций министров </w:t>
      </w:r>
      <w:r w:rsidR="00845258">
        <w:t>«</w:t>
      </w:r>
      <w:r w:rsidRPr="007C2E5E">
        <w:t>Окружающая среда для Европы</w:t>
      </w:r>
      <w:r w:rsidR="00845258">
        <w:t>»</w:t>
      </w:r>
      <w:r w:rsidRPr="007C2E5E">
        <w:t xml:space="preserve">, в период 2016–2017 годов сосредоточил свою работу на организации восьмой Конференции министров </w:t>
      </w:r>
      <w:r w:rsidR="00845258">
        <w:t>«</w:t>
      </w:r>
      <w:r w:rsidRPr="007C2E5E">
        <w:t>Окружающая среда для Европы</w:t>
      </w:r>
      <w:r w:rsidR="00845258">
        <w:t>»</w:t>
      </w:r>
      <w:r w:rsidRPr="007C2E5E">
        <w:t>, проведенной 8–10 июня 2016 года в Батуми, Грузия.</w:t>
      </w:r>
      <w:proofErr w:type="gramEnd"/>
      <w:r w:rsidRPr="007C2E5E">
        <w:t xml:space="preserve"> На</w:t>
      </w:r>
      <w:r w:rsidR="00845258">
        <w:t> </w:t>
      </w:r>
      <w:r w:rsidRPr="007C2E5E">
        <w:t xml:space="preserve">этой конференции были рассмотрены две главные темы: </w:t>
      </w:r>
      <w:r w:rsidR="00845258">
        <w:t>«</w:t>
      </w:r>
      <w:proofErr w:type="spellStart"/>
      <w:r w:rsidRPr="007C2E5E">
        <w:t>Экологизация</w:t>
      </w:r>
      <w:proofErr w:type="spellEnd"/>
      <w:r w:rsidRPr="007C2E5E">
        <w:t xml:space="preserve"> эк</w:t>
      </w:r>
      <w:r w:rsidRPr="007C2E5E">
        <w:t>о</w:t>
      </w:r>
      <w:r w:rsidRPr="007C2E5E">
        <w:t>номики в Панъевропейском регионе</w:t>
      </w:r>
      <w:r w:rsidR="00845258">
        <w:t>»</w:t>
      </w:r>
      <w:r w:rsidRPr="007C2E5E">
        <w:t xml:space="preserve"> и </w:t>
      </w:r>
      <w:r w:rsidR="00845258">
        <w:t>«</w:t>
      </w:r>
      <w:r w:rsidRPr="007C2E5E">
        <w:t>Повышение качества воздуха в интер</w:t>
      </w:r>
      <w:r w:rsidRPr="007C2E5E">
        <w:t>е</w:t>
      </w:r>
      <w:r w:rsidRPr="007C2E5E">
        <w:t>сах улучшения состояния окружающей среды и здоровья человека</w:t>
      </w:r>
      <w:r w:rsidR="00845258">
        <w:t>»</w:t>
      </w:r>
      <w:r w:rsidRPr="007C2E5E">
        <w:t>. В работе конференции приняли участие более 630 официальных делегатов от правител</w:t>
      </w:r>
      <w:r w:rsidRPr="007C2E5E">
        <w:t>ь</w:t>
      </w:r>
      <w:r w:rsidRPr="007C2E5E">
        <w:t>ств 44 стран ЕЭК, международного сообщества, гражданского общества, дел</w:t>
      </w:r>
      <w:r w:rsidRPr="007C2E5E">
        <w:t>о</w:t>
      </w:r>
      <w:r w:rsidRPr="007C2E5E">
        <w:t xml:space="preserve">вых кругов и средств массовой информации, представляющих весь регион ЕЭК. Было зарегистрировано в общей сложности более 700 участников, включая тех, которые приняли участие только в параллельных мероприятиях и выставках. </w:t>
      </w:r>
    </w:p>
    <w:p w:rsidR="007C2E5E" w:rsidRPr="007C2E5E" w:rsidRDefault="007C2E5E" w:rsidP="007C2E5E">
      <w:pPr>
        <w:pStyle w:val="SingleTxtGR"/>
      </w:pPr>
      <w:r w:rsidRPr="007C2E5E">
        <w:t>7.</w:t>
      </w:r>
      <w:r w:rsidRPr="007C2E5E">
        <w:tab/>
        <w:t xml:space="preserve">К числу основных итогов Конференции относятся: Батумская декларация министров; Панъевропейские стратегические рамки </w:t>
      </w:r>
      <w:proofErr w:type="spellStart"/>
      <w:r w:rsidRPr="007C2E5E">
        <w:t>экологизации</w:t>
      </w:r>
      <w:proofErr w:type="spellEnd"/>
      <w:r w:rsidRPr="007C2E5E">
        <w:t xml:space="preserve"> экономики и ее Батумская инициатива по </w:t>
      </w:r>
      <w:r w:rsidR="00845258">
        <w:t>«</w:t>
      </w:r>
      <w:r w:rsidRPr="007C2E5E">
        <w:t>зеленой</w:t>
      </w:r>
      <w:r w:rsidR="00845258">
        <w:t>»</w:t>
      </w:r>
      <w:r w:rsidRPr="007C2E5E">
        <w:t xml:space="preserve"> экономике (БИЗ-Э); Батумская иници</w:t>
      </w:r>
      <w:r w:rsidRPr="007C2E5E">
        <w:t>а</w:t>
      </w:r>
      <w:r w:rsidRPr="007C2E5E">
        <w:t>тива по борьбе за чистый воздух; Батумское заявление министров по образов</w:t>
      </w:r>
      <w:r w:rsidRPr="007C2E5E">
        <w:t>а</w:t>
      </w:r>
      <w:r w:rsidRPr="007C2E5E">
        <w:t xml:space="preserve">нию в интересах устойчивого развития. </w:t>
      </w:r>
    </w:p>
    <w:p w:rsidR="007C2E5E" w:rsidRPr="007C2E5E" w:rsidRDefault="007C2E5E" w:rsidP="007C2E5E">
      <w:pPr>
        <w:pStyle w:val="SingleTxtGR"/>
      </w:pPr>
      <w:r w:rsidRPr="007C2E5E">
        <w:t>8.</w:t>
      </w:r>
      <w:r w:rsidRPr="007C2E5E">
        <w:tab/>
        <w:t xml:space="preserve">Конференция была организована в интерактивном формате, в том числе в виде интерактивных обсуждений в формате </w:t>
      </w:r>
      <w:r w:rsidR="00845258">
        <w:t>«</w:t>
      </w:r>
      <w:r w:rsidRPr="007C2E5E">
        <w:t>ток-шоу</w:t>
      </w:r>
      <w:r w:rsidR="00845258">
        <w:t>»</w:t>
      </w:r>
      <w:r w:rsidRPr="007C2E5E">
        <w:t>, четырех многосторо</w:t>
      </w:r>
      <w:r w:rsidRPr="007C2E5E">
        <w:t>н</w:t>
      </w:r>
      <w:r w:rsidRPr="007C2E5E">
        <w:t xml:space="preserve">них совещаний высокого уровня </w:t>
      </w:r>
      <w:r w:rsidR="00845258">
        <w:t>«</w:t>
      </w:r>
      <w:r w:rsidRPr="007C2E5E">
        <w:t>за круглым столом</w:t>
      </w:r>
      <w:r w:rsidR="00845258">
        <w:t>»</w:t>
      </w:r>
      <w:r w:rsidRPr="007C2E5E">
        <w:t xml:space="preserve"> и дискуссионных фор</w:t>
      </w:r>
      <w:r w:rsidRPr="007C2E5E">
        <w:t>у</w:t>
      </w:r>
      <w:r w:rsidRPr="007C2E5E">
        <w:t>мов. В поддержку многосторонних обсуждений в ходе Конференции и для с</w:t>
      </w:r>
      <w:r w:rsidRPr="007C2E5E">
        <w:t>о</w:t>
      </w:r>
      <w:r w:rsidRPr="007C2E5E">
        <w:t>действия принятию решений основные документы по каждой из двух главных тем были подготовлены ЕЭК совместно с Программой Организации Объед</w:t>
      </w:r>
      <w:r w:rsidRPr="007C2E5E">
        <w:t>и</w:t>
      </w:r>
      <w:r w:rsidRPr="007C2E5E">
        <w:t>ненных Наций по окружающей среде (ЮНЕП) и другими партнерами по пр</w:t>
      </w:r>
      <w:r w:rsidRPr="007C2E5E">
        <w:t>о</w:t>
      </w:r>
      <w:r w:rsidRPr="007C2E5E">
        <w:t xml:space="preserve">цессу </w:t>
      </w:r>
      <w:r w:rsidR="00845258">
        <w:t>«</w:t>
      </w:r>
      <w:r w:rsidRPr="007C2E5E">
        <w:t>Окружающая среда для Европы</w:t>
      </w:r>
      <w:r w:rsidR="00845258">
        <w:t>»</w:t>
      </w:r>
      <w:r w:rsidRPr="007C2E5E">
        <w:t>. Кроме того, ЕЭК и партнеры по пр</w:t>
      </w:r>
      <w:r w:rsidRPr="007C2E5E">
        <w:t>о</w:t>
      </w:r>
      <w:r w:rsidRPr="007C2E5E">
        <w:t xml:space="preserve">цессу </w:t>
      </w:r>
      <w:r w:rsidR="00845258">
        <w:t>«</w:t>
      </w:r>
      <w:r w:rsidRPr="007C2E5E">
        <w:t>Окружающая среда для Европы</w:t>
      </w:r>
      <w:r w:rsidR="00845258">
        <w:t>»</w:t>
      </w:r>
      <w:r w:rsidRPr="007C2E5E">
        <w:t xml:space="preserve"> подготовили ряд ценных информац</w:t>
      </w:r>
      <w:r w:rsidRPr="007C2E5E">
        <w:t>и</w:t>
      </w:r>
      <w:r w:rsidRPr="007C2E5E">
        <w:t>онных документов и 11 информационных бюллетеней, увязывающих деятел</w:t>
      </w:r>
      <w:r w:rsidRPr="007C2E5E">
        <w:t>ь</w:t>
      </w:r>
      <w:r w:rsidRPr="007C2E5E">
        <w:t>ность ЕЭК по окружающей среде с соответствующими целями в области усто</w:t>
      </w:r>
      <w:r w:rsidRPr="007C2E5E">
        <w:t>й</w:t>
      </w:r>
      <w:r w:rsidRPr="007C2E5E">
        <w:t>чивого развития и их целевыми показателями. Батумская конференция пров</w:t>
      </w:r>
      <w:r w:rsidRPr="007C2E5E">
        <w:t>о</w:t>
      </w:r>
      <w:r w:rsidRPr="007C2E5E">
        <w:t>дилась в безбумажном формате.</w:t>
      </w:r>
    </w:p>
    <w:p w:rsidR="007C2E5E" w:rsidRPr="007C2E5E" w:rsidRDefault="007C2E5E" w:rsidP="00845258">
      <w:pPr>
        <w:pStyle w:val="H4GR"/>
      </w:pPr>
      <w:r w:rsidRPr="007C2E5E">
        <w:tab/>
      </w:r>
      <w:r w:rsidRPr="007C2E5E">
        <w:tab/>
        <w:t>Извлеченные уроки/области, нуждающиеся в усовершенствовании</w:t>
      </w:r>
    </w:p>
    <w:p w:rsidR="007C2E5E" w:rsidRPr="007C2E5E" w:rsidRDefault="007C2E5E" w:rsidP="00845258">
      <w:pPr>
        <w:pStyle w:val="SingleTxtGR"/>
      </w:pPr>
      <w:r w:rsidRPr="007C2E5E">
        <w:t>9.</w:t>
      </w:r>
      <w:r w:rsidRPr="007C2E5E">
        <w:tab/>
        <w:t>Уроки, извлеченные в процессе организации Конференции в Батуми, б</w:t>
      </w:r>
      <w:r w:rsidRPr="007C2E5E">
        <w:t>ы</w:t>
      </w:r>
      <w:r w:rsidRPr="007C2E5E">
        <w:t>ли оценены посредством проведения обследования и включены в документ ECE/CEP/2017/17, подготовленный для двадцать третьей сессии Комитета. В</w:t>
      </w:r>
      <w:r w:rsidR="00845258">
        <w:t> </w:t>
      </w:r>
      <w:r w:rsidR="000330AE">
        <w:t>целом</w:t>
      </w:r>
      <w:r w:rsidRPr="007C2E5E">
        <w:t xml:space="preserve"> организация этой конференции была признана успешной. </w:t>
      </w:r>
    </w:p>
    <w:p w:rsidR="007C2E5E" w:rsidRPr="007C2E5E" w:rsidRDefault="007C2E5E" w:rsidP="00845258">
      <w:pPr>
        <w:pStyle w:val="H4GR"/>
      </w:pPr>
      <w:r w:rsidRPr="007C2E5E">
        <w:tab/>
      </w:r>
      <w:r w:rsidRPr="007C2E5E">
        <w:tab/>
        <w:t>Показатель достижения результатов</w:t>
      </w:r>
    </w:p>
    <w:p w:rsidR="007C2E5E" w:rsidRPr="007C2E5E" w:rsidRDefault="007C2E5E" w:rsidP="007C2E5E">
      <w:pPr>
        <w:pStyle w:val="SingleTxtGR"/>
      </w:pPr>
      <w:r w:rsidRPr="007C2E5E">
        <w:t xml:space="preserve">Достижение консенсуса государствами-членами по вопросу о деятельности в рамках процесса </w:t>
      </w:r>
      <w:r w:rsidR="00845258">
        <w:t>«</w:t>
      </w:r>
      <w:r w:rsidRPr="007C2E5E">
        <w:t>Окружающая среда для Европы</w:t>
      </w:r>
      <w:r w:rsidR="00845258">
        <w:t>»</w:t>
      </w:r>
    </w:p>
    <w:p w:rsidR="007C2E5E" w:rsidRPr="007C2E5E" w:rsidRDefault="007C2E5E" w:rsidP="00845258">
      <w:pPr>
        <w:pStyle w:val="H4GR"/>
      </w:pPr>
      <w:r w:rsidRPr="007C2E5E">
        <w:tab/>
      </w:r>
      <w:r w:rsidRPr="007C2E5E">
        <w:tab/>
        <w:t>Итоги измерения результативности</w:t>
      </w:r>
    </w:p>
    <w:p w:rsidR="007C2E5E" w:rsidRPr="007C2E5E" w:rsidRDefault="007C2E5E" w:rsidP="007C2E5E">
      <w:pPr>
        <w:pStyle w:val="SingleTxtGR"/>
      </w:pPr>
      <w:r w:rsidRPr="007C2E5E">
        <w:t xml:space="preserve">2010–2011 годы: </w:t>
      </w:r>
      <w:proofErr w:type="gramStart"/>
      <w:r w:rsidRPr="007C2E5E">
        <w:t>был</w:t>
      </w:r>
      <w:proofErr w:type="gramEnd"/>
      <w:r w:rsidRPr="007C2E5E">
        <w:t xml:space="preserve"> достигнут консенсус в отношении организации и итогов седьмой Конференции министров ОСЕ (Астана, сентябрь 2011 года) </w:t>
      </w:r>
    </w:p>
    <w:p w:rsidR="007C2E5E" w:rsidRPr="007C2E5E" w:rsidRDefault="007C2E5E" w:rsidP="007C2E5E">
      <w:pPr>
        <w:pStyle w:val="SingleTxtGR"/>
      </w:pPr>
      <w:r w:rsidRPr="007C2E5E">
        <w:t xml:space="preserve">2012–2013 годы: </w:t>
      </w:r>
      <w:proofErr w:type="gramStart"/>
      <w:r w:rsidRPr="007C2E5E">
        <w:t>был</w:t>
      </w:r>
      <w:proofErr w:type="gramEnd"/>
      <w:r w:rsidRPr="007C2E5E">
        <w:t xml:space="preserve"> достигнут консенсус по среднесрочному обзору (Женева, октябрь 2013 года)</w:t>
      </w:r>
    </w:p>
    <w:p w:rsidR="007C2E5E" w:rsidRPr="007C2E5E" w:rsidRDefault="007C2E5E" w:rsidP="007C2E5E">
      <w:pPr>
        <w:pStyle w:val="SingleTxtGR"/>
      </w:pPr>
      <w:r w:rsidRPr="007C2E5E">
        <w:t>Фактические результаты за 2014–2015 годы (по состоянию на 31 июля 2015 г</w:t>
      </w:r>
      <w:r w:rsidRPr="007C2E5E">
        <w:t>о</w:t>
      </w:r>
      <w:r w:rsidRPr="007C2E5E">
        <w:t xml:space="preserve">да): </w:t>
      </w:r>
      <w:proofErr w:type="gramStart"/>
      <w:r w:rsidRPr="007C2E5E">
        <w:t>был</w:t>
      </w:r>
      <w:proofErr w:type="gramEnd"/>
      <w:r w:rsidRPr="007C2E5E">
        <w:t xml:space="preserve"> достигнут консенсус в отношении последующих действий в связи со среднесрочным обзором и подготовкой к восьмой Конференции министров </w:t>
      </w:r>
      <w:r w:rsidR="00845258">
        <w:t>«</w:t>
      </w:r>
      <w:r w:rsidRPr="007C2E5E">
        <w:t>Окружающая среда для Европы</w:t>
      </w:r>
      <w:r w:rsidR="00845258">
        <w:t>»</w:t>
      </w:r>
      <w:r w:rsidRPr="007C2E5E">
        <w:t xml:space="preserve"> (Батуми, Грузия, 8–10 июня 2016 года)</w:t>
      </w:r>
    </w:p>
    <w:p w:rsidR="007C2E5E" w:rsidRPr="007C2E5E" w:rsidRDefault="007C2E5E" w:rsidP="007C2E5E">
      <w:pPr>
        <w:pStyle w:val="SingleTxtGR"/>
      </w:pPr>
      <w:r w:rsidRPr="007C2E5E">
        <w:t xml:space="preserve">Целевой показатель на 2016–2017 годы: достижение консенсуса в отношении последующей деятельности по итогам восьмой Конференции министров </w:t>
      </w:r>
      <w:r w:rsidR="00845258">
        <w:t>«</w:t>
      </w:r>
      <w:r w:rsidRPr="007C2E5E">
        <w:t>Окружающая среда для Европы</w:t>
      </w:r>
      <w:r w:rsidR="00845258">
        <w:t>»</w:t>
      </w:r>
      <w:r w:rsidRPr="007C2E5E">
        <w:t xml:space="preserve"> </w:t>
      </w:r>
    </w:p>
    <w:p w:rsidR="007C2E5E" w:rsidRPr="007C2E5E" w:rsidRDefault="0081535D" w:rsidP="00845258">
      <w:pPr>
        <w:pStyle w:val="SingleTxtGR"/>
      </w:pPr>
      <w:r>
        <w:t>Фактические результаты за 2016</w:t>
      </w:r>
      <w:r w:rsidRPr="0081535D">
        <w:t>–</w:t>
      </w:r>
      <w:r w:rsidR="007C2E5E" w:rsidRPr="007C2E5E">
        <w:t>2017 годы (по состоянию на 15 августа 2016</w:t>
      </w:r>
      <w:r w:rsidR="00845258">
        <w:t> </w:t>
      </w:r>
      <w:r w:rsidR="007C2E5E" w:rsidRPr="007C2E5E">
        <w:t xml:space="preserve">года): как ожидается, на двадцать третьей сессии Комитета (Женева, </w:t>
      </w:r>
      <w:r w:rsidR="00845258">
        <w:br/>
      </w:r>
      <w:r w:rsidR="007C2E5E" w:rsidRPr="007C2E5E">
        <w:t>14</w:t>
      </w:r>
      <w:r w:rsidR="00845258">
        <w:t>–</w:t>
      </w:r>
      <w:r w:rsidR="007C2E5E" w:rsidRPr="007C2E5E">
        <w:t xml:space="preserve">17 ноября 2017 года) </w:t>
      </w:r>
      <w:proofErr w:type="gramStart"/>
      <w:r w:rsidR="007C2E5E" w:rsidRPr="007C2E5E">
        <w:t>будет</w:t>
      </w:r>
      <w:proofErr w:type="gramEnd"/>
      <w:r w:rsidR="007C2E5E" w:rsidRPr="007C2E5E">
        <w:t xml:space="preserve"> достигнут консенсус в отношении последующей деятельности по итогам восьмой Конференции министров </w:t>
      </w:r>
      <w:r w:rsidR="00845258">
        <w:t>«</w:t>
      </w:r>
      <w:r w:rsidR="007C2E5E" w:rsidRPr="007C2E5E">
        <w:t>Окружающая среда для Европы</w:t>
      </w:r>
      <w:r w:rsidR="00845258">
        <w:t>»</w:t>
      </w:r>
      <w:r w:rsidR="007C2E5E" w:rsidRPr="007C2E5E">
        <w:t>, в том числе в отношении орга</w:t>
      </w:r>
      <w:r w:rsidR="00845258">
        <w:t>низации среднесрочного обзора</w:t>
      </w:r>
    </w:p>
    <w:p w:rsidR="007C2E5E" w:rsidRPr="007C2E5E" w:rsidRDefault="007C2E5E" w:rsidP="00A67281">
      <w:pPr>
        <w:pStyle w:val="HChGR"/>
      </w:pPr>
      <w:r w:rsidRPr="007C2E5E">
        <w:tab/>
      </w:r>
      <w:r w:rsidRPr="007C2E5E">
        <w:tab/>
        <w:t xml:space="preserve">Тематический блок 3 </w:t>
      </w:r>
      <w:r w:rsidR="00845258">
        <w:br/>
      </w:r>
      <w:r w:rsidRPr="007C2E5E">
        <w:t>Образование в интересах устойчивого развития</w:t>
      </w:r>
    </w:p>
    <w:p w:rsidR="007C2E5E" w:rsidRPr="007C2E5E" w:rsidRDefault="007C2E5E" w:rsidP="00845258">
      <w:pPr>
        <w:pStyle w:val="H4GR"/>
      </w:pPr>
      <w:r w:rsidRPr="007C2E5E">
        <w:tab/>
      </w:r>
      <w:r w:rsidRPr="007C2E5E">
        <w:tab/>
        <w:t>Ожидаемое достижение</w:t>
      </w:r>
    </w:p>
    <w:p w:rsidR="007C2E5E" w:rsidRPr="007C2E5E" w:rsidRDefault="007C2E5E" w:rsidP="007C2E5E">
      <w:pPr>
        <w:pStyle w:val="SingleTxtGR"/>
      </w:pPr>
      <w:r w:rsidRPr="007C2E5E">
        <w:t>Активизация осуществления Стратегии ЕЭК в области образования в интересах устойчивого развития на национальном уровне</w:t>
      </w:r>
    </w:p>
    <w:p w:rsidR="007C2E5E" w:rsidRPr="007C2E5E" w:rsidRDefault="007C2E5E" w:rsidP="00845258">
      <w:pPr>
        <w:pStyle w:val="H4GR"/>
      </w:pPr>
      <w:r w:rsidRPr="007C2E5E">
        <w:tab/>
      </w:r>
      <w:r w:rsidRPr="007C2E5E">
        <w:tab/>
        <w:t>Отчет о достижениях/полученных результатах</w:t>
      </w:r>
    </w:p>
    <w:p w:rsidR="007C2E5E" w:rsidRPr="007C2E5E" w:rsidRDefault="007C2E5E" w:rsidP="00845258">
      <w:pPr>
        <w:pStyle w:val="SingleTxtGR"/>
      </w:pPr>
      <w:r w:rsidRPr="007C2E5E">
        <w:t>10.</w:t>
      </w:r>
      <w:r w:rsidRPr="007C2E5E">
        <w:tab/>
        <w:t>С 2005 года государства</w:t>
      </w:r>
      <w:r w:rsidR="00845258">
        <w:t xml:space="preserve"> – </w:t>
      </w:r>
      <w:r w:rsidRPr="007C2E5E">
        <w:t>члены ЕЭК ведут совместную работу по ос</w:t>
      </w:r>
      <w:r w:rsidRPr="007C2E5E">
        <w:t>у</w:t>
      </w:r>
      <w:r w:rsidRPr="007C2E5E">
        <w:t>ществлению Стратегии ЕЭК ООН для образования в интересах устойчивого развития на период до 2014 года в качестве регионального компонента пров</w:t>
      </w:r>
      <w:r w:rsidRPr="007C2E5E">
        <w:t>е</w:t>
      </w:r>
      <w:r w:rsidRPr="007C2E5E">
        <w:t>дения Десятилетия образования в интересах устойчивого развития Организ</w:t>
      </w:r>
      <w:r w:rsidRPr="007C2E5E">
        <w:t>а</w:t>
      </w:r>
      <w:r w:rsidRPr="007C2E5E">
        <w:t>ции Объединенных Наций (2005</w:t>
      </w:r>
      <w:r w:rsidR="00845258">
        <w:t>–</w:t>
      </w:r>
      <w:r w:rsidRPr="007C2E5E">
        <w:t>2014 годы). Руководящий комитет ЕЭК по о</w:t>
      </w:r>
      <w:r w:rsidRPr="007C2E5E">
        <w:t>б</w:t>
      </w:r>
      <w:r w:rsidRPr="007C2E5E">
        <w:t>разованию в интересах устойчивого развития является межправительственным органом для продвижения образования в интересах устойчивого развития в р</w:t>
      </w:r>
      <w:r w:rsidRPr="007C2E5E">
        <w:t>е</w:t>
      </w:r>
      <w:r w:rsidRPr="007C2E5E">
        <w:t>гионе. ЕЭК является ключевым партнером в рамках Глобальной программы действий в области образования в интересах устойчивого развития, координ</w:t>
      </w:r>
      <w:r w:rsidRPr="007C2E5E">
        <w:t>и</w:t>
      </w:r>
      <w:r w:rsidRPr="007C2E5E">
        <w:t>руемой Организацией Объединенных Наций по вопросам образования, науки и культуры (ЮНЕСКО).</w:t>
      </w:r>
    </w:p>
    <w:p w:rsidR="007C2E5E" w:rsidRPr="007C2E5E" w:rsidRDefault="007C2E5E" w:rsidP="007C2E5E">
      <w:pPr>
        <w:pStyle w:val="SingleTxtGR"/>
      </w:pPr>
      <w:r w:rsidRPr="007C2E5E">
        <w:t>11.</w:t>
      </w:r>
      <w:r w:rsidRPr="007C2E5E">
        <w:tab/>
        <w:t>Руководящий комитет подготовил и представил Батумскому совещанию высокого уровня представителей министерств образования и окружающей ср</w:t>
      </w:r>
      <w:r w:rsidRPr="007C2E5E">
        <w:t>е</w:t>
      </w:r>
      <w:r w:rsidRPr="007C2E5E">
        <w:t xml:space="preserve">ды третий доклад об оценке Стратегии ЕЭК для образования в интересах устойчивого развития </w:t>
      </w:r>
      <w:r w:rsidR="00845258">
        <w:t>«</w:t>
      </w:r>
      <w:r w:rsidRPr="007C2E5E">
        <w:t>Учимся друг у друга: достижения, проблемы и напра</w:t>
      </w:r>
      <w:r w:rsidRPr="007C2E5E">
        <w:t>в</w:t>
      </w:r>
      <w:r w:rsidRPr="007C2E5E">
        <w:t>ления дальнейших действий</w:t>
      </w:r>
      <w:r w:rsidR="00845258">
        <w:t>»</w:t>
      </w:r>
      <w:r w:rsidRPr="007C2E5E">
        <w:t xml:space="preserve"> (ECE/CEP/AC.13/2016/3). Выводы и уроки, извл</w:t>
      </w:r>
      <w:r w:rsidRPr="007C2E5E">
        <w:t>е</w:t>
      </w:r>
      <w:r w:rsidRPr="007C2E5E">
        <w:t xml:space="preserve">ченные из этого доклада, были использованы при подготовке документа </w:t>
      </w:r>
      <w:r w:rsidR="00845258">
        <w:t>«</w:t>
      </w:r>
      <w:r w:rsidRPr="007C2E5E">
        <w:t>Осн</w:t>
      </w:r>
      <w:r w:rsidRPr="007C2E5E">
        <w:t>о</w:t>
      </w:r>
      <w:r w:rsidRPr="007C2E5E">
        <w:t>вы будущего осуществления Стратегии ЕЭК для образования в интересах устойчивого развития</w:t>
      </w:r>
      <w:r w:rsidR="00845258">
        <w:t>»</w:t>
      </w:r>
      <w:r w:rsidRPr="007C2E5E">
        <w:t xml:space="preserve"> (ECE/BATUMI.CONF/2016/11), принятого в Батуми.</w:t>
      </w:r>
    </w:p>
    <w:p w:rsidR="007C2E5E" w:rsidRPr="007C2E5E" w:rsidRDefault="007C2E5E" w:rsidP="00845258">
      <w:pPr>
        <w:pStyle w:val="SingleTxtGR"/>
      </w:pPr>
      <w:r w:rsidRPr="007C2E5E">
        <w:t>12.</w:t>
      </w:r>
      <w:r w:rsidRPr="007C2E5E">
        <w:tab/>
        <w:t xml:space="preserve">Была подготовлена и представлена Батумскому совещанию высокого уровня публикация </w:t>
      </w:r>
      <w:r w:rsidR="00845258">
        <w:t>«</w:t>
      </w:r>
      <w:r w:rsidRPr="007C2E5E">
        <w:t xml:space="preserve">Десять лет осуществления Стратегии ЕЭК для образования в интересах развития </w:t>
      </w:r>
      <w:r w:rsidR="00845258">
        <w:t>–</w:t>
      </w:r>
      <w:r w:rsidRPr="007C2E5E">
        <w:t xml:space="preserve"> Доклад об оценке осуществления Стратегии ЕЭК ООН для образования в интересах устойчивого р</w:t>
      </w:r>
      <w:r w:rsidR="00845258">
        <w:t>азвития в период с 2005 по 2015 </w:t>
      </w:r>
      <w:r w:rsidRPr="007C2E5E">
        <w:t>год</w:t>
      </w:r>
      <w:r w:rsidR="00845258">
        <w:t>»</w:t>
      </w:r>
      <w:r w:rsidRPr="007C2E5E">
        <w:t>. В этом докладе приводится краткая информация о прогрессе, пр</w:t>
      </w:r>
      <w:r w:rsidRPr="007C2E5E">
        <w:t>о</w:t>
      </w:r>
      <w:r w:rsidR="00845258">
        <w:t xml:space="preserve">блемах и достижениях государств – </w:t>
      </w:r>
      <w:r w:rsidRPr="007C2E5E">
        <w:t>членов ЕЭК в период с 2005 по 2015 год в контексте осуществления Стратегии ЕЭК ООН для образования в интересах устойчивого развития.</w:t>
      </w:r>
    </w:p>
    <w:p w:rsidR="007C2E5E" w:rsidRPr="007C2E5E" w:rsidRDefault="007C2E5E" w:rsidP="00A47BEE">
      <w:pPr>
        <w:pStyle w:val="SingleTxtGR"/>
      </w:pPr>
      <w:r w:rsidRPr="007C2E5E">
        <w:t>13.</w:t>
      </w:r>
      <w:r w:rsidRPr="007C2E5E">
        <w:tab/>
        <w:t>Мероприятия по наращиванию потенциала включали учебный практикум по поощрению образования в интересах устойчивого развития, проведенный 25</w:t>
      </w:r>
      <w:r w:rsidR="00A47BEE">
        <w:t> </w:t>
      </w:r>
      <w:r w:rsidRPr="007C2E5E">
        <w:t>и 26 апреля 2016 года в Минске, который был организован в партнерстве с правительством Беларуси при финансовой поддержке швейцарского Госуда</w:t>
      </w:r>
      <w:r w:rsidRPr="007C2E5E">
        <w:t>р</w:t>
      </w:r>
      <w:r w:rsidRPr="007C2E5E">
        <w:t>ственного секретариата по вопросам образования, исследований и инноваций. ЕЭК продолжала осуществлять свою деятельность в рамках партнерских сетей Глобальной программы действий в области образования в интересах устойч</w:t>
      </w:r>
      <w:r w:rsidRPr="007C2E5E">
        <w:t>и</w:t>
      </w:r>
      <w:r w:rsidRPr="007C2E5E">
        <w:t>вого развития.</w:t>
      </w:r>
    </w:p>
    <w:p w:rsidR="007C2E5E" w:rsidRPr="007C2E5E" w:rsidRDefault="007C2E5E" w:rsidP="00A47BEE">
      <w:pPr>
        <w:pStyle w:val="H4GR"/>
      </w:pPr>
      <w:r w:rsidRPr="007C2E5E">
        <w:tab/>
      </w:r>
      <w:r w:rsidRPr="007C2E5E">
        <w:tab/>
        <w:t>Извлеченные уроки/области, нуждающиеся в усовершенствовании</w:t>
      </w:r>
    </w:p>
    <w:p w:rsidR="007C2E5E" w:rsidRPr="007C2E5E" w:rsidRDefault="007C2E5E" w:rsidP="007C2E5E">
      <w:pPr>
        <w:pStyle w:val="SingleTxtGR"/>
      </w:pPr>
      <w:r w:rsidRPr="007C2E5E">
        <w:t>14.</w:t>
      </w:r>
      <w:r w:rsidRPr="007C2E5E">
        <w:tab/>
      </w:r>
      <w:proofErr w:type="gramStart"/>
      <w:r w:rsidRPr="007C2E5E">
        <w:t>Сохраняют свою актуальность следующие основные проблемы в области образования в интересах устойчивого развития в регионе ЕЭК ООН, которые были выявлены в ходе подготовки Батумского совещания высокого уровня: п</w:t>
      </w:r>
      <w:r w:rsidRPr="007C2E5E">
        <w:t>о</w:t>
      </w:r>
      <w:r w:rsidRPr="007C2E5E">
        <w:t>требность в стабильном руководстве и наличие политической воли у ключевых директивных органов; обеспечение структурной реформы систем образования, в частности включение вопросов образования в интересах устойчивого разв</w:t>
      </w:r>
      <w:r w:rsidRPr="007C2E5E">
        <w:t>и</w:t>
      </w:r>
      <w:r w:rsidRPr="007C2E5E">
        <w:t>тия в основные бюджеты;</w:t>
      </w:r>
      <w:proofErr w:type="gramEnd"/>
      <w:r w:rsidRPr="007C2E5E">
        <w:t xml:space="preserve"> подготовка педагогов; укрепление механизмов с</w:t>
      </w:r>
      <w:r w:rsidRPr="007C2E5E">
        <w:t>о</w:t>
      </w:r>
      <w:r w:rsidRPr="007C2E5E">
        <w:t>трудничества и взаимодействия с охватом более широкого круга заинтерес</w:t>
      </w:r>
      <w:r w:rsidRPr="007C2E5E">
        <w:t>о</w:t>
      </w:r>
      <w:r w:rsidRPr="007C2E5E">
        <w:t>ванных сторон; удовлетворение потребности в дополнительных исследованиях, мониторинге и оценке образования в интересах устойчивого развития.</w:t>
      </w:r>
    </w:p>
    <w:p w:rsidR="007C2E5E" w:rsidRPr="007C2E5E" w:rsidRDefault="007C2E5E" w:rsidP="007C2E5E">
      <w:pPr>
        <w:pStyle w:val="SingleTxtGR"/>
      </w:pPr>
      <w:r w:rsidRPr="007C2E5E">
        <w:t>15.</w:t>
      </w:r>
      <w:r w:rsidRPr="007C2E5E">
        <w:tab/>
        <w:t>Отсутствие целевых ресурсов (финансовых, кадровых и т.д.) остается о</w:t>
      </w:r>
      <w:r w:rsidRPr="007C2E5E">
        <w:t>д</w:t>
      </w:r>
      <w:r w:rsidRPr="007C2E5E">
        <w:t>ним из препятствий для реализации концепции образования в интересах усто</w:t>
      </w:r>
      <w:r w:rsidRPr="007C2E5E">
        <w:t>й</w:t>
      </w:r>
      <w:r w:rsidRPr="007C2E5E">
        <w:t xml:space="preserve">чивого </w:t>
      </w:r>
      <w:proofErr w:type="gramStart"/>
      <w:r w:rsidRPr="007C2E5E">
        <w:t>развития</w:t>
      </w:r>
      <w:proofErr w:type="gramEnd"/>
      <w:r w:rsidRPr="007C2E5E">
        <w:t xml:space="preserve"> как на национальном уровне, так и на уровне Руководящего комитета, который не обладает надлежащими средствами для обеспечения ож</w:t>
      </w:r>
      <w:r w:rsidRPr="007C2E5E">
        <w:t>и</w:t>
      </w:r>
      <w:r w:rsidRPr="007C2E5E">
        <w:t xml:space="preserve">даемого объема </w:t>
      </w:r>
      <w:proofErr w:type="spellStart"/>
      <w:r w:rsidRPr="007C2E5E">
        <w:t>секретариатских</w:t>
      </w:r>
      <w:proofErr w:type="spellEnd"/>
      <w:r w:rsidRPr="007C2E5E">
        <w:t xml:space="preserve"> услуг и не в состоянии нанять специального сотрудника. В связи с этим секретариат столкнулся со значительными трудн</w:t>
      </w:r>
      <w:r w:rsidRPr="007C2E5E">
        <w:t>о</w:t>
      </w:r>
      <w:r w:rsidRPr="007C2E5E">
        <w:t>стями в своих усилиях по обеспечению необходимого уровня поддержки, ок</w:t>
      </w:r>
      <w:r w:rsidRPr="007C2E5E">
        <w:t>а</w:t>
      </w:r>
      <w:r w:rsidRPr="007C2E5E">
        <w:t>зываемой Руководящему комитету.</w:t>
      </w:r>
    </w:p>
    <w:p w:rsidR="007C2E5E" w:rsidRPr="007C2E5E" w:rsidRDefault="007C2E5E" w:rsidP="00A47BEE">
      <w:pPr>
        <w:pStyle w:val="H4GR"/>
      </w:pPr>
      <w:r w:rsidRPr="007C2E5E">
        <w:tab/>
      </w:r>
      <w:r w:rsidRPr="007C2E5E">
        <w:tab/>
        <w:t>Показатель достижения результатов</w:t>
      </w:r>
    </w:p>
    <w:p w:rsidR="007C2E5E" w:rsidRPr="007C2E5E" w:rsidRDefault="007C2E5E" w:rsidP="007C2E5E">
      <w:pPr>
        <w:pStyle w:val="SingleTxtGR"/>
      </w:pPr>
      <w:r w:rsidRPr="007C2E5E">
        <w:t>Эффективные меры по осуществлению Стратегии ЕЭК в области образования в интересах устойчивого развития на национальном уровне, оцениваемые на о</w:t>
      </w:r>
      <w:r w:rsidRPr="007C2E5E">
        <w:t>с</w:t>
      </w:r>
      <w:r w:rsidRPr="007C2E5E">
        <w:t xml:space="preserve">нове докладов государств-членов </w:t>
      </w:r>
    </w:p>
    <w:p w:rsidR="007C2E5E" w:rsidRPr="007C2E5E" w:rsidRDefault="007C2E5E" w:rsidP="00A47BEE">
      <w:pPr>
        <w:pStyle w:val="H4GR"/>
      </w:pPr>
      <w:r w:rsidRPr="007C2E5E">
        <w:tab/>
      </w:r>
      <w:r w:rsidRPr="007C2E5E">
        <w:tab/>
        <w:t>Итоги измерения результативности</w:t>
      </w:r>
    </w:p>
    <w:p w:rsidR="007C2E5E" w:rsidRPr="007C2E5E" w:rsidRDefault="007C2E5E" w:rsidP="007C2E5E">
      <w:pPr>
        <w:pStyle w:val="SingleTxtGR"/>
      </w:pPr>
      <w:r w:rsidRPr="007C2E5E">
        <w:t>2010–2011 годы: 36 стран</w:t>
      </w:r>
    </w:p>
    <w:p w:rsidR="007C2E5E" w:rsidRPr="007C2E5E" w:rsidRDefault="007C2E5E" w:rsidP="007C2E5E">
      <w:pPr>
        <w:pStyle w:val="SingleTxtGR"/>
      </w:pPr>
      <w:r w:rsidRPr="007C2E5E">
        <w:t>2012–2013 годы: 42 страны</w:t>
      </w:r>
    </w:p>
    <w:p w:rsidR="007C2E5E" w:rsidRPr="007C2E5E" w:rsidRDefault="00A47BEE" w:rsidP="007C2E5E">
      <w:pPr>
        <w:pStyle w:val="SingleTxtGR"/>
      </w:pPr>
      <w:r>
        <w:t>2014–</w:t>
      </w:r>
      <w:r w:rsidR="007C2E5E" w:rsidRPr="007C2E5E">
        <w:t>2015 годы: 38 стран</w:t>
      </w:r>
    </w:p>
    <w:p w:rsidR="007C2E5E" w:rsidRPr="007C2E5E" w:rsidRDefault="00A47BEE" w:rsidP="007C2E5E">
      <w:pPr>
        <w:pStyle w:val="SingleTxtGR"/>
      </w:pPr>
      <w:r>
        <w:t>Целевой показатель на 2016–</w:t>
      </w:r>
      <w:r w:rsidR="000330AE">
        <w:t>2017 годы: 38 стран</w:t>
      </w:r>
      <w:r w:rsidR="007C2E5E" w:rsidRPr="007C2E5E">
        <w:t xml:space="preserve"> </w:t>
      </w:r>
    </w:p>
    <w:p w:rsidR="007C2E5E" w:rsidRPr="007C2E5E" w:rsidRDefault="007C2E5E" w:rsidP="007C2E5E">
      <w:pPr>
        <w:pStyle w:val="SingleTxtGR"/>
      </w:pPr>
      <w:r w:rsidRPr="007C2E5E">
        <w:t>Фактические результаты за 2016–2017 годы: 16 стран</w:t>
      </w:r>
      <w:r w:rsidRPr="00A47BEE">
        <w:rPr>
          <w:rStyle w:val="aa"/>
        </w:rPr>
        <w:footnoteReference w:id="3"/>
      </w:r>
    </w:p>
    <w:p w:rsidR="007C2E5E" w:rsidRPr="007C2E5E" w:rsidRDefault="007C2E5E" w:rsidP="00A67281">
      <w:pPr>
        <w:pStyle w:val="HChGR"/>
      </w:pPr>
      <w:r w:rsidRPr="007C2E5E">
        <w:tab/>
      </w:r>
      <w:r w:rsidRPr="007C2E5E">
        <w:tab/>
        <w:t xml:space="preserve">Тематический блок 4 </w:t>
      </w:r>
      <w:r w:rsidR="00A47BEE">
        <w:br/>
      </w:r>
      <w:r w:rsidRPr="007C2E5E">
        <w:t>Транспорт, окружающая среда и охрана здоровья</w:t>
      </w:r>
    </w:p>
    <w:p w:rsidR="007C2E5E" w:rsidRPr="007C2E5E" w:rsidRDefault="007C2E5E" w:rsidP="00A47BEE">
      <w:pPr>
        <w:pStyle w:val="H4GR"/>
      </w:pPr>
      <w:r w:rsidRPr="007C2E5E">
        <w:tab/>
      </w:r>
      <w:r w:rsidRPr="007C2E5E">
        <w:tab/>
        <w:t>Ожидаемое достижение</w:t>
      </w:r>
    </w:p>
    <w:p w:rsidR="007C2E5E" w:rsidRPr="007C2E5E" w:rsidRDefault="007C2E5E" w:rsidP="007C2E5E">
      <w:pPr>
        <w:pStyle w:val="SingleTxtGR"/>
      </w:pPr>
      <w:r w:rsidRPr="007C2E5E">
        <w:t>Укрепление интеграции политики в области транспорта, охраны здоровья и окружающей среды на основе обмена опытом и информацией о передовой практике и наращивания потенциала с особым упором на страны Восточной и Юго-Восточной Евр</w:t>
      </w:r>
      <w:r w:rsidR="00A47BEE">
        <w:t>опы, Кавказа и Центральной Азии</w:t>
      </w:r>
      <w:r w:rsidRPr="007C2E5E">
        <w:t xml:space="preserve"> </w:t>
      </w:r>
    </w:p>
    <w:p w:rsidR="007C2E5E" w:rsidRPr="007C2E5E" w:rsidRDefault="007C2E5E" w:rsidP="00A47BEE">
      <w:pPr>
        <w:pStyle w:val="H4GR"/>
      </w:pPr>
      <w:r w:rsidRPr="007C2E5E">
        <w:tab/>
      </w:r>
      <w:r w:rsidRPr="007C2E5E">
        <w:tab/>
        <w:t>Отчет о достижениях/полученных результатах</w:t>
      </w:r>
    </w:p>
    <w:p w:rsidR="007C2E5E" w:rsidRPr="007C2E5E" w:rsidRDefault="007C2E5E" w:rsidP="007C2E5E">
      <w:pPr>
        <w:pStyle w:val="SingleTxtGR"/>
      </w:pPr>
      <w:r w:rsidRPr="007C2E5E">
        <w:t>16.</w:t>
      </w:r>
      <w:r w:rsidRPr="007C2E5E">
        <w:tab/>
        <w:t>Государства-члены продолжали работу по осуществлению пяти приор</w:t>
      </w:r>
      <w:r w:rsidRPr="007C2E5E">
        <w:t>и</w:t>
      </w:r>
      <w:r w:rsidRPr="007C2E5E">
        <w:t xml:space="preserve">тетных целей по транспорту, окружающей среде и охране здоровья (ОПТОСОЗ) и эффективно использовали механизмы реализации ОПТОСОЗ (национальные планы действий по транспорту, окружающей среде и охране здоровья, </w:t>
      </w:r>
      <w:r w:rsidR="00845258">
        <w:t>«</w:t>
      </w:r>
      <w:r w:rsidRPr="007C2E5E">
        <w:t>эстаф</w:t>
      </w:r>
      <w:r w:rsidRPr="007C2E5E">
        <w:t>е</w:t>
      </w:r>
      <w:r w:rsidRPr="007C2E5E">
        <w:t>ты</w:t>
      </w:r>
      <w:r w:rsidR="00845258">
        <w:t>»</w:t>
      </w:r>
      <w:r w:rsidRPr="007C2E5E">
        <w:t xml:space="preserve">, партнерства, Академию). Ниже приводятся следующие основные моменты для каждого механизма осуществления: </w:t>
      </w:r>
    </w:p>
    <w:p w:rsidR="007C2E5E" w:rsidRPr="007C2E5E" w:rsidRDefault="00A47BEE" w:rsidP="007C2E5E">
      <w:pPr>
        <w:pStyle w:val="SingleTxtGR"/>
      </w:pPr>
      <w:r>
        <w:tab/>
      </w:r>
      <w:r w:rsidR="007C2E5E" w:rsidRPr="007C2E5E">
        <w:t>а)</w:t>
      </w:r>
      <w:r w:rsidR="007C2E5E" w:rsidRPr="007C2E5E">
        <w:tab/>
        <w:t>национальные планы действий в области транспорта, здравоохр</w:t>
      </w:r>
      <w:r w:rsidR="007C2E5E" w:rsidRPr="007C2E5E">
        <w:t>а</w:t>
      </w:r>
      <w:r w:rsidR="007C2E5E" w:rsidRPr="007C2E5E">
        <w:t>нения и окружающей среды: организация рабочего совещания по разработке плана действий в Сербии (Белград, 2 марта 2017 года);</w:t>
      </w:r>
    </w:p>
    <w:p w:rsidR="007C2E5E" w:rsidRPr="007C2E5E" w:rsidRDefault="00A47BEE" w:rsidP="00A47BEE">
      <w:pPr>
        <w:pStyle w:val="SingleTxtGR"/>
      </w:pPr>
      <w:r>
        <w:tab/>
      </w:r>
      <w:r w:rsidR="007C2E5E" w:rsidRPr="007C2E5E">
        <w:t>b)</w:t>
      </w:r>
      <w:r w:rsidR="007C2E5E" w:rsidRPr="007C2E5E">
        <w:tab/>
      </w:r>
      <w:r w:rsidR="00845258">
        <w:t>«</w:t>
      </w:r>
      <w:r w:rsidR="007C2E5E" w:rsidRPr="007C2E5E">
        <w:t>эстафеты</w:t>
      </w:r>
      <w:r w:rsidR="00845258">
        <w:t>»</w:t>
      </w:r>
      <w:r w:rsidR="007C2E5E" w:rsidRPr="007C2E5E">
        <w:t>: организация рабочего совещания по транспортным сред</w:t>
      </w:r>
      <w:r>
        <w:t>ствам без мотора (29–</w:t>
      </w:r>
      <w:r w:rsidR="007C2E5E" w:rsidRPr="007C2E5E">
        <w:t>31 мая 2016 года, Петрозаводск, Российская Федер</w:t>
      </w:r>
      <w:r w:rsidR="007C2E5E" w:rsidRPr="007C2E5E">
        <w:t>а</w:t>
      </w:r>
      <w:r w:rsidR="007C2E5E" w:rsidRPr="007C2E5E">
        <w:t>ция); рабочее совещание по снижение з</w:t>
      </w:r>
      <w:r>
        <w:t xml:space="preserve">ависимости от углеводородов </w:t>
      </w:r>
      <w:r w:rsidR="00665846">
        <w:br/>
      </w:r>
      <w:r>
        <w:t>(13–</w:t>
      </w:r>
      <w:r w:rsidR="007C2E5E" w:rsidRPr="007C2E5E">
        <w:t>15</w:t>
      </w:r>
      <w:r>
        <w:t> </w:t>
      </w:r>
      <w:r w:rsidR="007C2E5E" w:rsidRPr="007C2E5E">
        <w:t>июля 2016 года, Вена); рабочее совещание по планированию устойчив</w:t>
      </w:r>
      <w:r w:rsidR="007C2E5E" w:rsidRPr="007C2E5E">
        <w:t>о</w:t>
      </w:r>
      <w:r w:rsidR="007C2E5E" w:rsidRPr="007C2E5E">
        <w:t>го транспорта в крупных городах (Владивосток, Российская Федерация, 12 и 13</w:t>
      </w:r>
      <w:r>
        <w:t> </w:t>
      </w:r>
      <w:r w:rsidR="007C2E5E" w:rsidRPr="007C2E5E">
        <w:t>октября 2016 года);</w:t>
      </w:r>
    </w:p>
    <w:p w:rsidR="007C2E5E" w:rsidRPr="007C2E5E" w:rsidRDefault="00A47BEE" w:rsidP="007C2E5E">
      <w:pPr>
        <w:pStyle w:val="SingleTxtGR"/>
      </w:pPr>
      <w:r>
        <w:tab/>
      </w:r>
      <w:r w:rsidR="007C2E5E" w:rsidRPr="007C2E5E">
        <w:t>с)</w:t>
      </w:r>
      <w:r w:rsidR="007C2E5E" w:rsidRPr="007C2E5E">
        <w:tab/>
        <w:t>партнерства: разработка генерального плана комплексного разв</w:t>
      </w:r>
      <w:r w:rsidR="007C2E5E" w:rsidRPr="007C2E5E">
        <w:t>и</w:t>
      </w:r>
      <w:r w:rsidR="007C2E5E" w:rsidRPr="007C2E5E">
        <w:t xml:space="preserve">тия велосипедного движения; завершение второго этапа работы по созданию рабочих мест в секторе экологически чистого и благоприятного для здоровья транспорта; начало осуществления проекта </w:t>
      </w:r>
      <w:r w:rsidR="00845258">
        <w:t>«</w:t>
      </w:r>
      <w:proofErr w:type="spellStart"/>
      <w:r w:rsidR="007C2E5E" w:rsidRPr="007C2E5E">
        <w:t>Трансдэньюб</w:t>
      </w:r>
      <w:proofErr w:type="spellEnd"/>
      <w:r w:rsidR="007C2E5E" w:rsidRPr="007C2E5E">
        <w:t xml:space="preserve"> </w:t>
      </w:r>
      <w:proofErr w:type="spellStart"/>
      <w:r w:rsidR="007C2E5E" w:rsidRPr="007C2E5E">
        <w:t>перлз</w:t>
      </w:r>
      <w:proofErr w:type="spellEnd"/>
      <w:r w:rsidR="00845258">
        <w:t>»</w:t>
      </w:r>
      <w:r w:rsidR="007C2E5E" w:rsidRPr="007C2E5E">
        <w:t xml:space="preserve"> в интересах поощрения экологически рациональной мобильности в Дунайском районе; </w:t>
      </w:r>
    </w:p>
    <w:p w:rsidR="007C2E5E" w:rsidRPr="007C2E5E" w:rsidRDefault="00A47BEE" w:rsidP="007C2E5E">
      <w:pPr>
        <w:pStyle w:val="SingleTxtGR"/>
      </w:pPr>
      <w:r>
        <w:tab/>
      </w:r>
      <w:proofErr w:type="gramStart"/>
      <w:r w:rsidR="007C2E5E" w:rsidRPr="007C2E5E">
        <w:t>d)</w:t>
      </w:r>
      <w:r w:rsidR="007C2E5E" w:rsidRPr="007C2E5E">
        <w:tab/>
      </w:r>
      <w:r w:rsidR="000330AE" w:rsidRPr="007C2E5E">
        <w:t>академия</w:t>
      </w:r>
      <w:r w:rsidR="007C2E5E" w:rsidRPr="007C2E5E">
        <w:t>: подписание соглашения между французским и росси</w:t>
      </w:r>
      <w:r w:rsidR="007C2E5E" w:rsidRPr="007C2E5E">
        <w:t>й</w:t>
      </w:r>
      <w:r w:rsidR="007C2E5E" w:rsidRPr="007C2E5E">
        <w:t xml:space="preserve">ским университетами в целях организации совместной программы по вопросам устойчивого городского транспорта. </w:t>
      </w:r>
      <w:proofErr w:type="gramEnd"/>
    </w:p>
    <w:p w:rsidR="007C2E5E" w:rsidRPr="007C2E5E" w:rsidRDefault="007C2E5E" w:rsidP="007C2E5E">
      <w:pPr>
        <w:pStyle w:val="SingleTxtGR"/>
      </w:pPr>
      <w:r w:rsidRPr="007C2E5E">
        <w:t>17.</w:t>
      </w:r>
      <w:r w:rsidRPr="007C2E5E">
        <w:tab/>
        <w:t>Осуществление приоритетных целей обсуждалось на четырнадцатой се</w:t>
      </w:r>
      <w:r w:rsidRPr="007C2E5E">
        <w:t>с</w:t>
      </w:r>
      <w:r w:rsidRPr="007C2E5E">
        <w:t xml:space="preserve">сии Руководящего комитета (Женева, ноябрь 2016 года). Пятнадцатая сессия пройдет в ноябре 2017 года и станет началом подготовки к проведению пятого Совещания высокого уровня по транспорту, охране здоровья и окружающей среде (Вена, 2019 год). </w:t>
      </w:r>
    </w:p>
    <w:p w:rsidR="007C2E5E" w:rsidRPr="007C2E5E" w:rsidRDefault="007C2E5E" w:rsidP="007C2E5E">
      <w:pPr>
        <w:pStyle w:val="SingleTxtGR"/>
      </w:pPr>
      <w:r w:rsidRPr="007C2E5E">
        <w:t>18.</w:t>
      </w:r>
      <w:r w:rsidRPr="007C2E5E">
        <w:tab/>
        <w:t>Секретариат изыскал ресурсы для решения технических проблем, с кот</w:t>
      </w:r>
      <w:r w:rsidRPr="007C2E5E">
        <w:t>о</w:t>
      </w:r>
      <w:r w:rsidRPr="007C2E5E">
        <w:t xml:space="preserve">рыми сталкивается Информационный центр, хотя их оказалось недостаточно для найма контент-администратора Информационного центра. </w:t>
      </w:r>
    </w:p>
    <w:p w:rsidR="007C2E5E" w:rsidRPr="007C2E5E" w:rsidRDefault="007C2E5E" w:rsidP="00665846">
      <w:pPr>
        <w:pStyle w:val="H4GR"/>
      </w:pPr>
      <w:r w:rsidRPr="007C2E5E">
        <w:tab/>
      </w:r>
      <w:r w:rsidRPr="007C2E5E">
        <w:tab/>
        <w:t>Извлеченные уроки/области, нуждающиеся в усовершенствовании</w:t>
      </w:r>
    </w:p>
    <w:p w:rsidR="007C2E5E" w:rsidRPr="007C2E5E" w:rsidRDefault="007C2E5E" w:rsidP="007C2E5E">
      <w:pPr>
        <w:pStyle w:val="SingleTxtGR"/>
      </w:pPr>
      <w:r w:rsidRPr="007C2E5E">
        <w:t>19.</w:t>
      </w:r>
      <w:r w:rsidRPr="007C2E5E">
        <w:tab/>
        <w:t>Государства-члены выразили удовлетворение результатами проведенных мероприятий. Несколько государств-членов выразили заинтересованность в поддержке в форме наращивания потенциала и получения учебных материалов. Нынешняя нехватка ресурсов для предоставления запрашиваемой поддержки заинтересованным странам и отсутствие в секретариате сотрудников для ос</w:t>
      </w:r>
      <w:r w:rsidRPr="007C2E5E">
        <w:t>у</w:t>
      </w:r>
      <w:r w:rsidRPr="007C2E5E">
        <w:t>ществления мероприятий по оказанию помощи ограничивает способность се</w:t>
      </w:r>
      <w:r w:rsidRPr="007C2E5E">
        <w:t>к</w:t>
      </w:r>
      <w:r w:rsidRPr="007C2E5E">
        <w:t>ретариата реагировать на по</w:t>
      </w:r>
      <w:r w:rsidR="000330AE">
        <w:t xml:space="preserve">требности стран. </w:t>
      </w:r>
      <w:proofErr w:type="gramStart"/>
      <w:r w:rsidR="000330AE">
        <w:t>В связи с этим</w:t>
      </w:r>
      <w:r w:rsidRPr="007C2E5E">
        <w:t xml:space="preserve"> необходимо пре</w:t>
      </w:r>
      <w:r w:rsidRPr="007C2E5E">
        <w:t>д</w:t>
      </w:r>
      <w:r w:rsidRPr="007C2E5E">
        <w:t>принять дополнительные усилия для увеличения числа государств-членов, предоставляющих внебюджетные ресурсы в финансовой и натуральной формах.</w:t>
      </w:r>
      <w:proofErr w:type="gramEnd"/>
    </w:p>
    <w:p w:rsidR="007C2E5E" w:rsidRPr="007C2E5E" w:rsidRDefault="007C2E5E" w:rsidP="00FF2309">
      <w:pPr>
        <w:pStyle w:val="H4GR"/>
      </w:pPr>
      <w:r w:rsidRPr="007C2E5E">
        <w:tab/>
      </w:r>
      <w:r w:rsidRPr="007C2E5E">
        <w:tab/>
        <w:t>Показатель достижения результатов</w:t>
      </w:r>
    </w:p>
    <w:p w:rsidR="007C2E5E" w:rsidRPr="007C2E5E" w:rsidRDefault="007C2E5E" w:rsidP="007C2E5E">
      <w:pPr>
        <w:pStyle w:val="SingleTxtGR"/>
      </w:pPr>
      <w:r w:rsidRPr="007C2E5E">
        <w:t>Число государств-членов, межправительственных организаций (МПО) и непр</w:t>
      </w:r>
      <w:r w:rsidRPr="007C2E5E">
        <w:t>а</w:t>
      </w:r>
      <w:r w:rsidRPr="007C2E5E">
        <w:t>вительственных организаций (НПО), участвующих в совещаниях Руководящего комитета ОПТОСОЗ и в соответствующих рабочих совещаниях, организуемых под его эгидой</w:t>
      </w:r>
    </w:p>
    <w:p w:rsidR="007C2E5E" w:rsidRPr="007C2E5E" w:rsidRDefault="007C2E5E" w:rsidP="00137D44">
      <w:pPr>
        <w:pStyle w:val="H4GR"/>
      </w:pPr>
      <w:r w:rsidRPr="007C2E5E">
        <w:tab/>
      </w:r>
      <w:r w:rsidRPr="007C2E5E">
        <w:tab/>
        <w:t>Итоги измерения результативности</w:t>
      </w:r>
    </w:p>
    <w:p w:rsidR="007C2E5E" w:rsidRPr="007C2E5E" w:rsidRDefault="007C2E5E" w:rsidP="007C2E5E">
      <w:pPr>
        <w:pStyle w:val="SingleTxtGR"/>
      </w:pPr>
      <w:r w:rsidRPr="007C2E5E">
        <w:t>2010–2011 годы: участие 69 стран и 28 МПО и НПО в пяти основных сессиях, включая 3 рабочих совещания по наращиванию потенциала (</w:t>
      </w:r>
      <w:r w:rsidR="00845258">
        <w:t>«</w:t>
      </w:r>
      <w:r w:rsidRPr="007C2E5E">
        <w:t>эстафеты</w:t>
      </w:r>
      <w:r w:rsidR="00845258">
        <w:t>»</w:t>
      </w:r>
      <w:r w:rsidRPr="007C2E5E">
        <w:t>), пр</w:t>
      </w:r>
      <w:r w:rsidRPr="007C2E5E">
        <w:t>и</w:t>
      </w:r>
      <w:r w:rsidRPr="007C2E5E">
        <w:t>званных содействовать распространению передового опыта, и 2 сессии Руков</w:t>
      </w:r>
      <w:r w:rsidRPr="007C2E5E">
        <w:t>о</w:t>
      </w:r>
      <w:r w:rsidRPr="007C2E5E">
        <w:t>дящего комитета ОПТОСОЗ</w:t>
      </w:r>
    </w:p>
    <w:p w:rsidR="007C2E5E" w:rsidRPr="007C2E5E" w:rsidRDefault="007C2E5E" w:rsidP="007C2E5E">
      <w:pPr>
        <w:pStyle w:val="SingleTxtGR"/>
      </w:pPr>
      <w:r w:rsidRPr="007C2E5E">
        <w:t>2012–2013 годы: участие 62 стран и 31 МПО и НПО в 4 основных совещаниях, включая 2 рабочих совещания по наращиванию потенциала и 2 сессии Руков</w:t>
      </w:r>
      <w:r w:rsidRPr="007C2E5E">
        <w:t>о</w:t>
      </w:r>
      <w:r w:rsidRPr="007C2E5E">
        <w:t xml:space="preserve">дящего комитета ОПТОСОЗ </w:t>
      </w:r>
    </w:p>
    <w:p w:rsidR="007C2E5E" w:rsidRPr="007C2E5E" w:rsidRDefault="007C2E5E" w:rsidP="007C2E5E">
      <w:pPr>
        <w:pStyle w:val="SingleTxtGR"/>
      </w:pPr>
      <w:r w:rsidRPr="007C2E5E">
        <w:t>2014–2015 годы: участие 82 стран и 31 МПО и НПО в 5 основных совещаниях, включая 2 рабочих совещания по наращиванию потенциала, 1 совещание выс</w:t>
      </w:r>
      <w:r w:rsidRPr="007C2E5E">
        <w:t>о</w:t>
      </w:r>
      <w:r w:rsidRPr="007C2E5E">
        <w:t>кого уровня и 2 сессии Руководящего комитета ОПТОСОЗ</w:t>
      </w:r>
    </w:p>
    <w:p w:rsidR="007C2E5E" w:rsidRPr="007C2E5E" w:rsidRDefault="007C2E5E" w:rsidP="00137D44">
      <w:pPr>
        <w:pStyle w:val="SingleTxtGR"/>
      </w:pPr>
      <w:r w:rsidRPr="007C2E5E">
        <w:t>Целевой показатель на 2016–2017 годы: участие 60 стран и 20 МПО и НПО в 6</w:t>
      </w:r>
      <w:r w:rsidR="00137D44">
        <w:t> </w:t>
      </w:r>
      <w:r w:rsidRPr="007C2E5E">
        <w:t>основных совещаниях, включая 4 рабочие совещания по наращиванию поте</w:t>
      </w:r>
      <w:r w:rsidRPr="007C2E5E">
        <w:t>н</w:t>
      </w:r>
      <w:r w:rsidRPr="007C2E5E">
        <w:t xml:space="preserve">циала и 2 сессии Руководящего комитета ОПТОСОЗ </w:t>
      </w:r>
    </w:p>
    <w:p w:rsidR="007C2E5E" w:rsidRPr="007C2E5E" w:rsidRDefault="007C2E5E" w:rsidP="00137D44">
      <w:pPr>
        <w:pStyle w:val="SingleTxtGR"/>
      </w:pPr>
      <w:r w:rsidRPr="007C2E5E">
        <w:t>Фактический результат за 2016–2017 годы (по состоянию на 31 августа 2017 г</w:t>
      </w:r>
      <w:r w:rsidRPr="007C2E5E">
        <w:t>о</w:t>
      </w:r>
      <w:r w:rsidRPr="007C2E5E">
        <w:t>да): участие 60 стран и 43 МПО и НПО в 6 основных совещаниях, включая 5</w:t>
      </w:r>
      <w:r w:rsidR="00137D44">
        <w:t> </w:t>
      </w:r>
      <w:r w:rsidRPr="007C2E5E">
        <w:t>рабочих совещаний по наращиванию потенциала и 1 сессию Руководящего комитета ОПТОСОЗ</w:t>
      </w:r>
      <w:r w:rsidRPr="00A47BEE">
        <w:rPr>
          <w:rStyle w:val="aa"/>
        </w:rPr>
        <w:footnoteReference w:id="4"/>
      </w:r>
    </w:p>
    <w:p w:rsidR="007C2E5E" w:rsidRPr="007C2E5E" w:rsidRDefault="007C2E5E" w:rsidP="003E6ACB">
      <w:pPr>
        <w:pStyle w:val="HChGR"/>
      </w:pPr>
      <w:r w:rsidRPr="007C2E5E">
        <w:tab/>
      </w:r>
      <w:r w:rsidRPr="007C2E5E">
        <w:tab/>
        <w:t>Тематический блок 5</w:t>
      </w:r>
      <w:r w:rsidR="00137D44">
        <w:br/>
      </w:r>
      <w:r w:rsidRPr="007C2E5E">
        <w:t>Конвенция о трансг</w:t>
      </w:r>
      <w:r w:rsidR="003E6ACB">
        <w:t>раничном загрязнении воздуха на</w:t>
      </w:r>
      <w:r w:rsidR="003E6ACB">
        <w:rPr>
          <w:lang w:val="en-US"/>
        </w:rPr>
        <w:t> </w:t>
      </w:r>
      <w:r w:rsidRPr="007C2E5E">
        <w:t>большие расстояния (Конвенция по воздуху)</w:t>
      </w:r>
    </w:p>
    <w:p w:rsidR="007C2E5E" w:rsidRPr="007C2E5E" w:rsidRDefault="007C2E5E" w:rsidP="00137D44">
      <w:pPr>
        <w:pStyle w:val="H4GR"/>
      </w:pPr>
      <w:r w:rsidRPr="007C2E5E">
        <w:tab/>
      </w:r>
      <w:r w:rsidRPr="007C2E5E">
        <w:tab/>
        <w:t>Ожидаемое достижение</w:t>
      </w:r>
    </w:p>
    <w:p w:rsidR="007C2E5E" w:rsidRPr="007C2E5E" w:rsidRDefault="007C2E5E" w:rsidP="0096592B">
      <w:pPr>
        <w:pStyle w:val="SingleTxtGR"/>
      </w:pPr>
      <w:proofErr w:type="gramStart"/>
      <w:r w:rsidRPr="007C2E5E">
        <w:t xml:space="preserve">Увеличение количества стран, ратифицировавших Конвенцию о загрязнении воздуха и </w:t>
      </w:r>
      <w:r w:rsidR="0096592B">
        <w:t>три</w:t>
      </w:r>
      <w:r w:rsidRPr="007C2E5E">
        <w:t xml:space="preserve"> последних протокола к ней (Протокол по тяжелым металлам, Протокол о стойких органических загрязнителях и Протокол о борьбе с подки</w:t>
      </w:r>
      <w:r w:rsidRPr="007C2E5E">
        <w:t>с</w:t>
      </w:r>
      <w:r w:rsidRPr="007C2E5E">
        <w:t xml:space="preserve">лением, </w:t>
      </w:r>
      <w:proofErr w:type="spellStart"/>
      <w:r w:rsidRPr="007C2E5E">
        <w:t>эфтрофикацией</w:t>
      </w:r>
      <w:proofErr w:type="spellEnd"/>
      <w:r w:rsidRPr="007C2E5E">
        <w:t xml:space="preserve"> и приземным озоном (</w:t>
      </w:r>
      <w:proofErr w:type="spellStart"/>
      <w:r w:rsidRPr="007C2E5E">
        <w:t>Гётеборгский</w:t>
      </w:r>
      <w:proofErr w:type="spellEnd"/>
      <w:r w:rsidRPr="007C2E5E">
        <w:t xml:space="preserve"> протокол)), и акт</w:t>
      </w:r>
      <w:r w:rsidRPr="007C2E5E">
        <w:t>и</w:t>
      </w:r>
      <w:r w:rsidRPr="007C2E5E">
        <w:t>визация их осуществления государствами – членами ЕЭК, в частности стран</w:t>
      </w:r>
      <w:r w:rsidRPr="007C2E5E">
        <w:t>а</w:t>
      </w:r>
      <w:r w:rsidRPr="007C2E5E">
        <w:t>ми Восточной и Юго-Восточной Европы, Кавказа и Центральной Азии</w:t>
      </w:r>
      <w:proofErr w:type="gramEnd"/>
    </w:p>
    <w:p w:rsidR="007C2E5E" w:rsidRPr="007C2E5E" w:rsidRDefault="007C2E5E" w:rsidP="00137D44">
      <w:pPr>
        <w:pStyle w:val="H4GR"/>
      </w:pPr>
      <w:r w:rsidRPr="007C2E5E">
        <w:tab/>
      </w:r>
      <w:r w:rsidRPr="007C2E5E">
        <w:tab/>
        <w:t>Отчет о достижениях/полученных результатах</w:t>
      </w:r>
    </w:p>
    <w:p w:rsidR="007C2E5E" w:rsidRPr="007C2E5E" w:rsidRDefault="007C2E5E" w:rsidP="007C2E5E">
      <w:pPr>
        <w:pStyle w:val="SingleTxtGR"/>
      </w:pPr>
      <w:r w:rsidRPr="007C2E5E">
        <w:t>20.</w:t>
      </w:r>
      <w:r w:rsidRPr="007C2E5E">
        <w:tab/>
        <w:t>На своей тридцать четвертой сессии Исполнительный орган по Конве</w:t>
      </w:r>
      <w:r w:rsidRPr="007C2E5E">
        <w:t>н</w:t>
      </w:r>
      <w:r w:rsidRPr="007C2E5E">
        <w:t>ции принял план работы на</w:t>
      </w:r>
      <w:r w:rsidR="00137D44">
        <w:t xml:space="preserve"> 2016–</w:t>
      </w:r>
      <w:r w:rsidRPr="007C2E5E">
        <w:t>2017 годы (ECE/EB.AIR/133/Add.1), который включает раздел, посвященный укреплению потенциала и повышению осв</w:t>
      </w:r>
      <w:r w:rsidRPr="007C2E5E">
        <w:t>е</w:t>
      </w:r>
      <w:r w:rsidRPr="007C2E5E">
        <w:t>домленности в странах Восточной Европы, Кавказа и Центральной Азии. С</w:t>
      </w:r>
      <w:r w:rsidRPr="007C2E5E">
        <w:t>о</w:t>
      </w:r>
      <w:r w:rsidRPr="007C2E5E">
        <w:t>гласно этому плану работы секретариат организовал рабочие совещания по в</w:t>
      </w:r>
      <w:r w:rsidRPr="007C2E5E">
        <w:t>о</w:t>
      </w:r>
      <w:r w:rsidRPr="007C2E5E">
        <w:t xml:space="preserve">просам дальнейшего </w:t>
      </w:r>
      <w:proofErr w:type="gramStart"/>
      <w:r w:rsidRPr="007C2E5E">
        <w:t>совершенствования кадастров выбросов загрязнителей воздуха</w:t>
      </w:r>
      <w:proofErr w:type="gramEnd"/>
      <w:r w:rsidRPr="007C2E5E">
        <w:t xml:space="preserve"> и представлению данных в Армении, Грузии, Казахстане и Кыргы</w:t>
      </w:r>
      <w:r w:rsidRPr="007C2E5E">
        <w:t>з</w:t>
      </w:r>
      <w:r w:rsidRPr="007C2E5E">
        <w:t xml:space="preserve">стане. </w:t>
      </w:r>
    </w:p>
    <w:p w:rsidR="007C2E5E" w:rsidRPr="007C2E5E" w:rsidRDefault="007C2E5E" w:rsidP="007C2E5E">
      <w:pPr>
        <w:pStyle w:val="SingleTxtGR"/>
      </w:pPr>
      <w:r w:rsidRPr="007C2E5E">
        <w:t>21.</w:t>
      </w:r>
      <w:r w:rsidRPr="007C2E5E">
        <w:tab/>
        <w:t>Помимо этого, секретариат обеспечил проведение анализа национальной политики и законодательства в области оценки и регулирования качества возд</w:t>
      </w:r>
      <w:r w:rsidRPr="007C2E5E">
        <w:t>у</w:t>
      </w:r>
      <w:r w:rsidRPr="007C2E5E">
        <w:t>ха в Казахстане и Кыргызстане, выявив пробелы в плане соблюдения требов</w:t>
      </w:r>
      <w:r w:rsidRPr="007C2E5E">
        <w:t>а</w:t>
      </w:r>
      <w:r w:rsidRPr="007C2E5E">
        <w:t>ний Конвенции и вынеся рекомендации относительно дальнейших шагов для ратификации Конвенции и ключевых протоколов к ней. На субрегиональном уровне секретариат совместно провел рабочее совещание по наилучшим им</w:t>
      </w:r>
      <w:r w:rsidRPr="007C2E5E">
        <w:t>е</w:t>
      </w:r>
      <w:r w:rsidRPr="007C2E5E">
        <w:t xml:space="preserve">ющимся методам сокращения выбросов и рабочее совещание по теме </w:t>
      </w:r>
      <w:r w:rsidR="00845258">
        <w:t>«</w:t>
      </w:r>
      <w:r w:rsidRPr="007C2E5E">
        <w:t>Получи право на здоровое сообщество</w:t>
      </w:r>
      <w:r w:rsidR="00845258">
        <w:t>»</w:t>
      </w:r>
      <w:r w:rsidRPr="007C2E5E">
        <w:t xml:space="preserve"> с целью пояснить синергизм в процессе сбора данных в соответствии с Протоколом о регистрах выбросов и переноса загря</w:t>
      </w:r>
      <w:r w:rsidRPr="007C2E5E">
        <w:t>з</w:t>
      </w:r>
      <w:r w:rsidRPr="007C2E5E">
        <w:t xml:space="preserve">нителей (Протокол о РВПЗ). Кроме того, секретариат продолжал поддерживать участие целевых стран в деятельности в рамках Конвенции. </w:t>
      </w:r>
    </w:p>
    <w:p w:rsidR="007C2E5E" w:rsidRPr="007C2E5E" w:rsidRDefault="007C2E5E" w:rsidP="007C2E5E">
      <w:pPr>
        <w:pStyle w:val="SingleTxtGR"/>
      </w:pPr>
      <w:r w:rsidRPr="007C2E5E">
        <w:t>22.</w:t>
      </w:r>
      <w:r w:rsidRPr="007C2E5E">
        <w:tab/>
      </w:r>
      <w:proofErr w:type="gramStart"/>
      <w:r w:rsidRPr="007C2E5E">
        <w:t>Промежуточные результаты осуществления программы по оказанию п</w:t>
      </w:r>
      <w:r w:rsidRPr="007C2E5E">
        <w:t>о</w:t>
      </w:r>
      <w:r w:rsidRPr="007C2E5E">
        <w:t>мощи, находящейся в ведении секретариата и направленной на наращивание потенциала и повышение информированности в странах Восточной Европы, Кавказа и Центральной Азии, включают следующее: присоединение Республ</w:t>
      </w:r>
      <w:r w:rsidRPr="007C2E5E">
        <w:t>и</w:t>
      </w:r>
      <w:r w:rsidRPr="007C2E5E">
        <w:t>ки Молдова к Протоколу о долгосрочном финансировании Совместной пр</w:t>
      </w:r>
      <w:r w:rsidRPr="007C2E5E">
        <w:t>о</w:t>
      </w:r>
      <w:r w:rsidRPr="007C2E5E">
        <w:t>граммы наблюдения и оценки распространения загрязнителей воздуха на бол</w:t>
      </w:r>
      <w:r w:rsidRPr="007C2E5E">
        <w:t>ь</w:t>
      </w:r>
      <w:r w:rsidRPr="007C2E5E">
        <w:t>шие расстояния в Европе (ЕМЕП) в 2016 году;</w:t>
      </w:r>
      <w:proofErr w:type="gramEnd"/>
      <w:r w:rsidRPr="007C2E5E">
        <w:t xml:space="preserve"> улучшение обмена информацией между странами Восточной Европы, Кавказа и Центральной Азии и расшир</w:t>
      </w:r>
      <w:r w:rsidRPr="007C2E5E">
        <w:t>е</w:t>
      </w:r>
      <w:r w:rsidRPr="007C2E5E">
        <w:t>ние их участия; улучшение отдельными Сторонами отчетности по Конвенции.</w:t>
      </w:r>
    </w:p>
    <w:p w:rsidR="007C2E5E" w:rsidRPr="007C2E5E" w:rsidRDefault="007C2E5E" w:rsidP="007C2E5E">
      <w:pPr>
        <w:pStyle w:val="SingleTxtGR"/>
      </w:pPr>
      <w:r w:rsidRPr="007C2E5E">
        <w:t>23.</w:t>
      </w:r>
      <w:r w:rsidRPr="007C2E5E">
        <w:tab/>
        <w:t>Работа в рамках Конвенции по-прежнему была направлена в первую оч</w:t>
      </w:r>
      <w:r w:rsidRPr="007C2E5E">
        <w:t>е</w:t>
      </w:r>
      <w:r w:rsidRPr="007C2E5E">
        <w:t xml:space="preserve">редь на обновление, пересмотр и подготовку соответствующих руководящих документов. </w:t>
      </w:r>
      <w:proofErr w:type="gramStart"/>
      <w:r w:rsidRPr="007C2E5E">
        <w:t>Так, Целевая группа по технико-экономическим вопросам обнов</w:t>
      </w:r>
      <w:r w:rsidRPr="007C2E5E">
        <w:t>и</w:t>
      </w:r>
      <w:r w:rsidRPr="007C2E5E">
        <w:t>ла руководящий документ по методам ограничения выбросов из отдельных м</w:t>
      </w:r>
      <w:r w:rsidRPr="007C2E5E">
        <w:t>о</w:t>
      </w:r>
      <w:r w:rsidRPr="007C2E5E">
        <w:t>бильных источников 1999 года (EB.AIR/1999/2) для оказания Сторонам соде</w:t>
      </w:r>
      <w:r w:rsidRPr="007C2E5E">
        <w:t>й</w:t>
      </w:r>
      <w:r w:rsidRPr="007C2E5E">
        <w:t xml:space="preserve">ствия в выполнении ими обязательств по </w:t>
      </w:r>
      <w:proofErr w:type="spellStart"/>
      <w:r w:rsidRPr="007C2E5E">
        <w:t>Гётеборгскому</w:t>
      </w:r>
      <w:proofErr w:type="spellEnd"/>
      <w:r w:rsidRPr="007C2E5E">
        <w:t xml:space="preserve"> протоколу с внесе</w:t>
      </w:r>
      <w:r w:rsidRPr="007C2E5E">
        <w:t>н</w:t>
      </w:r>
      <w:r w:rsidRPr="007C2E5E">
        <w:t>ными в него поправками посредством выявления оптимальных вариантов бор</w:t>
      </w:r>
      <w:r w:rsidRPr="007C2E5E">
        <w:t>ь</w:t>
      </w:r>
      <w:r w:rsidRPr="007C2E5E">
        <w:t>бы с выбросами из мобильных источников с акцентом на наилучшие имеющи</w:t>
      </w:r>
      <w:r w:rsidRPr="007C2E5E">
        <w:t>е</w:t>
      </w:r>
      <w:r w:rsidRPr="007C2E5E">
        <w:t>ся методы (ECE/EB.AIR/138).</w:t>
      </w:r>
      <w:proofErr w:type="gramEnd"/>
      <w:r w:rsidRPr="007C2E5E">
        <w:t xml:space="preserve"> </w:t>
      </w:r>
      <w:proofErr w:type="gramStart"/>
      <w:r w:rsidRPr="007C2E5E">
        <w:t xml:space="preserve">В 2016 году Руководящий орган ЕМЕП и Рабочая группа по воздействию подготовили и приняли документ </w:t>
      </w:r>
      <w:r w:rsidR="00845258">
        <w:t>«</w:t>
      </w:r>
      <w:r w:rsidRPr="007C2E5E">
        <w:t>Путь к чистому во</w:t>
      </w:r>
      <w:r w:rsidRPr="007C2E5E">
        <w:t>з</w:t>
      </w:r>
      <w:r w:rsidRPr="007C2E5E">
        <w:t>духу: доклад о результатах научной оценки 2016 года</w:t>
      </w:r>
      <w:r w:rsidR="00845258">
        <w:t>»</w:t>
      </w:r>
      <w:r w:rsidRPr="007C2E5E">
        <w:t xml:space="preserve"> (ECE/EB.AIR/2016/3), содержащий описание эффективности мер по борьбе с загрязнением воздуха, оценку достижений в рамках Конвенции и служащий основой для рассмотрения новых направлений политики в области развития.</w:t>
      </w:r>
      <w:proofErr w:type="gramEnd"/>
      <w:r w:rsidRPr="007C2E5E">
        <w:t xml:space="preserve"> Исполнительный орган с</w:t>
      </w:r>
      <w:r w:rsidRPr="007C2E5E">
        <w:t>о</w:t>
      </w:r>
      <w:r w:rsidRPr="007C2E5E">
        <w:t>здал Специальную группу экспертов для разработки мер политического реаг</w:t>
      </w:r>
      <w:r w:rsidRPr="007C2E5E">
        <w:t>и</w:t>
      </w:r>
      <w:r w:rsidRPr="007C2E5E">
        <w:t>рования на этот доклад об оценке. Исполнительный орган рассмотрит рекоме</w:t>
      </w:r>
      <w:r w:rsidRPr="007C2E5E">
        <w:t>н</w:t>
      </w:r>
      <w:r w:rsidRPr="007C2E5E">
        <w:t>дации, подготовленные этой группой экспертов, на своей предстоящей трид</w:t>
      </w:r>
      <w:r w:rsidR="00137D44">
        <w:t>цать седьмой сессии (Женева, 11–</w:t>
      </w:r>
      <w:r w:rsidRPr="007C2E5E">
        <w:t>14 декабря 2017 года).</w:t>
      </w:r>
    </w:p>
    <w:p w:rsidR="007C2E5E" w:rsidRPr="007C2E5E" w:rsidRDefault="007C2E5E" w:rsidP="0096592B">
      <w:pPr>
        <w:pStyle w:val="SingleTxtGR"/>
      </w:pPr>
      <w:r w:rsidRPr="007C2E5E">
        <w:t>24.</w:t>
      </w:r>
      <w:r w:rsidRPr="007C2E5E">
        <w:tab/>
        <w:t>В Долгосрочной стратегии для Конвенции (ECE/EB.AIR/106/Add.1, р</w:t>
      </w:r>
      <w:r w:rsidRPr="007C2E5E">
        <w:t>е</w:t>
      </w:r>
      <w:r w:rsidRPr="007C2E5E">
        <w:t>шение 2010/18, приложение), принятой в 2010 году, содержится призыв к укреплению информационно-пропагандистской деятельности совместно с м</w:t>
      </w:r>
      <w:r w:rsidRPr="007C2E5E">
        <w:t>е</w:t>
      </w:r>
      <w:r w:rsidRPr="007C2E5E">
        <w:t>ханизмами ряда соответствующих конвенций и другими международными о</w:t>
      </w:r>
      <w:r w:rsidRPr="007C2E5E">
        <w:t>р</w:t>
      </w:r>
      <w:r w:rsidRPr="007C2E5E">
        <w:t>ганами, занимающимися вопрос</w:t>
      </w:r>
      <w:r w:rsidR="00137D44">
        <w:t>ами загрязнения воздуха. В 2016–</w:t>
      </w:r>
      <w:r w:rsidRPr="007C2E5E">
        <w:t>2017 год</w:t>
      </w:r>
      <w:r w:rsidR="0096592B">
        <w:t>ах</w:t>
      </w:r>
      <w:r w:rsidRPr="007C2E5E">
        <w:t xml:space="preserve"> дальнейшее развитие получило сотрудничество с рядом организаций, </w:t>
      </w:r>
      <w:proofErr w:type="gramStart"/>
      <w:r w:rsidRPr="007C2E5E">
        <w:t>такими</w:t>
      </w:r>
      <w:proofErr w:type="gramEnd"/>
      <w:r w:rsidRPr="007C2E5E">
        <w:t xml:space="preserve"> как ЮНЕП, Всемирная организация здравоохранения, коалиция </w:t>
      </w:r>
      <w:r w:rsidR="00845258">
        <w:t>«</w:t>
      </w:r>
      <w:r w:rsidRPr="007C2E5E">
        <w:t>Климат и ч</w:t>
      </w:r>
      <w:r w:rsidRPr="007C2E5E">
        <w:t>и</w:t>
      </w:r>
      <w:r w:rsidRPr="007C2E5E">
        <w:t>стый воздух</w:t>
      </w:r>
      <w:r w:rsidR="00845258">
        <w:t>»</w:t>
      </w:r>
      <w:r w:rsidRPr="007C2E5E">
        <w:t xml:space="preserve"> и Арктический совет (ECE/EB.AIR/2016/2). </w:t>
      </w:r>
    </w:p>
    <w:p w:rsidR="007C2E5E" w:rsidRPr="007C2E5E" w:rsidRDefault="007C2E5E" w:rsidP="00137D44">
      <w:pPr>
        <w:pStyle w:val="H4GR"/>
      </w:pPr>
      <w:r w:rsidRPr="007C2E5E">
        <w:tab/>
      </w:r>
      <w:r w:rsidRPr="007C2E5E">
        <w:tab/>
        <w:t>Извлеченные уроки/области, нуждающиеся в усовершенствовании</w:t>
      </w:r>
    </w:p>
    <w:p w:rsidR="007C2E5E" w:rsidRPr="007C2E5E" w:rsidRDefault="007C2E5E" w:rsidP="007C2E5E">
      <w:pPr>
        <w:pStyle w:val="SingleTxtGR"/>
      </w:pPr>
      <w:r w:rsidRPr="007C2E5E">
        <w:t>25.</w:t>
      </w:r>
      <w:r w:rsidRPr="007C2E5E">
        <w:tab/>
        <w:t>В Долгосрочной стратегии для Конвенции определены сохраняющиеся проблемы и стратегические приоритеты дальнейшей работы. К их числу, в частности, относятся следующие области, нуждающиеся в усовершенствов</w:t>
      </w:r>
      <w:r w:rsidRPr="007C2E5E">
        <w:t>а</w:t>
      </w:r>
      <w:r w:rsidRPr="007C2E5E">
        <w:t>нии:</w:t>
      </w:r>
    </w:p>
    <w:p w:rsidR="007C2E5E" w:rsidRPr="007C2E5E" w:rsidRDefault="00137D44" w:rsidP="007C2E5E">
      <w:pPr>
        <w:pStyle w:val="SingleTxtGR"/>
      </w:pPr>
      <w:r>
        <w:tab/>
      </w:r>
      <w:r w:rsidR="007C2E5E" w:rsidRPr="007C2E5E">
        <w:t>а)</w:t>
      </w:r>
      <w:r w:rsidR="007C2E5E" w:rsidRPr="007C2E5E">
        <w:tab/>
        <w:t xml:space="preserve">увеличение числа ратификаций и активизация сопутствующего осуществления трех последних протоколов имеет особо </w:t>
      </w:r>
      <w:proofErr w:type="gramStart"/>
      <w:r w:rsidR="007C2E5E" w:rsidRPr="007C2E5E">
        <w:t>важное значение</w:t>
      </w:r>
      <w:proofErr w:type="gramEnd"/>
      <w:r w:rsidR="007C2E5E" w:rsidRPr="007C2E5E">
        <w:t xml:space="preserve"> для стран Восточной и Юго-Восточной Европы, Кавказа и Центральной Азии. Этой приоритетной задаче будет уделяться повышенное внимание в ходе пересмотра указанных протоколов или внесения в них поправок. Для содействия более масштабной ратификации и осуществления протоколов в этих странах будут предприниматься энергичные меры и действия, включая финансовую поддер</w:t>
      </w:r>
      <w:r w:rsidR="007C2E5E" w:rsidRPr="007C2E5E">
        <w:t>ж</w:t>
      </w:r>
      <w:r w:rsidR="007C2E5E" w:rsidRPr="007C2E5E">
        <w:t>ку;</w:t>
      </w:r>
    </w:p>
    <w:p w:rsidR="007C2E5E" w:rsidRPr="007C2E5E" w:rsidRDefault="00137D44" w:rsidP="007C2E5E">
      <w:pPr>
        <w:pStyle w:val="SingleTxtGR"/>
      </w:pPr>
      <w:r>
        <w:tab/>
      </w:r>
      <w:r w:rsidR="007C2E5E" w:rsidRPr="007C2E5E">
        <w:t>b)</w:t>
      </w:r>
      <w:r w:rsidR="007C2E5E" w:rsidRPr="007C2E5E">
        <w:tab/>
        <w:t>Стороны признали необходимость регулярного пересмотра перв</w:t>
      </w:r>
      <w:r w:rsidR="007C2E5E" w:rsidRPr="007C2E5E">
        <w:t>о</w:t>
      </w:r>
      <w:r w:rsidR="007C2E5E" w:rsidRPr="007C2E5E">
        <w:t>очередных задач своей работы и деятельности в рамках Конвенции с учетом новых приоритетов и уже достигнутого прогресса, а также в свете более шир</w:t>
      </w:r>
      <w:r w:rsidR="007C2E5E" w:rsidRPr="007C2E5E">
        <w:t>о</w:t>
      </w:r>
      <w:r w:rsidR="007C2E5E" w:rsidRPr="007C2E5E">
        <w:t>ких политических изменений регионального и глобального масштаба. Это п</w:t>
      </w:r>
      <w:r w:rsidR="007C2E5E" w:rsidRPr="007C2E5E">
        <w:t>о</w:t>
      </w:r>
      <w:r w:rsidR="007C2E5E" w:rsidRPr="007C2E5E">
        <w:t>требует внесения изменений в соотношение видов деятельности в рамках Ко</w:t>
      </w:r>
      <w:r w:rsidR="007C2E5E" w:rsidRPr="007C2E5E">
        <w:t>н</w:t>
      </w:r>
      <w:r w:rsidR="007C2E5E" w:rsidRPr="007C2E5E">
        <w:t>венции; может также потребоваться сокращение масштабов работы или даже ее прекращение по какому-то определенному направлению, если она уже не см</w:t>
      </w:r>
      <w:r w:rsidR="007C2E5E" w:rsidRPr="007C2E5E">
        <w:t>о</w:t>
      </w:r>
      <w:r w:rsidR="007C2E5E" w:rsidRPr="007C2E5E">
        <w:t>жет приносить никакой ощутимой пользы, наряду с созданием возможностей в отношении других актуальных вопросов, возникших в последнее время;</w:t>
      </w:r>
    </w:p>
    <w:p w:rsidR="007C2E5E" w:rsidRPr="007C2E5E" w:rsidRDefault="00137D44" w:rsidP="007C2E5E">
      <w:pPr>
        <w:pStyle w:val="SingleTxtGR"/>
      </w:pPr>
      <w:r>
        <w:tab/>
      </w:r>
      <w:r w:rsidR="007C2E5E" w:rsidRPr="007C2E5E">
        <w:t>с)</w:t>
      </w:r>
      <w:r w:rsidR="007C2E5E" w:rsidRPr="007C2E5E">
        <w:tab/>
        <w:t>наличие стабильного и предсказуемого финансирования Сторонами необходимо будет для обеспечения преемственности научной деятельности, не охватываемой Протоколом о ЕМЕП, а также наращивания потенциала, инфо</w:t>
      </w:r>
      <w:r w:rsidR="007C2E5E" w:rsidRPr="007C2E5E">
        <w:t>р</w:t>
      </w:r>
      <w:r w:rsidR="007C2E5E" w:rsidRPr="007C2E5E">
        <w:t>мационно-пропагандистской и коммуникационной деятельности.</w:t>
      </w:r>
    </w:p>
    <w:p w:rsidR="007C2E5E" w:rsidRPr="007C2E5E" w:rsidRDefault="007C2E5E" w:rsidP="00137D44">
      <w:pPr>
        <w:pStyle w:val="H4GR"/>
      </w:pPr>
      <w:r w:rsidRPr="007C2E5E">
        <w:tab/>
      </w:r>
      <w:r w:rsidRPr="007C2E5E">
        <w:tab/>
        <w:t>Показатели достижения результатов</w:t>
      </w:r>
    </w:p>
    <w:p w:rsidR="007C2E5E" w:rsidRPr="007C2E5E" w:rsidRDefault="007C2E5E" w:rsidP="007C2E5E">
      <w:pPr>
        <w:pStyle w:val="SingleTxtGR"/>
      </w:pPr>
      <w:r w:rsidRPr="007C2E5E">
        <w:t>Показатели прогресса в осуществлении Конвенции и трех последних проток</w:t>
      </w:r>
      <w:r w:rsidRPr="007C2E5E">
        <w:t>о</w:t>
      </w:r>
      <w:r w:rsidRPr="007C2E5E">
        <w:t>лов к ней в следующих областях приводятся ниже:</w:t>
      </w:r>
    </w:p>
    <w:p w:rsidR="007C2E5E" w:rsidRPr="007C2E5E" w:rsidRDefault="00137D44" w:rsidP="007C2E5E">
      <w:pPr>
        <w:pStyle w:val="SingleTxtGR"/>
      </w:pPr>
      <w:r>
        <w:tab/>
      </w:r>
      <w:r w:rsidR="007C2E5E" w:rsidRPr="007C2E5E">
        <w:t>а)</w:t>
      </w:r>
      <w:r w:rsidR="007C2E5E" w:rsidRPr="007C2E5E">
        <w:tab/>
        <w:t>количество докладов о выполнении обязательств по сокращению выбросов;</w:t>
      </w:r>
    </w:p>
    <w:p w:rsidR="007C2E5E" w:rsidRPr="007C2E5E" w:rsidRDefault="00137D44" w:rsidP="007C2E5E">
      <w:pPr>
        <w:pStyle w:val="SingleTxtGR"/>
      </w:pPr>
      <w:r>
        <w:tab/>
      </w:r>
      <w:r w:rsidR="007C2E5E" w:rsidRPr="007C2E5E">
        <w:t>b)</w:t>
      </w:r>
      <w:r w:rsidR="007C2E5E" w:rsidRPr="007C2E5E">
        <w:tab/>
        <w:t>интенсивность деятельности по наращиванию потенциала в стр</w:t>
      </w:r>
      <w:r w:rsidR="007C2E5E" w:rsidRPr="007C2E5E">
        <w:t>а</w:t>
      </w:r>
      <w:r w:rsidR="007C2E5E" w:rsidRPr="007C2E5E">
        <w:t>нах, не являющихся Сторонами Конвенции о загрязнении воздуха (среднее к</w:t>
      </w:r>
      <w:r w:rsidR="007C2E5E" w:rsidRPr="007C2E5E">
        <w:t>о</w:t>
      </w:r>
      <w:r w:rsidR="007C2E5E" w:rsidRPr="007C2E5E">
        <w:t>личество человеко-дней на одну страну, не являющуюся Стороной);</w:t>
      </w:r>
    </w:p>
    <w:p w:rsidR="007C2E5E" w:rsidRPr="007C2E5E" w:rsidRDefault="00137D44" w:rsidP="007C2E5E">
      <w:pPr>
        <w:pStyle w:val="SingleTxtGR"/>
      </w:pPr>
      <w:r>
        <w:tab/>
      </w:r>
      <w:r w:rsidR="007C2E5E" w:rsidRPr="007C2E5E">
        <w:t>с)</w:t>
      </w:r>
      <w:r w:rsidR="007C2E5E" w:rsidRPr="007C2E5E">
        <w:tab/>
        <w:t>число ратификаций трех последних протоколов к Конвенции по воздуху;</w:t>
      </w:r>
    </w:p>
    <w:p w:rsidR="007C2E5E" w:rsidRPr="000330AE" w:rsidRDefault="00137D44" w:rsidP="007C2E5E">
      <w:pPr>
        <w:pStyle w:val="SingleTxtGR"/>
      </w:pPr>
      <w:r>
        <w:tab/>
      </w:r>
      <w:r w:rsidR="007C2E5E" w:rsidRPr="007C2E5E">
        <w:t>d)</w:t>
      </w:r>
      <w:r w:rsidR="007C2E5E" w:rsidRPr="007C2E5E">
        <w:tab/>
        <w:t>количество учебных мероприятий, посвященных осуществлению Конвенции по воздуху и протоколов к ней в странах Восточной и Юго-Восточной Евр</w:t>
      </w:r>
      <w:r w:rsidR="00636448">
        <w:t>опы, Кавказа и Центральной Азии</w:t>
      </w:r>
      <w:r w:rsidR="0096592B">
        <w:t>.</w:t>
      </w:r>
    </w:p>
    <w:p w:rsidR="007C2E5E" w:rsidRPr="007C2E5E" w:rsidRDefault="007C2E5E" w:rsidP="00137D44">
      <w:pPr>
        <w:pStyle w:val="H4GR"/>
      </w:pPr>
      <w:r w:rsidRPr="007C2E5E">
        <w:tab/>
      </w:r>
      <w:r w:rsidRPr="007C2E5E">
        <w:tab/>
        <w:t>Итоги измерения результативности</w:t>
      </w:r>
    </w:p>
    <w:p w:rsidR="007C2E5E" w:rsidRPr="007C2E5E" w:rsidRDefault="007C2E5E" w:rsidP="007C2E5E">
      <w:pPr>
        <w:pStyle w:val="SingleTxtGR"/>
      </w:pPr>
      <w:r w:rsidRPr="007C2E5E">
        <w:t>2010–2011 годы: a) неприменимо; b) 26; c) 87; d) 6</w:t>
      </w:r>
    </w:p>
    <w:p w:rsidR="007C2E5E" w:rsidRPr="007C2E5E" w:rsidRDefault="00137D44" w:rsidP="007C2E5E">
      <w:pPr>
        <w:pStyle w:val="SingleTxtGR"/>
      </w:pPr>
      <w:r>
        <w:t>2012–</w:t>
      </w:r>
      <w:r w:rsidR="007C2E5E" w:rsidRPr="007C2E5E">
        <w:t>2013 годы: a) 37; b) 27; c) 91; d) 6</w:t>
      </w:r>
    </w:p>
    <w:p w:rsidR="007C2E5E" w:rsidRPr="007C2E5E" w:rsidRDefault="00137D44" w:rsidP="007C2E5E">
      <w:pPr>
        <w:pStyle w:val="SingleTxtGR"/>
      </w:pPr>
      <w:r>
        <w:t>2014–</w:t>
      </w:r>
      <w:r w:rsidR="007C2E5E" w:rsidRPr="007C2E5E">
        <w:t>2015 годы: a) 45; b) 28; c) 92; d) 6</w:t>
      </w:r>
    </w:p>
    <w:p w:rsidR="007C2E5E" w:rsidRPr="007C2E5E" w:rsidRDefault="007C2E5E" w:rsidP="007C2E5E">
      <w:pPr>
        <w:pStyle w:val="SingleTxtGR"/>
      </w:pPr>
      <w:r w:rsidRPr="007C2E5E">
        <w:t>Целевой показатель на 2016−2017 годы: a) 45; b) 28; c) 93; d) 6</w:t>
      </w:r>
    </w:p>
    <w:p w:rsidR="007C2E5E" w:rsidRPr="007C2E5E" w:rsidRDefault="007C2E5E" w:rsidP="007C2E5E">
      <w:pPr>
        <w:pStyle w:val="SingleTxtGR"/>
      </w:pPr>
      <w:r w:rsidRPr="007C2E5E">
        <w:t>Фактические результаты за 2016–2017 годы: a) 46; b) 35; c) 93; d) 6</w:t>
      </w:r>
    </w:p>
    <w:p w:rsidR="007C2E5E" w:rsidRPr="007C2E5E" w:rsidRDefault="007C2E5E" w:rsidP="00D15BCE">
      <w:pPr>
        <w:pStyle w:val="HChGR"/>
      </w:pPr>
      <w:r w:rsidRPr="007C2E5E">
        <w:tab/>
      </w:r>
      <w:r w:rsidRPr="007C2E5E">
        <w:tab/>
        <w:t xml:space="preserve">Тематический блок 6 </w:t>
      </w:r>
      <w:r w:rsidR="00137D44">
        <w:br/>
      </w:r>
      <w:r w:rsidRPr="007C2E5E">
        <w:t>Конвенция о доступе к информации, участии общественност</w:t>
      </w:r>
      <w:r w:rsidR="00D15BCE">
        <w:t>и в процессе принятия решений и</w:t>
      </w:r>
      <w:r w:rsidR="00D15BCE">
        <w:rPr>
          <w:lang w:val="en-US"/>
        </w:rPr>
        <w:t> </w:t>
      </w:r>
      <w:r w:rsidRPr="007C2E5E">
        <w:t>доступе к правосудию по</w:t>
      </w:r>
      <w:r w:rsidR="00137D44">
        <w:t> </w:t>
      </w:r>
      <w:r w:rsidRPr="007C2E5E">
        <w:t>вопросам, касающимся окружающей среды (</w:t>
      </w:r>
      <w:proofErr w:type="spellStart"/>
      <w:r w:rsidRPr="007C2E5E">
        <w:t>Орхусская</w:t>
      </w:r>
      <w:proofErr w:type="spellEnd"/>
      <w:r w:rsidR="00137D44">
        <w:t> </w:t>
      </w:r>
      <w:r w:rsidRPr="007C2E5E">
        <w:t xml:space="preserve">конвенция) </w:t>
      </w:r>
    </w:p>
    <w:p w:rsidR="007C2E5E" w:rsidRPr="007C2E5E" w:rsidRDefault="007C2E5E" w:rsidP="00137D44">
      <w:pPr>
        <w:pStyle w:val="H4GR"/>
      </w:pPr>
      <w:r w:rsidRPr="007C2E5E">
        <w:tab/>
      </w:r>
      <w:r w:rsidRPr="007C2E5E">
        <w:tab/>
        <w:t>Ожидаемое достижение</w:t>
      </w:r>
    </w:p>
    <w:p w:rsidR="007C2E5E" w:rsidRPr="007C2E5E" w:rsidRDefault="007C2E5E" w:rsidP="007C2E5E">
      <w:pPr>
        <w:pStyle w:val="SingleTxtGR"/>
      </w:pPr>
      <w:r w:rsidRPr="007C2E5E">
        <w:t xml:space="preserve">Увеличение числа ратификаций </w:t>
      </w:r>
      <w:proofErr w:type="spellStart"/>
      <w:r w:rsidRPr="007C2E5E">
        <w:t>Орхусской</w:t>
      </w:r>
      <w:proofErr w:type="spellEnd"/>
      <w:r w:rsidRPr="007C2E5E">
        <w:t xml:space="preserve"> конвенции и Протокола о РВПЗ и укрепление их осуществления </w:t>
      </w:r>
    </w:p>
    <w:p w:rsidR="007C2E5E" w:rsidRPr="007C2E5E" w:rsidRDefault="007C2E5E" w:rsidP="00137D44">
      <w:pPr>
        <w:pStyle w:val="H4GR"/>
      </w:pPr>
      <w:r w:rsidRPr="007C2E5E">
        <w:tab/>
      </w:r>
      <w:r w:rsidRPr="007C2E5E">
        <w:tab/>
        <w:t>Отчет о достижениях/полученных результатах</w:t>
      </w:r>
    </w:p>
    <w:p w:rsidR="007C2E5E" w:rsidRPr="007C2E5E" w:rsidRDefault="007C2E5E" w:rsidP="007C2E5E">
      <w:pPr>
        <w:pStyle w:val="SingleTxtGR"/>
      </w:pPr>
      <w:r w:rsidRPr="007C2E5E">
        <w:t>26.</w:t>
      </w:r>
      <w:r w:rsidRPr="007C2E5E">
        <w:tab/>
      </w:r>
      <w:proofErr w:type="spellStart"/>
      <w:r w:rsidRPr="007C2E5E">
        <w:t>Орхусская</w:t>
      </w:r>
      <w:proofErr w:type="spellEnd"/>
      <w:r w:rsidRPr="007C2E5E">
        <w:t xml:space="preserve"> конвенция помогает сторонам в вопросах повышения трансп</w:t>
      </w:r>
      <w:r w:rsidRPr="007C2E5E">
        <w:t>а</w:t>
      </w:r>
      <w:r w:rsidRPr="007C2E5E">
        <w:t>рентности, подотчетности, всестороннего и эффективного участия обществе</w:t>
      </w:r>
      <w:r w:rsidRPr="007C2E5E">
        <w:t>н</w:t>
      </w:r>
      <w:r w:rsidRPr="007C2E5E">
        <w:t xml:space="preserve">ности и доступа к правосудию и, тем самым, содействует также осуществлению Повестки дня в области устойчивого развития на период до 2030 года (Повестка дня </w:t>
      </w:r>
      <w:r w:rsidR="00137D44">
        <w:t>на период до 2030 года). В 2016–</w:t>
      </w:r>
      <w:r w:rsidRPr="007C2E5E">
        <w:t xml:space="preserve">2017 годах работа по обеспечению доступа к экологической информации проводилась </w:t>
      </w:r>
      <w:proofErr w:type="gramStart"/>
      <w:r w:rsidRPr="007C2E5E">
        <w:t>с упором на расширение доступа к такой информации в эпоху цифровых технологий на основе</w:t>
      </w:r>
      <w:proofErr w:type="gramEnd"/>
      <w:r w:rsidRPr="007C2E5E">
        <w:t xml:space="preserve"> электронных средств информации и обеспечения ее повторного использования, когда это возможно, на безвозмездной основе. Кроме того, обсуждались сфера охвата экологической информации и информации о выбросах, а также ограничения на доступ к информации в соответствии с положениями Конвенции</w:t>
      </w:r>
      <w:r w:rsidRPr="00A47BEE">
        <w:rPr>
          <w:rStyle w:val="aa"/>
        </w:rPr>
        <w:footnoteReference w:id="5"/>
      </w:r>
      <w:r w:rsidRPr="007C2E5E">
        <w:t xml:space="preserve">. </w:t>
      </w:r>
    </w:p>
    <w:p w:rsidR="007C2E5E" w:rsidRPr="007C2E5E" w:rsidRDefault="007C2E5E" w:rsidP="007C2E5E">
      <w:pPr>
        <w:pStyle w:val="SingleTxtGR"/>
      </w:pPr>
      <w:r w:rsidRPr="007C2E5E">
        <w:t>27.</w:t>
      </w:r>
      <w:r w:rsidRPr="007C2E5E">
        <w:tab/>
      </w:r>
      <w:proofErr w:type="gramStart"/>
      <w:r w:rsidRPr="007C2E5E">
        <w:t>Поощрение участия общественности в процессе принятия решений было посвящено планированию, связанному с энергетикой</w:t>
      </w:r>
      <w:r w:rsidRPr="00A47BEE">
        <w:rPr>
          <w:rStyle w:val="aa"/>
        </w:rPr>
        <w:footnoteReference w:id="6"/>
      </w:r>
      <w:r w:rsidRPr="007C2E5E">
        <w:t>, и распространялось на широкий спектр мероприятий в области устойчивого развития</w:t>
      </w:r>
      <w:r w:rsidRPr="00A47BEE">
        <w:rPr>
          <w:rStyle w:val="aa"/>
        </w:rPr>
        <w:footnoteReference w:id="7"/>
      </w:r>
      <w:r w:rsidRPr="007C2E5E">
        <w:t>. Кроме того, Стороны, страны, не являющиеся Сторонами, НПО и другие заинтересованные стороны обменялись информацией о проблемах по выявлению и уведомлению заинтересованной общественности и эффективного участия общественности в трансграничном контексте.</w:t>
      </w:r>
      <w:proofErr w:type="gramEnd"/>
      <w:r w:rsidRPr="007C2E5E">
        <w:t xml:space="preserve"> В области доступа к правосудию темы включали пределы рассмотрения, процессуальную правоспособность, издержки и защиту от преследований и притеснений при осуществлении прав в соответствии с п</w:t>
      </w:r>
      <w:r w:rsidRPr="007C2E5E">
        <w:t>о</w:t>
      </w:r>
      <w:r w:rsidRPr="007C2E5E">
        <w:t>ложениями Конвенции. Кроме того, в 2016 году было проведено исследование по теме о пределах рассмотрения в целях расширения доступа к правосудию по вопросам, касающимся окружающей среды, в Юго-Восточной Европе</w:t>
      </w:r>
      <w:r w:rsidRPr="00A47BEE">
        <w:rPr>
          <w:rStyle w:val="aa"/>
        </w:rPr>
        <w:footnoteReference w:id="8"/>
      </w:r>
      <w:r w:rsidRPr="007C2E5E">
        <w:t xml:space="preserve">. </w:t>
      </w:r>
    </w:p>
    <w:p w:rsidR="007C2E5E" w:rsidRPr="007C2E5E" w:rsidRDefault="007C2E5E" w:rsidP="007C2E5E">
      <w:pPr>
        <w:pStyle w:val="SingleTxtGR"/>
      </w:pPr>
      <w:r w:rsidRPr="007C2E5E">
        <w:t>28.</w:t>
      </w:r>
      <w:r w:rsidRPr="007C2E5E">
        <w:tab/>
        <w:t xml:space="preserve">Совместно с механизмом </w:t>
      </w:r>
      <w:proofErr w:type="spellStart"/>
      <w:r w:rsidRPr="007C2E5E">
        <w:t>Картахенского</w:t>
      </w:r>
      <w:proofErr w:type="spellEnd"/>
      <w:r w:rsidRPr="007C2E5E">
        <w:t xml:space="preserve"> протокола по биобезопасности продолжалась работа по поощрению участия общественности и транспарентн</w:t>
      </w:r>
      <w:r w:rsidRPr="007C2E5E">
        <w:t>о</w:t>
      </w:r>
      <w:r w:rsidRPr="007C2E5E">
        <w:t>сти в сфере биобезопасности на глобальном уровне. Главная цель обеспечения такой синергии заключалась в том, чтобы укрепить потенциал органов для уч</w:t>
      </w:r>
      <w:r w:rsidRPr="007C2E5E">
        <w:t>а</w:t>
      </w:r>
      <w:r w:rsidRPr="007C2E5E">
        <w:t>стия общественности в процессе принятия решений по генетически измене</w:t>
      </w:r>
      <w:r w:rsidRPr="007C2E5E">
        <w:t>н</w:t>
      </w:r>
      <w:r w:rsidRPr="007C2E5E">
        <w:t>ным организмам</w:t>
      </w:r>
      <w:r w:rsidRPr="00A47BEE">
        <w:rPr>
          <w:rStyle w:val="aa"/>
        </w:rPr>
        <w:footnoteReference w:id="9"/>
      </w:r>
      <w:r w:rsidRPr="007C2E5E">
        <w:t>. Кроме того, в сотрудничестве с Организацией по безопасн</w:t>
      </w:r>
      <w:r w:rsidRPr="007C2E5E">
        <w:t>о</w:t>
      </w:r>
      <w:r w:rsidRPr="007C2E5E">
        <w:t>сти и сотрудничеству в Европе (ОБСЕ) были организованы рабочее совещание и учебно-ознакомительная поездка для представителей властей Беларуси. П</w:t>
      </w:r>
      <w:r w:rsidRPr="007C2E5E">
        <w:t>о</w:t>
      </w:r>
      <w:r w:rsidRPr="007C2E5E">
        <w:t xml:space="preserve">мимо этого, было создано несколько </w:t>
      </w:r>
      <w:proofErr w:type="spellStart"/>
      <w:r w:rsidRPr="007C2E5E">
        <w:t>орхусских</w:t>
      </w:r>
      <w:proofErr w:type="spellEnd"/>
      <w:r w:rsidRPr="007C2E5E">
        <w:t xml:space="preserve"> центров, поддержку которым оказывает ОБСЕ. Секретариат регулярно координировал мероприятия по нар</w:t>
      </w:r>
      <w:r w:rsidRPr="007C2E5E">
        <w:t>а</w:t>
      </w:r>
      <w:r w:rsidRPr="007C2E5E">
        <w:t>щиванию потенциала в связи с Конвенцией и Протоколом, осуществляемые партнерами.</w:t>
      </w:r>
    </w:p>
    <w:p w:rsidR="007C2E5E" w:rsidRPr="007C2E5E" w:rsidRDefault="007C2E5E" w:rsidP="007C2E5E">
      <w:pPr>
        <w:pStyle w:val="SingleTxtGR"/>
      </w:pPr>
      <w:r w:rsidRPr="007C2E5E">
        <w:t>29.</w:t>
      </w:r>
      <w:r w:rsidRPr="007C2E5E">
        <w:tab/>
        <w:t>Комитет по вопросам соблюдения Конвенции представил ряд целевых р</w:t>
      </w:r>
      <w:r w:rsidRPr="007C2E5E">
        <w:t>е</w:t>
      </w:r>
      <w:r w:rsidRPr="007C2E5E">
        <w:t>комендаций для Сторон, в том числе о преследовании активистов, участии о</w:t>
      </w:r>
      <w:r w:rsidRPr="007C2E5E">
        <w:t>б</w:t>
      </w:r>
      <w:r w:rsidRPr="007C2E5E">
        <w:t>щественности в трансграничном контексте и постоянном доступе к правос</w:t>
      </w:r>
      <w:r w:rsidRPr="007C2E5E">
        <w:t>у</w:t>
      </w:r>
      <w:r w:rsidRPr="007C2E5E">
        <w:t xml:space="preserve">дию. На основе этих рекомендаций для принятия на шестой сессии </w:t>
      </w:r>
      <w:r w:rsidR="0096592B" w:rsidRPr="007C2E5E">
        <w:t xml:space="preserve">Совещания Сторон </w:t>
      </w:r>
      <w:r w:rsidRPr="007C2E5E">
        <w:t>в сентябре 2017 года были подготовлены 11 новых проектов решения о несоблюдении Сторонами. Комитет принял 15 заключений о соблюдении Ст</w:t>
      </w:r>
      <w:r w:rsidRPr="007C2E5E">
        <w:t>о</w:t>
      </w:r>
      <w:r w:rsidRPr="007C2E5E">
        <w:t>ронами в 2016 и 2017 годах (до 15 августа 2017 года). Кроме того, Комитет сл</w:t>
      </w:r>
      <w:r w:rsidRPr="007C2E5E">
        <w:t>е</w:t>
      </w:r>
      <w:r w:rsidRPr="007C2E5E">
        <w:t>дил за выполнением 14 предыдущих решений о несоблюдении.</w:t>
      </w:r>
    </w:p>
    <w:p w:rsidR="007C2E5E" w:rsidRPr="007C2E5E" w:rsidRDefault="007C2E5E" w:rsidP="007C2E5E">
      <w:pPr>
        <w:pStyle w:val="SingleTxtGR"/>
      </w:pPr>
      <w:r w:rsidRPr="007C2E5E">
        <w:t>30.</w:t>
      </w:r>
      <w:r w:rsidRPr="007C2E5E">
        <w:tab/>
        <w:t>В 2016 году к числу приоритетных областей по-прежнему относилось с</w:t>
      </w:r>
      <w:r w:rsidRPr="007C2E5E">
        <w:t>о</w:t>
      </w:r>
      <w:r w:rsidRPr="007C2E5E">
        <w:t>действие повышению транспарентности и участию общественности в межд</w:t>
      </w:r>
      <w:r w:rsidRPr="007C2E5E">
        <w:t>у</w:t>
      </w:r>
      <w:r w:rsidRPr="007C2E5E">
        <w:t>народных процессах принятия решений по вопросам изменения климата и в о</w:t>
      </w:r>
      <w:r w:rsidRPr="007C2E5E">
        <w:t>б</w:t>
      </w:r>
      <w:r w:rsidRPr="007C2E5E">
        <w:t>ласти финансирования</w:t>
      </w:r>
      <w:r w:rsidRPr="00A47BEE">
        <w:rPr>
          <w:rStyle w:val="aa"/>
        </w:rPr>
        <w:footnoteReference w:id="10"/>
      </w:r>
      <w:r w:rsidRPr="007C2E5E">
        <w:t>. В 2017 году вопросы участия общественности и дост</w:t>
      </w:r>
      <w:r w:rsidRPr="007C2E5E">
        <w:t>у</w:t>
      </w:r>
      <w:r w:rsidRPr="007C2E5E">
        <w:t xml:space="preserve">па к информации впервые были рассмотрены в рамках европейского процесса </w:t>
      </w:r>
      <w:r w:rsidR="00845258">
        <w:t>«</w:t>
      </w:r>
      <w:r w:rsidRPr="007C2E5E">
        <w:t>Окружающая среда и здоровье</w:t>
      </w:r>
      <w:r w:rsidR="00845258">
        <w:t>»</w:t>
      </w:r>
      <w:r w:rsidRPr="007C2E5E">
        <w:t>. Кроме того, на регулярной основе рассматр</w:t>
      </w:r>
      <w:r w:rsidRPr="007C2E5E">
        <w:t>и</w:t>
      </w:r>
      <w:r w:rsidRPr="007C2E5E">
        <w:t>валась пропаганда принципов Конвенции в процессе осуществления Повестки дня на период до 2030 года.</w:t>
      </w:r>
    </w:p>
    <w:p w:rsidR="007C2E5E" w:rsidRPr="007C2E5E" w:rsidRDefault="007C2E5E" w:rsidP="007C2E5E">
      <w:pPr>
        <w:pStyle w:val="SingleTxtGR"/>
      </w:pPr>
      <w:r w:rsidRPr="007C2E5E">
        <w:t>31.</w:t>
      </w:r>
      <w:r w:rsidRPr="007C2E5E">
        <w:tab/>
        <w:t>Конвенция по-прежнему вызывает интерес у стран за пред</w:t>
      </w:r>
      <w:r w:rsidR="0096592B">
        <w:t xml:space="preserve">елами региона ЕЭК. </w:t>
      </w:r>
      <w:proofErr w:type="gramStart"/>
      <w:r w:rsidR="0096592B">
        <w:t>В силу этого</w:t>
      </w:r>
      <w:r w:rsidRPr="007C2E5E">
        <w:t xml:space="preserve"> секретариат продолжал оказывать консультативную помощь Экономической комиссии для Латинской Америки и Карибского бассейна (ЭКЛАК), в частности путем содействия разработке регионального документа по экологическим правам в регионе ЭКЛАК, и, в сотрудничестве с ЮНЕП, Учебным и научно-исследовательским институтом Организации Объединенных Наций и Организацией экономического сотрудничества и развития (ОЭСР), п</w:t>
      </w:r>
      <w:r w:rsidRPr="007C2E5E">
        <w:t>о</w:t>
      </w:r>
      <w:r w:rsidRPr="007C2E5E">
        <w:t>ощрял создание регистров выбросов и переноса загрязнителей (РВПЗ) в стр</w:t>
      </w:r>
      <w:r w:rsidRPr="007C2E5E">
        <w:t>а</w:t>
      </w:r>
      <w:r w:rsidRPr="007C2E5E">
        <w:t>нах, не</w:t>
      </w:r>
      <w:proofErr w:type="gramEnd"/>
      <w:r w:rsidRPr="007C2E5E">
        <w:t xml:space="preserve"> </w:t>
      </w:r>
      <w:proofErr w:type="gramStart"/>
      <w:r w:rsidRPr="007C2E5E">
        <w:t>являющихся</w:t>
      </w:r>
      <w:proofErr w:type="gramEnd"/>
      <w:r w:rsidRPr="007C2E5E">
        <w:t xml:space="preserve"> членами ЕЭК. Гвинея-Бисау официально заявила о заинт</w:t>
      </w:r>
      <w:r w:rsidRPr="007C2E5E">
        <w:t>е</w:t>
      </w:r>
      <w:r w:rsidRPr="007C2E5E">
        <w:t>ресованности в присоединении к Конвенции. Секретариат оказывает ей помощь в процессе присоединения.</w:t>
      </w:r>
    </w:p>
    <w:p w:rsidR="007C2E5E" w:rsidRPr="007C2E5E" w:rsidRDefault="007C2E5E" w:rsidP="007C2E5E">
      <w:pPr>
        <w:pStyle w:val="SingleTxtGR"/>
      </w:pPr>
      <w:r w:rsidRPr="007C2E5E">
        <w:t>32.</w:t>
      </w:r>
      <w:r w:rsidRPr="007C2E5E">
        <w:tab/>
      </w:r>
      <w:proofErr w:type="gramStart"/>
      <w:r w:rsidRPr="007C2E5E">
        <w:t>Протокол о РВПЗ предлагает решения по укреплению прав человека и транспарентности в отношении опасных веществ, тем самым способствуя та</w:t>
      </w:r>
      <w:r w:rsidRPr="007C2E5E">
        <w:t>к</w:t>
      </w:r>
      <w:r w:rsidRPr="007C2E5E">
        <w:t>же достижению целей в области устойчивого развития путем совершенствов</w:t>
      </w:r>
      <w:r w:rsidRPr="007C2E5E">
        <w:t>а</w:t>
      </w:r>
      <w:r w:rsidRPr="007C2E5E">
        <w:t>ния сбора данных и представления отчетности о выбросах в почве, воде и во</w:t>
      </w:r>
      <w:r w:rsidRPr="007C2E5E">
        <w:t>з</w:t>
      </w:r>
      <w:r w:rsidRPr="007C2E5E">
        <w:t>духе</w:t>
      </w:r>
      <w:r w:rsidRPr="00A47BEE">
        <w:rPr>
          <w:rStyle w:val="aa"/>
        </w:rPr>
        <w:footnoteReference w:id="11"/>
      </w:r>
      <w:r w:rsidR="00C2443F">
        <w:t>. В 2016–</w:t>
      </w:r>
      <w:r w:rsidRPr="007C2E5E">
        <w:t>2017 годах достижение этой цели обеспечивалось, среди проч</w:t>
      </w:r>
      <w:r w:rsidRPr="007C2E5E">
        <w:t>е</w:t>
      </w:r>
      <w:r w:rsidRPr="007C2E5E">
        <w:t>го, посредством разработки методических материалов и проведения субреги</w:t>
      </w:r>
      <w:r w:rsidRPr="007C2E5E">
        <w:t>о</w:t>
      </w:r>
      <w:r w:rsidRPr="007C2E5E">
        <w:t>нальных рабочих совещаний с целью помочь</w:t>
      </w:r>
      <w:proofErr w:type="gramEnd"/>
      <w:r w:rsidRPr="007C2E5E">
        <w:t xml:space="preserve"> Сторонам и заинтересованным странам, не являющимся Сторонами, в создании соответствующих институци</w:t>
      </w:r>
      <w:r w:rsidRPr="007C2E5E">
        <w:t>о</w:t>
      </w:r>
      <w:r w:rsidRPr="007C2E5E">
        <w:t>нальных и правовых рамок, разработке перечня веществ и предприятий и управлении данными и их распространении.</w:t>
      </w:r>
    </w:p>
    <w:p w:rsidR="007C2E5E" w:rsidRPr="007C2E5E" w:rsidRDefault="007C2E5E" w:rsidP="00C2443F">
      <w:pPr>
        <w:pStyle w:val="H4GR"/>
      </w:pPr>
      <w:r w:rsidRPr="007C2E5E">
        <w:tab/>
      </w:r>
      <w:r w:rsidRPr="007C2E5E">
        <w:tab/>
        <w:t>Извлеченные уроки/области, нуждающиеся в усовершенствовании</w:t>
      </w:r>
    </w:p>
    <w:p w:rsidR="007C2E5E" w:rsidRPr="007C2E5E" w:rsidRDefault="007C2E5E" w:rsidP="007C2E5E">
      <w:pPr>
        <w:pStyle w:val="SingleTxtGR"/>
      </w:pPr>
      <w:r w:rsidRPr="007C2E5E">
        <w:t>33.</w:t>
      </w:r>
      <w:r w:rsidRPr="007C2E5E">
        <w:tab/>
        <w:t xml:space="preserve">Предстоит решить четыре основных вопроса. Во-первых, Конвенция как </w:t>
      </w:r>
      <w:r w:rsidR="00845258">
        <w:t>«</w:t>
      </w:r>
      <w:r w:rsidRPr="007C2E5E">
        <w:t>живой</w:t>
      </w:r>
      <w:r w:rsidR="00845258">
        <w:t>»</w:t>
      </w:r>
      <w:r w:rsidRPr="007C2E5E">
        <w:t xml:space="preserve"> договор не может обойтись без инновационного механизма соблюд</w:t>
      </w:r>
      <w:r w:rsidRPr="007C2E5E">
        <w:t>е</w:t>
      </w:r>
      <w:r w:rsidRPr="007C2E5E">
        <w:t>ния: Сторонам необходимо более эффективно осуществлять решения по вопр</w:t>
      </w:r>
      <w:r w:rsidRPr="007C2E5E">
        <w:t>о</w:t>
      </w:r>
      <w:r w:rsidRPr="007C2E5E">
        <w:t xml:space="preserve">сам соблюдения. </w:t>
      </w:r>
      <w:proofErr w:type="gramStart"/>
      <w:r w:rsidRPr="007C2E5E">
        <w:t>Во-вторых, после проведения в 2012 году Конференции Орг</w:t>
      </w:r>
      <w:r w:rsidRPr="007C2E5E">
        <w:t>а</w:t>
      </w:r>
      <w:r w:rsidRPr="007C2E5E">
        <w:t>низации Объединенных Наций по устойчивому развитию существенно возро</w:t>
      </w:r>
      <w:r w:rsidRPr="007C2E5E">
        <w:t>с</w:t>
      </w:r>
      <w:r w:rsidRPr="007C2E5E">
        <w:t>ло число запросов к секретариату со стороны государств, международных ф</w:t>
      </w:r>
      <w:r w:rsidRPr="007C2E5E">
        <w:t>и</w:t>
      </w:r>
      <w:r w:rsidRPr="007C2E5E">
        <w:t>нансовых учреждений, других организаций и международных форумов, связа</w:t>
      </w:r>
      <w:r w:rsidRPr="007C2E5E">
        <w:t>н</w:t>
      </w:r>
      <w:r w:rsidRPr="007C2E5E">
        <w:t>ных с оказанием консультативной помощи, при этом секретариат не всегда им</w:t>
      </w:r>
      <w:r w:rsidRPr="007C2E5E">
        <w:t>е</w:t>
      </w:r>
      <w:r w:rsidRPr="007C2E5E">
        <w:t>ет возможность в полном объеме удовлетворять эти запросы ввиду своих огр</w:t>
      </w:r>
      <w:r w:rsidRPr="007C2E5E">
        <w:t>а</w:t>
      </w:r>
      <w:r w:rsidRPr="007C2E5E">
        <w:t>ниченных возможностей.</w:t>
      </w:r>
      <w:proofErr w:type="gramEnd"/>
      <w:r w:rsidRPr="007C2E5E">
        <w:t xml:space="preserve"> В-третьих, присоединение к Протоколу о РВПЗ и его осуществление </w:t>
      </w:r>
      <w:proofErr w:type="gramStart"/>
      <w:r w:rsidRPr="007C2E5E">
        <w:t>связаны</w:t>
      </w:r>
      <w:proofErr w:type="gramEnd"/>
      <w:r w:rsidRPr="007C2E5E">
        <w:t xml:space="preserve"> с большими трудностями для стран с переходной эк</w:t>
      </w:r>
      <w:r w:rsidRPr="007C2E5E">
        <w:t>о</w:t>
      </w:r>
      <w:r w:rsidRPr="007C2E5E">
        <w:t>номикой, в основном из-за предусмотренных в нем технических требований. Это вызывает необходимость принятия данными странами политических реш</w:t>
      </w:r>
      <w:r w:rsidRPr="007C2E5E">
        <w:t>е</w:t>
      </w:r>
      <w:r w:rsidRPr="007C2E5E">
        <w:t>ний для выделения достаточных ресурсов. В то же время это создает возможн</w:t>
      </w:r>
      <w:r w:rsidRPr="007C2E5E">
        <w:t>о</w:t>
      </w:r>
      <w:r w:rsidRPr="007C2E5E">
        <w:t>сти для участия организаций-партнеров в деятельности по наращиванию п</w:t>
      </w:r>
      <w:r w:rsidRPr="007C2E5E">
        <w:t>о</w:t>
      </w:r>
      <w:r w:rsidRPr="007C2E5E">
        <w:t>тенциала и, следовательно, ведет к расширению процессов присоединения и а</w:t>
      </w:r>
      <w:r w:rsidRPr="007C2E5E">
        <w:t>к</w:t>
      </w:r>
      <w:r w:rsidRPr="007C2E5E">
        <w:t xml:space="preserve">тивного осуществления. Наконец, с учетом межсекторальной сферы охвата Конвенции и Протокола к ней обязательным предварительным условием для их эффективного осуществления является межведомственное и межсекторальное сотрудничество на национальном уровне, в частности в интересах достижения целей в области устойчивого развития. </w:t>
      </w:r>
    </w:p>
    <w:p w:rsidR="007C2E5E" w:rsidRPr="007C2E5E" w:rsidRDefault="007C2E5E" w:rsidP="00916E94">
      <w:pPr>
        <w:pStyle w:val="H4GR"/>
      </w:pPr>
      <w:r w:rsidRPr="007C2E5E">
        <w:tab/>
      </w:r>
      <w:r w:rsidRPr="007C2E5E">
        <w:tab/>
        <w:t>Показатели достижения результатов</w:t>
      </w:r>
    </w:p>
    <w:p w:rsidR="007C2E5E" w:rsidRPr="007C2E5E" w:rsidRDefault="007C2E5E" w:rsidP="007C2E5E">
      <w:pPr>
        <w:pStyle w:val="SingleTxtGR"/>
      </w:pPr>
      <w:r w:rsidRPr="007C2E5E">
        <w:t xml:space="preserve">Увеличение числа стран, добивающихся улучшения осуществления </w:t>
      </w:r>
      <w:proofErr w:type="spellStart"/>
      <w:r w:rsidRPr="007C2E5E">
        <w:t>Орхусской</w:t>
      </w:r>
      <w:proofErr w:type="spellEnd"/>
      <w:r w:rsidRPr="007C2E5E">
        <w:t xml:space="preserve"> конвенции и Протокола к ней о РВПЗ посредством:</w:t>
      </w:r>
    </w:p>
    <w:p w:rsidR="007C2E5E" w:rsidRPr="007C2E5E" w:rsidRDefault="00916E94" w:rsidP="007C2E5E">
      <w:pPr>
        <w:pStyle w:val="SingleTxtGR"/>
      </w:pPr>
      <w:r>
        <w:tab/>
      </w:r>
      <w:r w:rsidR="007C2E5E" w:rsidRPr="007C2E5E">
        <w:t>а)</w:t>
      </w:r>
      <w:r w:rsidR="007C2E5E" w:rsidRPr="007C2E5E">
        <w:tab/>
        <w:t xml:space="preserve">интенсивной деятельности по наращиванию потенциала в странах, не являющихся Сторонами </w:t>
      </w:r>
      <w:proofErr w:type="spellStart"/>
      <w:r w:rsidR="007C2E5E" w:rsidRPr="007C2E5E">
        <w:t>Орхусской</w:t>
      </w:r>
      <w:proofErr w:type="spellEnd"/>
      <w:r w:rsidR="007C2E5E" w:rsidRPr="007C2E5E">
        <w:t xml:space="preserve"> конвенции (среднее количество человеко-дней на одну страну, не являющуюся Стороной);</w:t>
      </w:r>
    </w:p>
    <w:p w:rsidR="007C2E5E" w:rsidRPr="007C2E5E" w:rsidRDefault="00916E94" w:rsidP="007C2E5E">
      <w:pPr>
        <w:pStyle w:val="SingleTxtGR"/>
      </w:pPr>
      <w:r>
        <w:tab/>
      </w:r>
      <w:r w:rsidR="007C2E5E" w:rsidRPr="007C2E5E">
        <w:t>b)</w:t>
      </w:r>
      <w:r w:rsidR="007C2E5E" w:rsidRPr="007C2E5E">
        <w:tab/>
        <w:t>интенсивной деятельности по наращиванию потенциала в странах, не являющихся Сторонами Протокола о РВПЗ (среднее количество человеко-дней на одну страну, не являющуюся Стороной);</w:t>
      </w:r>
    </w:p>
    <w:p w:rsidR="007C2E5E" w:rsidRPr="007C2E5E" w:rsidRDefault="00916E94" w:rsidP="007C2E5E">
      <w:pPr>
        <w:pStyle w:val="SingleTxtGR"/>
      </w:pPr>
      <w:r>
        <w:tab/>
      </w:r>
      <w:r w:rsidR="007C2E5E" w:rsidRPr="007C2E5E">
        <w:t>с)</w:t>
      </w:r>
      <w:r w:rsidR="007C2E5E" w:rsidRPr="007C2E5E">
        <w:tab/>
        <w:t xml:space="preserve">увеличения числа ратификаций </w:t>
      </w:r>
      <w:proofErr w:type="spellStart"/>
      <w:r w:rsidR="007C2E5E" w:rsidRPr="007C2E5E">
        <w:t>Орхусской</w:t>
      </w:r>
      <w:proofErr w:type="spellEnd"/>
      <w:r w:rsidR="007C2E5E" w:rsidRPr="007C2E5E">
        <w:t xml:space="preserve"> конвенции; </w:t>
      </w:r>
    </w:p>
    <w:p w:rsidR="007C2E5E" w:rsidRPr="007C2E5E" w:rsidRDefault="00916E94" w:rsidP="007C2E5E">
      <w:pPr>
        <w:pStyle w:val="SingleTxtGR"/>
      </w:pPr>
      <w:r>
        <w:tab/>
      </w:r>
      <w:r w:rsidR="007C2E5E" w:rsidRPr="007C2E5E">
        <w:t>d)</w:t>
      </w:r>
      <w:r w:rsidR="007C2E5E" w:rsidRPr="007C2E5E">
        <w:tab/>
        <w:t>увеличения числа ратификаций Протокола о РВПЗ;</w:t>
      </w:r>
    </w:p>
    <w:p w:rsidR="007C2E5E" w:rsidRPr="007C2E5E" w:rsidRDefault="00916E94" w:rsidP="007C2E5E">
      <w:pPr>
        <w:pStyle w:val="SingleTxtGR"/>
      </w:pPr>
      <w:r>
        <w:tab/>
      </w:r>
      <w:r w:rsidR="007C2E5E" w:rsidRPr="007C2E5E">
        <w:t>e)</w:t>
      </w:r>
      <w:r w:rsidR="007C2E5E" w:rsidRPr="007C2E5E">
        <w:tab/>
        <w:t>увеличения числа стран, представляющих национальные доклады об осуществлении Совещанию Сторон Конвенции с указанием прогресса в в</w:t>
      </w:r>
      <w:r w:rsidR="007C2E5E" w:rsidRPr="007C2E5E">
        <w:t>ы</w:t>
      </w:r>
      <w:r w:rsidR="007C2E5E" w:rsidRPr="007C2E5E">
        <w:t>полнении основных обязательств;</w:t>
      </w:r>
    </w:p>
    <w:p w:rsidR="007C2E5E" w:rsidRPr="007C2E5E" w:rsidRDefault="00916E94" w:rsidP="007C2E5E">
      <w:pPr>
        <w:pStyle w:val="SingleTxtGR"/>
      </w:pPr>
      <w:r>
        <w:tab/>
      </w:r>
      <w:r w:rsidR="007C2E5E" w:rsidRPr="007C2E5E">
        <w:t>f)</w:t>
      </w:r>
      <w:r w:rsidR="007C2E5E" w:rsidRPr="007C2E5E">
        <w:tab/>
        <w:t>увеличения числа стран, представляющих национальные доклады об осуществлении Совещанию Сторон Протокола о РВПЗ с указанием прогре</w:t>
      </w:r>
      <w:r w:rsidR="007C2E5E" w:rsidRPr="007C2E5E">
        <w:t>с</w:t>
      </w:r>
      <w:r w:rsidR="007C2E5E" w:rsidRPr="007C2E5E">
        <w:t>са в выполнении осно</w:t>
      </w:r>
      <w:r w:rsidR="00FD778C">
        <w:t>вных обязательств</w:t>
      </w:r>
      <w:r w:rsidR="0096592B">
        <w:t>.</w:t>
      </w:r>
    </w:p>
    <w:p w:rsidR="007C2E5E" w:rsidRPr="007C2E5E" w:rsidRDefault="007C2E5E" w:rsidP="00916E94">
      <w:pPr>
        <w:pStyle w:val="H4GR"/>
      </w:pPr>
      <w:r w:rsidRPr="007C2E5E">
        <w:tab/>
      </w:r>
      <w:r w:rsidRPr="007C2E5E">
        <w:tab/>
        <w:t>Итоги измерения результативности</w:t>
      </w:r>
    </w:p>
    <w:p w:rsidR="007C2E5E" w:rsidRPr="007C2E5E" w:rsidRDefault="007C2E5E" w:rsidP="00916E94">
      <w:pPr>
        <w:pStyle w:val="SingleTxtGR"/>
      </w:pPr>
      <w:r w:rsidRPr="007C2E5E">
        <w:t>2010</w:t>
      </w:r>
      <w:r w:rsidR="00916E94">
        <w:t>–</w:t>
      </w:r>
      <w:r w:rsidRPr="007C2E5E">
        <w:t>2011 годы: a) 8; b) 4; c) 45; d) 27; e) 41; f) неприменимо</w:t>
      </w:r>
    </w:p>
    <w:p w:rsidR="007C2E5E" w:rsidRPr="007C2E5E" w:rsidRDefault="007C2E5E" w:rsidP="00916E94">
      <w:pPr>
        <w:pStyle w:val="SingleTxtGR"/>
      </w:pPr>
      <w:r w:rsidRPr="007C2E5E">
        <w:t>2012</w:t>
      </w:r>
      <w:r w:rsidR="00916E94">
        <w:t>–</w:t>
      </w:r>
      <w:r w:rsidRPr="007C2E5E">
        <w:t>2013 годы: a) 4; b) 3; c) 46; d) 33; e) неприменимо</w:t>
      </w:r>
      <w:r w:rsidRPr="00A47BEE">
        <w:rPr>
          <w:rStyle w:val="aa"/>
        </w:rPr>
        <w:footnoteReference w:id="12"/>
      </w:r>
      <w:r w:rsidRPr="007C2E5E">
        <w:t>; f) неприменимо</w:t>
      </w:r>
    </w:p>
    <w:p w:rsidR="007C2E5E" w:rsidRPr="007C2E5E" w:rsidRDefault="007C2E5E" w:rsidP="00916E94">
      <w:pPr>
        <w:pStyle w:val="SingleTxtGR"/>
        <w:rPr>
          <w:lang w:val="es-ES"/>
        </w:rPr>
      </w:pPr>
      <w:r w:rsidRPr="007C2E5E">
        <w:rPr>
          <w:lang w:val="es-ES"/>
        </w:rPr>
        <w:t>2014</w:t>
      </w:r>
      <w:r w:rsidR="00916E94" w:rsidRPr="00916E94">
        <w:rPr>
          <w:lang w:val="es-ES"/>
        </w:rPr>
        <w:t>–</w:t>
      </w:r>
      <w:r w:rsidRPr="007C2E5E">
        <w:rPr>
          <w:lang w:val="es-ES"/>
        </w:rPr>
        <w:t xml:space="preserve">2015 </w:t>
      </w:r>
      <w:r w:rsidRPr="007C2E5E">
        <w:t>годы</w:t>
      </w:r>
      <w:r w:rsidRPr="007C2E5E">
        <w:rPr>
          <w:lang w:val="es-ES"/>
        </w:rPr>
        <w:t>: a) 6</w:t>
      </w:r>
      <w:r w:rsidR="0096592B" w:rsidRPr="0096592B">
        <w:rPr>
          <w:lang w:val="es-ES"/>
        </w:rPr>
        <w:t>;</w:t>
      </w:r>
      <w:r w:rsidRPr="007C2E5E">
        <w:rPr>
          <w:lang w:val="es-ES"/>
        </w:rPr>
        <w:t xml:space="preserve"> b) 6; c) 47; d) 33; e) 46; f) 32</w:t>
      </w:r>
    </w:p>
    <w:p w:rsidR="007C2E5E" w:rsidRPr="007C2E5E" w:rsidRDefault="007C2E5E" w:rsidP="007C2E5E">
      <w:pPr>
        <w:pStyle w:val="SingleTxtGR"/>
      </w:pPr>
      <w:r w:rsidRPr="007C2E5E">
        <w:t>Целевой показатель на 2016−2017 годы: a) 2; b) 3; c) 47; d) 34; e) 46; f) 32</w:t>
      </w:r>
    </w:p>
    <w:p w:rsidR="007C2E5E" w:rsidRPr="007C2E5E" w:rsidRDefault="007C2E5E" w:rsidP="0096592B">
      <w:pPr>
        <w:pStyle w:val="SingleTxtGR"/>
      </w:pPr>
      <w:r w:rsidRPr="007C2E5E">
        <w:t>Фактические результаты за 2016</w:t>
      </w:r>
      <w:r w:rsidR="0096592B">
        <w:t>–</w:t>
      </w:r>
      <w:r w:rsidRPr="007C2E5E">
        <w:t>2017 годы (</w:t>
      </w:r>
      <w:r w:rsidR="00916E94">
        <w:t>по состоянию на 15 августа 2017 </w:t>
      </w:r>
      <w:r w:rsidRPr="007C2E5E">
        <w:t>года): a) 3; b) 7; c) 47; d) 35; e) 40</w:t>
      </w:r>
      <w:r w:rsidRPr="00A47BEE">
        <w:rPr>
          <w:rStyle w:val="aa"/>
        </w:rPr>
        <w:footnoteReference w:id="13"/>
      </w:r>
      <w:r w:rsidRPr="007C2E5E">
        <w:t>; f) 30</w:t>
      </w:r>
      <w:r w:rsidRPr="00A47BEE">
        <w:rPr>
          <w:rStyle w:val="aa"/>
        </w:rPr>
        <w:footnoteReference w:id="14"/>
      </w:r>
    </w:p>
    <w:p w:rsidR="007C2E5E" w:rsidRPr="007C2E5E" w:rsidRDefault="007C2E5E" w:rsidP="00EF397F">
      <w:pPr>
        <w:pStyle w:val="HChGR"/>
      </w:pPr>
      <w:r w:rsidRPr="007C2E5E">
        <w:tab/>
      </w:r>
      <w:r w:rsidRPr="007C2E5E">
        <w:tab/>
        <w:t xml:space="preserve">Тематический блок 7 </w:t>
      </w:r>
      <w:r w:rsidR="00C137DD">
        <w:br/>
      </w:r>
      <w:r w:rsidRPr="007C2E5E">
        <w:t>Конвенция об оценке воздействия на окружающую среду в</w:t>
      </w:r>
      <w:r w:rsidR="00C137DD">
        <w:t> </w:t>
      </w:r>
      <w:r w:rsidRPr="007C2E5E">
        <w:t xml:space="preserve">трансграничном контексте (Конвенция </w:t>
      </w:r>
      <w:proofErr w:type="spellStart"/>
      <w:r w:rsidRPr="007C2E5E">
        <w:t>Эспо</w:t>
      </w:r>
      <w:proofErr w:type="spellEnd"/>
      <w:r w:rsidRPr="007C2E5E">
        <w:t>)</w:t>
      </w:r>
    </w:p>
    <w:p w:rsidR="007C2E5E" w:rsidRPr="007C2E5E" w:rsidRDefault="007C2E5E" w:rsidP="00C137DD">
      <w:pPr>
        <w:pStyle w:val="H4GR"/>
      </w:pPr>
      <w:r w:rsidRPr="007C2E5E">
        <w:tab/>
      </w:r>
      <w:r w:rsidRPr="007C2E5E">
        <w:tab/>
        <w:t>Ожидаемое достижение</w:t>
      </w:r>
    </w:p>
    <w:p w:rsidR="007C2E5E" w:rsidRPr="007C2E5E" w:rsidRDefault="007C2E5E" w:rsidP="007C2E5E">
      <w:pPr>
        <w:pStyle w:val="SingleTxtGR"/>
      </w:pPr>
      <w:r w:rsidRPr="007C2E5E">
        <w:t xml:space="preserve">Увеличение числа ратификаций Конвенции </w:t>
      </w:r>
      <w:proofErr w:type="spellStart"/>
      <w:r w:rsidRPr="007C2E5E">
        <w:t>Эспо</w:t>
      </w:r>
      <w:proofErr w:type="spellEnd"/>
      <w:r w:rsidRPr="007C2E5E">
        <w:t xml:space="preserve"> и Протокола по стратегич</w:t>
      </w:r>
      <w:r w:rsidRPr="007C2E5E">
        <w:t>е</w:t>
      </w:r>
      <w:r w:rsidRPr="007C2E5E">
        <w:t>ской экологической оценке (Протокол по СЭО) и усиление работы по их ос</w:t>
      </w:r>
      <w:r w:rsidRPr="007C2E5E">
        <w:t>у</w:t>
      </w:r>
      <w:r w:rsidRPr="007C2E5E">
        <w:t xml:space="preserve">ществлению </w:t>
      </w:r>
    </w:p>
    <w:p w:rsidR="007C2E5E" w:rsidRPr="007C2E5E" w:rsidRDefault="007C2E5E" w:rsidP="00FD778C">
      <w:pPr>
        <w:pStyle w:val="H4GR"/>
      </w:pPr>
      <w:r w:rsidRPr="007C2E5E">
        <w:tab/>
      </w:r>
      <w:r w:rsidRPr="007C2E5E">
        <w:tab/>
        <w:t>Отчет о достижениях/полученных результатах</w:t>
      </w:r>
    </w:p>
    <w:p w:rsidR="007C2E5E" w:rsidRPr="007C2E5E" w:rsidRDefault="007C2E5E" w:rsidP="008203AD">
      <w:pPr>
        <w:pStyle w:val="SingleTxtGR"/>
      </w:pPr>
      <w:r w:rsidRPr="007C2E5E">
        <w:t>34.</w:t>
      </w:r>
      <w:r w:rsidRPr="007C2E5E">
        <w:tab/>
        <w:t>За двухгодичный период 2016</w:t>
      </w:r>
      <w:r w:rsidR="008203AD" w:rsidRPr="00DF79E2">
        <w:t>–</w:t>
      </w:r>
      <w:r w:rsidRPr="007C2E5E">
        <w:t xml:space="preserve">2017 годов число ратификаций поправок к Протоколу по СЭО и Конвенции </w:t>
      </w:r>
      <w:proofErr w:type="spellStart"/>
      <w:r w:rsidRPr="007C2E5E">
        <w:t>Эспо</w:t>
      </w:r>
      <w:proofErr w:type="spellEnd"/>
      <w:r w:rsidRPr="007C2E5E">
        <w:t xml:space="preserve"> значительно выросло. По состоянию на 15 августа 2017 года в результате присоединения 6 новых Сторон количество участников Протокола достигло 32. В настоящий момент Конвенция насчитыв</w:t>
      </w:r>
      <w:r w:rsidRPr="007C2E5E">
        <w:t>а</w:t>
      </w:r>
      <w:r w:rsidRPr="007C2E5E">
        <w:t>ет 45 Сторон. В результате ратификации поправок к Конвенции 2001 и 2004 г</w:t>
      </w:r>
      <w:r w:rsidRPr="007C2E5E">
        <w:t>о</w:t>
      </w:r>
      <w:r w:rsidR="00BC2F80">
        <w:t xml:space="preserve">дов еще семью </w:t>
      </w:r>
      <w:proofErr w:type="gramStart"/>
      <w:r w:rsidR="00BC2F80">
        <w:t>Сторонами</w:t>
      </w:r>
      <w:proofErr w:type="gramEnd"/>
      <w:r w:rsidRPr="007C2E5E">
        <w:t xml:space="preserve"> принятая в 2004 году поправка вступит в силу в о</w:t>
      </w:r>
      <w:r w:rsidRPr="007C2E5E">
        <w:t>к</w:t>
      </w:r>
      <w:r w:rsidRPr="007C2E5E">
        <w:t xml:space="preserve">тябре 2017 года, что приведет к расширению сферы применения Конвенции. Для вступления в силу поправки 2001 года, которая позволит присоединяться к Конвенции также странам, не являющимся членами ЕЭК, все еще необходима ее ратификация восемью Сторонами. </w:t>
      </w:r>
    </w:p>
    <w:p w:rsidR="007C2E5E" w:rsidRPr="007C2E5E" w:rsidRDefault="007C2E5E" w:rsidP="007C2E5E">
      <w:pPr>
        <w:pStyle w:val="SingleTxtGR"/>
      </w:pPr>
      <w:r w:rsidRPr="007C2E5E">
        <w:t>35.</w:t>
      </w:r>
      <w:r w:rsidRPr="007C2E5E">
        <w:tab/>
        <w:t xml:space="preserve">В июне 2017 года Стороны Конвенции </w:t>
      </w:r>
      <w:proofErr w:type="spellStart"/>
      <w:r w:rsidRPr="007C2E5E">
        <w:t>Эспо</w:t>
      </w:r>
      <w:proofErr w:type="spellEnd"/>
      <w:r w:rsidRPr="007C2E5E">
        <w:t xml:space="preserve"> и Протокола к ней в ходе с</w:t>
      </w:r>
      <w:r w:rsidRPr="007C2E5E">
        <w:t>о</w:t>
      </w:r>
      <w:r w:rsidRPr="007C2E5E">
        <w:t>вещания в Минске подчеркнули ту важную роль, которую эти два договора м</w:t>
      </w:r>
      <w:r w:rsidRPr="007C2E5E">
        <w:t>о</w:t>
      </w:r>
      <w:r w:rsidRPr="007C2E5E">
        <w:t>гут играть в оказании помощи странам в достижении целей в области устойч</w:t>
      </w:r>
      <w:r w:rsidRPr="007C2E5E">
        <w:t>и</w:t>
      </w:r>
      <w:r w:rsidRPr="007C2E5E">
        <w:t xml:space="preserve">вого развития и в решении проблем, связанных с изменением климата. Стороны также отметили двадцатую годовщину вступления в силу Конвенции и уделили особое внимание осуществлению этого договора в области ядерной энергии. </w:t>
      </w:r>
      <w:proofErr w:type="gramStart"/>
      <w:r w:rsidRPr="007C2E5E">
        <w:t xml:space="preserve">Они приняли </w:t>
      </w:r>
      <w:r w:rsidR="00845258">
        <w:t>«</w:t>
      </w:r>
      <w:r w:rsidRPr="007C2E5E">
        <w:t>Рекомендации, касающиеся надлежащей практики применения Конвенции к деятельности в области атомной энергетики</w:t>
      </w:r>
      <w:r w:rsidR="00845258">
        <w:t>»</w:t>
      </w:r>
      <w:r w:rsidRPr="007C2E5E">
        <w:t xml:space="preserve"> и решили разраб</w:t>
      </w:r>
      <w:r w:rsidRPr="007C2E5E">
        <w:t>о</w:t>
      </w:r>
      <w:r w:rsidRPr="007C2E5E">
        <w:t>тать дополнительные руководящие указания относительно того, каким образом применять Конвенцию в плане продления срока службы атомных электроста</w:t>
      </w:r>
      <w:r w:rsidRPr="007C2E5E">
        <w:t>н</w:t>
      </w:r>
      <w:r w:rsidRPr="007C2E5E">
        <w:t>ций ввиду наличия в регионе ЕЭК многочисленных атомных электростанций с большим сроком службы.</w:t>
      </w:r>
      <w:proofErr w:type="gramEnd"/>
    </w:p>
    <w:p w:rsidR="007C2E5E" w:rsidRPr="007C2E5E" w:rsidRDefault="007C2E5E" w:rsidP="007C2E5E">
      <w:pPr>
        <w:pStyle w:val="SingleTxtGR"/>
      </w:pPr>
      <w:r w:rsidRPr="007C2E5E">
        <w:t>36.</w:t>
      </w:r>
      <w:r w:rsidRPr="007C2E5E">
        <w:tab/>
        <w:t>Стороны приветствовали результаты обширной помощи в областях зак</w:t>
      </w:r>
      <w:r w:rsidRPr="007C2E5E">
        <w:t>о</w:t>
      </w:r>
      <w:r w:rsidRPr="007C2E5E">
        <w:t>нодательных реформ, повышения уровня осведомленности и создания потенц</w:t>
      </w:r>
      <w:r w:rsidRPr="007C2E5E">
        <w:t>и</w:t>
      </w:r>
      <w:r w:rsidRPr="007C2E5E">
        <w:t xml:space="preserve">ала, предоставленной секретариатом ЕЭК с целью активизации осуществления этих договоров в таких странах, как Азербайджан, Армения, Беларусь, Грузия, Казахстан, Кыргызстан, Республика Молдова и Украина. Участники узнали о том, что Европейский </w:t>
      </w:r>
      <w:proofErr w:type="gramStart"/>
      <w:r w:rsidRPr="007C2E5E">
        <w:t>союз</w:t>
      </w:r>
      <w:proofErr w:type="gramEnd"/>
      <w:r w:rsidRPr="007C2E5E">
        <w:t xml:space="preserve"> скорее всего продолжит финансирование помощи в будущем. </w:t>
      </w:r>
    </w:p>
    <w:p w:rsidR="007C2E5E" w:rsidRPr="007C2E5E" w:rsidRDefault="007C2E5E" w:rsidP="00FD778C">
      <w:pPr>
        <w:pStyle w:val="H4GR"/>
      </w:pPr>
      <w:r w:rsidRPr="007C2E5E">
        <w:tab/>
      </w:r>
      <w:r w:rsidRPr="007C2E5E">
        <w:tab/>
        <w:t>Извлеченные уроки/области, нуждающиеся в усовершенствовании</w:t>
      </w:r>
    </w:p>
    <w:p w:rsidR="007C2E5E" w:rsidRPr="007C2E5E" w:rsidRDefault="007C2E5E" w:rsidP="007C2E5E">
      <w:pPr>
        <w:pStyle w:val="SingleTxtGR"/>
      </w:pPr>
      <w:r w:rsidRPr="007C2E5E">
        <w:t>37.</w:t>
      </w:r>
      <w:r w:rsidRPr="007C2E5E">
        <w:tab/>
        <w:t xml:space="preserve">К числу проблемных областей или областей, в которых необходимы дальнейшие улучшения, применительно к Конвенции </w:t>
      </w:r>
      <w:proofErr w:type="spellStart"/>
      <w:r w:rsidRPr="007C2E5E">
        <w:t>Эспо</w:t>
      </w:r>
      <w:proofErr w:type="spellEnd"/>
      <w:r w:rsidRPr="007C2E5E">
        <w:t xml:space="preserve"> и Протокола к ней относятся следующие: </w:t>
      </w:r>
    </w:p>
    <w:p w:rsidR="007C2E5E" w:rsidRPr="007C2E5E" w:rsidRDefault="00FD778C" w:rsidP="00BC2F80">
      <w:pPr>
        <w:pStyle w:val="SingleTxtGR"/>
      </w:pPr>
      <w:r>
        <w:tab/>
      </w:r>
      <w:r w:rsidR="007C2E5E" w:rsidRPr="007C2E5E">
        <w:t>а)</w:t>
      </w:r>
      <w:r w:rsidR="007C2E5E" w:rsidRPr="007C2E5E">
        <w:tab/>
        <w:t>хотя в течение двухгодичного периода несколько Сторон ратиф</w:t>
      </w:r>
      <w:r w:rsidR="007C2E5E" w:rsidRPr="007C2E5E">
        <w:t>и</w:t>
      </w:r>
      <w:r w:rsidR="007C2E5E" w:rsidRPr="007C2E5E">
        <w:t xml:space="preserve">цировали Конвенцию, с </w:t>
      </w:r>
      <w:proofErr w:type="gramStart"/>
      <w:r w:rsidR="007C2E5E" w:rsidRPr="007C2E5E">
        <w:t>тем</w:t>
      </w:r>
      <w:proofErr w:type="gramEnd"/>
      <w:r w:rsidR="007C2E5E" w:rsidRPr="007C2E5E">
        <w:t xml:space="preserve"> чтобы позволить странам, расположенным за пр</w:t>
      </w:r>
      <w:r w:rsidR="007C2E5E" w:rsidRPr="007C2E5E">
        <w:t>е</w:t>
      </w:r>
      <w:r w:rsidR="007C2E5E" w:rsidRPr="007C2E5E">
        <w:t>делами региона ЕЭК, присоединиться к ней поправка 2001 года к Конвенции должна быть ратифицирована следующими странами: Азербайджаном, Арм</w:t>
      </w:r>
      <w:r w:rsidR="007C2E5E" w:rsidRPr="007C2E5E">
        <w:t>е</w:t>
      </w:r>
      <w:r w:rsidR="007C2E5E" w:rsidRPr="007C2E5E">
        <w:t>нией, Бельгией, бывшей югославской Республикой Македония, Грецией, Кан</w:t>
      </w:r>
      <w:r w:rsidR="007C2E5E" w:rsidRPr="007C2E5E">
        <w:t>а</w:t>
      </w:r>
      <w:r w:rsidR="007C2E5E" w:rsidRPr="007C2E5E">
        <w:t xml:space="preserve">дой, Соединенным Королевством и Украиной; </w:t>
      </w:r>
    </w:p>
    <w:p w:rsidR="007C2E5E" w:rsidRPr="007C2E5E" w:rsidRDefault="00FD778C" w:rsidP="00FD778C">
      <w:pPr>
        <w:pStyle w:val="SingleTxtGR"/>
      </w:pPr>
      <w:r>
        <w:tab/>
      </w:r>
      <w:proofErr w:type="gramStart"/>
      <w:r w:rsidR="007C2E5E" w:rsidRPr="007C2E5E">
        <w:t>b)</w:t>
      </w:r>
      <w:r w:rsidR="007C2E5E" w:rsidRPr="007C2E5E">
        <w:tab/>
        <w:t>необходимо повысить уровень осведомленности правительств</w:t>
      </w:r>
      <w:r w:rsidR="00BC2F80">
        <w:t>, и</w:t>
      </w:r>
      <w:r w:rsidR="007C2E5E" w:rsidRPr="007C2E5E">
        <w:t xml:space="preserve"> в</w:t>
      </w:r>
      <w:r>
        <w:t> </w:t>
      </w:r>
      <w:r w:rsidR="00BC2F80">
        <w:t>частности</w:t>
      </w:r>
      <w:r w:rsidR="007C2E5E" w:rsidRPr="007C2E5E">
        <w:t xml:space="preserve"> их министерств иностранных дел, относительно полезности Прот</w:t>
      </w:r>
      <w:r w:rsidR="007C2E5E" w:rsidRPr="007C2E5E">
        <w:t>о</w:t>
      </w:r>
      <w:r w:rsidR="007C2E5E" w:rsidRPr="007C2E5E">
        <w:t xml:space="preserve">кола по СЭО и Конвенции </w:t>
      </w:r>
      <w:proofErr w:type="spellStart"/>
      <w:r w:rsidR="007C2E5E" w:rsidRPr="007C2E5E">
        <w:t>Эспо</w:t>
      </w:r>
      <w:proofErr w:type="spellEnd"/>
      <w:r w:rsidR="007C2E5E" w:rsidRPr="007C2E5E">
        <w:t xml:space="preserve"> в качестве инструментов оказания помощи пр</w:t>
      </w:r>
      <w:r w:rsidR="007C2E5E" w:rsidRPr="007C2E5E">
        <w:t>а</w:t>
      </w:r>
      <w:r w:rsidR="007C2E5E" w:rsidRPr="007C2E5E">
        <w:t xml:space="preserve">вительствам в достижении целей в области устойчивого развития и в решении проблем, связанных с изменением климата, на региональном и глобальном уровнях; необходимо также поощрять межсекторальное сотрудничество в деле их осуществления; </w:t>
      </w:r>
      <w:proofErr w:type="gramEnd"/>
    </w:p>
    <w:p w:rsidR="007C2E5E" w:rsidRPr="007C2E5E" w:rsidRDefault="00FD778C" w:rsidP="007C2E5E">
      <w:pPr>
        <w:pStyle w:val="SingleTxtGR"/>
      </w:pPr>
      <w:r>
        <w:tab/>
      </w:r>
      <w:r w:rsidR="007C2E5E" w:rsidRPr="007C2E5E">
        <w:t>с)</w:t>
      </w:r>
      <w:r w:rsidR="007C2E5E" w:rsidRPr="007C2E5E">
        <w:tab/>
        <w:t xml:space="preserve">число и сложность дел, передаваемых на рассмотрение Комитета по осуществлению Конвенции </w:t>
      </w:r>
      <w:proofErr w:type="spellStart"/>
      <w:r w:rsidR="007C2E5E" w:rsidRPr="007C2E5E">
        <w:t>Эспо</w:t>
      </w:r>
      <w:proofErr w:type="spellEnd"/>
      <w:r w:rsidR="007C2E5E" w:rsidRPr="007C2E5E">
        <w:t xml:space="preserve"> и Протокола к ней, продолжают повышат</w:t>
      </w:r>
      <w:r w:rsidR="007C2E5E" w:rsidRPr="007C2E5E">
        <w:t>ь</w:t>
      </w:r>
      <w:r w:rsidR="007C2E5E" w:rsidRPr="007C2E5E">
        <w:t>ся, что затрудняет выполнение Комитетом своего мандата и достижение Стор</w:t>
      </w:r>
      <w:r w:rsidR="007C2E5E" w:rsidRPr="007C2E5E">
        <w:t>о</w:t>
      </w:r>
      <w:r w:rsidR="007C2E5E" w:rsidRPr="007C2E5E">
        <w:t>нами консенсуса в отношении решений по вопросам соблюдения. Кроме того, ресурсы секретариата, используемые для обслуживания мероприятий по ра</w:t>
      </w:r>
      <w:r w:rsidR="007C2E5E" w:rsidRPr="007C2E5E">
        <w:t>с</w:t>
      </w:r>
      <w:r w:rsidR="007C2E5E" w:rsidRPr="007C2E5E">
        <w:t xml:space="preserve">смотрению соблюдения требований и осуществления, оказываются все больше перегруженными; </w:t>
      </w:r>
    </w:p>
    <w:p w:rsidR="007C2E5E" w:rsidRPr="007C2E5E" w:rsidRDefault="00FD778C" w:rsidP="007C2E5E">
      <w:pPr>
        <w:pStyle w:val="SingleTxtGR"/>
      </w:pPr>
      <w:r>
        <w:tab/>
      </w:r>
      <w:r w:rsidR="007C2E5E" w:rsidRPr="007C2E5E">
        <w:t>d)</w:t>
      </w:r>
      <w:r w:rsidR="007C2E5E" w:rsidRPr="007C2E5E">
        <w:tab/>
        <w:t>было бы своевременно мобилизовать достаточные ресурсы для п</w:t>
      </w:r>
      <w:r w:rsidR="007C2E5E" w:rsidRPr="007C2E5E">
        <w:t>о</w:t>
      </w:r>
      <w:r w:rsidR="007C2E5E" w:rsidRPr="007C2E5E">
        <w:t>следующих мер и воспользоваться широкомасштабной деятельностью по нар</w:t>
      </w:r>
      <w:r w:rsidR="007C2E5E" w:rsidRPr="007C2E5E">
        <w:t>а</w:t>
      </w:r>
      <w:r w:rsidR="007C2E5E" w:rsidRPr="007C2E5E">
        <w:t>щиванию потенциала в области стратегической экологической оценки, уже пр</w:t>
      </w:r>
      <w:r w:rsidR="007C2E5E" w:rsidRPr="007C2E5E">
        <w:t>о</w:t>
      </w:r>
      <w:r w:rsidR="007C2E5E" w:rsidRPr="007C2E5E">
        <w:t>водимой в странах Восточной Европы, Кавказа и Центральной Азии, в целях дальнейшего укрепления и поддержания ее позитивного воздействия. Это по</w:t>
      </w:r>
      <w:r w:rsidR="007C2E5E" w:rsidRPr="007C2E5E">
        <w:t>з</w:t>
      </w:r>
      <w:r w:rsidR="007C2E5E" w:rsidRPr="007C2E5E">
        <w:t xml:space="preserve">волило бы указанным странам присоединиться к Протоколу и способствовало бы их переходу к </w:t>
      </w:r>
      <w:r w:rsidR="00845258">
        <w:t>«</w:t>
      </w:r>
      <w:r w:rsidR="007C2E5E" w:rsidRPr="007C2E5E">
        <w:t>зеленой</w:t>
      </w:r>
      <w:r w:rsidR="00845258">
        <w:t>»</w:t>
      </w:r>
      <w:r w:rsidR="007C2E5E" w:rsidRPr="007C2E5E">
        <w:t xml:space="preserve"> экономике.</w:t>
      </w:r>
    </w:p>
    <w:p w:rsidR="007C2E5E" w:rsidRPr="007C2E5E" w:rsidRDefault="007C2E5E" w:rsidP="00FD778C">
      <w:pPr>
        <w:pStyle w:val="H4GR"/>
      </w:pPr>
      <w:r w:rsidRPr="007C2E5E">
        <w:tab/>
      </w:r>
      <w:r w:rsidRPr="007C2E5E">
        <w:tab/>
        <w:t>Показатели достижения результатов</w:t>
      </w:r>
    </w:p>
    <w:p w:rsidR="007C2E5E" w:rsidRPr="007C2E5E" w:rsidRDefault="007C2E5E" w:rsidP="007C2E5E">
      <w:pPr>
        <w:pStyle w:val="SingleTxtGR"/>
      </w:pPr>
      <w:r w:rsidRPr="007C2E5E">
        <w:t xml:space="preserve">Увеличение числа стран, добивающихся улучшения осуществления Конвенции </w:t>
      </w:r>
      <w:proofErr w:type="spellStart"/>
      <w:r w:rsidRPr="007C2E5E">
        <w:t>Эспо</w:t>
      </w:r>
      <w:proofErr w:type="spellEnd"/>
      <w:r w:rsidRPr="007C2E5E">
        <w:t xml:space="preserve"> и Протокола по СЭО посредством:</w:t>
      </w:r>
    </w:p>
    <w:p w:rsidR="007C2E5E" w:rsidRPr="007C2E5E" w:rsidRDefault="00FD778C" w:rsidP="007C2E5E">
      <w:pPr>
        <w:pStyle w:val="SingleTxtGR"/>
      </w:pPr>
      <w:r>
        <w:tab/>
      </w:r>
      <w:r w:rsidR="007C2E5E" w:rsidRPr="007C2E5E">
        <w:t>а)</w:t>
      </w:r>
      <w:r w:rsidR="007C2E5E" w:rsidRPr="007C2E5E">
        <w:tab/>
        <w:t>увеличения числа стран, участвующих в субрегиональном сотру</w:t>
      </w:r>
      <w:r w:rsidR="007C2E5E" w:rsidRPr="007C2E5E">
        <w:t>д</w:t>
      </w:r>
      <w:r w:rsidR="007C2E5E" w:rsidRPr="007C2E5E">
        <w:t xml:space="preserve">ничестве в рамках Конвенции </w:t>
      </w:r>
      <w:proofErr w:type="spellStart"/>
      <w:r w:rsidR="007C2E5E" w:rsidRPr="007C2E5E">
        <w:t>Эспо</w:t>
      </w:r>
      <w:proofErr w:type="spellEnd"/>
      <w:r w:rsidR="007C2E5E" w:rsidRPr="007C2E5E">
        <w:t>;</w:t>
      </w:r>
    </w:p>
    <w:p w:rsidR="007C2E5E" w:rsidRPr="007C2E5E" w:rsidRDefault="00FD778C" w:rsidP="007C2E5E">
      <w:pPr>
        <w:pStyle w:val="SingleTxtGR"/>
      </w:pPr>
      <w:r>
        <w:tab/>
      </w:r>
      <w:r w:rsidR="007C2E5E" w:rsidRPr="007C2E5E">
        <w:t>b)</w:t>
      </w:r>
      <w:r w:rsidR="007C2E5E" w:rsidRPr="007C2E5E">
        <w:tab/>
        <w:t>увеличения числа Сторон, представляющих доклады об осущест</w:t>
      </w:r>
      <w:r w:rsidR="007C2E5E" w:rsidRPr="007C2E5E">
        <w:t>в</w:t>
      </w:r>
      <w:r w:rsidR="007C2E5E" w:rsidRPr="007C2E5E">
        <w:t xml:space="preserve">лении Конвенции </w:t>
      </w:r>
      <w:proofErr w:type="spellStart"/>
      <w:r w:rsidR="007C2E5E" w:rsidRPr="007C2E5E">
        <w:t>Эспо</w:t>
      </w:r>
      <w:proofErr w:type="spellEnd"/>
      <w:r w:rsidR="007C2E5E" w:rsidRPr="007C2E5E">
        <w:t xml:space="preserve">; </w:t>
      </w:r>
    </w:p>
    <w:p w:rsidR="007C2E5E" w:rsidRPr="007C2E5E" w:rsidRDefault="00FD778C" w:rsidP="007C2E5E">
      <w:pPr>
        <w:pStyle w:val="SingleTxtGR"/>
      </w:pPr>
      <w:r>
        <w:tab/>
      </w:r>
      <w:r w:rsidR="007C2E5E" w:rsidRPr="007C2E5E">
        <w:t>с)</w:t>
      </w:r>
      <w:r w:rsidR="007C2E5E" w:rsidRPr="007C2E5E">
        <w:tab/>
        <w:t xml:space="preserve">интенсивной деятельности по наращиванию потенциала в странах, не являющихся Сторонами Конвенции </w:t>
      </w:r>
      <w:proofErr w:type="spellStart"/>
      <w:r w:rsidR="007C2E5E" w:rsidRPr="007C2E5E">
        <w:t>Эспо</w:t>
      </w:r>
      <w:proofErr w:type="spellEnd"/>
      <w:r w:rsidR="007C2E5E" w:rsidRPr="007C2E5E">
        <w:t xml:space="preserve"> (среднее количество человеко-дней на одну страну, не являющуюся Стороной);</w:t>
      </w:r>
    </w:p>
    <w:p w:rsidR="007C2E5E" w:rsidRPr="007C2E5E" w:rsidRDefault="00FD778C" w:rsidP="007C2E5E">
      <w:pPr>
        <w:pStyle w:val="SingleTxtGR"/>
      </w:pPr>
      <w:r>
        <w:tab/>
      </w:r>
      <w:r w:rsidR="007C2E5E" w:rsidRPr="007C2E5E">
        <w:t>d)</w:t>
      </w:r>
      <w:r w:rsidR="007C2E5E" w:rsidRPr="007C2E5E">
        <w:tab/>
        <w:t xml:space="preserve">интенсивной деятельности по наращиванию потенциала в странах, не являющихся Сторонами Протокола по СЭО Конвенции </w:t>
      </w:r>
      <w:proofErr w:type="spellStart"/>
      <w:r w:rsidR="007C2E5E" w:rsidRPr="007C2E5E">
        <w:t>Эспо</w:t>
      </w:r>
      <w:proofErr w:type="spellEnd"/>
      <w:r w:rsidR="007C2E5E" w:rsidRPr="007C2E5E">
        <w:t xml:space="preserve"> (среднее кол</w:t>
      </w:r>
      <w:r w:rsidR="007C2E5E" w:rsidRPr="007C2E5E">
        <w:t>и</w:t>
      </w:r>
      <w:r w:rsidR="007C2E5E" w:rsidRPr="007C2E5E">
        <w:t>чество человеко-дней на одну страну, не являющуюся Стороной);</w:t>
      </w:r>
    </w:p>
    <w:p w:rsidR="007C2E5E" w:rsidRPr="007C2E5E" w:rsidRDefault="00FD778C" w:rsidP="007C2E5E">
      <w:pPr>
        <w:pStyle w:val="SingleTxtGR"/>
      </w:pPr>
      <w:r>
        <w:tab/>
      </w:r>
      <w:r w:rsidR="007C2E5E" w:rsidRPr="007C2E5E">
        <w:t>e)</w:t>
      </w:r>
      <w:r w:rsidR="007C2E5E" w:rsidRPr="007C2E5E">
        <w:tab/>
        <w:t>увеличения числа ратификаций Протокола по СЭО;</w:t>
      </w:r>
    </w:p>
    <w:p w:rsidR="007C2E5E" w:rsidRPr="007C2E5E" w:rsidRDefault="00FD778C" w:rsidP="007C2E5E">
      <w:pPr>
        <w:pStyle w:val="SingleTxtGR"/>
      </w:pPr>
      <w:r>
        <w:tab/>
      </w:r>
      <w:r w:rsidR="007C2E5E" w:rsidRPr="007C2E5E">
        <w:t>f)</w:t>
      </w:r>
      <w:r w:rsidR="007C2E5E" w:rsidRPr="007C2E5E">
        <w:tab/>
        <w:t>увеличения числа ратификаций, одобрений или принятий Конве</w:t>
      </w:r>
      <w:r w:rsidR="007C2E5E" w:rsidRPr="007C2E5E">
        <w:t>н</w:t>
      </w:r>
      <w:r w:rsidR="007C2E5E" w:rsidRPr="007C2E5E">
        <w:t xml:space="preserve">ции </w:t>
      </w:r>
      <w:proofErr w:type="spellStart"/>
      <w:r w:rsidR="007C2E5E" w:rsidRPr="007C2E5E">
        <w:t>Эспо</w:t>
      </w:r>
      <w:proofErr w:type="spellEnd"/>
      <w:r w:rsidR="007C2E5E" w:rsidRPr="007C2E5E">
        <w:t>;</w:t>
      </w:r>
    </w:p>
    <w:p w:rsidR="007C2E5E" w:rsidRPr="007C2E5E" w:rsidRDefault="00FD778C" w:rsidP="007C2E5E">
      <w:pPr>
        <w:pStyle w:val="SingleTxtGR"/>
      </w:pPr>
      <w:r>
        <w:tab/>
      </w:r>
      <w:r w:rsidR="007C2E5E" w:rsidRPr="007C2E5E">
        <w:t>g)</w:t>
      </w:r>
      <w:r w:rsidR="007C2E5E" w:rsidRPr="007C2E5E">
        <w:tab/>
        <w:t>увеличения числа ратификаций, одобрений или принятий двух п</w:t>
      </w:r>
      <w:r w:rsidR="007C2E5E" w:rsidRPr="007C2E5E">
        <w:t>о</w:t>
      </w:r>
      <w:r w:rsidR="007C2E5E" w:rsidRPr="007C2E5E">
        <w:t xml:space="preserve">правок к Конвенции </w:t>
      </w:r>
      <w:proofErr w:type="spellStart"/>
      <w:r w:rsidR="007C2E5E" w:rsidRPr="007C2E5E">
        <w:t>Эспо</w:t>
      </w:r>
      <w:proofErr w:type="spellEnd"/>
      <w:r w:rsidR="007C2E5E" w:rsidRPr="007C2E5E">
        <w:t>;</w:t>
      </w:r>
    </w:p>
    <w:p w:rsidR="007C2E5E" w:rsidRPr="007C2E5E" w:rsidRDefault="00FD778C" w:rsidP="007C2E5E">
      <w:pPr>
        <w:pStyle w:val="SingleTxtGR"/>
      </w:pPr>
      <w:r>
        <w:tab/>
      </w:r>
      <w:r w:rsidR="007C2E5E" w:rsidRPr="007C2E5E">
        <w:t>h)</w:t>
      </w:r>
      <w:r w:rsidR="007C2E5E" w:rsidRPr="007C2E5E">
        <w:tab/>
        <w:t>увеличения количества Сторон, представляющих доклады о пров</w:t>
      </w:r>
      <w:r w:rsidR="007C2E5E" w:rsidRPr="007C2E5E">
        <w:t>о</w:t>
      </w:r>
      <w:r w:rsidR="007C2E5E" w:rsidRPr="007C2E5E">
        <w:t>димой ими работе по</w:t>
      </w:r>
      <w:r>
        <w:t xml:space="preserve"> осуществлению Протокола по СЭО</w:t>
      </w:r>
      <w:r w:rsidR="00BC2F80">
        <w:t>.</w:t>
      </w:r>
    </w:p>
    <w:p w:rsidR="007C2E5E" w:rsidRPr="007C2E5E" w:rsidRDefault="007C2E5E" w:rsidP="00FD778C">
      <w:pPr>
        <w:pStyle w:val="H4GR"/>
      </w:pPr>
      <w:r w:rsidRPr="007C2E5E">
        <w:tab/>
      </w:r>
      <w:r w:rsidRPr="007C2E5E">
        <w:tab/>
        <w:t>Итоги измерения результативности</w:t>
      </w:r>
    </w:p>
    <w:p w:rsidR="007C2E5E" w:rsidRPr="007C2E5E" w:rsidRDefault="00FD778C" w:rsidP="007C2E5E">
      <w:pPr>
        <w:pStyle w:val="SingleTxtGR"/>
      </w:pPr>
      <w:r>
        <w:t>2010–</w:t>
      </w:r>
      <w:r w:rsidR="007C2E5E" w:rsidRPr="007C2E5E">
        <w:t>2011 годы: a) 28; b) 42; c) 31; d) 9; e) 23; f) 45; g) первая поправка – 21, вторая поправка</w:t>
      </w:r>
      <w:r w:rsidR="007563B3">
        <w:t xml:space="preserve"> </w:t>
      </w:r>
      <w:r w:rsidR="007C2E5E" w:rsidRPr="007C2E5E">
        <w:t>– 20; h) неприменимо</w:t>
      </w:r>
    </w:p>
    <w:p w:rsidR="007C2E5E" w:rsidRPr="007C2E5E" w:rsidRDefault="00FD778C" w:rsidP="007C2E5E">
      <w:pPr>
        <w:pStyle w:val="SingleTxtGR"/>
      </w:pPr>
      <w:r>
        <w:t>2012–</w:t>
      </w:r>
      <w:r w:rsidR="007C2E5E" w:rsidRPr="007C2E5E">
        <w:t>2013 годы: a) 16; b) 38; c) 11; d) 10; e) 25; f) 45; g) первая поправка – 24, вторая поправка – 24; h) неприменимо</w:t>
      </w:r>
    </w:p>
    <w:p w:rsidR="007C2E5E" w:rsidRPr="007C2E5E" w:rsidRDefault="00FD778C" w:rsidP="007C2E5E">
      <w:pPr>
        <w:pStyle w:val="SingleTxtGR"/>
      </w:pPr>
      <w:r>
        <w:t>2014–</w:t>
      </w:r>
      <w:r w:rsidR="007C2E5E" w:rsidRPr="007C2E5E">
        <w:t>2015 годы: a) 30; b) 41; c) 37; d) 71; e) 26; f) 45; g) первая поправка – 26, вторая поправка – 26; h) неприменимо</w:t>
      </w:r>
    </w:p>
    <w:p w:rsidR="007C2E5E" w:rsidRPr="007C2E5E" w:rsidRDefault="007C2E5E" w:rsidP="007C2E5E">
      <w:pPr>
        <w:pStyle w:val="SingleTxtGR"/>
      </w:pPr>
      <w:r w:rsidRPr="007C2E5E">
        <w:t>Целевой показатель на 2016−2017 годы: a) 35; b) 45;</w:t>
      </w:r>
      <w:r w:rsidR="00FD778C">
        <w:t xml:space="preserve"> c) 18; d) 35; e) 31; f) 47; g) </w:t>
      </w:r>
      <w:r w:rsidRPr="007C2E5E">
        <w:t>первая поправка – 32, вторая поправка – 31; h) 26</w:t>
      </w:r>
    </w:p>
    <w:p w:rsidR="007C2E5E" w:rsidRPr="007C2E5E" w:rsidRDefault="00DF79E2" w:rsidP="00DB7423">
      <w:pPr>
        <w:pStyle w:val="SingleTxtGR"/>
      </w:pPr>
      <w:r>
        <w:t>Фактические результаты за 2016</w:t>
      </w:r>
      <w:r w:rsidRPr="00DF79E2">
        <w:t>–</w:t>
      </w:r>
      <w:r w:rsidR="007C2E5E" w:rsidRPr="007C2E5E">
        <w:t>2017 годы (по состоянию на 15 августа 2017</w:t>
      </w:r>
      <w:r w:rsidR="00DB7423">
        <w:t> </w:t>
      </w:r>
      <w:r w:rsidR="007C2E5E" w:rsidRPr="007C2E5E">
        <w:t>года): a) 35; b) 43; c) 18; d) 44; e) 32; f) 45; g) первая поправка – 32, вторая поправка – 31; h) 24</w:t>
      </w:r>
    </w:p>
    <w:p w:rsidR="007C2E5E" w:rsidRPr="007C2E5E" w:rsidRDefault="007C2E5E" w:rsidP="00E22656">
      <w:pPr>
        <w:pStyle w:val="HChGR"/>
      </w:pPr>
      <w:r w:rsidRPr="007C2E5E">
        <w:tab/>
      </w:r>
      <w:r w:rsidRPr="007C2E5E">
        <w:tab/>
        <w:t xml:space="preserve">Тематический блок 8 </w:t>
      </w:r>
      <w:r w:rsidR="00F41523">
        <w:br/>
      </w:r>
      <w:r w:rsidRPr="007C2E5E">
        <w:t xml:space="preserve">Конвенция по охране и использованию трансграничных водотоков и международных озер (Конвенция по водам) </w:t>
      </w:r>
    </w:p>
    <w:p w:rsidR="007C2E5E" w:rsidRPr="007C2E5E" w:rsidRDefault="007C2E5E" w:rsidP="00F41523">
      <w:pPr>
        <w:pStyle w:val="H4GR"/>
      </w:pPr>
      <w:r w:rsidRPr="007C2E5E">
        <w:tab/>
      </w:r>
      <w:r w:rsidRPr="007C2E5E">
        <w:tab/>
        <w:t>Ожидаемое достижение</w:t>
      </w:r>
    </w:p>
    <w:p w:rsidR="007C2E5E" w:rsidRPr="007C2E5E" w:rsidRDefault="007C2E5E" w:rsidP="007C2E5E">
      <w:pPr>
        <w:pStyle w:val="SingleTxtGR"/>
      </w:pPr>
      <w:r w:rsidRPr="007C2E5E">
        <w:t xml:space="preserve">Увеличение числа ратификаций Конвенции по водам и Протокола по проблемам воды и здоровья и усиление работы по их осуществлению </w:t>
      </w:r>
    </w:p>
    <w:p w:rsidR="007C2E5E" w:rsidRPr="007C2E5E" w:rsidRDefault="007C2E5E" w:rsidP="00F41523">
      <w:pPr>
        <w:pStyle w:val="H4GR"/>
      </w:pPr>
      <w:r w:rsidRPr="007C2E5E">
        <w:tab/>
      </w:r>
      <w:r w:rsidRPr="007C2E5E">
        <w:tab/>
        <w:t>Отчет о достижениях/полученных результатах</w:t>
      </w:r>
    </w:p>
    <w:p w:rsidR="007C2E5E" w:rsidRPr="007C2E5E" w:rsidRDefault="007C2E5E" w:rsidP="007C2E5E">
      <w:pPr>
        <w:pStyle w:val="SingleTxtGR"/>
      </w:pPr>
      <w:r w:rsidRPr="007C2E5E">
        <w:t>38.</w:t>
      </w:r>
      <w:r w:rsidRPr="007C2E5E">
        <w:tab/>
        <w:t>На работу в рамках Конвенции по водам и Протокола по проблемам воды и здоровья в значительной мере повлияло принятие в 2015 году Повестки дня на период до 2030 года, включая Цель 6 в области устойчивого развития, кас</w:t>
      </w:r>
      <w:r w:rsidRPr="007C2E5E">
        <w:t>а</w:t>
      </w:r>
      <w:r w:rsidRPr="007C2E5E">
        <w:t xml:space="preserve">ющуюся водных ресурсов и санитарии. </w:t>
      </w:r>
    </w:p>
    <w:p w:rsidR="007C2E5E" w:rsidRPr="007C2E5E" w:rsidRDefault="007C2E5E" w:rsidP="007C2E5E">
      <w:pPr>
        <w:pStyle w:val="SingleTxtGR"/>
      </w:pPr>
      <w:r w:rsidRPr="007C2E5E">
        <w:t>39.</w:t>
      </w:r>
      <w:r w:rsidRPr="007C2E5E">
        <w:tab/>
      </w:r>
      <w:proofErr w:type="gramStart"/>
      <w:r w:rsidRPr="007C2E5E">
        <w:t>В целом, сотрудничеству в области трансграничных вод и самой Конве</w:t>
      </w:r>
      <w:r w:rsidRPr="007C2E5E">
        <w:t>н</w:t>
      </w:r>
      <w:r w:rsidRPr="007C2E5E">
        <w:t>ции уделяется все больше внимания на глобальном уровне, о чем свидетел</w:t>
      </w:r>
      <w:r w:rsidRPr="007C2E5E">
        <w:t>ь</w:t>
      </w:r>
      <w:r w:rsidRPr="007C2E5E">
        <w:t>ствуют, например, первые открытые дебаты по вопросам воды, мира и безопа</w:t>
      </w:r>
      <w:r w:rsidRPr="007C2E5E">
        <w:t>с</w:t>
      </w:r>
      <w:r w:rsidRPr="007C2E5E">
        <w:t>ности в Совете Безопасности Организации О</w:t>
      </w:r>
      <w:r w:rsidR="00F41523">
        <w:t>бъединенных Наций в ноябре 2016 </w:t>
      </w:r>
      <w:r w:rsidRPr="007C2E5E">
        <w:t>года и последующий брифинг высокого уровня по превентивной диплом</w:t>
      </w:r>
      <w:r w:rsidRPr="007C2E5E">
        <w:t>а</w:t>
      </w:r>
      <w:r w:rsidRPr="007C2E5E">
        <w:t>тии и трансграничным водам в июне 2017 года, на котором несколько Сторон подчеркнули</w:t>
      </w:r>
      <w:proofErr w:type="gramEnd"/>
      <w:r w:rsidRPr="007C2E5E">
        <w:t xml:space="preserve"> значение Конвенции для обеспечения развития и стабильности. </w:t>
      </w:r>
    </w:p>
    <w:p w:rsidR="007C2E5E" w:rsidRPr="007C2E5E" w:rsidRDefault="007C2E5E" w:rsidP="007C2E5E">
      <w:pPr>
        <w:pStyle w:val="SingleTxtGR"/>
      </w:pPr>
      <w:r w:rsidRPr="007C2E5E">
        <w:t>40.</w:t>
      </w:r>
      <w:r w:rsidRPr="007C2E5E">
        <w:tab/>
        <w:t>Включение отдельной задачи в цели в области устойчивого развития, с</w:t>
      </w:r>
      <w:r w:rsidRPr="007C2E5E">
        <w:t>о</w:t>
      </w:r>
      <w:r w:rsidRPr="007C2E5E">
        <w:t>держащей призыв к сотрудничеству в области трансграничных вод, и послед</w:t>
      </w:r>
      <w:r w:rsidRPr="007C2E5E">
        <w:t>у</w:t>
      </w:r>
      <w:r w:rsidRPr="007C2E5E">
        <w:t>ющее принятие целевого показателя (показатель 6.5.2), что позволит напра</w:t>
      </w:r>
      <w:r w:rsidRPr="007C2E5E">
        <w:t>в</w:t>
      </w:r>
      <w:r w:rsidRPr="007C2E5E">
        <w:t>лять и контролировать прогресс в этой области, можно считать крупными д</w:t>
      </w:r>
      <w:r w:rsidRPr="007C2E5E">
        <w:t>о</w:t>
      </w:r>
      <w:r w:rsidRPr="007C2E5E">
        <w:t>стижениями. ЕЭК и ЮНЕСКО совместно выступают в качестве учреждений, отвечающих за этот показатель. Конвенция по водам и ее институциональная основа содействуют странам в деле выполнения и мониторинга задачи 6.5 ц</w:t>
      </w:r>
      <w:r w:rsidRPr="007C2E5E">
        <w:t>е</w:t>
      </w:r>
      <w:r w:rsidRPr="007C2E5E">
        <w:t>лей в области устойчивого развития. Еще до пр</w:t>
      </w:r>
      <w:r w:rsidR="001314D1">
        <w:t>инятия показателя 6.5.2, в</w:t>
      </w:r>
      <w:r w:rsidR="001314D1">
        <w:rPr>
          <w:lang w:val="en-US"/>
        </w:rPr>
        <w:t> </w:t>
      </w:r>
      <w:r w:rsidR="001314D1">
        <w:t>2015</w:t>
      </w:r>
      <w:r w:rsidR="001314D1">
        <w:rPr>
          <w:lang w:val="en-US"/>
        </w:rPr>
        <w:t> </w:t>
      </w:r>
      <w:r w:rsidRPr="007C2E5E">
        <w:t>году в Будапеште Совещание Сторон постановило создать механизм р</w:t>
      </w:r>
      <w:r w:rsidRPr="007C2E5E">
        <w:t>е</w:t>
      </w:r>
      <w:r w:rsidRPr="007C2E5E">
        <w:t>гулярной отчетности по Конвенции. Эта новая функция Конвенции будет сп</w:t>
      </w:r>
      <w:r w:rsidRPr="007C2E5E">
        <w:t>о</w:t>
      </w:r>
      <w:r w:rsidRPr="007C2E5E">
        <w:t>собствовать укреплению ее осуществления посредством отслеживания пр</w:t>
      </w:r>
      <w:r w:rsidRPr="007C2E5E">
        <w:t>о</w:t>
      </w:r>
      <w:r w:rsidRPr="007C2E5E">
        <w:t>гресса и выявления пробелов и областей, требующих совершенствования. Сл</w:t>
      </w:r>
      <w:r w:rsidRPr="007C2E5E">
        <w:t>е</w:t>
      </w:r>
      <w:r w:rsidRPr="007C2E5E">
        <w:t>дует также отметить, что отчетность по Конвенции была объединена с отчетн</w:t>
      </w:r>
      <w:r w:rsidRPr="007C2E5E">
        <w:t>о</w:t>
      </w:r>
      <w:r w:rsidR="00BC2F80">
        <w:t>стью</w:t>
      </w:r>
      <w:r w:rsidRPr="007C2E5E">
        <w:t xml:space="preserve"> по показателю 6.5.2. Объединение отчетности позволяет избежать дубл</w:t>
      </w:r>
      <w:r w:rsidRPr="007C2E5E">
        <w:t>и</w:t>
      </w:r>
      <w:r w:rsidRPr="007C2E5E">
        <w:t>рования усилий, дает возможность составить более четкое представление о прогрессе в области сотрудничества и обеспечивает связь данного показателя с межправительственной структурой. В начале 2017 года Сторонам и всем остальным странам мира, совместно использующим трансграничные воды, б</w:t>
      </w:r>
      <w:r w:rsidRPr="007C2E5E">
        <w:t>ы</w:t>
      </w:r>
      <w:r w:rsidRPr="007C2E5E">
        <w:t>ло предложено представить информацию по этому показателю. Таким образом, Конвенция будет способствовать установлению глобального исходного показ</w:t>
      </w:r>
      <w:r w:rsidRPr="007C2E5E">
        <w:t>а</w:t>
      </w:r>
      <w:r w:rsidRPr="007C2E5E">
        <w:t>теля и регулярному обзору прогресса в плане сотрудничества в области тран</w:t>
      </w:r>
      <w:r w:rsidRPr="007C2E5E">
        <w:t>с</w:t>
      </w:r>
      <w:r w:rsidRPr="007C2E5E">
        <w:t>граничных вод во всем мире.</w:t>
      </w:r>
    </w:p>
    <w:p w:rsidR="007C2E5E" w:rsidRPr="007C2E5E" w:rsidRDefault="007C2E5E" w:rsidP="007C2E5E">
      <w:pPr>
        <w:pStyle w:val="SingleTxtGR"/>
      </w:pPr>
      <w:r w:rsidRPr="007C2E5E">
        <w:t>41.</w:t>
      </w:r>
      <w:r w:rsidRPr="007C2E5E">
        <w:tab/>
        <w:t>Помимо этого, за двухгодичный период деятельность в рамках Конве</w:t>
      </w:r>
      <w:r w:rsidRPr="007C2E5E">
        <w:t>н</w:t>
      </w:r>
      <w:r w:rsidRPr="007C2E5E">
        <w:t>ции по водам приобрела глобальный характер. В предусматриваемой Конвенц</w:t>
      </w:r>
      <w:r w:rsidRPr="007C2E5E">
        <w:t>и</w:t>
      </w:r>
      <w:r w:rsidRPr="007C2E5E">
        <w:t>ей</w:t>
      </w:r>
      <w:r w:rsidR="00E15C0C">
        <w:t xml:space="preserve"> деятельности участвуют более 1</w:t>
      </w:r>
      <w:r w:rsidR="00E15C0C" w:rsidRPr="00E15C0C">
        <w:t>1</w:t>
      </w:r>
      <w:r w:rsidRPr="007C2E5E">
        <w:t>0 стран, включая 60 стран за пределами р</w:t>
      </w:r>
      <w:r w:rsidRPr="007C2E5E">
        <w:t>е</w:t>
      </w:r>
      <w:r w:rsidRPr="007C2E5E">
        <w:t>гиона ЕЭК. Несколько стран за пределами региона, в частности несколько стран Африки и Ближнего Востока, также высказали заинтересованность в пр</w:t>
      </w:r>
      <w:r w:rsidRPr="007C2E5E">
        <w:t>и</w:t>
      </w:r>
      <w:r w:rsidRPr="007C2E5E">
        <w:t>соединении к Конвенции и положили начало соответствующим национальным процессам в этих целях. В 2016 и 2017 годах проводились национальные и р</w:t>
      </w:r>
      <w:r w:rsidRPr="007C2E5E">
        <w:t>е</w:t>
      </w:r>
      <w:r w:rsidRPr="007C2E5E">
        <w:t>гиональные рабочие совещания для стран, расположенных за пределами реги</w:t>
      </w:r>
      <w:r w:rsidRPr="007C2E5E">
        <w:t>о</w:t>
      </w:r>
      <w:r w:rsidRPr="007C2E5E">
        <w:t>на ЕЭК. Глобальное открытие Конвенции уже приносит свои плоды в виде б</w:t>
      </w:r>
      <w:r w:rsidRPr="007C2E5E">
        <w:t>о</w:t>
      </w:r>
      <w:r w:rsidRPr="007C2E5E">
        <w:t>лее эффективного обмена опытом и поощрения передовой практики.</w:t>
      </w:r>
    </w:p>
    <w:p w:rsidR="007C2E5E" w:rsidRPr="007C2E5E" w:rsidRDefault="007C2E5E" w:rsidP="00F41523">
      <w:pPr>
        <w:pStyle w:val="SingleTxtGR"/>
      </w:pPr>
      <w:r w:rsidRPr="007C2E5E">
        <w:t>42.</w:t>
      </w:r>
      <w:r w:rsidRPr="007C2E5E">
        <w:tab/>
        <w:t>По просьбе Сторон в рамках Конвенции была начата работа по решению новых вопросов трансграничного сотрудничества. Например, в сотрудничестве с международными финансовыми учреждениями началось финансирование д</w:t>
      </w:r>
      <w:r w:rsidRPr="007C2E5E">
        <w:t>е</w:t>
      </w:r>
      <w:r w:rsidRPr="007C2E5E">
        <w:t>ятельности по адаптации к изменению климата, а также – в более общем плане</w:t>
      </w:r>
      <w:r w:rsidR="00F41523">
        <w:t> </w:t>
      </w:r>
      <w:r w:rsidRPr="007C2E5E">
        <w:t>– финансирования сотрудничества в области трансграничных водных р</w:t>
      </w:r>
      <w:r w:rsidRPr="007C2E5E">
        <w:t>е</w:t>
      </w:r>
      <w:r w:rsidRPr="007C2E5E">
        <w:t>сурсов.</w:t>
      </w:r>
    </w:p>
    <w:p w:rsidR="007C2E5E" w:rsidRPr="007C2E5E" w:rsidRDefault="007C2E5E" w:rsidP="00F41523">
      <w:pPr>
        <w:pStyle w:val="SingleTxtGR"/>
      </w:pPr>
      <w:r w:rsidRPr="007C2E5E">
        <w:t>43.</w:t>
      </w:r>
      <w:r w:rsidRPr="007C2E5E">
        <w:tab/>
        <w:t>В течение двухгодичного периода были разработаны или вступили в силу несколько трансграничных соглашений, что соответствует основному обяз</w:t>
      </w:r>
      <w:r w:rsidRPr="007C2E5E">
        <w:t>а</w:t>
      </w:r>
      <w:r w:rsidRPr="007C2E5E">
        <w:t>тельству по Конвенции. Крайне важно то, что две стороны – Республика Мо</w:t>
      </w:r>
      <w:r w:rsidRPr="007C2E5E">
        <w:t>л</w:t>
      </w:r>
      <w:r w:rsidRPr="007C2E5E">
        <w:t>дова и Украина – ратифицировали Договор о сотрудничестве в области охраны и устойчивого развития бассейна реки Днестр, который поддержали ЕЭК и</w:t>
      </w:r>
      <w:r w:rsidR="00F41523">
        <w:t> </w:t>
      </w:r>
      <w:r w:rsidRPr="007C2E5E">
        <w:t>ОБСЕ.</w:t>
      </w:r>
    </w:p>
    <w:p w:rsidR="007C2E5E" w:rsidRPr="007C2E5E" w:rsidRDefault="007C2E5E" w:rsidP="007C2E5E">
      <w:pPr>
        <w:pStyle w:val="SingleTxtGR"/>
      </w:pPr>
      <w:r w:rsidRPr="007C2E5E">
        <w:t>44.</w:t>
      </w:r>
      <w:r w:rsidRPr="007C2E5E">
        <w:tab/>
        <w:t>Наконец, был воссоздан инструмент, направленный на содействие ос</w:t>
      </w:r>
      <w:r w:rsidRPr="007C2E5E">
        <w:t>у</w:t>
      </w:r>
      <w:r w:rsidRPr="007C2E5E">
        <w:t>ществлению Конвенции. В мае 2017 года между Казахстаном и ЕЭК был подп</w:t>
      </w:r>
      <w:r w:rsidRPr="007C2E5E">
        <w:t>и</w:t>
      </w:r>
      <w:r w:rsidRPr="007C2E5E">
        <w:t>сан меморандум о взаимопонимании относительно учреждения в Астане ме</w:t>
      </w:r>
      <w:r w:rsidRPr="007C2E5E">
        <w:t>ж</w:t>
      </w:r>
      <w:r w:rsidRPr="007C2E5E">
        <w:t xml:space="preserve">дународного центра по оценке состояния вод, представляющего собой центр сотрудничества для Конвенции по водам. </w:t>
      </w:r>
    </w:p>
    <w:p w:rsidR="007C2E5E" w:rsidRPr="007C2E5E" w:rsidRDefault="007C2E5E" w:rsidP="007C2E5E">
      <w:pPr>
        <w:pStyle w:val="SingleTxtGR"/>
      </w:pPr>
      <w:r w:rsidRPr="007C2E5E">
        <w:t>45.</w:t>
      </w:r>
      <w:r w:rsidRPr="007C2E5E">
        <w:tab/>
        <w:t>Применительно к Протоколу по проблемам воды и здоровья текущий двухгодичный период был отмечен проведением четвертой сесс</w:t>
      </w:r>
      <w:r w:rsidR="00F41523">
        <w:t>ии Совещания Сторон (Женева, 14–</w:t>
      </w:r>
      <w:r w:rsidRPr="007C2E5E">
        <w:t xml:space="preserve">16 ноября 2016 года) и последующей деятельностью по ее итогам. Это совещание стало важной вехой в продвижении повестки дня по проблемам воды и здоровья в панъевропейском регионе. На нем был проведен обзор прогресса и основных достижений за прошедший трехгодичный период в области водоснабжения, санитарии и здравоохранения и принята </w:t>
      </w:r>
      <w:proofErr w:type="gramStart"/>
      <w:r w:rsidRPr="007C2E5E">
        <w:t>амбиц</w:t>
      </w:r>
      <w:r w:rsidR="00F41523">
        <w:t>иозная</w:t>
      </w:r>
      <w:proofErr w:type="gramEnd"/>
      <w:r w:rsidR="00F41523">
        <w:t xml:space="preserve"> программа работы на 2017–</w:t>
      </w:r>
      <w:r w:rsidRPr="007C2E5E">
        <w:t>2019 годы.</w:t>
      </w:r>
    </w:p>
    <w:p w:rsidR="007C2E5E" w:rsidRPr="007C2E5E" w:rsidRDefault="007C2E5E" w:rsidP="007C2E5E">
      <w:pPr>
        <w:pStyle w:val="SingleTxtGR"/>
      </w:pPr>
      <w:r w:rsidRPr="007C2E5E">
        <w:t>46.</w:t>
      </w:r>
      <w:r w:rsidRPr="007C2E5E">
        <w:tab/>
        <w:t xml:space="preserve">В ходе специального заседания высокого уровня было подчеркнуто, что Протокол может наилучшим образом выполнять свою роль в виде поддержки стран и других заинтересованных сторон в реализации Повестки дня на период до 2030 года. </w:t>
      </w:r>
      <w:proofErr w:type="gramStart"/>
      <w:r w:rsidRPr="007C2E5E">
        <w:t>Протокол был признан в качестве мощной платформы, которая обеспечивает конкретные инструменты для практического достижения соотве</w:t>
      </w:r>
      <w:r w:rsidRPr="007C2E5E">
        <w:t>т</w:t>
      </w:r>
      <w:r w:rsidRPr="007C2E5E">
        <w:t>ствующих целей в области устойчивого развития на национальном и реги</w:t>
      </w:r>
      <w:r w:rsidRPr="007C2E5E">
        <w:t>о</w:t>
      </w:r>
      <w:r w:rsidRPr="007C2E5E">
        <w:t>нальном уровнях путем поощрения интеграции политики, использования ц</w:t>
      </w:r>
      <w:r w:rsidRPr="007C2E5E">
        <w:t>е</w:t>
      </w:r>
      <w:r w:rsidRPr="007C2E5E">
        <w:t>лостного и превентивного подхода к вопросам водоснабжения, санитарии и здравоохранения и упор на устойчивое управление водными ресурсами и в</w:t>
      </w:r>
      <w:r w:rsidRPr="007C2E5E">
        <w:t>о</w:t>
      </w:r>
      <w:r w:rsidRPr="007C2E5E">
        <w:t>просы равенства.</w:t>
      </w:r>
      <w:proofErr w:type="gramEnd"/>
    </w:p>
    <w:p w:rsidR="007C2E5E" w:rsidRPr="007C2E5E" w:rsidRDefault="007C2E5E" w:rsidP="007C2E5E">
      <w:pPr>
        <w:pStyle w:val="SingleTxtGR"/>
      </w:pPr>
      <w:r w:rsidRPr="007C2E5E">
        <w:t>47.</w:t>
      </w:r>
      <w:r w:rsidRPr="007C2E5E">
        <w:tab/>
        <w:t>Кроме того, совещание Сторон приняло решение о представлении отче</w:t>
      </w:r>
      <w:r w:rsidRPr="007C2E5E">
        <w:t>т</w:t>
      </w:r>
      <w:r w:rsidRPr="007C2E5E">
        <w:t>ности согласно статье 7 Протокола, в соответствии с которым пересматриваю</w:t>
      </w:r>
      <w:r w:rsidRPr="007C2E5E">
        <w:t>т</w:t>
      </w:r>
      <w:r w:rsidRPr="007C2E5E">
        <w:t xml:space="preserve">ся руководящие принципы и типовая форма для кратких докладов, с </w:t>
      </w:r>
      <w:proofErr w:type="gramStart"/>
      <w:r w:rsidRPr="007C2E5E">
        <w:t>тем</w:t>
      </w:r>
      <w:proofErr w:type="gramEnd"/>
      <w:r w:rsidRPr="007C2E5E">
        <w:t xml:space="preserve"> чтобы отразить новшества в работе по Протоколу, в том числе в связи с Повесткой дня на период до 2030 года, и три решения, представленные Комитетом по собл</w:t>
      </w:r>
      <w:r w:rsidRPr="007C2E5E">
        <w:t>ю</w:t>
      </w:r>
      <w:r w:rsidRPr="007C2E5E">
        <w:t>дению, в том числе решение по общим вопросам соблюдения.</w:t>
      </w:r>
    </w:p>
    <w:p w:rsidR="007C2E5E" w:rsidRPr="007C2E5E" w:rsidRDefault="007C2E5E" w:rsidP="007C2E5E">
      <w:pPr>
        <w:pStyle w:val="SingleTxtGR"/>
      </w:pPr>
      <w:r w:rsidRPr="007C2E5E">
        <w:t>48.</w:t>
      </w:r>
      <w:r w:rsidRPr="007C2E5E">
        <w:tab/>
        <w:t>В течение двухгодичного периода оказание помощи нескольким проектам стимулировало прогресс в деле обеспечения равного доступа к воде и санит</w:t>
      </w:r>
      <w:r w:rsidRPr="007C2E5E">
        <w:t>а</w:t>
      </w:r>
      <w:r w:rsidRPr="007C2E5E">
        <w:t>рии в панъевропейском регионе. Проведение самооценок в отношении равного доступа с использованием механизма для соответствующей оценки было з</w:t>
      </w:r>
      <w:r w:rsidRPr="007C2E5E">
        <w:t>а</w:t>
      </w:r>
      <w:r w:rsidRPr="007C2E5E">
        <w:t>вершено в Армении, бывшей югославской Республике Македония, Венгрии и Испании. В настоящее время такие самооценки проводятся в Азербайджане и Сербии.</w:t>
      </w:r>
    </w:p>
    <w:p w:rsidR="007C2E5E" w:rsidRPr="007C2E5E" w:rsidRDefault="00BC2F80" w:rsidP="00F41523">
      <w:pPr>
        <w:pStyle w:val="H4GR"/>
      </w:pPr>
      <w:r>
        <w:br w:type="page"/>
      </w:r>
      <w:r w:rsidR="007C2E5E" w:rsidRPr="007C2E5E">
        <w:tab/>
      </w:r>
      <w:r w:rsidR="007C2E5E" w:rsidRPr="007C2E5E">
        <w:tab/>
        <w:t>Извлеченные уроки/области, нуждающиеся в усовершенствовании</w:t>
      </w:r>
    </w:p>
    <w:p w:rsidR="007C2E5E" w:rsidRPr="007C2E5E" w:rsidRDefault="007C2E5E" w:rsidP="00F41523">
      <w:pPr>
        <w:pStyle w:val="SingleTxtGR"/>
      </w:pPr>
      <w:r w:rsidRPr="007C2E5E">
        <w:t>49.</w:t>
      </w:r>
      <w:r w:rsidRPr="007C2E5E">
        <w:tab/>
        <w:t>Регулярное представление отчетности по Конвенции и по показат</w:t>
      </w:r>
      <w:r w:rsidRPr="007C2E5E">
        <w:t>е</w:t>
      </w:r>
      <w:r w:rsidRPr="007C2E5E">
        <w:t>лю</w:t>
      </w:r>
      <w:r w:rsidR="00F41523">
        <w:t> </w:t>
      </w:r>
      <w:r w:rsidRPr="007C2E5E">
        <w:t>6.5.2 к целям в области устойчивого развития создает не только многочи</w:t>
      </w:r>
      <w:r w:rsidRPr="007C2E5E">
        <w:t>с</w:t>
      </w:r>
      <w:r w:rsidRPr="007C2E5E">
        <w:t>ленные новые возможности для укрепления трансграничного сотрудничества, но и трудности, в том числе с точки зрения потребностей в ресурсах.</w:t>
      </w:r>
    </w:p>
    <w:p w:rsidR="007C2E5E" w:rsidRPr="007C2E5E" w:rsidRDefault="007C2E5E" w:rsidP="007C2E5E">
      <w:pPr>
        <w:pStyle w:val="SingleTxtGR"/>
      </w:pPr>
      <w:r w:rsidRPr="007C2E5E">
        <w:t>50.</w:t>
      </w:r>
      <w:r w:rsidRPr="007C2E5E">
        <w:tab/>
        <w:t>Применение и осуществление Конвенции по трансграничным водам на глобальном уровне является приоритетом для содействия трансграничному с</w:t>
      </w:r>
      <w:r w:rsidRPr="007C2E5E">
        <w:t>о</w:t>
      </w:r>
      <w:r w:rsidRPr="007C2E5E">
        <w:t>трудничеству во всем мире. Открытие доступа к Конвенции для стран за пред</w:t>
      </w:r>
      <w:r w:rsidRPr="007C2E5E">
        <w:t>е</w:t>
      </w:r>
      <w:r w:rsidRPr="007C2E5E">
        <w:t>лами региона ЕЭК создает новые возможности, а также новые вызовы и п</w:t>
      </w:r>
      <w:r w:rsidRPr="007C2E5E">
        <w:t>о</w:t>
      </w:r>
      <w:r w:rsidRPr="007C2E5E">
        <w:t>требности в ресурсах и партнерстве. В других регионах необходимо будет пр</w:t>
      </w:r>
      <w:r w:rsidRPr="007C2E5E">
        <w:t>о</w:t>
      </w:r>
      <w:r w:rsidRPr="007C2E5E">
        <w:t>водить работу по повышению информированности, наращиванию потенциала и деятельности на местах, начало которой уже положено. Для повышения эффе</w:t>
      </w:r>
      <w:r w:rsidRPr="007C2E5E">
        <w:t>к</w:t>
      </w:r>
      <w:r w:rsidRPr="007C2E5E">
        <w:t>тивности деятельности в этих новых условиях разрабатывается стратегия в ц</w:t>
      </w:r>
      <w:r w:rsidRPr="007C2E5E">
        <w:t>е</w:t>
      </w:r>
      <w:r w:rsidRPr="007C2E5E">
        <w:t>лях осуществления Конвенции на глобальном уровне, в которой большое вн</w:t>
      </w:r>
      <w:r w:rsidRPr="007C2E5E">
        <w:t>и</w:t>
      </w:r>
      <w:r w:rsidRPr="007C2E5E">
        <w:t>мание уделяется партнерским связям, в том числе в рамках партнерских отн</w:t>
      </w:r>
      <w:r w:rsidRPr="007C2E5E">
        <w:t>о</w:t>
      </w:r>
      <w:r w:rsidRPr="007C2E5E">
        <w:t>шений с региональными организациями.</w:t>
      </w:r>
    </w:p>
    <w:p w:rsidR="007C2E5E" w:rsidRPr="007C2E5E" w:rsidRDefault="007C2E5E" w:rsidP="007C2E5E">
      <w:pPr>
        <w:pStyle w:val="SingleTxtGR"/>
      </w:pPr>
      <w:r w:rsidRPr="007C2E5E">
        <w:t>51.</w:t>
      </w:r>
      <w:r w:rsidRPr="007C2E5E">
        <w:tab/>
      </w:r>
      <w:proofErr w:type="gramStart"/>
      <w:r w:rsidRPr="007C2E5E">
        <w:t>Что касается Протокола по проблемам воды и здоровья, то его программа работы на период 2017</w:t>
      </w:r>
      <w:r w:rsidR="00F41523">
        <w:t>–</w:t>
      </w:r>
      <w:r w:rsidRPr="007C2E5E">
        <w:t>2019 годов будет направлена на сокращение водных р</w:t>
      </w:r>
      <w:r w:rsidRPr="007C2E5E">
        <w:t>е</w:t>
      </w:r>
      <w:r w:rsidRPr="007C2E5E">
        <w:t>сурсов, санитарии и пробелов в сфере здравоохранения в панъевропейском р</w:t>
      </w:r>
      <w:r w:rsidRPr="007C2E5E">
        <w:t>е</w:t>
      </w:r>
      <w:r w:rsidRPr="007C2E5E">
        <w:t>гионе путем дальнейшего решения основных проблем в важнейших стратег</w:t>
      </w:r>
      <w:r w:rsidRPr="007C2E5E">
        <w:t>и</w:t>
      </w:r>
      <w:r w:rsidRPr="007C2E5E">
        <w:t>ческих областях, выбранных Сторонами и другими государствами в качестве приоритетных, а именно: установление целевых показателей и отчетность, пр</w:t>
      </w:r>
      <w:r w:rsidRPr="007C2E5E">
        <w:t>е</w:t>
      </w:r>
      <w:r w:rsidRPr="007C2E5E">
        <w:t>дупреждение и сокращение масштабов распространения</w:t>
      </w:r>
      <w:proofErr w:type="gramEnd"/>
      <w:r w:rsidRPr="007C2E5E">
        <w:t xml:space="preserve"> заболеваний, связа</w:t>
      </w:r>
      <w:r w:rsidRPr="007C2E5E">
        <w:t>н</w:t>
      </w:r>
      <w:r w:rsidRPr="007C2E5E">
        <w:t>ных с водой, маломасштабное водоснабжение и санитарно-гигиеническое обе</w:t>
      </w:r>
      <w:r w:rsidRPr="007C2E5E">
        <w:t>с</w:t>
      </w:r>
      <w:r w:rsidRPr="007C2E5E">
        <w:t xml:space="preserve">печение и равный доступ. В соответствии с </w:t>
      </w:r>
      <w:r w:rsidR="00F41523">
        <w:t>Повесткой дня на период до 2030 </w:t>
      </w:r>
      <w:r w:rsidRPr="007C2E5E">
        <w:t>года новая программа работы будет также способствовать повышению внимания к вопросам санитарии и безопасного повторного использования сто</w:t>
      </w:r>
      <w:r w:rsidRPr="007C2E5E">
        <w:t>ч</w:t>
      </w:r>
      <w:r w:rsidRPr="007C2E5E">
        <w:t>ных вод, устойчивости к изменению климата, водоснабжения, санитарии и г</w:t>
      </w:r>
      <w:r w:rsidRPr="007C2E5E">
        <w:t>и</w:t>
      </w:r>
      <w:r w:rsidRPr="007C2E5E">
        <w:t>гиены в школах и медицинских учреждениях.</w:t>
      </w:r>
    </w:p>
    <w:p w:rsidR="007C2E5E" w:rsidRPr="007C2E5E" w:rsidRDefault="007C2E5E" w:rsidP="00F41523">
      <w:pPr>
        <w:pStyle w:val="H4GR"/>
      </w:pPr>
      <w:r w:rsidRPr="007C2E5E">
        <w:tab/>
      </w:r>
      <w:r w:rsidRPr="007C2E5E">
        <w:tab/>
        <w:t>Показатели достижения результатов</w:t>
      </w:r>
    </w:p>
    <w:p w:rsidR="007C2E5E" w:rsidRPr="007C2E5E" w:rsidRDefault="007C2E5E" w:rsidP="007C2E5E">
      <w:pPr>
        <w:pStyle w:val="SingleTxtGR"/>
      </w:pPr>
      <w:r w:rsidRPr="007C2E5E">
        <w:t>Увеличение числа стран, сообщающих о прогрессе в деле осуществления Ко</w:t>
      </w:r>
      <w:r w:rsidRPr="007C2E5E">
        <w:t>н</w:t>
      </w:r>
      <w:r w:rsidRPr="007C2E5E">
        <w:t>венции и Протокола по проблемам воды и здоровья посредством:</w:t>
      </w:r>
    </w:p>
    <w:p w:rsidR="007C2E5E" w:rsidRPr="007C2E5E" w:rsidRDefault="00F41523" w:rsidP="007C2E5E">
      <w:pPr>
        <w:pStyle w:val="SingleTxtGR"/>
      </w:pPr>
      <w:r>
        <w:tab/>
      </w:r>
      <w:r w:rsidR="007C2E5E" w:rsidRPr="007C2E5E">
        <w:t>а)</w:t>
      </w:r>
      <w:r w:rsidR="007C2E5E" w:rsidRPr="007C2E5E">
        <w:tab/>
        <w:t>интенсивной деятельности по наращиванию потенциала в странах, не являющихся Сторонами Конвенции по водам (среднее количество человеко-дней на одну страну, не являющуюся Стороной);</w:t>
      </w:r>
    </w:p>
    <w:p w:rsidR="007C2E5E" w:rsidRPr="007C2E5E" w:rsidRDefault="00F41523" w:rsidP="007C2E5E">
      <w:pPr>
        <w:pStyle w:val="SingleTxtGR"/>
      </w:pPr>
      <w:r>
        <w:tab/>
      </w:r>
      <w:r w:rsidR="007C2E5E" w:rsidRPr="007C2E5E">
        <w:t>b)</w:t>
      </w:r>
      <w:r w:rsidR="007C2E5E" w:rsidRPr="007C2E5E">
        <w:tab/>
        <w:t>интенсивной деятельности по наращиванию потенциала в странах, не являющихся Сторонами Протокола по проблемам воды и здоровья (среднее количество человеко-дней на одну страну, не являющуюся Стороной);</w:t>
      </w:r>
    </w:p>
    <w:p w:rsidR="007C2E5E" w:rsidRPr="007C2E5E" w:rsidRDefault="00F41523" w:rsidP="007C2E5E">
      <w:pPr>
        <w:pStyle w:val="SingleTxtGR"/>
      </w:pPr>
      <w:r>
        <w:tab/>
      </w:r>
      <w:r w:rsidR="007C2E5E" w:rsidRPr="007C2E5E">
        <w:t>с)</w:t>
      </w:r>
      <w:r w:rsidR="007C2E5E" w:rsidRPr="007C2E5E">
        <w:tab/>
        <w:t>увеличения числа ратификаций Протокола по проблемам воды и здоровья;</w:t>
      </w:r>
    </w:p>
    <w:p w:rsidR="007C2E5E" w:rsidRPr="007C2E5E" w:rsidRDefault="00F41523" w:rsidP="007C2E5E">
      <w:pPr>
        <w:pStyle w:val="SingleTxtGR"/>
      </w:pPr>
      <w:r>
        <w:tab/>
      </w:r>
      <w:r w:rsidR="007C2E5E" w:rsidRPr="007C2E5E">
        <w:t>d)</w:t>
      </w:r>
      <w:r w:rsidR="007C2E5E" w:rsidRPr="007C2E5E">
        <w:tab/>
        <w:t>увеличения числа присоединений к Конвенции по водам госуда</w:t>
      </w:r>
      <w:r w:rsidR="007C2E5E" w:rsidRPr="007C2E5E">
        <w:t>р</w:t>
      </w:r>
      <w:r w:rsidR="007C2E5E" w:rsidRPr="007C2E5E">
        <w:t>ствами, не являющимися членами ЕЭК</w:t>
      </w:r>
      <w:r w:rsidR="007C2E5E" w:rsidRPr="00A47BEE">
        <w:rPr>
          <w:rStyle w:val="aa"/>
        </w:rPr>
        <w:footnoteReference w:id="15"/>
      </w:r>
      <w:r w:rsidR="00443DFF">
        <w:t>.</w:t>
      </w:r>
    </w:p>
    <w:p w:rsidR="007C2E5E" w:rsidRPr="007C2E5E" w:rsidRDefault="007C2E5E" w:rsidP="00F41523">
      <w:pPr>
        <w:pStyle w:val="H4GR"/>
      </w:pPr>
      <w:r w:rsidRPr="007C2E5E">
        <w:tab/>
      </w:r>
      <w:r w:rsidRPr="007C2E5E">
        <w:tab/>
        <w:t>Итоги измерения результативности</w:t>
      </w:r>
    </w:p>
    <w:p w:rsidR="007C2E5E" w:rsidRPr="007C2E5E" w:rsidRDefault="00F41523" w:rsidP="007C2E5E">
      <w:pPr>
        <w:pStyle w:val="SingleTxtGR"/>
      </w:pPr>
      <w:r>
        <w:t>2010–</w:t>
      </w:r>
      <w:r w:rsidR="007C2E5E" w:rsidRPr="007C2E5E">
        <w:t>2011 годы: a) 50; b) 20; c) 25; d) неприменимо</w:t>
      </w:r>
    </w:p>
    <w:p w:rsidR="007C2E5E" w:rsidRPr="007C2E5E" w:rsidRDefault="00F41523" w:rsidP="007C2E5E">
      <w:pPr>
        <w:pStyle w:val="SingleTxtGR"/>
      </w:pPr>
      <w:r>
        <w:t>2012–</w:t>
      </w:r>
      <w:r w:rsidR="007C2E5E" w:rsidRPr="007C2E5E">
        <w:t>2013 годы: a) 66; b) 25; c) 26; d) неприменимо</w:t>
      </w:r>
    </w:p>
    <w:p w:rsidR="007C2E5E" w:rsidRPr="007C2E5E" w:rsidRDefault="007C2E5E" w:rsidP="00F41523">
      <w:pPr>
        <w:pStyle w:val="SingleTxtGR"/>
      </w:pPr>
      <w:r w:rsidRPr="007C2E5E">
        <w:t>2014</w:t>
      </w:r>
      <w:r w:rsidR="00F41523">
        <w:t>–</w:t>
      </w:r>
      <w:r w:rsidRPr="007C2E5E">
        <w:t>2015 годы: a) 67; b) 50; c) 26 d) 0</w:t>
      </w:r>
      <w:r w:rsidRPr="00A47BEE">
        <w:rPr>
          <w:rStyle w:val="aa"/>
        </w:rPr>
        <w:footnoteReference w:id="16"/>
      </w:r>
      <w:r w:rsidRPr="007C2E5E">
        <w:t xml:space="preserve"> </w:t>
      </w:r>
    </w:p>
    <w:p w:rsidR="007C2E5E" w:rsidRPr="007C2E5E" w:rsidRDefault="007C2E5E" w:rsidP="007C2E5E">
      <w:pPr>
        <w:pStyle w:val="SingleTxtGR"/>
      </w:pPr>
      <w:r w:rsidRPr="007C2E5E">
        <w:t>Целевой показатель на 2016−2017 годы: a) 50; b) 35; c) 27; d) 1</w:t>
      </w:r>
    </w:p>
    <w:p w:rsidR="007C2E5E" w:rsidRPr="007C2E5E" w:rsidRDefault="007C2E5E" w:rsidP="00F41523">
      <w:pPr>
        <w:pStyle w:val="SingleTxtGR"/>
      </w:pPr>
      <w:r w:rsidRPr="007C2E5E">
        <w:t>Фактические р</w:t>
      </w:r>
      <w:r w:rsidR="00F41523">
        <w:t>езультаты за 2016–</w:t>
      </w:r>
      <w:r w:rsidRPr="007C2E5E">
        <w:t>2017 годы (по состоянию на 15 августа 2017</w:t>
      </w:r>
      <w:r w:rsidR="00F41523">
        <w:t> </w:t>
      </w:r>
      <w:r w:rsidRPr="007C2E5E">
        <w:t>года): a) 35; b) 31; c) 26; d) 0</w:t>
      </w:r>
    </w:p>
    <w:p w:rsidR="007C2E5E" w:rsidRPr="007C2E5E" w:rsidRDefault="007C2E5E" w:rsidP="0093328F">
      <w:pPr>
        <w:pStyle w:val="HChGR"/>
      </w:pPr>
      <w:r w:rsidRPr="007C2E5E">
        <w:tab/>
      </w:r>
      <w:r w:rsidRPr="007C2E5E">
        <w:tab/>
        <w:t xml:space="preserve">Тематический блок 9 </w:t>
      </w:r>
      <w:r w:rsidR="00F41523">
        <w:br/>
      </w:r>
      <w:r w:rsidRPr="007C2E5E">
        <w:t xml:space="preserve">Конвенция о трансграничном воздействии промышленных аварий (Конвенция о промышленных авариях) </w:t>
      </w:r>
    </w:p>
    <w:p w:rsidR="007C2E5E" w:rsidRPr="007C2E5E" w:rsidRDefault="007C2E5E" w:rsidP="00F41523">
      <w:pPr>
        <w:pStyle w:val="H4GR"/>
      </w:pPr>
      <w:r w:rsidRPr="007C2E5E">
        <w:tab/>
      </w:r>
      <w:r w:rsidRPr="007C2E5E">
        <w:tab/>
        <w:t>Ожидаемое достижение</w:t>
      </w:r>
    </w:p>
    <w:p w:rsidR="007C2E5E" w:rsidRPr="007C2E5E" w:rsidRDefault="007C2E5E" w:rsidP="007C2E5E">
      <w:pPr>
        <w:pStyle w:val="SingleTxtGR"/>
      </w:pPr>
      <w:r w:rsidRPr="007C2E5E">
        <w:t>Активизация осуществления Конвенции о промышленных авариях</w:t>
      </w:r>
    </w:p>
    <w:p w:rsidR="007C2E5E" w:rsidRPr="007C2E5E" w:rsidRDefault="007C2E5E" w:rsidP="00F41523">
      <w:pPr>
        <w:pStyle w:val="H4GR"/>
      </w:pPr>
      <w:r w:rsidRPr="007C2E5E">
        <w:tab/>
      </w:r>
      <w:r w:rsidRPr="007C2E5E">
        <w:tab/>
        <w:t>Отчет о достижениях/полученных результатах</w:t>
      </w:r>
    </w:p>
    <w:p w:rsidR="007C2E5E" w:rsidRPr="007C2E5E" w:rsidRDefault="007C2E5E" w:rsidP="007C2E5E">
      <w:pPr>
        <w:pStyle w:val="SingleTxtGR"/>
      </w:pPr>
      <w:r w:rsidRPr="007C2E5E">
        <w:t>52.</w:t>
      </w:r>
      <w:r w:rsidRPr="007C2E5E">
        <w:tab/>
        <w:t xml:space="preserve">В течение двухгодичного периода в сотрудничестве с Конвенцией </w:t>
      </w:r>
      <w:proofErr w:type="spellStart"/>
      <w:r w:rsidRPr="007C2E5E">
        <w:t>Эспо</w:t>
      </w:r>
      <w:proofErr w:type="spellEnd"/>
      <w:r w:rsidRPr="007C2E5E">
        <w:t xml:space="preserve"> и Протоколом по СЭО, Комитетом по жилищному хозяйству и землепользованию и Европейским инвестиционным банком было разработано Руководство по пл</w:t>
      </w:r>
      <w:r w:rsidRPr="007C2E5E">
        <w:t>а</w:t>
      </w:r>
      <w:r w:rsidRPr="007C2E5E">
        <w:t>нированию землепользования, размещению объектов, на которых осуществл</w:t>
      </w:r>
      <w:r w:rsidRPr="007C2E5E">
        <w:t>я</w:t>
      </w:r>
      <w:r w:rsidRPr="007C2E5E">
        <w:t>ется опасная деятельность, и связанным с ними аспектам безопасности. В ходе проведенного в этой связи рабочего совещания состоялся обмен опытом и пер</w:t>
      </w:r>
      <w:r w:rsidRPr="007C2E5E">
        <w:t>е</w:t>
      </w:r>
      <w:r w:rsidRPr="007C2E5E">
        <w:t>довой практикой, а также было налажено сотрудничество между органами по оценке состояния окружающей среды и промышленной безопасности. В дека</w:t>
      </w:r>
      <w:r w:rsidRPr="007C2E5E">
        <w:t>б</w:t>
      </w:r>
      <w:r w:rsidRPr="007C2E5E">
        <w:t xml:space="preserve">ре 2016 года по случаю проведения девятого совещания Конференции </w:t>
      </w:r>
      <w:r w:rsidR="00443DFF" w:rsidRPr="007C2E5E">
        <w:t xml:space="preserve">Сторон </w:t>
      </w:r>
      <w:r w:rsidRPr="007C2E5E">
        <w:t>Конвенции 41 Сторона Конвенции о промышленных авариях приняла к свед</w:t>
      </w:r>
      <w:r w:rsidRPr="007C2E5E">
        <w:t>е</w:t>
      </w:r>
      <w:r w:rsidRPr="007C2E5E">
        <w:t>нию разработанное Руководство.</w:t>
      </w:r>
    </w:p>
    <w:p w:rsidR="007C2E5E" w:rsidRPr="007C2E5E" w:rsidRDefault="007C2E5E" w:rsidP="007C2E5E">
      <w:pPr>
        <w:pStyle w:val="SingleTxtGR"/>
      </w:pPr>
      <w:r w:rsidRPr="007C2E5E">
        <w:t>53.</w:t>
      </w:r>
      <w:r w:rsidRPr="007C2E5E">
        <w:tab/>
        <w:t xml:space="preserve">В рамках девятого совещания Конференции Сторон совместно с ОЭСР был проведен семинар по содействию осуществлению Повестки дня на период до 2030 года и </w:t>
      </w:r>
      <w:proofErr w:type="spellStart"/>
      <w:r w:rsidRPr="007C2E5E">
        <w:t>Сендайской</w:t>
      </w:r>
      <w:proofErr w:type="spellEnd"/>
      <w:r w:rsidRPr="007C2E5E">
        <w:t xml:space="preserve"> рамочной программы по сниже</w:t>
      </w:r>
      <w:r w:rsidR="00F41523">
        <w:t>нию риска бедствий на 2015–</w:t>
      </w:r>
      <w:r w:rsidRPr="007C2E5E">
        <w:t>2030 годы. Этот семинар позволил лучше понять, каким образом ЕЭК в рамках Конвенции о промышленных авариях и ОЭСР содействуют предотвр</w:t>
      </w:r>
      <w:r w:rsidRPr="007C2E5E">
        <w:t>а</w:t>
      </w:r>
      <w:r w:rsidRPr="007C2E5E">
        <w:t xml:space="preserve">щению промышленных аварий, обеспечению готовности к ним и ликвидации их последствий в работе по достижению целей в области устойчивого развития и выполнению </w:t>
      </w:r>
      <w:proofErr w:type="spellStart"/>
      <w:r w:rsidRPr="007C2E5E">
        <w:t>Сендайской</w:t>
      </w:r>
      <w:proofErr w:type="spellEnd"/>
      <w:r w:rsidRPr="007C2E5E">
        <w:t xml:space="preserve"> рамочной программы. Он также позволил обменят</w:t>
      </w:r>
      <w:r w:rsidRPr="007C2E5E">
        <w:t>ь</w:t>
      </w:r>
      <w:r w:rsidRPr="007C2E5E">
        <w:t>ся национальным опытом и передовой практикой в таких вопросах, как поо</w:t>
      </w:r>
      <w:r w:rsidRPr="007C2E5E">
        <w:t>щ</w:t>
      </w:r>
      <w:r w:rsidRPr="007C2E5E">
        <w:t>рение оценки рисков, принятие превентивных мер для уменьшения риска те</w:t>
      </w:r>
      <w:r w:rsidRPr="007C2E5E">
        <w:t>х</w:t>
      </w:r>
      <w:r w:rsidRPr="007C2E5E">
        <w:t>ногенных катастроф, выделение средств на цели обеспечения готовности к ок</w:t>
      </w:r>
      <w:r w:rsidRPr="007C2E5E">
        <w:t>а</w:t>
      </w:r>
      <w:r w:rsidRPr="007C2E5E">
        <w:t xml:space="preserve">занию помощи, разработка и осуществление национальной </w:t>
      </w:r>
      <w:proofErr w:type="gramStart"/>
      <w:r w:rsidRPr="007C2E5E">
        <w:t>политики</w:t>
      </w:r>
      <w:proofErr w:type="gramEnd"/>
      <w:r w:rsidRPr="007C2E5E">
        <w:t xml:space="preserve"> и тран</w:t>
      </w:r>
      <w:r w:rsidRPr="007C2E5E">
        <w:t>с</w:t>
      </w:r>
      <w:r w:rsidRPr="007C2E5E">
        <w:t>граничное сотрудничество в целях укрепления потенциала противодействия.</w:t>
      </w:r>
    </w:p>
    <w:p w:rsidR="007C2E5E" w:rsidRPr="007C2E5E" w:rsidRDefault="007C2E5E" w:rsidP="001A655D">
      <w:pPr>
        <w:pStyle w:val="SingleTxtGR"/>
      </w:pPr>
      <w:r w:rsidRPr="007C2E5E">
        <w:t>54.</w:t>
      </w:r>
      <w:r w:rsidRPr="007C2E5E">
        <w:tab/>
        <w:t>В рамках Программы по оказанию помощи в целях Конвенции в течение двухгодичного периода началось осуществление проекта по укреплению пр</w:t>
      </w:r>
      <w:r w:rsidRPr="007C2E5E">
        <w:t>о</w:t>
      </w:r>
      <w:r w:rsidRPr="007C2E5E">
        <w:t>мышленной безопасности в Центральной Азии, в ходе которого в Казахстане и Кыргызстане были проведены национальные совещания экспертов и заплан</w:t>
      </w:r>
      <w:r w:rsidRPr="007C2E5E">
        <w:t>и</w:t>
      </w:r>
      <w:r w:rsidRPr="007C2E5E">
        <w:t>рованы другие дополнительные совещания. Эта деятельность уже привела к подготовке национальных самооценок и планов действий, способствующих в</w:t>
      </w:r>
      <w:r w:rsidRPr="007C2E5E">
        <w:t>ы</w:t>
      </w:r>
      <w:r w:rsidRPr="007C2E5E">
        <w:t>явлению мер по укреплению промышленной безопасности в соответствии с требованиями Конвенции. Кроме того, были проведены два субрегиональных рабочих совещания по вопросам регулирования химических веществ, выявл</w:t>
      </w:r>
      <w:r w:rsidRPr="007C2E5E">
        <w:t>е</w:t>
      </w:r>
      <w:r w:rsidRPr="007C2E5E">
        <w:t>ния опасных видов деятельности и уведомления о них: первое – для стран Юго-Восточной Европы и второе – для стран Восточной Европы и Кавказа. Эти р</w:t>
      </w:r>
      <w:r w:rsidRPr="007C2E5E">
        <w:t>а</w:t>
      </w:r>
      <w:r w:rsidRPr="007C2E5E">
        <w:t>бочие совещания позволили улучшить понимание пересмотренного приложения</w:t>
      </w:r>
      <w:r w:rsidR="001A655D">
        <w:rPr>
          <w:lang w:val="en-US"/>
        </w:rPr>
        <w:t> </w:t>
      </w:r>
      <w:r w:rsidRPr="007C2E5E">
        <w:t>I к Конвенции, требований по его осуществлению, а также укр</w:t>
      </w:r>
      <w:r w:rsidRPr="007C2E5E">
        <w:t>е</w:t>
      </w:r>
      <w:r w:rsidRPr="007C2E5E">
        <w:t xml:space="preserve">пить национальное и трансграничное сотрудничество в этой области. </w:t>
      </w:r>
    </w:p>
    <w:p w:rsidR="007C2E5E" w:rsidRPr="007C2E5E" w:rsidRDefault="007C2E5E" w:rsidP="007C2E5E">
      <w:pPr>
        <w:pStyle w:val="SingleTxtGR"/>
      </w:pPr>
      <w:r w:rsidRPr="007C2E5E">
        <w:t>55.</w:t>
      </w:r>
      <w:r w:rsidRPr="007C2E5E">
        <w:tab/>
        <w:t>В целях содействия применению Конвенции государствами – членами ЕЭК были подготовлены и изданы многочисленные публикации и руководящие материалы: a) Трансграничные проблемы, общие стратегии. Почему трансгр</w:t>
      </w:r>
      <w:r w:rsidRPr="007C2E5E">
        <w:t>а</w:t>
      </w:r>
      <w:r w:rsidRPr="007C2E5E">
        <w:t>ничное сотрудничество имеет значение в предотвращении промышленных ав</w:t>
      </w:r>
      <w:r w:rsidRPr="007C2E5E">
        <w:t>а</w:t>
      </w:r>
      <w:r w:rsidRPr="007C2E5E">
        <w:t>рий; b) Международные усилия по предотвращению промышленных и химич</w:t>
      </w:r>
      <w:r w:rsidRPr="007C2E5E">
        <w:t>е</w:t>
      </w:r>
      <w:r w:rsidRPr="007C2E5E">
        <w:t xml:space="preserve">ских аварий, обеспечению готовности к ним и ликвидации их последствий (подготовлено в рамках </w:t>
      </w:r>
      <w:proofErr w:type="spellStart"/>
      <w:r w:rsidRPr="007C2E5E">
        <w:t>Межучрежденческой</w:t>
      </w:r>
      <w:proofErr w:type="spellEnd"/>
      <w:r w:rsidRPr="007C2E5E">
        <w:t xml:space="preserve"> координационной группы по пр</w:t>
      </w:r>
      <w:r w:rsidRPr="007C2E5E">
        <w:t>о</w:t>
      </w:r>
      <w:r w:rsidRPr="007C2E5E">
        <w:t>мышленным авариям); c) Конвенция о трансграничном воздействии промы</w:t>
      </w:r>
      <w:r w:rsidRPr="007C2E5E">
        <w:t>ш</w:t>
      </w:r>
      <w:r w:rsidRPr="007C2E5E">
        <w:t>ленных аварий (переиздание с поправками к приложению I); d) Контрольный перечень по планированию действий в чрезвычайных ситуациях для аварий, влияющих на трансграничные воды; e) Руководство по планированию земл</w:t>
      </w:r>
      <w:r w:rsidRPr="007C2E5E">
        <w:t>е</w:t>
      </w:r>
      <w:r w:rsidRPr="007C2E5E">
        <w:t>пользования, размещению объектов, на которых осуществляется опасная де</w:t>
      </w:r>
      <w:r w:rsidRPr="007C2E5E">
        <w:t>я</w:t>
      </w:r>
      <w:r w:rsidRPr="007C2E5E">
        <w:t>тельность, и связанные с ними аспекты безопасности (общие и технические р</w:t>
      </w:r>
      <w:r w:rsidRPr="007C2E5E">
        <w:t>у</w:t>
      </w:r>
      <w:r w:rsidRPr="007C2E5E">
        <w:t>ководящие указания). В рамках Совместной группы экспертов по проблемам воды и промышленных аварий (вместе с конвенциями по водам) и ее Группы экспертов по предотвращению стока воды, использованной при пожаротуш</w:t>
      </w:r>
      <w:r w:rsidRPr="007C2E5E">
        <w:t>е</w:t>
      </w:r>
      <w:r w:rsidRPr="007C2E5E">
        <w:t>нии, была начата подготовка руководства в отношении стратегий предотвращ</w:t>
      </w:r>
      <w:r w:rsidRPr="007C2E5E">
        <w:t>е</w:t>
      </w:r>
      <w:r w:rsidRPr="007C2E5E">
        <w:t>ния стока воды, использованной при пожаротушении.</w:t>
      </w:r>
    </w:p>
    <w:p w:rsidR="007C2E5E" w:rsidRPr="007C2E5E" w:rsidRDefault="007C2E5E" w:rsidP="0084398D">
      <w:pPr>
        <w:pStyle w:val="H4GR"/>
      </w:pPr>
      <w:r w:rsidRPr="007C2E5E">
        <w:tab/>
      </w:r>
      <w:r w:rsidRPr="007C2E5E">
        <w:tab/>
        <w:t>Извлеченные уроки/области, нуждающиеся в усовершенствовании</w:t>
      </w:r>
    </w:p>
    <w:p w:rsidR="007C2E5E" w:rsidRPr="007C2E5E" w:rsidRDefault="007C2E5E" w:rsidP="00443DFF">
      <w:pPr>
        <w:pStyle w:val="SingleTxtGR"/>
      </w:pPr>
      <w:r w:rsidRPr="007C2E5E">
        <w:t>56.</w:t>
      </w:r>
      <w:r w:rsidRPr="007C2E5E">
        <w:tab/>
        <w:t>Наращивание потенциала в странах</w:t>
      </w:r>
      <w:r w:rsidR="00443DFF">
        <w:t xml:space="preserve"> – </w:t>
      </w:r>
      <w:r w:rsidRPr="007C2E5E">
        <w:t>бенефициарах Программы по ок</w:t>
      </w:r>
      <w:r w:rsidRPr="007C2E5E">
        <w:t>а</w:t>
      </w:r>
      <w:r w:rsidRPr="007C2E5E">
        <w:t>занию помощи через проекты, осуществляемые в рамках Конвенции, имеет принципиальное значение в плане расширения возможностей стран с точки зрения укрепления промышленной безопасности в соответствии с требовани</w:t>
      </w:r>
      <w:r w:rsidRPr="007C2E5E">
        <w:t>я</w:t>
      </w:r>
      <w:r w:rsidRPr="007C2E5E">
        <w:t>ми Конвенции. Подготовке национальных самооценок и планов действий – ключевых инструментов стратегического подхода Программы по оказанию п</w:t>
      </w:r>
      <w:r w:rsidRPr="007C2E5E">
        <w:t>о</w:t>
      </w:r>
      <w:r w:rsidRPr="007C2E5E">
        <w:t>мощи – содействовало проведение совещаний национальных экспертов. Эти с</w:t>
      </w:r>
      <w:r w:rsidRPr="007C2E5E">
        <w:t>о</w:t>
      </w:r>
      <w:r w:rsidRPr="007C2E5E">
        <w:t>вещания позволили добиться улучшения национальной координации между о</w:t>
      </w:r>
      <w:r w:rsidRPr="007C2E5E">
        <w:t>р</w:t>
      </w:r>
      <w:r w:rsidRPr="007C2E5E">
        <w:t>ганами, отвечающими за предотвращение промышленных аварий, обеспечение готовности к ним и ликвидацию их последствий. Организация субрегионал</w:t>
      </w:r>
      <w:r w:rsidRPr="007C2E5E">
        <w:t>ь</w:t>
      </w:r>
      <w:r w:rsidRPr="007C2E5E">
        <w:t>ных мероприятий играет важную роль в деле укрепления трансграничного с</w:t>
      </w:r>
      <w:r w:rsidRPr="007C2E5E">
        <w:t>о</w:t>
      </w:r>
      <w:r w:rsidRPr="007C2E5E">
        <w:t>трудничества по установлению опасных видов деятельности и уведомлению о них применительно к соседним или прибрежным странам.</w:t>
      </w:r>
    </w:p>
    <w:p w:rsidR="007C2E5E" w:rsidRPr="007C2E5E" w:rsidRDefault="007C2E5E" w:rsidP="007C2E5E">
      <w:pPr>
        <w:pStyle w:val="SingleTxtGR"/>
      </w:pPr>
      <w:r w:rsidRPr="007C2E5E">
        <w:t>57.</w:t>
      </w:r>
      <w:r w:rsidRPr="007C2E5E">
        <w:tab/>
        <w:t>Работа в партнерстве с другими международными организациями пр</w:t>
      </w:r>
      <w:r w:rsidRPr="007C2E5E">
        <w:t>о</w:t>
      </w:r>
      <w:r w:rsidRPr="007C2E5E">
        <w:t>должала обеспечивать синергетический эффект. Так, вместе с другими орган</w:t>
      </w:r>
      <w:r w:rsidRPr="007C2E5E">
        <w:t>и</w:t>
      </w:r>
      <w:r w:rsidR="0084398D">
        <w:t>зациями –</w:t>
      </w:r>
      <w:r w:rsidRPr="007C2E5E">
        <w:t xml:space="preserve"> членами Межучережденческой координационной группы по пр</w:t>
      </w:r>
      <w:r w:rsidRPr="007C2E5E">
        <w:t>о</w:t>
      </w:r>
      <w:r w:rsidRPr="007C2E5E">
        <w:t xml:space="preserve">мышленным авариям была выпущена совместная публикация. Совместно с ОЭСР был организован семинар по вопросу о взаимосвязях инструментария Конвенции и ОЭСР, с одной стороны, и Повестки дня на период до 2030 года и </w:t>
      </w:r>
      <w:proofErr w:type="spellStart"/>
      <w:r w:rsidRPr="007C2E5E">
        <w:t>Сендайских</w:t>
      </w:r>
      <w:proofErr w:type="spellEnd"/>
      <w:r w:rsidRPr="007C2E5E">
        <w:t xml:space="preserve"> обязательств, с другой стороны. Сотрудничество с ОБСЕ и Упра</w:t>
      </w:r>
      <w:r w:rsidRPr="007C2E5E">
        <w:t>в</w:t>
      </w:r>
      <w:r w:rsidRPr="007C2E5E">
        <w:t>лением Организации Объединенных Наций по уменьшению опасности бе</w:t>
      </w:r>
      <w:r w:rsidRPr="007C2E5E">
        <w:t>д</w:t>
      </w:r>
      <w:r w:rsidRPr="007C2E5E">
        <w:t>ствий осуществляется в форме организации р</w:t>
      </w:r>
      <w:r w:rsidR="0084398D">
        <w:t>абочих совещаний и семинаров. В </w:t>
      </w:r>
      <w:r w:rsidRPr="007C2E5E">
        <w:t>течение двухгодичного периода дальнейшее развитие получили партнерские отношения с Межгосударственным советом по промышленной безопасности Содружества Независимых Государств, наблюдателем при котором стала ЕЭК. На постоянной основе развивалось сотрудничество с другими многосторонн</w:t>
      </w:r>
      <w:r w:rsidRPr="007C2E5E">
        <w:t>и</w:t>
      </w:r>
      <w:r w:rsidRPr="007C2E5E">
        <w:t>ми природоохранными соглашениями и программами ЕЭК, в том числе: a) По</w:t>
      </w:r>
      <w:r w:rsidRPr="007C2E5E">
        <w:t>д</w:t>
      </w:r>
      <w:r w:rsidRPr="007C2E5E">
        <w:t>комитетом экспертов по Согласованной на глобальном уровне системе класс</w:t>
      </w:r>
      <w:r w:rsidRPr="007C2E5E">
        <w:t>и</w:t>
      </w:r>
      <w:r w:rsidRPr="007C2E5E">
        <w:t>фикации и маркировки химических веществ, в поддержку усилий по укрепл</w:t>
      </w:r>
      <w:r w:rsidRPr="007C2E5E">
        <w:t>е</w:t>
      </w:r>
      <w:r w:rsidRPr="007C2E5E">
        <w:t xml:space="preserve">нию потенциала с точки зрения приложения I; b) Конвенцией </w:t>
      </w:r>
      <w:proofErr w:type="spellStart"/>
      <w:r w:rsidRPr="007C2E5E">
        <w:t>Эспо</w:t>
      </w:r>
      <w:proofErr w:type="spellEnd"/>
      <w:r w:rsidRPr="007C2E5E">
        <w:t>, Протоколом по СЭО и Комитетом ЕЭК по жилищному хозяйству и землепользованию, по вопросам безопасности и планирования землепользования; c) Конвенцией по водам в рамках Совместной группы экспертов по водам и промышленным ав</w:t>
      </w:r>
      <w:r w:rsidRPr="007C2E5E">
        <w:t>а</w:t>
      </w:r>
      <w:r w:rsidRPr="007C2E5E">
        <w:t>риям.</w:t>
      </w:r>
    </w:p>
    <w:p w:rsidR="007C2E5E" w:rsidRPr="007C2E5E" w:rsidRDefault="007C2E5E" w:rsidP="0084398D">
      <w:pPr>
        <w:pStyle w:val="H4GR"/>
      </w:pPr>
      <w:r w:rsidRPr="007C2E5E">
        <w:tab/>
      </w:r>
      <w:r w:rsidRPr="007C2E5E">
        <w:tab/>
        <w:t>Показатели достижения результатов</w:t>
      </w:r>
    </w:p>
    <w:p w:rsidR="007C2E5E" w:rsidRPr="007C2E5E" w:rsidRDefault="007C2E5E" w:rsidP="007C2E5E">
      <w:pPr>
        <w:pStyle w:val="SingleTxtGR"/>
      </w:pPr>
      <w:r w:rsidRPr="007C2E5E">
        <w:t>Увеличение количества докладов стран о ходе осуществления Конвенции о промышленных авариях в пяти основных областях:</w:t>
      </w:r>
    </w:p>
    <w:p w:rsidR="007C2E5E" w:rsidRPr="007C2E5E" w:rsidRDefault="0084398D" w:rsidP="007C2E5E">
      <w:pPr>
        <w:pStyle w:val="SingleTxtGR"/>
      </w:pPr>
      <w:r>
        <w:tab/>
      </w:r>
      <w:r w:rsidR="007C2E5E" w:rsidRPr="007C2E5E">
        <w:t>а)</w:t>
      </w:r>
      <w:r w:rsidR="007C2E5E" w:rsidRPr="007C2E5E">
        <w:tab/>
        <w:t>интенсивная деятельность по наращиванию потенциала в странах, не являющихся Сторонами Конвенции о промышленных авариях (среднее к</w:t>
      </w:r>
      <w:r w:rsidR="007C2E5E" w:rsidRPr="007C2E5E">
        <w:t>о</w:t>
      </w:r>
      <w:r w:rsidR="007C2E5E" w:rsidRPr="007C2E5E">
        <w:t>личество человеко-дней на одну страну, не являющуюся Стороной);</w:t>
      </w:r>
    </w:p>
    <w:p w:rsidR="007C2E5E" w:rsidRPr="007C2E5E" w:rsidRDefault="0084398D" w:rsidP="007C2E5E">
      <w:pPr>
        <w:pStyle w:val="SingleTxtGR"/>
      </w:pPr>
      <w:r>
        <w:tab/>
      </w:r>
      <w:r w:rsidR="007C2E5E" w:rsidRPr="007C2E5E">
        <w:t>b)</w:t>
      </w:r>
      <w:r w:rsidR="007C2E5E" w:rsidRPr="007C2E5E">
        <w:tab/>
        <w:t>интенсивная деятельность по наращиванию потенциала в странах, являющихся Сторонами Конвенции о промышленных авариях (среднее колич</w:t>
      </w:r>
      <w:r w:rsidR="007C2E5E" w:rsidRPr="007C2E5E">
        <w:t>е</w:t>
      </w:r>
      <w:r w:rsidR="007C2E5E" w:rsidRPr="007C2E5E">
        <w:t>ство человеко-дней на одну страну, являющуюся Стороной);</w:t>
      </w:r>
    </w:p>
    <w:p w:rsidR="007C2E5E" w:rsidRPr="007C2E5E" w:rsidRDefault="0084398D" w:rsidP="007C2E5E">
      <w:pPr>
        <w:pStyle w:val="SingleTxtGR"/>
      </w:pPr>
      <w:r>
        <w:tab/>
      </w:r>
      <w:r w:rsidR="007C2E5E" w:rsidRPr="007C2E5E">
        <w:t>с)</w:t>
      </w:r>
      <w:r w:rsidR="007C2E5E" w:rsidRPr="007C2E5E">
        <w:tab/>
        <w:t>выявление опасных видов деятельности в ходе учебных сессий;</w:t>
      </w:r>
    </w:p>
    <w:p w:rsidR="007C2E5E" w:rsidRPr="007C2E5E" w:rsidRDefault="0084398D" w:rsidP="007C2E5E">
      <w:pPr>
        <w:pStyle w:val="SingleTxtGR"/>
      </w:pPr>
      <w:r>
        <w:tab/>
      </w:r>
      <w:r w:rsidR="007C2E5E" w:rsidRPr="007C2E5E">
        <w:t>d)</w:t>
      </w:r>
      <w:r w:rsidR="007C2E5E" w:rsidRPr="007C2E5E">
        <w:tab/>
        <w:t>предотвращение аварий − применение и усиление мер по предо</w:t>
      </w:r>
      <w:r w:rsidR="007C2E5E" w:rsidRPr="007C2E5E">
        <w:t>т</w:t>
      </w:r>
      <w:r w:rsidR="007C2E5E" w:rsidRPr="007C2E5E">
        <w:t>вращению аварий на объектах с опасными видами деятельности путем пров</w:t>
      </w:r>
      <w:r w:rsidR="007C2E5E" w:rsidRPr="007C2E5E">
        <w:t>е</w:t>
      </w:r>
      <w:r w:rsidR="007C2E5E" w:rsidRPr="007C2E5E">
        <w:t xml:space="preserve">дения занятий по наращиванию потенциала; </w:t>
      </w:r>
    </w:p>
    <w:p w:rsidR="007C2E5E" w:rsidRPr="007C2E5E" w:rsidRDefault="0084398D" w:rsidP="007C2E5E">
      <w:pPr>
        <w:pStyle w:val="SingleTxtGR"/>
      </w:pPr>
      <w:r>
        <w:tab/>
      </w:r>
      <w:r w:rsidR="007C2E5E" w:rsidRPr="007C2E5E">
        <w:t>e)</w:t>
      </w:r>
      <w:r w:rsidR="007C2E5E" w:rsidRPr="007C2E5E">
        <w:tab/>
        <w:t>уведомление о промышленных авариях с использованием Системы уведомления о промышленных авариях, опробованной в рамках учебных зан</w:t>
      </w:r>
      <w:r w:rsidR="007C2E5E" w:rsidRPr="007C2E5E">
        <w:t>я</w:t>
      </w:r>
      <w:r>
        <w:t>тий</w:t>
      </w:r>
      <w:r w:rsidR="00443DFF">
        <w:t>.</w:t>
      </w:r>
    </w:p>
    <w:p w:rsidR="007C2E5E" w:rsidRPr="007C2E5E" w:rsidRDefault="007C2E5E" w:rsidP="0084398D">
      <w:pPr>
        <w:pStyle w:val="H4GR"/>
      </w:pPr>
      <w:r w:rsidRPr="007C2E5E">
        <w:tab/>
      </w:r>
      <w:r w:rsidRPr="007C2E5E">
        <w:tab/>
        <w:t>Итоги измерения результативности</w:t>
      </w:r>
    </w:p>
    <w:p w:rsidR="007C2E5E" w:rsidRPr="000330AE" w:rsidRDefault="0084398D" w:rsidP="007C2E5E">
      <w:pPr>
        <w:pStyle w:val="SingleTxtGR"/>
      </w:pPr>
      <w:r w:rsidRPr="000330AE">
        <w:t>2010–</w:t>
      </w:r>
      <w:r w:rsidR="007C2E5E" w:rsidRPr="000330AE">
        <w:t xml:space="preserve">2011 </w:t>
      </w:r>
      <w:r w:rsidR="007C2E5E" w:rsidRPr="007C2E5E">
        <w:t>годы</w:t>
      </w:r>
      <w:r w:rsidR="007C2E5E" w:rsidRPr="000330AE">
        <w:t xml:space="preserve">: </w:t>
      </w:r>
      <w:r w:rsidR="007C2E5E" w:rsidRPr="0084398D">
        <w:rPr>
          <w:lang w:val="es-ES"/>
        </w:rPr>
        <w:t>a</w:t>
      </w:r>
      <w:r w:rsidR="007C2E5E" w:rsidRPr="000330AE">
        <w:t xml:space="preserve">) 31; </w:t>
      </w:r>
      <w:r w:rsidR="007C2E5E" w:rsidRPr="0084398D">
        <w:rPr>
          <w:lang w:val="es-ES"/>
        </w:rPr>
        <w:t>b</w:t>
      </w:r>
      <w:r w:rsidR="007C2E5E" w:rsidRPr="000330AE">
        <w:t xml:space="preserve">) 23; </w:t>
      </w:r>
      <w:r w:rsidR="007C2E5E" w:rsidRPr="0084398D">
        <w:rPr>
          <w:lang w:val="es-ES"/>
        </w:rPr>
        <w:t>c</w:t>
      </w:r>
      <w:r w:rsidR="007C2E5E" w:rsidRPr="000330AE">
        <w:t xml:space="preserve">) 40; </w:t>
      </w:r>
      <w:r w:rsidR="007C2E5E" w:rsidRPr="0084398D">
        <w:rPr>
          <w:lang w:val="es-ES"/>
        </w:rPr>
        <w:t>d</w:t>
      </w:r>
      <w:r w:rsidR="007C2E5E" w:rsidRPr="000330AE">
        <w:t xml:space="preserve">) 40; </w:t>
      </w:r>
      <w:r w:rsidR="007C2E5E" w:rsidRPr="0084398D">
        <w:rPr>
          <w:lang w:val="es-ES"/>
        </w:rPr>
        <w:t>e</w:t>
      </w:r>
      <w:r w:rsidR="007C2E5E" w:rsidRPr="000330AE">
        <w:t>) 40</w:t>
      </w:r>
    </w:p>
    <w:p w:rsidR="007C2E5E" w:rsidRPr="007C2E5E" w:rsidRDefault="0084398D" w:rsidP="007C2E5E">
      <w:pPr>
        <w:pStyle w:val="SingleTxtGR"/>
        <w:rPr>
          <w:lang w:val="es-ES"/>
        </w:rPr>
      </w:pPr>
      <w:r>
        <w:rPr>
          <w:lang w:val="es-ES"/>
        </w:rPr>
        <w:t>2012</w:t>
      </w:r>
      <w:r w:rsidRPr="0084398D">
        <w:rPr>
          <w:lang w:val="es-ES"/>
        </w:rPr>
        <w:t>–</w:t>
      </w:r>
      <w:r w:rsidR="007C2E5E" w:rsidRPr="007C2E5E">
        <w:rPr>
          <w:lang w:val="es-ES"/>
        </w:rPr>
        <w:t xml:space="preserve">2013 </w:t>
      </w:r>
      <w:r w:rsidR="007C2E5E" w:rsidRPr="007C2E5E">
        <w:t>годы</w:t>
      </w:r>
      <w:r w:rsidR="007C2E5E" w:rsidRPr="007C2E5E">
        <w:rPr>
          <w:lang w:val="es-ES"/>
        </w:rPr>
        <w:t>: a) 26; b) 32; c) 32; d) 39; e) 16</w:t>
      </w:r>
    </w:p>
    <w:p w:rsidR="007C2E5E" w:rsidRPr="007C2E5E" w:rsidRDefault="0084398D" w:rsidP="007C2E5E">
      <w:pPr>
        <w:pStyle w:val="SingleTxtGR"/>
        <w:rPr>
          <w:lang w:val="es-ES"/>
        </w:rPr>
      </w:pPr>
      <w:r>
        <w:rPr>
          <w:lang w:val="es-ES"/>
        </w:rPr>
        <w:t>2014</w:t>
      </w:r>
      <w:r w:rsidRPr="000330AE">
        <w:rPr>
          <w:lang w:val="es-ES"/>
        </w:rPr>
        <w:t>–</w:t>
      </w:r>
      <w:r w:rsidR="007C2E5E" w:rsidRPr="007C2E5E">
        <w:rPr>
          <w:lang w:val="es-ES"/>
        </w:rPr>
        <w:t xml:space="preserve">2015 </w:t>
      </w:r>
      <w:r w:rsidR="007C2E5E" w:rsidRPr="007C2E5E">
        <w:t>годы</w:t>
      </w:r>
      <w:r w:rsidR="007C2E5E" w:rsidRPr="007C2E5E">
        <w:rPr>
          <w:lang w:val="es-ES"/>
        </w:rPr>
        <w:t>: a) 26; b) 30; c) 33; d) 40; e) 14</w:t>
      </w:r>
    </w:p>
    <w:p w:rsidR="007C2E5E" w:rsidRPr="007C2E5E" w:rsidRDefault="007C2E5E" w:rsidP="00443DFF">
      <w:pPr>
        <w:pStyle w:val="SingleTxtGR"/>
      </w:pPr>
      <w:r w:rsidRPr="007C2E5E">
        <w:t>Целевой показатель на 2016−2017 годы: a) 17; b) 15; c) 34; d) 40; e) 15</w:t>
      </w:r>
    </w:p>
    <w:p w:rsidR="007C2E5E" w:rsidRPr="007C2E5E" w:rsidRDefault="000635A1" w:rsidP="0084398D">
      <w:pPr>
        <w:pStyle w:val="SingleTxtGR"/>
      </w:pPr>
      <w:r>
        <w:t>Фактический показатель на 2016</w:t>
      </w:r>
      <w:r w:rsidRPr="000635A1">
        <w:t>–</w:t>
      </w:r>
      <w:r w:rsidR="007C2E5E" w:rsidRPr="007C2E5E">
        <w:t>2017 годы (по состоянию на 15 августа 2017</w:t>
      </w:r>
      <w:r w:rsidR="0084398D">
        <w:t> </w:t>
      </w:r>
      <w:r w:rsidR="007C2E5E" w:rsidRPr="007C2E5E">
        <w:t>года): a) 30</w:t>
      </w:r>
      <w:r w:rsidR="007C2E5E" w:rsidRPr="00A47BEE">
        <w:rPr>
          <w:rStyle w:val="aa"/>
        </w:rPr>
        <w:footnoteReference w:id="17"/>
      </w:r>
      <w:r w:rsidR="007C2E5E" w:rsidRPr="007C2E5E">
        <w:t>; b) 12</w:t>
      </w:r>
      <w:r w:rsidR="007C2E5E" w:rsidRPr="00A47BEE">
        <w:rPr>
          <w:rStyle w:val="aa"/>
        </w:rPr>
        <w:footnoteReference w:id="18"/>
      </w:r>
      <w:r w:rsidR="007C2E5E" w:rsidRPr="007C2E5E">
        <w:t>; с) 33</w:t>
      </w:r>
      <w:r w:rsidR="007C2E5E" w:rsidRPr="00A47BEE">
        <w:rPr>
          <w:rStyle w:val="aa"/>
        </w:rPr>
        <w:footnoteReference w:id="19"/>
      </w:r>
      <w:r w:rsidR="007C2E5E" w:rsidRPr="007C2E5E">
        <w:t>; d) 40</w:t>
      </w:r>
      <w:r w:rsidR="007C2E5E" w:rsidRPr="00A47BEE">
        <w:rPr>
          <w:rStyle w:val="aa"/>
        </w:rPr>
        <w:footnoteReference w:id="20"/>
      </w:r>
      <w:r w:rsidR="007C2E5E" w:rsidRPr="007C2E5E">
        <w:t>; e) 25</w:t>
      </w:r>
      <w:r w:rsidR="007C2E5E" w:rsidRPr="00A47BEE">
        <w:rPr>
          <w:rStyle w:val="aa"/>
        </w:rPr>
        <w:footnoteReference w:id="21"/>
      </w:r>
    </w:p>
    <w:p w:rsidR="007C2E5E" w:rsidRPr="007C2E5E" w:rsidRDefault="007C2E5E" w:rsidP="005D7FD4">
      <w:pPr>
        <w:pStyle w:val="HChGR"/>
      </w:pPr>
      <w:r w:rsidRPr="007C2E5E">
        <w:tab/>
      </w:r>
      <w:r w:rsidRPr="007C2E5E">
        <w:tab/>
        <w:t xml:space="preserve">Тематический блок 10 </w:t>
      </w:r>
      <w:r w:rsidR="0084398D">
        <w:br/>
      </w:r>
      <w:r w:rsidRPr="007C2E5E">
        <w:t>Мониторинг и оценка состояния окружающей среды</w:t>
      </w:r>
    </w:p>
    <w:p w:rsidR="007C2E5E" w:rsidRPr="007C2E5E" w:rsidRDefault="007C2E5E" w:rsidP="0084398D">
      <w:pPr>
        <w:pStyle w:val="H4GR"/>
      </w:pPr>
      <w:r w:rsidRPr="007C2E5E">
        <w:tab/>
      </w:r>
      <w:r w:rsidRPr="007C2E5E">
        <w:tab/>
        <w:t>Ожидаемое достижение</w:t>
      </w:r>
    </w:p>
    <w:p w:rsidR="007C2E5E" w:rsidRPr="007C2E5E" w:rsidRDefault="007C2E5E" w:rsidP="007C2E5E">
      <w:pPr>
        <w:pStyle w:val="SingleTxtGR"/>
      </w:pPr>
      <w:r w:rsidRPr="007C2E5E">
        <w:t>Укрепление национального потенциала в области мониторинга и оценки сост</w:t>
      </w:r>
      <w:r w:rsidRPr="007C2E5E">
        <w:t>о</w:t>
      </w:r>
      <w:r w:rsidRPr="007C2E5E">
        <w:t>яния окружающей среды в странах Восточной и Юго-Восточной Европы, Ка</w:t>
      </w:r>
      <w:r w:rsidRPr="007C2E5E">
        <w:t>в</w:t>
      </w:r>
      <w:r w:rsidRPr="007C2E5E">
        <w:t>каза и Центральной Азии</w:t>
      </w:r>
    </w:p>
    <w:p w:rsidR="007C2E5E" w:rsidRPr="007C2E5E" w:rsidRDefault="007C2E5E" w:rsidP="0084398D">
      <w:pPr>
        <w:pStyle w:val="H4GR"/>
      </w:pPr>
      <w:r w:rsidRPr="007C2E5E">
        <w:tab/>
      </w:r>
      <w:r w:rsidRPr="007C2E5E">
        <w:tab/>
        <w:t>Отчет о достижениях/полученных результатах</w:t>
      </w:r>
    </w:p>
    <w:p w:rsidR="007C2E5E" w:rsidRPr="007C2E5E" w:rsidRDefault="007C2E5E" w:rsidP="007C2E5E">
      <w:pPr>
        <w:pStyle w:val="SingleTxtGR"/>
      </w:pPr>
      <w:r w:rsidRPr="007C2E5E">
        <w:t>58.</w:t>
      </w:r>
      <w:r w:rsidRPr="007C2E5E">
        <w:tab/>
        <w:t>Продолжалось укрепление национального потенциала в области монит</w:t>
      </w:r>
      <w:r w:rsidRPr="007C2E5E">
        <w:t>о</w:t>
      </w:r>
      <w:r w:rsidRPr="007C2E5E">
        <w:t xml:space="preserve">ринга состояния окружающей среды, при этом в большинстве целевых стран </w:t>
      </w:r>
      <w:proofErr w:type="gramStart"/>
      <w:r w:rsidRPr="007C2E5E">
        <w:t>был</w:t>
      </w:r>
      <w:proofErr w:type="gramEnd"/>
      <w:r w:rsidRPr="007C2E5E">
        <w:t xml:space="preserve"> достигнут прогресс в укреплении систем оценки состояния окружающей среды. В 2016 году было выполнено 54% рекомендаций ЕЭК в отношении м</w:t>
      </w:r>
      <w:r w:rsidRPr="007C2E5E">
        <w:t>о</w:t>
      </w:r>
      <w:r w:rsidRPr="007C2E5E">
        <w:t>ниторинга состояния окружающей среды, о чем свидетельствуют доклады стран и результаты проведенного секретариа</w:t>
      </w:r>
      <w:r w:rsidR="0084398D">
        <w:t xml:space="preserve">том кабинетного исследования. </w:t>
      </w:r>
      <w:proofErr w:type="gramStart"/>
      <w:r w:rsidR="0084398D">
        <w:t>В </w:t>
      </w:r>
      <w:r w:rsidRPr="007C2E5E">
        <w:t>соответствии с Руководством ЕЭК по экологическим показат</w:t>
      </w:r>
      <w:r w:rsidR="0084398D">
        <w:t>елям 15 из 17 </w:t>
      </w:r>
      <w:r w:rsidRPr="007C2E5E">
        <w:t>целевых стран повысили онлайновую доступность экологических показат</w:t>
      </w:r>
      <w:r w:rsidRPr="007C2E5E">
        <w:t>е</w:t>
      </w:r>
      <w:r w:rsidRPr="007C2E5E">
        <w:t>лей и соответствующих наборов данных (Азербайджан, Албания, Армения, Б</w:t>
      </w:r>
      <w:r w:rsidRPr="007C2E5E">
        <w:t>е</w:t>
      </w:r>
      <w:r w:rsidRPr="007C2E5E">
        <w:t>ларусь, Босния и Герцеговина, бывшая югославская Республика Македония, Грузия, Казахстан, Кыргызстан, Республика Молдова, Российская Федерация, Сербия, Таджикистан, Украина и Черногория). 14 из 17 стран улучшили наци</w:t>
      </w:r>
      <w:r w:rsidRPr="007C2E5E">
        <w:t>о</w:t>
      </w:r>
      <w:r w:rsidRPr="007C2E5E">
        <w:t>нальную методологию расчета большинства показателей ЕЭК (Азербайджан, Албания, Армения, Беларусь</w:t>
      </w:r>
      <w:proofErr w:type="gramEnd"/>
      <w:r w:rsidRPr="007C2E5E">
        <w:t xml:space="preserve">, </w:t>
      </w:r>
      <w:proofErr w:type="gramStart"/>
      <w:r w:rsidRPr="007C2E5E">
        <w:t>Босния и Герцеговина, бывшая югославская Ре</w:t>
      </w:r>
      <w:r w:rsidRPr="007C2E5E">
        <w:t>с</w:t>
      </w:r>
      <w:r w:rsidRPr="007C2E5E">
        <w:t>публика Македония, Грузия, Казахстан, Кыргызстан, Республика Молдова, Ро</w:t>
      </w:r>
      <w:r w:rsidRPr="007C2E5E">
        <w:t>с</w:t>
      </w:r>
      <w:r w:rsidRPr="007C2E5E">
        <w:t>сийская Федерация, Сербия, Таджикистан и Украина).</w:t>
      </w:r>
      <w:proofErr w:type="gramEnd"/>
      <w:r w:rsidRPr="007C2E5E">
        <w:t xml:space="preserve"> Шесть стран участвов</w:t>
      </w:r>
      <w:r w:rsidRPr="007C2E5E">
        <w:t>а</w:t>
      </w:r>
      <w:r w:rsidRPr="007C2E5E">
        <w:t>ли в проектах по укреплению сотрудничества между учреждениями, занима</w:t>
      </w:r>
      <w:r w:rsidRPr="007C2E5E">
        <w:t>ю</w:t>
      </w:r>
      <w:r w:rsidRPr="007C2E5E">
        <w:t>щимися мониторингом и оценкой (Азербайджан, Армения, Беларусь, Грузия, Республика Молдова и Украина). Восемь стран внесли изменения в законод</w:t>
      </w:r>
      <w:r w:rsidRPr="007C2E5E">
        <w:t>а</w:t>
      </w:r>
      <w:r w:rsidRPr="007C2E5E">
        <w:t>тельную базу, касающуюся мониторинга и оценки окружающей среды (Азе</w:t>
      </w:r>
      <w:r w:rsidRPr="007C2E5E">
        <w:t>р</w:t>
      </w:r>
      <w:r w:rsidRPr="007C2E5E">
        <w:t>байджан, Армения, Беларусь, Грузия, Республика Молдова, Российская Фед</w:t>
      </w:r>
      <w:r w:rsidRPr="007C2E5E">
        <w:t>е</w:t>
      </w:r>
      <w:r w:rsidRPr="007C2E5E">
        <w:t>рация, Таджикистан и Украина). Девять стран сообщили об улучшении своих сетей мониторинга воды, отходов и воздуха – от обновления методологий путем включения новых параметров мониторинга до создания новых станций монит</w:t>
      </w:r>
      <w:r w:rsidRPr="007C2E5E">
        <w:t>о</w:t>
      </w:r>
      <w:r w:rsidRPr="007C2E5E">
        <w:t>ринга (Азербайджан, Армения, Беларусь, Босния и Герцеговина, Грузия, Ре</w:t>
      </w:r>
      <w:r w:rsidRPr="007C2E5E">
        <w:t>с</w:t>
      </w:r>
      <w:r w:rsidRPr="007C2E5E">
        <w:t>публика Молдова, Российская Федерация, Таджикистан и Украина).</w:t>
      </w:r>
    </w:p>
    <w:p w:rsidR="007C2E5E" w:rsidRPr="007C2E5E" w:rsidRDefault="007C2E5E" w:rsidP="0084398D">
      <w:pPr>
        <w:pStyle w:val="H4GR"/>
      </w:pPr>
      <w:r w:rsidRPr="007C2E5E">
        <w:tab/>
      </w:r>
      <w:r w:rsidRPr="007C2E5E">
        <w:tab/>
        <w:t>Извлеченные уроки/области, нуждающиеся в усовершенствовании</w:t>
      </w:r>
    </w:p>
    <w:p w:rsidR="007C2E5E" w:rsidRPr="007C2E5E" w:rsidRDefault="007C2E5E" w:rsidP="007C2E5E">
      <w:pPr>
        <w:pStyle w:val="SingleTxtGR"/>
      </w:pPr>
      <w:r w:rsidRPr="007C2E5E">
        <w:t>59.</w:t>
      </w:r>
      <w:r w:rsidRPr="007C2E5E">
        <w:tab/>
        <w:t>Большинство целевых стран улучшили процесс подготовки и публикации показателей в соответствии с основным набором экологических показателей ЕЭК. Эта работа должна быть расширена с целью охвата других основных п</w:t>
      </w:r>
      <w:r w:rsidRPr="007C2E5E">
        <w:t>о</w:t>
      </w:r>
      <w:r w:rsidRPr="007C2E5E">
        <w:t>казателей с целью обеспечить, в соответствии с Батумской декларацией мин</w:t>
      </w:r>
      <w:r w:rsidRPr="007C2E5E">
        <w:t>и</w:t>
      </w:r>
      <w:r w:rsidRPr="007C2E5E">
        <w:t>стров, создание к 2021 году Общей системы экологической информации. Кроме того, эта работа должна быть приведена в соответствие с другими показателями (например, с показателями в рамках целей в области устойчивого развития).</w:t>
      </w:r>
    </w:p>
    <w:p w:rsidR="007C2E5E" w:rsidRPr="007C2E5E" w:rsidRDefault="007C2E5E" w:rsidP="0084398D">
      <w:pPr>
        <w:pStyle w:val="H4GR"/>
      </w:pPr>
      <w:r w:rsidRPr="007C2E5E">
        <w:tab/>
      </w:r>
      <w:r w:rsidRPr="007C2E5E">
        <w:tab/>
        <w:t xml:space="preserve">Показатель достижения результатов </w:t>
      </w:r>
    </w:p>
    <w:p w:rsidR="007C2E5E" w:rsidRPr="007C2E5E" w:rsidRDefault="007C2E5E" w:rsidP="007C2E5E">
      <w:pPr>
        <w:pStyle w:val="SingleTxtGR"/>
      </w:pPr>
      <w:r w:rsidRPr="007C2E5E">
        <w:t>Повышение степени выполнения государствами-членами рекомендаций ЕЭК в отношении мониторинга окружающей среды</w:t>
      </w:r>
    </w:p>
    <w:p w:rsidR="007C2E5E" w:rsidRPr="007C2E5E" w:rsidRDefault="007C2E5E" w:rsidP="0084398D">
      <w:pPr>
        <w:pStyle w:val="H4GR"/>
      </w:pPr>
      <w:r w:rsidRPr="007C2E5E">
        <w:tab/>
      </w:r>
      <w:r w:rsidRPr="007C2E5E">
        <w:tab/>
        <w:t>Итоги измерения результативности</w:t>
      </w:r>
    </w:p>
    <w:p w:rsidR="007C2E5E" w:rsidRPr="007C2E5E" w:rsidRDefault="007C2E5E" w:rsidP="007C2E5E">
      <w:pPr>
        <w:pStyle w:val="SingleTxtGR"/>
      </w:pPr>
      <w:r w:rsidRPr="007C2E5E">
        <w:t>2010–2011 годы: неприменимо</w:t>
      </w:r>
    </w:p>
    <w:p w:rsidR="007C2E5E" w:rsidRPr="007C2E5E" w:rsidRDefault="0084398D" w:rsidP="007C2E5E">
      <w:pPr>
        <w:pStyle w:val="SingleTxtGR"/>
      </w:pPr>
      <w:r>
        <w:t>2012–</w:t>
      </w:r>
      <w:r w:rsidR="007C2E5E" w:rsidRPr="007C2E5E">
        <w:t>2013 годы: неприменимо</w:t>
      </w:r>
    </w:p>
    <w:p w:rsidR="007C2E5E" w:rsidRPr="007C2E5E" w:rsidRDefault="0084398D" w:rsidP="007C2E5E">
      <w:pPr>
        <w:pStyle w:val="SingleTxtGR"/>
      </w:pPr>
      <w:r>
        <w:t>2014–</w:t>
      </w:r>
      <w:r w:rsidR="007C2E5E" w:rsidRPr="007C2E5E">
        <w:t>2015 годы: неприменимо</w:t>
      </w:r>
    </w:p>
    <w:p w:rsidR="007C2E5E" w:rsidRPr="007C2E5E" w:rsidRDefault="0084398D" w:rsidP="007C2E5E">
      <w:pPr>
        <w:pStyle w:val="SingleTxtGR"/>
      </w:pPr>
      <w:r>
        <w:t>Целевой показатель на 2016–</w:t>
      </w:r>
      <w:r w:rsidR="007C2E5E" w:rsidRPr="007C2E5E">
        <w:t>2017 годы: 50%</w:t>
      </w:r>
    </w:p>
    <w:p w:rsidR="007C2E5E" w:rsidRPr="007C2E5E" w:rsidRDefault="007C2E5E" w:rsidP="0084398D">
      <w:pPr>
        <w:pStyle w:val="SingleTxtGR"/>
      </w:pPr>
      <w:r w:rsidRPr="007C2E5E">
        <w:t>Фактические результаты за 2016</w:t>
      </w:r>
      <w:r w:rsidR="0084398D">
        <w:t>–</w:t>
      </w:r>
      <w:r w:rsidRPr="007C2E5E">
        <w:t>2017 годы (по состоянию на 31 декабря 2016</w:t>
      </w:r>
      <w:r w:rsidR="0084398D">
        <w:t> </w:t>
      </w:r>
      <w:r w:rsidRPr="007C2E5E">
        <w:t>года): 54%</w:t>
      </w:r>
      <w:r w:rsidRPr="00A47BEE">
        <w:rPr>
          <w:rStyle w:val="aa"/>
        </w:rPr>
        <w:footnoteReference w:id="22"/>
      </w:r>
    </w:p>
    <w:p w:rsidR="007C2E5E" w:rsidRPr="007C2E5E" w:rsidRDefault="007C2E5E" w:rsidP="005D7FD4">
      <w:pPr>
        <w:pStyle w:val="HChGR"/>
      </w:pPr>
      <w:r w:rsidRPr="007C2E5E">
        <w:tab/>
      </w:r>
      <w:r w:rsidRPr="007C2E5E">
        <w:tab/>
        <w:t xml:space="preserve">Тематический блок 11 </w:t>
      </w:r>
      <w:r w:rsidR="00054275">
        <w:br/>
      </w:r>
      <w:r w:rsidRPr="007C2E5E">
        <w:t>Обзоры результативности экологической деятельности</w:t>
      </w:r>
    </w:p>
    <w:p w:rsidR="007C2E5E" w:rsidRPr="007C2E5E" w:rsidRDefault="007C2E5E" w:rsidP="00054275">
      <w:pPr>
        <w:pStyle w:val="H4GR"/>
      </w:pPr>
      <w:r w:rsidRPr="007C2E5E">
        <w:tab/>
      </w:r>
      <w:r w:rsidRPr="007C2E5E">
        <w:tab/>
        <w:t>Ожидаемое достижение</w:t>
      </w:r>
    </w:p>
    <w:p w:rsidR="007C2E5E" w:rsidRPr="007C2E5E" w:rsidRDefault="007C2E5E" w:rsidP="007C2E5E">
      <w:pPr>
        <w:pStyle w:val="SingleTxtGR"/>
      </w:pPr>
      <w:r w:rsidRPr="007C2E5E">
        <w:t>Повышение эффективности природоохранной деятельности в заинтересова</w:t>
      </w:r>
      <w:r w:rsidRPr="007C2E5E">
        <w:t>н</w:t>
      </w:r>
      <w:r w:rsidRPr="007C2E5E">
        <w:t>ных странах</w:t>
      </w:r>
    </w:p>
    <w:p w:rsidR="007C2E5E" w:rsidRPr="007C2E5E" w:rsidRDefault="007C2E5E" w:rsidP="00054275">
      <w:pPr>
        <w:pStyle w:val="H4GR"/>
      </w:pPr>
      <w:r w:rsidRPr="007C2E5E">
        <w:tab/>
      </w:r>
      <w:r w:rsidRPr="007C2E5E">
        <w:tab/>
        <w:t>Отчет о достижениях/полученных результатах</w:t>
      </w:r>
    </w:p>
    <w:p w:rsidR="007C2E5E" w:rsidRPr="007C2E5E" w:rsidRDefault="007C2E5E" w:rsidP="007C2E5E">
      <w:pPr>
        <w:pStyle w:val="SingleTxtGR"/>
      </w:pPr>
      <w:r w:rsidRPr="007C2E5E">
        <w:t>60.</w:t>
      </w:r>
      <w:r w:rsidRPr="007C2E5E">
        <w:tab/>
        <w:t>Таджикистан, как это было указано в ходе третьего обзора в 2016 году, выполнил 75% рекомендаций по итогам анализа эффективности природоохра</w:t>
      </w:r>
      <w:r w:rsidRPr="007C2E5E">
        <w:t>н</w:t>
      </w:r>
      <w:r w:rsidRPr="007C2E5E">
        <w:t>ной деятельности. Если говорить более конкретно, то Таджикистан сообщил о полном или частичном осуществлении 48 рекомендаций, содержавшихся во втором обзоре, и продемонстрировал улучшени</w:t>
      </w:r>
      <w:r w:rsidR="00054275">
        <w:t>е экологических показателей. На </w:t>
      </w:r>
      <w:r w:rsidRPr="007C2E5E">
        <w:t>выполнение рекомендаций, затрагивающих широкие области экспертных знаний или касающихся большого числа исполнителей, и рекомендаций, тр</w:t>
      </w:r>
      <w:r w:rsidRPr="007C2E5E">
        <w:t>е</w:t>
      </w:r>
      <w:r w:rsidRPr="007C2E5E">
        <w:t>бующих значительных финансовых ресурсов, как правило, уходит больше вр</w:t>
      </w:r>
      <w:r w:rsidRPr="007C2E5E">
        <w:t>е</w:t>
      </w:r>
      <w:r w:rsidRPr="007C2E5E">
        <w:t>мени. В 2017 году ЕЭК проведет обзор по двум странам – Албании и Боснии и Герцеговине.</w:t>
      </w:r>
    </w:p>
    <w:p w:rsidR="007C2E5E" w:rsidRPr="007C2E5E" w:rsidRDefault="007C2E5E" w:rsidP="00054275">
      <w:pPr>
        <w:pStyle w:val="H4GR"/>
      </w:pPr>
      <w:r w:rsidRPr="007C2E5E">
        <w:tab/>
      </w:r>
      <w:r w:rsidRPr="007C2E5E">
        <w:tab/>
        <w:t>Извлеченные уроки/области, нуждающиеся в усовершенствовании</w:t>
      </w:r>
    </w:p>
    <w:p w:rsidR="007C2E5E" w:rsidRPr="007C2E5E" w:rsidRDefault="007C2E5E" w:rsidP="007C2E5E">
      <w:pPr>
        <w:pStyle w:val="SingleTxtGR"/>
      </w:pPr>
      <w:r w:rsidRPr="007C2E5E">
        <w:t>61.</w:t>
      </w:r>
      <w:r w:rsidRPr="007C2E5E">
        <w:tab/>
        <w:t>Еще предстоит добиться полного осуществления рекомендаций, вын</w:t>
      </w:r>
      <w:r w:rsidRPr="007C2E5E">
        <w:t>е</w:t>
      </w:r>
      <w:r w:rsidRPr="007C2E5E">
        <w:t>сенных в ходе второго обзора, в Таджикистане. В число основных препятствий, ограничивающих усилия этой страны по осуществлению рекомендаций обзоров результативности экологической деятельности, входят отсутствие потенциала и ресурсов, пробелы в законодательстве, институциональном развитии и админ</w:t>
      </w:r>
      <w:r w:rsidRPr="007C2E5E">
        <w:t>и</w:t>
      </w:r>
      <w:r w:rsidRPr="007C2E5E">
        <w:t>стративной организации и частые изменения институциональной основы и/или курса государственной политики.</w:t>
      </w:r>
    </w:p>
    <w:p w:rsidR="007C2E5E" w:rsidRPr="007C2E5E" w:rsidRDefault="007C2E5E" w:rsidP="00727FA3">
      <w:pPr>
        <w:pStyle w:val="H4GR"/>
      </w:pPr>
      <w:r w:rsidRPr="007C2E5E">
        <w:tab/>
      </w:r>
      <w:r w:rsidRPr="007C2E5E">
        <w:tab/>
        <w:t>Показатель достижения результатов</w:t>
      </w:r>
    </w:p>
    <w:p w:rsidR="007C2E5E" w:rsidRPr="007C2E5E" w:rsidRDefault="007C2E5E" w:rsidP="007C2E5E">
      <w:pPr>
        <w:pStyle w:val="SingleTxtGR"/>
      </w:pPr>
      <w:r w:rsidRPr="007C2E5E">
        <w:t>Процентная доля рекомендаций по итогам обзора эффективности природ</w:t>
      </w:r>
      <w:r w:rsidRPr="007C2E5E">
        <w:t>о</w:t>
      </w:r>
      <w:r w:rsidRPr="007C2E5E">
        <w:t xml:space="preserve">охранной деятельности, выполненных странами, охваченными таким обзором в двухгодичном периоде </w:t>
      </w:r>
    </w:p>
    <w:p w:rsidR="007C2E5E" w:rsidRPr="007C2E5E" w:rsidRDefault="007C2E5E" w:rsidP="00727FA3">
      <w:pPr>
        <w:pStyle w:val="H4GR"/>
      </w:pPr>
      <w:r w:rsidRPr="007C2E5E">
        <w:tab/>
      </w:r>
      <w:r w:rsidRPr="007C2E5E">
        <w:tab/>
        <w:t>Итоги измерения результативности</w:t>
      </w:r>
    </w:p>
    <w:p w:rsidR="007C2E5E" w:rsidRPr="007C2E5E" w:rsidRDefault="007C2E5E" w:rsidP="007C2E5E">
      <w:pPr>
        <w:pStyle w:val="SingleTxtGR"/>
      </w:pPr>
      <w:r w:rsidRPr="007C2E5E">
        <w:t>2010–2011 годы: неприменимо</w:t>
      </w:r>
    </w:p>
    <w:p w:rsidR="007C2E5E" w:rsidRPr="007C2E5E" w:rsidRDefault="007C2E5E" w:rsidP="00727FA3">
      <w:pPr>
        <w:pStyle w:val="SingleTxtGR"/>
      </w:pPr>
      <w:r w:rsidRPr="007C2E5E">
        <w:t>2012</w:t>
      </w:r>
      <w:r w:rsidR="00727FA3">
        <w:t>–</w:t>
      </w:r>
      <w:r w:rsidRPr="007C2E5E">
        <w:t>2013 годы: неприменимо</w:t>
      </w:r>
    </w:p>
    <w:p w:rsidR="007C2E5E" w:rsidRPr="007C2E5E" w:rsidRDefault="00727FA3" w:rsidP="007C2E5E">
      <w:pPr>
        <w:pStyle w:val="SingleTxtGR"/>
      </w:pPr>
      <w:r>
        <w:t>2014–</w:t>
      </w:r>
      <w:r w:rsidR="007C2E5E" w:rsidRPr="007C2E5E">
        <w:t>2015 годы: неприменимо</w:t>
      </w:r>
    </w:p>
    <w:p w:rsidR="007C2E5E" w:rsidRPr="007C2E5E" w:rsidRDefault="00727FA3" w:rsidP="007C2E5E">
      <w:pPr>
        <w:pStyle w:val="SingleTxtGR"/>
      </w:pPr>
      <w:r>
        <w:t>Целевой показатель на 2016–</w:t>
      </w:r>
      <w:r w:rsidR="007C2E5E" w:rsidRPr="007C2E5E">
        <w:t xml:space="preserve">2017 годы: 65% </w:t>
      </w:r>
    </w:p>
    <w:p w:rsidR="00E12C5F" w:rsidRDefault="00727FA3" w:rsidP="007C2E5E">
      <w:pPr>
        <w:pStyle w:val="SingleTxtGR"/>
      </w:pPr>
      <w:r>
        <w:t>Фактические результаты за 2016–</w:t>
      </w:r>
      <w:r w:rsidR="007C2E5E" w:rsidRPr="007C2E5E">
        <w:t>2017 годы (</w:t>
      </w:r>
      <w:r>
        <w:t>по состоянию на 31 декабря 2016 </w:t>
      </w:r>
      <w:r w:rsidR="007C2E5E" w:rsidRPr="007C2E5E">
        <w:t>года): 75%</w:t>
      </w:r>
      <w:r w:rsidR="007C2E5E" w:rsidRPr="00A47BEE">
        <w:rPr>
          <w:rStyle w:val="aa"/>
        </w:rPr>
        <w:footnoteReference w:id="23"/>
      </w:r>
    </w:p>
    <w:p w:rsidR="00727FA3" w:rsidRPr="00727FA3" w:rsidRDefault="00727FA3" w:rsidP="00727FA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7FA3" w:rsidRPr="00727FA3" w:rsidSect="00E1138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AE" w:rsidRPr="00A312BC" w:rsidRDefault="000330AE" w:rsidP="00A312BC"/>
  </w:endnote>
  <w:endnote w:type="continuationSeparator" w:id="0">
    <w:p w:rsidR="000330AE" w:rsidRPr="00A312BC" w:rsidRDefault="000330A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AE" w:rsidRPr="00E11382" w:rsidRDefault="000330AE">
    <w:pPr>
      <w:pStyle w:val="a8"/>
    </w:pPr>
    <w:r w:rsidRPr="00E11382">
      <w:rPr>
        <w:b/>
        <w:sz w:val="18"/>
      </w:rPr>
      <w:fldChar w:fldCharType="begin"/>
    </w:r>
    <w:r w:rsidRPr="00E11382">
      <w:rPr>
        <w:b/>
        <w:sz w:val="18"/>
      </w:rPr>
      <w:instrText xml:space="preserve"> PAGE  \* MERGEFORMAT </w:instrText>
    </w:r>
    <w:r w:rsidRPr="00E11382">
      <w:rPr>
        <w:b/>
        <w:sz w:val="18"/>
      </w:rPr>
      <w:fldChar w:fldCharType="separate"/>
    </w:r>
    <w:r w:rsidR="00DA4EF5">
      <w:rPr>
        <w:b/>
        <w:noProof/>
        <w:sz w:val="18"/>
      </w:rPr>
      <w:t>22</w:t>
    </w:r>
    <w:r w:rsidRPr="00E11382">
      <w:rPr>
        <w:b/>
        <w:sz w:val="18"/>
      </w:rPr>
      <w:fldChar w:fldCharType="end"/>
    </w:r>
    <w:r>
      <w:rPr>
        <w:b/>
        <w:sz w:val="18"/>
      </w:rPr>
      <w:tab/>
    </w:r>
    <w:r>
      <w:t>GE.17-15375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AE" w:rsidRPr="00E11382" w:rsidRDefault="000330AE" w:rsidP="00E11382">
    <w:pPr>
      <w:pStyle w:val="a8"/>
      <w:tabs>
        <w:tab w:val="clear" w:pos="9639"/>
        <w:tab w:val="right" w:pos="9638"/>
      </w:tabs>
      <w:rPr>
        <w:b/>
        <w:sz w:val="18"/>
      </w:rPr>
    </w:pPr>
    <w:r>
      <w:t>GE.17-15375</w:t>
    </w:r>
    <w:r>
      <w:tab/>
    </w:r>
    <w:r w:rsidRPr="00E11382">
      <w:rPr>
        <w:b/>
        <w:sz w:val="18"/>
      </w:rPr>
      <w:fldChar w:fldCharType="begin"/>
    </w:r>
    <w:r w:rsidRPr="00E11382">
      <w:rPr>
        <w:b/>
        <w:sz w:val="18"/>
      </w:rPr>
      <w:instrText xml:space="preserve"> PAGE  \* MERGEFORMAT </w:instrText>
    </w:r>
    <w:r w:rsidRPr="00E11382">
      <w:rPr>
        <w:b/>
        <w:sz w:val="18"/>
      </w:rPr>
      <w:fldChar w:fldCharType="separate"/>
    </w:r>
    <w:r w:rsidR="00DA4EF5">
      <w:rPr>
        <w:b/>
        <w:noProof/>
        <w:sz w:val="18"/>
      </w:rPr>
      <w:t>21</w:t>
    </w:r>
    <w:r w:rsidRPr="00E113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AE" w:rsidRPr="00E11382" w:rsidRDefault="000330AE" w:rsidP="00E11382">
    <w:pPr>
      <w:spacing w:before="120" w:line="240" w:lineRule="auto"/>
    </w:pPr>
    <w:r>
      <w:t>GE.</w:t>
    </w:r>
    <w:r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4034AEC" wp14:editId="6D5E24A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17-15375  (R)</w:t>
    </w:r>
    <w:r w:rsidR="002A12A4">
      <w:rPr>
        <w:lang w:val="en-US"/>
      </w:rPr>
      <w:t xml:space="preserve">  180917  </w:t>
    </w:r>
    <w:r w:rsidR="002A12A4">
      <w:t>25</w:t>
    </w:r>
    <w:r>
      <w:rPr>
        <w:lang w:val="en-US"/>
      </w:rPr>
      <w:t>0917</w:t>
    </w:r>
    <w:r>
      <w:br/>
    </w:r>
    <w:r w:rsidRPr="00E11382">
      <w:rPr>
        <w:rFonts w:ascii="C39T30Lfz" w:hAnsi="C39T30Lfz"/>
        <w:spacing w:val="0"/>
        <w:w w:val="100"/>
        <w:sz w:val="56"/>
      </w:rPr>
      <w:t></w:t>
    </w:r>
    <w:r w:rsidRPr="00E11382">
      <w:rPr>
        <w:rFonts w:ascii="C39T30Lfz" w:hAnsi="C39T30Lfz"/>
        <w:spacing w:val="0"/>
        <w:w w:val="100"/>
        <w:sz w:val="56"/>
      </w:rPr>
      <w:t></w:t>
    </w:r>
    <w:r w:rsidRPr="00E11382">
      <w:rPr>
        <w:rFonts w:ascii="C39T30Lfz" w:hAnsi="C39T30Lfz"/>
        <w:spacing w:val="0"/>
        <w:w w:val="100"/>
        <w:sz w:val="56"/>
      </w:rPr>
      <w:t></w:t>
    </w:r>
    <w:r w:rsidRPr="00E11382">
      <w:rPr>
        <w:rFonts w:ascii="C39T30Lfz" w:hAnsi="C39T30Lfz"/>
        <w:spacing w:val="0"/>
        <w:w w:val="100"/>
        <w:sz w:val="56"/>
      </w:rPr>
      <w:t></w:t>
    </w:r>
    <w:r w:rsidRPr="00E11382">
      <w:rPr>
        <w:rFonts w:ascii="C39T30Lfz" w:hAnsi="C39T30Lfz"/>
        <w:spacing w:val="0"/>
        <w:w w:val="100"/>
        <w:sz w:val="56"/>
      </w:rPr>
      <w:t></w:t>
    </w:r>
    <w:r w:rsidRPr="00E11382">
      <w:rPr>
        <w:rFonts w:ascii="C39T30Lfz" w:hAnsi="C39T30Lfz"/>
        <w:spacing w:val="0"/>
        <w:w w:val="100"/>
        <w:sz w:val="56"/>
      </w:rPr>
      <w:t></w:t>
    </w:r>
    <w:r w:rsidRPr="00E11382">
      <w:rPr>
        <w:rFonts w:ascii="C39T30Lfz" w:hAnsi="C39T30Lfz"/>
        <w:spacing w:val="0"/>
        <w:w w:val="100"/>
        <w:sz w:val="56"/>
      </w:rPr>
      <w:t></w:t>
    </w:r>
    <w:r w:rsidRPr="00E11382">
      <w:rPr>
        <w:rFonts w:ascii="C39T30Lfz" w:hAnsi="C39T30Lfz"/>
        <w:spacing w:val="0"/>
        <w:w w:val="100"/>
        <w:sz w:val="56"/>
      </w:rPr>
      <w:t></w:t>
    </w:r>
    <w:r w:rsidRPr="00E1138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1131" cy="641131"/>
          <wp:effectExtent l="0" t="0" r="6985" b="6985"/>
          <wp:wrapNone/>
          <wp:docPr id="1" name="Рисунок 1" descr="https://undocs.org/m2/QRCode.ashx?DS=ECE/CEP/2017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2017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AE" w:rsidRPr="001075E9" w:rsidRDefault="000330A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330AE" w:rsidRDefault="000330A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330AE" w:rsidRPr="00364F5D" w:rsidRDefault="000330AE" w:rsidP="00A47BEE">
      <w:pPr>
        <w:pStyle w:val="ad"/>
        <w:rPr>
          <w:lang w:val="ru-RU"/>
        </w:rPr>
      </w:pPr>
      <w:r>
        <w:tab/>
      </w:r>
      <w:r w:rsidRPr="00364F5D">
        <w:rPr>
          <w:sz w:val="20"/>
          <w:lang w:val="ru-RU"/>
        </w:rPr>
        <w:t>*</w:t>
      </w:r>
      <w:r w:rsidRPr="00364F5D">
        <w:rPr>
          <w:lang w:val="ru-RU"/>
        </w:rPr>
        <w:tab/>
        <w:t>Настоящий документ официально не редактировался.</w:t>
      </w:r>
    </w:p>
  </w:footnote>
  <w:footnote w:id="2">
    <w:p w:rsidR="000330AE" w:rsidRPr="007563B3" w:rsidRDefault="000330AE" w:rsidP="00A47BEE">
      <w:pPr>
        <w:pStyle w:val="ad"/>
        <w:rPr>
          <w:lang w:val="ru-RU"/>
        </w:rPr>
      </w:pPr>
      <w:r w:rsidRPr="00364F5D">
        <w:rPr>
          <w:lang w:val="ru-RU"/>
        </w:rPr>
        <w:tab/>
      </w:r>
      <w:r w:rsidRPr="00A47BEE">
        <w:rPr>
          <w:rStyle w:val="aa"/>
        </w:rPr>
        <w:footnoteRef/>
      </w:r>
      <w:r w:rsidRPr="00364F5D">
        <w:rPr>
          <w:lang w:val="ru-RU"/>
        </w:rPr>
        <w:tab/>
        <w:t xml:space="preserve">В данный тематический блок по необходимости включаются мероприятия/виды деятельности из всех других тематических блоков. </w:t>
      </w:r>
      <w:proofErr w:type="gramStart"/>
      <w:r w:rsidRPr="007563B3">
        <w:rPr>
          <w:lang w:val="ru-RU"/>
        </w:rPr>
        <w:t xml:space="preserve">Они могут иметь отношение к последующей деятельности по итогам Конференции Организации Объединенных Наций по устойчивому развитию, а также по основным итогам конференций министров </w:t>
      </w:r>
      <w:r>
        <w:rPr>
          <w:lang w:val="ru-RU"/>
        </w:rPr>
        <w:t>«</w:t>
      </w:r>
      <w:r w:rsidRPr="007563B3">
        <w:rPr>
          <w:lang w:val="ru-RU"/>
        </w:rPr>
        <w:t>Окружающая среда для Европы</w:t>
      </w:r>
      <w:r>
        <w:rPr>
          <w:lang w:val="ru-RU"/>
        </w:rPr>
        <w:t>»</w:t>
      </w:r>
      <w:r w:rsidRPr="007563B3">
        <w:rPr>
          <w:lang w:val="ru-RU"/>
        </w:rPr>
        <w:t xml:space="preserve">, совещаний Сторон многосторонних природоохранных соглашений ЕЭК, совещаний высокого уровня по линии образования в интересах устойчивого развития и в рамках процессов в области транспорта, охраны здоровья и окружающей среды. </w:t>
      </w:r>
      <w:proofErr w:type="gramEnd"/>
    </w:p>
  </w:footnote>
  <w:footnote w:id="3">
    <w:p w:rsidR="000330AE" w:rsidRPr="000330AE" w:rsidRDefault="000330AE" w:rsidP="00A47BEE">
      <w:pPr>
        <w:pStyle w:val="ad"/>
        <w:rPr>
          <w:lang w:val="ru-RU"/>
        </w:rPr>
      </w:pPr>
      <w:r w:rsidRPr="007563B3">
        <w:rPr>
          <w:lang w:val="ru-RU"/>
        </w:rPr>
        <w:tab/>
      </w:r>
      <w:r w:rsidRPr="00A47BEE">
        <w:rPr>
          <w:rStyle w:val="aa"/>
        </w:rPr>
        <w:footnoteRef/>
      </w:r>
      <w:r w:rsidRPr="00A47BEE">
        <w:rPr>
          <w:lang w:val="ru-RU"/>
        </w:rPr>
        <w:tab/>
        <w:t>Руководящий комитет по образованию в интересах устойчивого развития в течение двухгодичного периода 2016</w:t>
      </w:r>
      <w:r>
        <w:rPr>
          <w:lang w:val="ru-RU"/>
        </w:rPr>
        <w:t>–</w:t>
      </w:r>
      <w:r w:rsidRPr="00A47BEE">
        <w:rPr>
          <w:lang w:val="ru-RU"/>
        </w:rPr>
        <w:t xml:space="preserve">2017 годов официальную отчетность об осуществлении на национальном уровне не готовил. </w:t>
      </w:r>
      <w:r w:rsidRPr="000330AE">
        <w:rPr>
          <w:lang w:val="ru-RU"/>
        </w:rPr>
        <w:t xml:space="preserve">В меньший показатель включены страны, которые ответили на вопросник в рамках неофициальной отчетности, подготовленный для двенадцатого совещания Руководящего комитета (20 и 21 апреля 2017 года, Женева). </w:t>
      </w:r>
    </w:p>
  </w:footnote>
  <w:footnote w:id="4">
    <w:p w:rsidR="000330AE" w:rsidRPr="003E6ACB" w:rsidRDefault="000330AE" w:rsidP="000330AE">
      <w:pPr>
        <w:pStyle w:val="ad"/>
        <w:rPr>
          <w:lang w:val="ru-RU"/>
        </w:rPr>
      </w:pPr>
      <w:r w:rsidRPr="000330AE">
        <w:rPr>
          <w:lang w:val="ru-RU"/>
        </w:rPr>
        <w:tab/>
      </w:r>
      <w:r w:rsidRPr="00A47BEE">
        <w:rPr>
          <w:rStyle w:val="aa"/>
        </w:rPr>
        <w:footnoteRef/>
      </w:r>
      <w:r w:rsidRPr="00364F5D">
        <w:rPr>
          <w:lang w:val="ru-RU"/>
        </w:rPr>
        <w:tab/>
      </w:r>
      <w:proofErr w:type="gramStart"/>
      <w:r w:rsidRPr="00364F5D">
        <w:rPr>
          <w:lang w:val="ru-RU"/>
        </w:rPr>
        <w:t xml:space="preserve">Эти показатели включают четырнадцатое совещание Руководящего комитета ОПТОСОЗ в ноябре 2016 года; рабочие совещания в Петрозаводске (Российская Федерация) в июне 2016 года, в Вене в июле 2016 года и Владивостоке (Российская Федерация) в октябре 2016 года; мероприятие по наращиванию потенциала в Белграде в марте 2017 года и рабочее совещание в </w:t>
      </w:r>
      <w:proofErr w:type="spellStart"/>
      <w:r w:rsidRPr="00364F5D">
        <w:rPr>
          <w:lang w:val="ru-RU"/>
        </w:rPr>
        <w:t>Остраве</w:t>
      </w:r>
      <w:proofErr w:type="spellEnd"/>
      <w:r w:rsidRPr="00364F5D">
        <w:rPr>
          <w:lang w:val="ru-RU"/>
        </w:rPr>
        <w:t xml:space="preserve"> (Чехия) в июне 2017 года.</w:t>
      </w:r>
      <w:proofErr w:type="gramEnd"/>
      <w:r w:rsidRPr="00364F5D">
        <w:rPr>
          <w:lang w:val="ru-RU"/>
        </w:rPr>
        <w:t xml:space="preserve"> </w:t>
      </w:r>
      <w:r w:rsidRPr="003E6ACB">
        <w:rPr>
          <w:lang w:val="ru-RU"/>
        </w:rPr>
        <w:t>Эти показатели не включают пятнадцатое совещание Руководящего комитета ОПТОСОЗ и</w:t>
      </w:r>
      <w:r>
        <w:rPr>
          <w:lang w:val="en-US"/>
        </w:rPr>
        <w:t> </w:t>
      </w:r>
      <w:r w:rsidRPr="003E6ACB">
        <w:rPr>
          <w:lang w:val="ru-RU"/>
        </w:rPr>
        <w:t xml:space="preserve">рабочее совещание в Мангейме (Германия), которые еще не состоялись (запланированы на ноябрь 2017 года и сентябрь 2017 года соответственно). </w:t>
      </w:r>
    </w:p>
  </w:footnote>
  <w:footnote w:id="5">
    <w:p w:rsidR="000330AE" w:rsidRPr="00C2443F" w:rsidRDefault="000330AE" w:rsidP="00C2443F">
      <w:pPr>
        <w:pStyle w:val="ad"/>
        <w:rPr>
          <w:lang w:val="ru-RU"/>
        </w:rPr>
      </w:pPr>
      <w:r w:rsidRPr="003E6ACB">
        <w:rPr>
          <w:lang w:val="ru-RU"/>
        </w:rPr>
        <w:tab/>
      </w:r>
      <w:r w:rsidRPr="00A47BEE">
        <w:rPr>
          <w:rStyle w:val="aa"/>
        </w:rPr>
        <w:footnoteRef/>
      </w:r>
      <w:r w:rsidRPr="00C2443F">
        <w:rPr>
          <w:lang w:val="ru-RU"/>
        </w:rPr>
        <w:tab/>
        <w:t>Более подробную информацию см. на веб-сайте ЕЭК (</w:t>
      </w:r>
      <w:r w:rsidR="00DA4EF5">
        <w:fldChar w:fldCharType="begin"/>
      </w:r>
      <w:r w:rsidR="00DA4EF5" w:rsidRPr="00624058">
        <w:rPr>
          <w:lang w:val="ru-RU"/>
        </w:rPr>
        <w:instrText xml:space="preserve"> </w:instrText>
      </w:r>
      <w:r w:rsidR="00DA4EF5">
        <w:instrText>HYPERLINK</w:instrText>
      </w:r>
      <w:r w:rsidR="00DA4EF5" w:rsidRPr="00624058">
        <w:rPr>
          <w:lang w:val="ru-RU"/>
        </w:rPr>
        <w:instrText xml:space="preserve"> "</w:instrText>
      </w:r>
      <w:r w:rsidR="00DA4EF5">
        <w:instrText>http</w:instrText>
      </w:r>
      <w:r w:rsidR="00DA4EF5" w:rsidRPr="00624058">
        <w:rPr>
          <w:lang w:val="ru-RU"/>
        </w:rPr>
        <w:instrText>://</w:instrText>
      </w:r>
      <w:r w:rsidR="00DA4EF5">
        <w:instrText>www</w:instrText>
      </w:r>
      <w:r w:rsidR="00DA4EF5" w:rsidRPr="00624058">
        <w:rPr>
          <w:lang w:val="ru-RU"/>
        </w:rPr>
        <w:instrText>.</w:instrText>
      </w:r>
      <w:r w:rsidR="00DA4EF5">
        <w:instrText>unece</w:instrText>
      </w:r>
      <w:r w:rsidR="00DA4EF5" w:rsidRPr="00624058">
        <w:rPr>
          <w:lang w:val="ru-RU"/>
        </w:rPr>
        <w:instrText>.</w:instrText>
      </w:r>
      <w:r w:rsidR="00DA4EF5">
        <w:instrText>org</w:instrText>
      </w:r>
      <w:r w:rsidR="00DA4EF5" w:rsidRPr="00624058">
        <w:rPr>
          <w:lang w:val="ru-RU"/>
        </w:rPr>
        <w:instrText>/</w:instrText>
      </w:r>
      <w:r w:rsidR="00DA4EF5">
        <w:instrText>index</w:instrText>
      </w:r>
      <w:r w:rsidR="00DA4EF5" w:rsidRPr="00624058">
        <w:rPr>
          <w:lang w:val="ru-RU"/>
        </w:rPr>
        <w:instrText>.</w:instrText>
      </w:r>
      <w:r w:rsidR="00DA4EF5">
        <w:instrText>ph</w:instrText>
      </w:r>
      <w:r w:rsidR="00DA4EF5">
        <w:instrText>p</w:instrText>
      </w:r>
      <w:r w:rsidR="00DA4EF5" w:rsidRPr="00624058">
        <w:rPr>
          <w:lang w:val="ru-RU"/>
        </w:rPr>
        <w:instrText>?</w:instrText>
      </w:r>
      <w:r w:rsidR="00DA4EF5">
        <w:instrText>id</w:instrText>
      </w:r>
      <w:r w:rsidR="00DA4EF5" w:rsidRPr="00624058">
        <w:rPr>
          <w:lang w:val="ru-RU"/>
        </w:rPr>
        <w:instrText xml:space="preserve">=41961" </w:instrText>
      </w:r>
      <w:r w:rsidR="00DA4EF5">
        <w:fldChar w:fldCharType="separate"/>
      </w:r>
      <w:r w:rsidRPr="00C2443F">
        <w:rPr>
          <w:rStyle w:val="af1"/>
          <w:color w:val="auto"/>
        </w:rPr>
        <w:t>www</w:t>
      </w:r>
      <w:r w:rsidRPr="00C2443F">
        <w:rPr>
          <w:rStyle w:val="af1"/>
          <w:color w:val="auto"/>
          <w:lang w:val="ru-RU"/>
        </w:rPr>
        <w:t>.</w:t>
      </w:r>
      <w:proofErr w:type="spellStart"/>
      <w:r w:rsidRPr="00C2443F">
        <w:rPr>
          <w:rStyle w:val="af1"/>
          <w:color w:val="auto"/>
        </w:rPr>
        <w:t>unece</w:t>
      </w:r>
      <w:proofErr w:type="spellEnd"/>
      <w:r w:rsidRPr="00C2443F">
        <w:rPr>
          <w:rStyle w:val="af1"/>
          <w:color w:val="auto"/>
          <w:lang w:val="ru-RU"/>
        </w:rPr>
        <w:t>.</w:t>
      </w:r>
      <w:r w:rsidRPr="00C2443F">
        <w:rPr>
          <w:rStyle w:val="af1"/>
          <w:color w:val="auto"/>
        </w:rPr>
        <w:t>org</w:t>
      </w:r>
      <w:r w:rsidRPr="00C2443F">
        <w:rPr>
          <w:rStyle w:val="af1"/>
          <w:color w:val="auto"/>
          <w:lang w:val="ru-RU"/>
        </w:rPr>
        <w:t>/</w:t>
      </w:r>
      <w:r>
        <w:rPr>
          <w:rStyle w:val="af1"/>
          <w:color w:val="auto"/>
          <w:lang w:val="ru-RU"/>
        </w:rPr>
        <w:br/>
      </w:r>
      <w:r w:rsidRPr="00C2443F">
        <w:rPr>
          <w:rStyle w:val="af1"/>
          <w:color w:val="auto"/>
        </w:rPr>
        <w:t>index</w:t>
      </w:r>
      <w:r w:rsidRPr="00C2443F">
        <w:rPr>
          <w:rStyle w:val="af1"/>
          <w:color w:val="auto"/>
          <w:lang w:val="ru-RU"/>
        </w:rPr>
        <w:t>.</w:t>
      </w:r>
      <w:proofErr w:type="spellStart"/>
      <w:r w:rsidRPr="00C2443F">
        <w:rPr>
          <w:rStyle w:val="af1"/>
          <w:color w:val="auto"/>
        </w:rPr>
        <w:t>php</w:t>
      </w:r>
      <w:proofErr w:type="spellEnd"/>
      <w:r w:rsidRPr="00C2443F">
        <w:rPr>
          <w:rStyle w:val="af1"/>
          <w:color w:val="auto"/>
          <w:lang w:val="ru-RU"/>
        </w:rPr>
        <w:t>?</w:t>
      </w:r>
      <w:r w:rsidRPr="00C2443F">
        <w:rPr>
          <w:rStyle w:val="af1"/>
          <w:color w:val="auto"/>
        </w:rPr>
        <w:t>id</w:t>
      </w:r>
      <w:r w:rsidRPr="00C2443F">
        <w:rPr>
          <w:rStyle w:val="af1"/>
          <w:color w:val="auto"/>
          <w:lang w:val="ru-RU"/>
        </w:rPr>
        <w:t>=41961</w:t>
      </w:r>
      <w:r w:rsidR="00DA4EF5">
        <w:rPr>
          <w:rStyle w:val="af1"/>
          <w:color w:val="auto"/>
          <w:lang w:val="ru-RU"/>
        </w:rPr>
        <w:fldChar w:fldCharType="end"/>
      </w:r>
      <w:r w:rsidRPr="00C2443F">
        <w:rPr>
          <w:lang w:val="ru-RU"/>
        </w:rPr>
        <w:t xml:space="preserve">). </w:t>
      </w:r>
    </w:p>
  </w:footnote>
  <w:footnote w:id="6">
    <w:p w:rsidR="000330AE" w:rsidRPr="00C2443F" w:rsidRDefault="000330AE" w:rsidP="00C2443F">
      <w:pPr>
        <w:pStyle w:val="ad"/>
        <w:rPr>
          <w:lang w:val="ru-RU"/>
        </w:rPr>
      </w:pPr>
      <w:r w:rsidRPr="00C2443F">
        <w:rPr>
          <w:lang w:val="ru-RU"/>
        </w:rPr>
        <w:tab/>
      </w:r>
      <w:r w:rsidRPr="00C2443F">
        <w:rPr>
          <w:rStyle w:val="aa"/>
        </w:rPr>
        <w:footnoteRef/>
      </w:r>
      <w:r w:rsidRPr="00C2443F">
        <w:rPr>
          <w:lang w:val="ru-RU"/>
        </w:rPr>
        <w:tab/>
        <w:t xml:space="preserve">Там же, </w:t>
      </w:r>
      <w:r w:rsidR="00DA4EF5">
        <w:fldChar w:fldCharType="begin"/>
      </w:r>
      <w:r w:rsidR="00DA4EF5" w:rsidRPr="00624058">
        <w:rPr>
          <w:lang w:val="ru-RU"/>
        </w:rPr>
        <w:instrText xml:space="preserve"> </w:instrText>
      </w:r>
      <w:r w:rsidR="00DA4EF5">
        <w:instrText>HYPERLINK</w:instrText>
      </w:r>
      <w:r w:rsidR="00DA4EF5" w:rsidRPr="00624058">
        <w:rPr>
          <w:lang w:val="ru-RU"/>
        </w:rPr>
        <w:instrText xml:space="preserve"> "</w:instrText>
      </w:r>
      <w:r w:rsidR="00DA4EF5">
        <w:instrText>http</w:instrText>
      </w:r>
      <w:r w:rsidR="00DA4EF5" w:rsidRPr="00624058">
        <w:rPr>
          <w:lang w:val="ru-RU"/>
        </w:rPr>
        <w:instrText>://</w:instrText>
      </w:r>
      <w:r w:rsidR="00DA4EF5">
        <w:instrText>www</w:instrText>
      </w:r>
      <w:r w:rsidR="00DA4EF5" w:rsidRPr="00624058">
        <w:rPr>
          <w:lang w:val="ru-RU"/>
        </w:rPr>
        <w:instrText>.</w:instrText>
      </w:r>
      <w:r w:rsidR="00DA4EF5">
        <w:instrText>unece</w:instrText>
      </w:r>
      <w:r w:rsidR="00DA4EF5" w:rsidRPr="00624058">
        <w:rPr>
          <w:lang w:val="ru-RU"/>
        </w:rPr>
        <w:instrText>.</w:instrText>
      </w:r>
      <w:r w:rsidR="00DA4EF5">
        <w:instrText>org</w:instrText>
      </w:r>
      <w:r w:rsidR="00DA4EF5" w:rsidRPr="00624058">
        <w:rPr>
          <w:lang w:val="ru-RU"/>
        </w:rPr>
        <w:instrText>/</w:instrText>
      </w:r>
      <w:r w:rsidR="00DA4EF5">
        <w:instrText>index</w:instrText>
      </w:r>
      <w:r w:rsidR="00DA4EF5" w:rsidRPr="00624058">
        <w:rPr>
          <w:lang w:val="ru-RU"/>
        </w:rPr>
        <w:instrText>.</w:instrText>
      </w:r>
      <w:r w:rsidR="00DA4EF5">
        <w:instrText>php</w:instrText>
      </w:r>
      <w:r w:rsidR="00DA4EF5" w:rsidRPr="00624058">
        <w:rPr>
          <w:lang w:val="ru-RU"/>
        </w:rPr>
        <w:instrText>?</w:instrText>
      </w:r>
      <w:r w:rsidR="00DA4EF5">
        <w:instrText>id</w:instrText>
      </w:r>
      <w:r w:rsidR="00DA4EF5" w:rsidRPr="00624058">
        <w:rPr>
          <w:lang w:val="ru-RU"/>
        </w:rPr>
        <w:instrText xml:space="preserve">=41356" </w:instrText>
      </w:r>
      <w:r w:rsidR="00DA4EF5">
        <w:fldChar w:fldCharType="separate"/>
      </w:r>
      <w:r w:rsidRPr="00C2443F">
        <w:rPr>
          <w:rStyle w:val="af1"/>
          <w:color w:val="auto"/>
        </w:rPr>
        <w:t>www</w:t>
      </w:r>
      <w:r w:rsidRPr="00C2443F">
        <w:rPr>
          <w:rStyle w:val="af1"/>
          <w:color w:val="auto"/>
          <w:lang w:val="ru-RU"/>
        </w:rPr>
        <w:t>.</w:t>
      </w:r>
      <w:proofErr w:type="spellStart"/>
      <w:r w:rsidRPr="00C2443F">
        <w:rPr>
          <w:rStyle w:val="af1"/>
          <w:color w:val="auto"/>
        </w:rPr>
        <w:t>unece</w:t>
      </w:r>
      <w:proofErr w:type="spellEnd"/>
      <w:r w:rsidRPr="00C2443F">
        <w:rPr>
          <w:rStyle w:val="af1"/>
          <w:color w:val="auto"/>
          <w:lang w:val="ru-RU"/>
        </w:rPr>
        <w:t>.</w:t>
      </w:r>
      <w:r w:rsidRPr="00C2443F">
        <w:rPr>
          <w:rStyle w:val="af1"/>
          <w:color w:val="auto"/>
        </w:rPr>
        <w:t>org</w:t>
      </w:r>
      <w:r w:rsidRPr="00C2443F">
        <w:rPr>
          <w:rStyle w:val="af1"/>
          <w:color w:val="auto"/>
          <w:lang w:val="ru-RU"/>
        </w:rPr>
        <w:t>/</w:t>
      </w:r>
      <w:r w:rsidRPr="00C2443F">
        <w:rPr>
          <w:rStyle w:val="af1"/>
          <w:color w:val="auto"/>
        </w:rPr>
        <w:t>index</w:t>
      </w:r>
      <w:r w:rsidRPr="00C2443F">
        <w:rPr>
          <w:rStyle w:val="af1"/>
          <w:color w:val="auto"/>
          <w:lang w:val="ru-RU"/>
        </w:rPr>
        <w:t>.</w:t>
      </w:r>
      <w:proofErr w:type="spellStart"/>
      <w:r w:rsidRPr="00C2443F">
        <w:rPr>
          <w:rStyle w:val="af1"/>
          <w:color w:val="auto"/>
        </w:rPr>
        <w:t>php</w:t>
      </w:r>
      <w:proofErr w:type="spellEnd"/>
      <w:r w:rsidRPr="00C2443F">
        <w:rPr>
          <w:rStyle w:val="af1"/>
          <w:color w:val="auto"/>
          <w:lang w:val="ru-RU"/>
        </w:rPr>
        <w:t>?</w:t>
      </w:r>
      <w:r w:rsidRPr="00C2443F">
        <w:rPr>
          <w:rStyle w:val="af1"/>
          <w:color w:val="auto"/>
        </w:rPr>
        <w:t>id</w:t>
      </w:r>
      <w:r w:rsidRPr="00C2443F">
        <w:rPr>
          <w:rStyle w:val="af1"/>
          <w:color w:val="auto"/>
          <w:lang w:val="ru-RU"/>
        </w:rPr>
        <w:t>=41356</w:t>
      </w:r>
      <w:r w:rsidR="00DA4EF5">
        <w:rPr>
          <w:rStyle w:val="af1"/>
          <w:color w:val="auto"/>
          <w:lang w:val="ru-RU"/>
        </w:rPr>
        <w:fldChar w:fldCharType="end"/>
      </w:r>
      <w:r w:rsidRPr="00C2443F">
        <w:rPr>
          <w:lang w:val="ru-RU"/>
        </w:rPr>
        <w:t>.</w:t>
      </w:r>
    </w:p>
  </w:footnote>
  <w:footnote w:id="7">
    <w:p w:rsidR="000330AE" w:rsidRPr="00C2443F" w:rsidRDefault="000330AE" w:rsidP="00C2443F">
      <w:pPr>
        <w:pStyle w:val="ad"/>
        <w:rPr>
          <w:lang w:val="ru-RU"/>
        </w:rPr>
      </w:pPr>
      <w:r w:rsidRPr="00C2443F">
        <w:rPr>
          <w:lang w:val="ru-RU"/>
        </w:rPr>
        <w:tab/>
      </w:r>
      <w:r w:rsidRPr="00C2443F">
        <w:rPr>
          <w:rStyle w:val="aa"/>
        </w:rPr>
        <w:footnoteRef/>
      </w:r>
      <w:r w:rsidRPr="00C2443F">
        <w:rPr>
          <w:lang w:val="ru-RU"/>
        </w:rPr>
        <w:tab/>
        <w:t xml:space="preserve">Там же, </w:t>
      </w:r>
      <w:r w:rsidR="00DA4EF5">
        <w:fldChar w:fldCharType="begin"/>
      </w:r>
      <w:r w:rsidR="00DA4EF5" w:rsidRPr="00624058">
        <w:rPr>
          <w:lang w:val="ru-RU"/>
        </w:rPr>
        <w:instrText xml:space="preserve"> </w:instrText>
      </w:r>
      <w:r w:rsidR="00DA4EF5">
        <w:instrText>HYPERLINK</w:instrText>
      </w:r>
      <w:r w:rsidR="00DA4EF5" w:rsidRPr="00624058">
        <w:rPr>
          <w:lang w:val="ru-RU"/>
        </w:rPr>
        <w:instrText xml:space="preserve"> "</w:instrText>
      </w:r>
      <w:r w:rsidR="00DA4EF5">
        <w:instrText>http</w:instrText>
      </w:r>
      <w:r w:rsidR="00DA4EF5" w:rsidRPr="00624058">
        <w:rPr>
          <w:lang w:val="ru-RU"/>
        </w:rPr>
        <w:instrText>://</w:instrText>
      </w:r>
      <w:r w:rsidR="00DA4EF5">
        <w:instrText>www</w:instrText>
      </w:r>
      <w:r w:rsidR="00DA4EF5" w:rsidRPr="00624058">
        <w:rPr>
          <w:lang w:val="ru-RU"/>
        </w:rPr>
        <w:instrText>.</w:instrText>
      </w:r>
      <w:r w:rsidR="00DA4EF5">
        <w:instrText>unece</w:instrText>
      </w:r>
      <w:r w:rsidR="00DA4EF5" w:rsidRPr="00624058">
        <w:rPr>
          <w:lang w:val="ru-RU"/>
        </w:rPr>
        <w:instrText>.</w:instrText>
      </w:r>
      <w:r w:rsidR="00DA4EF5">
        <w:instrText>org</w:instrText>
      </w:r>
      <w:r w:rsidR="00DA4EF5" w:rsidRPr="00624058">
        <w:rPr>
          <w:lang w:val="ru-RU"/>
        </w:rPr>
        <w:instrText>/</w:instrText>
      </w:r>
      <w:r w:rsidR="00DA4EF5">
        <w:instrText>index</w:instrText>
      </w:r>
      <w:r w:rsidR="00DA4EF5" w:rsidRPr="00624058">
        <w:rPr>
          <w:lang w:val="ru-RU"/>
        </w:rPr>
        <w:instrText>.</w:instrText>
      </w:r>
      <w:r w:rsidR="00DA4EF5">
        <w:instrText>php</w:instrText>
      </w:r>
      <w:r w:rsidR="00DA4EF5" w:rsidRPr="00624058">
        <w:rPr>
          <w:lang w:val="ru-RU"/>
        </w:rPr>
        <w:instrText>?</w:instrText>
      </w:r>
      <w:r w:rsidR="00DA4EF5">
        <w:instrText>id</w:instrText>
      </w:r>
      <w:r w:rsidR="00DA4EF5" w:rsidRPr="00624058">
        <w:rPr>
          <w:lang w:val="ru-RU"/>
        </w:rPr>
        <w:instrText xml:space="preserve">=42573" </w:instrText>
      </w:r>
      <w:r w:rsidR="00DA4EF5">
        <w:fldChar w:fldCharType="separate"/>
      </w:r>
      <w:r w:rsidRPr="00C2443F">
        <w:rPr>
          <w:rStyle w:val="af1"/>
          <w:color w:val="auto"/>
        </w:rPr>
        <w:t>www</w:t>
      </w:r>
      <w:r w:rsidRPr="00C2443F">
        <w:rPr>
          <w:rStyle w:val="af1"/>
          <w:color w:val="auto"/>
          <w:lang w:val="ru-RU"/>
        </w:rPr>
        <w:t>.</w:t>
      </w:r>
      <w:proofErr w:type="spellStart"/>
      <w:r w:rsidRPr="00C2443F">
        <w:rPr>
          <w:rStyle w:val="af1"/>
          <w:color w:val="auto"/>
        </w:rPr>
        <w:t>unece</w:t>
      </w:r>
      <w:proofErr w:type="spellEnd"/>
      <w:r w:rsidRPr="00C2443F">
        <w:rPr>
          <w:rStyle w:val="af1"/>
          <w:color w:val="auto"/>
          <w:lang w:val="ru-RU"/>
        </w:rPr>
        <w:t>.</w:t>
      </w:r>
      <w:r w:rsidRPr="00C2443F">
        <w:rPr>
          <w:rStyle w:val="af1"/>
          <w:color w:val="auto"/>
        </w:rPr>
        <w:t>org</w:t>
      </w:r>
      <w:r w:rsidRPr="00C2443F">
        <w:rPr>
          <w:rStyle w:val="af1"/>
          <w:color w:val="auto"/>
          <w:lang w:val="ru-RU"/>
        </w:rPr>
        <w:t>/</w:t>
      </w:r>
      <w:r w:rsidRPr="00C2443F">
        <w:rPr>
          <w:rStyle w:val="af1"/>
          <w:color w:val="auto"/>
        </w:rPr>
        <w:t>index</w:t>
      </w:r>
      <w:r w:rsidRPr="00C2443F">
        <w:rPr>
          <w:rStyle w:val="af1"/>
          <w:color w:val="auto"/>
          <w:lang w:val="ru-RU"/>
        </w:rPr>
        <w:t>.</w:t>
      </w:r>
      <w:proofErr w:type="spellStart"/>
      <w:r w:rsidRPr="00C2443F">
        <w:rPr>
          <w:rStyle w:val="af1"/>
          <w:color w:val="auto"/>
        </w:rPr>
        <w:t>php</w:t>
      </w:r>
      <w:proofErr w:type="spellEnd"/>
      <w:r w:rsidRPr="00C2443F">
        <w:rPr>
          <w:rStyle w:val="af1"/>
          <w:color w:val="auto"/>
          <w:lang w:val="ru-RU"/>
        </w:rPr>
        <w:t>?</w:t>
      </w:r>
      <w:r w:rsidRPr="00C2443F">
        <w:rPr>
          <w:rStyle w:val="af1"/>
          <w:color w:val="auto"/>
        </w:rPr>
        <w:t>id</w:t>
      </w:r>
      <w:r w:rsidRPr="00C2443F">
        <w:rPr>
          <w:rStyle w:val="af1"/>
          <w:color w:val="auto"/>
          <w:lang w:val="ru-RU"/>
        </w:rPr>
        <w:t>=42573</w:t>
      </w:r>
      <w:r w:rsidR="00DA4EF5">
        <w:rPr>
          <w:rStyle w:val="af1"/>
          <w:color w:val="auto"/>
          <w:lang w:val="ru-RU"/>
        </w:rPr>
        <w:fldChar w:fldCharType="end"/>
      </w:r>
      <w:r w:rsidRPr="00C2443F">
        <w:rPr>
          <w:lang w:val="ru-RU"/>
        </w:rPr>
        <w:t>.</w:t>
      </w:r>
    </w:p>
  </w:footnote>
  <w:footnote w:id="8">
    <w:p w:rsidR="000330AE" w:rsidRPr="000330AE" w:rsidRDefault="000330AE" w:rsidP="00A47BEE">
      <w:pPr>
        <w:pStyle w:val="ad"/>
        <w:rPr>
          <w:lang w:val="ru-RU"/>
        </w:rPr>
      </w:pPr>
      <w:r w:rsidRPr="00C2443F">
        <w:rPr>
          <w:lang w:val="ru-RU"/>
        </w:rPr>
        <w:tab/>
      </w:r>
      <w:r w:rsidRPr="00A47BEE">
        <w:rPr>
          <w:rStyle w:val="aa"/>
        </w:rPr>
        <w:footnoteRef/>
      </w:r>
      <w:r w:rsidRPr="000330AE">
        <w:rPr>
          <w:lang w:val="ru-RU"/>
        </w:rPr>
        <w:tab/>
      </w:r>
      <w:proofErr w:type="gramStart"/>
      <w:r w:rsidRPr="000330AE">
        <w:rPr>
          <w:lang w:val="ru-RU"/>
        </w:rPr>
        <w:t xml:space="preserve">В этом исследовании рассматриваются решения, действия или случаи бездействия, которые могли бы быть обжалованы в административном порядке и в порядке надзорного судопроизводства в соответствии с внутренним законодательством об осуществлении статьи 9 </w:t>
      </w:r>
      <w:proofErr w:type="spellStart"/>
      <w:r w:rsidRPr="000330AE">
        <w:rPr>
          <w:lang w:val="ru-RU"/>
        </w:rPr>
        <w:t>Орхусской</w:t>
      </w:r>
      <w:proofErr w:type="spellEnd"/>
      <w:r w:rsidRPr="000330AE">
        <w:rPr>
          <w:lang w:val="ru-RU"/>
        </w:rPr>
        <w:t xml:space="preserve"> конвенции, в том числе в отношении того, какие основания следует учитывать в процессе пересмотра и в какой степени можно проводить пересмотр решений с точки зрения процессуального и материального</w:t>
      </w:r>
      <w:proofErr w:type="gramEnd"/>
      <w:r w:rsidRPr="000330AE">
        <w:rPr>
          <w:lang w:val="ru-RU"/>
        </w:rPr>
        <w:t xml:space="preserve"> права. </w:t>
      </w:r>
    </w:p>
  </w:footnote>
  <w:footnote w:id="9">
    <w:p w:rsidR="000330AE" w:rsidRPr="00273E68" w:rsidRDefault="000330AE" w:rsidP="00A47BEE">
      <w:pPr>
        <w:pStyle w:val="ad"/>
        <w:rPr>
          <w:lang w:val="ru-RU"/>
        </w:rPr>
      </w:pPr>
      <w:r w:rsidRPr="000330AE">
        <w:rPr>
          <w:lang w:val="ru-RU"/>
        </w:rPr>
        <w:tab/>
      </w:r>
      <w:r w:rsidRPr="00273E68">
        <w:rPr>
          <w:rStyle w:val="aa"/>
        </w:rPr>
        <w:footnoteRef/>
      </w:r>
      <w:r w:rsidRPr="00273E68">
        <w:rPr>
          <w:lang w:val="ru-RU"/>
        </w:rPr>
        <w:tab/>
        <w:t xml:space="preserve">Там же, </w:t>
      </w:r>
      <w:r w:rsidR="00DA4EF5">
        <w:fldChar w:fldCharType="begin"/>
      </w:r>
      <w:r w:rsidR="00DA4EF5" w:rsidRPr="00624058">
        <w:rPr>
          <w:lang w:val="ru-RU"/>
        </w:rPr>
        <w:instrText xml:space="preserve"> </w:instrText>
      </w:r>
      <w:r w:rsidR="00DA4EF5">
        <w:instrText>HYPERLINK</w:instrText>
      </w:r>
      <w:r w:rsidR="00DA4EF5" w:rsidRPr="00624058">
        <w:rPr>
          <w:lang w:val="ru-RU"/>
        </w:rPr>
        <w:instrText xml:space="preserve"> "</w:instrText>
      </w:r>
      <w:r w:rsidR="00DA4EF5">
        <w:instrText>http</w:instrText>
      </w:r>
      <w:r w:rsidR="00DA4EF5" w:rsidRPr="00624058">
        <w:rPr>
          <w:lang w:val="ru-RU"/>
        </w:rPr>
        <w:instrText>://</w:instrText>
      </w:r>
      <w:r w:rsidR="00DA4EF5">
        <w:instrText>www</w:instrText>
      </w:r>
      <w:r w:rsidR="00DA4EF5" w:rsidRPr="00624058">
        <w:rPr>
          <w:lang w:val="ru-RU"/>
        </w:rPr>
        <w:instrText>.</w:instrText>
      </w:r>
      <w:r w:rsidR="00DA4EF5">
        <w:instrText>unece</w:instrText>
      </w:r>
      <w:r w:rsidR="00DA4EF5" w:rsidRPr="00624058">
        <w:rPr>
          <w:lang w:val="ru-RU"/>
        </w:rPr>
        <w:instrText>.</w:instrText>
      </w:r>
      <w:r w:rsidR="00DA4EF5">
        <w:instrText>org</w:instrText>
      </w:r>
      <w:r w:rsidR="00DA4EF5" w:rsidRPr="00624058">
        <w:rPr>
          <w:lang w:val="ru-RU"/>
        </w:rPr>
        <w:instrText>/</w:instrText>
      </w:r>
      <w:r w:rsidR="00DA4EF5">
        <w:instrText>index</w:instrText>
      </w:r>
      <w:r w:rsidR="00DA4EF5" w:rsidRPr="00624058">
        <w:rPr>
          <w:lang w:val="ru-RU"/>
        </w:rPr>
        <w:instrText>.</w:instrText>
      </w:r>
      <w:r w:rsidR="00DA4EF5">
        <w:instrText>php</w:instrText>
      </w:r>
      <w:r w:rsidR="00DA4EF5" w:rsidRPr="00624058">
        <w:rPr>
          <w:lang w:val="ru-RU"/>
        </w:rPr>
        <w:instrText>?</w:instrText>
      </w:r>
      <w:r w:rsidR="00DA4EF5">
        <w:instrText>id</w:instrText>
      </w:r>
      <w:r w:rsidR="00DA4EF5" w:rsidRPr="00624058">
        <w:rPr>
          <w:lang w:val="ru-RU"/>
        </w:rPr>
        <w:instrText xml:space="preserve">=42179" </w:instrText>
      </w:r>
      <w:r w:rsidR="00DA4EF5">
        <w:fldChar w:fldCharType="separate"/>
      </w:r>
      <w:r w:rsidRPr="00273E68">
        <w:rPr>
          <w:rStyle w:val="af1"/>
          <w:color w:val="auto"/>
          <w:lang w:val="ru-RU"/>
        </w:rPr>
        <w:t>www.unece.org/index.php?id=42179</w:t>
      </w:r>
      <w:r w:rsidR="00DA4EF5">
        <w:rPr>
          <w:rStyle w:val="af1"/>
          <w:color w:val="auto"/>
          <w:lang w:val="ru-RU"/>
        </w:rPr>
        <w:fldChar w:fldCharType="end"/>
      </w:r>
      <w:r w:rsidRPr="00273E68">
        <w:rPr>
          <w:lang w:val="ru-RU"/>
        </w:rPr>
        <w:t>.</w:t>
      </w:r>
    </w:p>
  </w:footnote>
  <w:footnote w:id="10">
    <w:p w:rsidR="000330AE" w:rsidRPr="00273E68" w:rsidRDefault="000330AE" w:rsidP="00A47BEE">
      <w:pPr>
        <w:pStyle w:val="ad"/>
        <w:rPr>
          <w:lang w:val="ru-RU"/>
        </w:rPr>
      </w:pPr>
      <w:r w:rsidRPr="00273E68">
        <w:rPr>
          <w:lang w:val="ru-RU"/>
        </w:rPr>
        <w:tab/>
      </w:r>
      <w:r w:rsidRPr="00273E68">
        <w:rPr>
          <w:rStyle w:val="aa"/>
        </w:rPr>
        <w:footnoteRef/>
      </w:r>
      <w:r w:rsidRPr="00273E68">
        <w:rPr>
          <w:lang w:val="ru-RU"/>
        </w:rPr>
        <w:tab/>
        <w:t xml:space="preserve">Там же, </w:t>
      </w:r>
      <w:r w:rsidR="00DA4EF5">
        <w:fldChar w:fldCharType="begin"/>
      </w:r>
      <w:r w:rsidR="00DA4EF5" w:rsidRPr="00624058">
        <w:rPr>
          <w:lang w:val="ru-RU"/>
        </w:rPr>
        <w:instrText xml:space="preserve"> </w:instrText>
      </w:r>
      <w:r w:rsidR="00DA4EF5">
        <w:instrText>HYPERLINK</w:instrText>
      </w:r>
      <w:r w:rsidR="00DA4EF5" w:rsidRPr="00624058">
        <w:rPr>
          <w:lang w:val="ru-RU"/>
        </w:rPr>
        <w:instrText xml:space="preserve"> "</w:instrText>
      </w:r>
      <w:r w:rsidR="00DA4EF5">
        <w:instrText>http</w:instrText>
      </w:r>
      <w:r w:rsidR="00DA4EF5" w:rsidRPr="00624058">
        <w:rPr>
          <w:lang w:val="ru-RU"/>
        </w:rPr>
        <w:instrText>://</w:instrText>
      </w:r>
      <w:r w:rsidR="00DA4EF5">
        <w:instrText>www</w:instrText>
      </w:r>
      <w:r w:rsidR="00DA4EF5" w:rsidRPr="00624058">
        <w:rPr>
          <w:lang w:val="ru-RU"/>
        </w:rPr>
        <w:instrText>.</w:instrText>
      </w:r>
      <w:r w:rsidR="00DA4EF5">
        <w:instrText>unece</w:instrText>
      </w:r>
      <w:r w:rsidR="00DA4EF5" w:rsidRPr="00624058">
        <w:rPr>
          <w:lang w:val="ru-RU"/>
        </w:rPr>
        <w:instrText>.</w:instrText>
      </w:r>
      <w:r w:rsidR="00DA4EF5">
        <w:instrText>org</w:instrText>
      </w:r>
      <w:r w:rsidR="00DA4EF5" w:rsidRPr="00624058">
        <w:rPr>
          <w:lang w:val="ru-RU"/>
        </w:rPr>
        <w:instrText>/</w:instrText>
      </w:r>
      <w:r w:rsidR="00DA4EF5">
        <w:instrText>index</w:instrText>
      </w:r>
      <w:r w:rsidR="00DA4EF5" w:rsidRPr="00624058">
        <w:rPr>
          <w:lang w:val="ru-RU"/>
        </w:rPr>
        <w:instrText>.</w:instrText>
      </w:r>
      <w:r w:rsidR="00DA4EF5">
        <w:instrText>php</w:instrText>
      </w:r>
      <w:r w:rsidR="00DA4EF5" w:rsidRPr="00624058">
        <w:rPr>
          <w:lang w:val="ru-RU"/>
        </w:rPr>
        <w:instrText>?</w:instrText>
      </w:r>
      <w:r w:rsidR="00DA4EF5">
        <w:instrText>id</w:instrText>
      </w:r>
      <w:r w:rsidR="00DA4EF5" w:rsidRPr="00624058">
        <w:rPr>
          <w:lang w:val="ru-RU"/>
        </w:rPr>
        <w:instrText xml:space="preserve">=41956" </w:instrText>
      </w:r>
      <w:r w:rsidR="00DA4EF5">
        <w:fldChar w:fldCharType="separate"/>
      </w:r>
      <w:r w:rsidRPr="00273E68">
        <w:rPr>
          <w:rStyle w:val="af1"/>
          <w:color w:val="auto"/>
          <w:lang w:val="ru-RU"/>
        </w:rPr>
        <w:t>www.unece.org/index.php?id=41956</w:t>
      </w:r>
      <w:r w:rsidR="00DA4EF5">
        <w:rPr>
          <w:rStyle w:val="af1"/>
          <w:color w:val="auto"/>
          <w:lang w:val="ru-RU"/>
        </w:rPr>
        <w:fldChar w:fldCharType="end"/>
      </w:r>
      <w:r w:rsidRPr="00273E68">
        <w:rPr>
          <w:lang w:val="ru-RU"/>
        </w:rPr>
        <w:t>.</w:t>
      </w:r>
    </w:p>
  </w:footnote>
  <w:footnote w:id="11">
    <w:p w:rsidR="000330AE" w:rsidRPr="00273E68" w:rsidRDefault="000330AE" w:rsidP="00273E68">
      <w:pPr>
        <w:pStyle w:val="ad"/>
        <w:rPr>
          <w:lang w:val="ru-RU"/>
        </w:rPr>
      </w:pPr>
      <w:r w:rsidRPr="00273E68">
        <w:rPr>
          <w:lang w:val="ru-RU"/>
        </w:rPr>
        <w:tab/>
      </w:r>
      <w:r w:rsidRPr="00273E68">
        <w:rPr>
          <w:rStyle w:val="aa"/>
        </w:rPr>
        <w:footnoteRef/>
      </w:r>
      <w:r w:rsidRPr="00273E68">
        <w:rPr>
          <w:lang w:val="ru-RU"/>
        </w:rPr>
        <w:tab/>
        <w:t xml:space="preserve">Там же, </w:t>
      </w:r>
      <w:r w:rsidR="00DA4EF5">
        <w:fldChar w:fldCharType="begin"/>
      </w:r>
      <w:r w:rsidR="00DA4EF5" w:rsidRPr="00624058">
        <w:rPr>
          <w:lang w:val="ru-RU"/>
        </w:rPr>
        <w:instrText xml:space="preserve"> </w:instrText>
      </w:r>
      <w:r w:rsidR="00DA4EF5">
        <w:instrText>HYPERLINK</w:instrText>
      </w:r>
      <w:r w:rsidR="00DA4EF5" w:rsidRPr="00624058">
        <w:rPr>
          <w:lang w:val="ru-RU"/>
        </w:rPr>
        <w:instrText xml:space="preserve"> "</w:instrText>
      </w:r>
      <w:r w:rsidR="00DA4EF5">
        <w:instrText>http</w:instrText>
      </w:r>
      <w:r w:rsidR="00DA4EF5" w:rsidRPr="00624058">
        <w:rPr>
          <w:lang w:val="ru-RU"/>
        </w:rPr>
        <w:instrText>://</w:instrText>
      </w:r>
      <w:r w:rsidR="00DA4EF5">
        <w:instrText>www</w:instrText>
      </w:r>
      <w:r w:rsidR="00DA4EF5" w:rsidRPr="00624058">
        <w:rPr>
          <w:lang w:val="ru-RU"/>
        </w:rPr>
        <w:instrText>.</w:instrText>
      </w:r>
      <w:r w:rsidR="00DA4EF5">
        <w:instrText>unece</w:instrText>
      </w:r>
      <w:r w:rsidR="00DA4EF5" w:rsidRPr="00624058">
        <w:rPr>
          <w:lang w:val="ru-RU"/>
        </w:rPr>
        <w:instrText>.</w:instrText>
      </w:r>
      <w:r w:rsidR="00DA4EF5">
        <w:instrText>org</w:instrText>
      </w:r>
      <w:r w:rsidR="00DA4EF5" w:rsidRPr="00624058">
        <w:rPr>
          <w:lang w:val="ru-RU"/>
        </w:rPr>
        <w:instrText>/</w:instrText>
      </w:r>
      <w:r w:rsidR="00DA4EF5">
        <w:instrText>index</w:instrText>
      </w:r>
      <w:r w:rsidR="00DA4EF5" w:rsidRPr="00624058">
        <w:rPr>
          <w:lang w:val="ru-RU"/>
        </w:rPr>
        <w:instrText>.</w:instrText>
      </w:r>
      <w:r w:rsidR="00DA4EF5">
        <w:instrText>php</w:instrText>
      </w:r>
      <w:r w:rsidR="00DA4EF5" w:rsidRPr="00624058">
        <w:rPr>
          <w:lang w:val="ru-RU"/>
        </w:rPr>
        <w:instrText>?</w:instrText>
      </w:r>
      <w:r w:rsidR="00DA4EF5">
        <w:instrText>id</w:instrText>
      </w:r>
      <w:r w:rsidR="00DA4EF5" w:rsidRPr="00624058">
        <w:rPr>
          <w:lang w:val="ru-RU"/>
        </w:rPr>
        <w:instrText xml:space="preserve">=42177" </w:instrText>
      </w:r>
      <w:r w:rsidR="00DA4EF5">
        <w:fldChar w:fldCharType="separate"/>
      </w:r>
      <w:r w:rsidRPr="00273E68">
        <w:rPr>
          <w:rStyle w:val="af1"/>
          <w:color w:val="auto"/>
          <w:lang w:val="ru-RU"/>
        </w:rPr>
        <w:t>www.unece.org/index.php?id=42177</w:t>
      </w:r>
      <w:r w:rsidR="00DA4EF5">
        <w:rPr>
          <w:rStyle w:val="af1"/>
          <w:color w:val="auto"/>
          <w:lang w:val="ru-RU"/>
        </w:rPr>
        <w:fldChar w:fldCharType="end"/>
      </w:r>
      <w:r w:rsidRPr="00273E68">
        <w:rPr>
          <w:lang w:val="ru-RU"/>
        </w:rPr>
        <w:t>.</w:t>
      </w:r>
    </w:p>
  </w:footnote>
  <w:footnote w:id="12">
    <w:p w:rsidR="000330AE" w:rsidRPr="000330AE" w:rsidRDefault="000330AE" w:rsidP="00A47BEE">
      <w:pPr>
        <w:pStyle w:val="ad"/>
        <w:rPr>
          <w:lang w:val="ru-RU"/>
        </w:rPr>
      </w:pPr>
      <w:r w:rsidRPr="00273E68">
        <w:rPr>
          <w:lang w:val="ru-RU"/>
        </w:rPr>
        <w:tab/>
      </w:r>
      <w:r w:rsidRPr="00A47BEE">
        <w:rPr>
          <w:rStyle w:val="aa"/>
        </w:rPr>
        <w:footnoteRef/>
      </w:r>
      <w:r w:rsidRPr="00364F5D">
        <w:rPr>
          <w:lang w:val="ru-RU"/>
        </w:rPr>
        <w:tab/>
        <w:t xml:space="preserve">В 2012–2013 годах представление национальных докладов об осуществлении не предусмотрено. </w:t>
      </w:r>
      <w:r w:rsidRPr="000330AE">
        <w:rPr>
          <w:lang w:val="ru-RU"/>
        </w:rPr>
        <w:t xml:space="preserve">Следующий цикл представления отчетности по осуществлению как </w:t>
      </w:r>
      <w:proofErr w:type="spellStart"/>
      <w:r w:rsidRPr="000330AE">
        <w:rPr>
          <w:lang w:val="ru-RU"/>
        </w:rPr>
        <w:t>Орхусской</w:t>
      </w:r>
      <w:proofErr w:type="spellEnd"/>
      <w:r w:rsidRPr="000330AE">
        <w:rPr>
          <w:lang w:val="ru-RU"/>
        </w:rPr>
        <w:t xml:space="preserve"> конвенции, так и Протокола о РВПЗ пришелся на 2014 год.</w:t>
      </w:r>
    </w:p>
  </w:footnote>
  <w:footnote w:id="13">
    <w:p w:rsidR="000330AE" w:rsidRPr="000330AE" w:rsidRDefault="000330AE" w:rsidP="00A47BEE">
      <w:pPr>
        <w:pStyle w:val="ad"/>
        <w:rPr>
          <w:lang w:val="ru-RU"/>
        </w:rPr>
      </w:pPr>
      <w:r w:rsidRPr="000330AE">
        <w:rPr>
          <w:lang w:val="ru-RU"/>
        </w:rPr>
        <w:tab/>
      </w:r>
      <w:r w:rsidRPr="00A47BEE">
        <w:rPr>
          <w:rStyle w:val="aa"/>
        </w:rPr>
        <w:footnoteRef/>
      </w:r>
      <w:r w:rsidRPr="000330AE">
        <w:rPr>
          <w:lang w:val="ru-RU"/>
        </w:rPr>
        <w:tab/>
        <w:t xml:space="preserve">Общее число национальных докладов об осуществлении все еще может измениться по мере представления докладов Сторонами </w:t>
      </w:r>
      <w:proofErr w:type="spellStart"/>
      <w:r w:rsidRPr="000330AE">
        <w:rPr>
          <w:lang w:val="ru-RU"/>
        </w:rPr>
        <w:t>Орхусской</w:t>
      </w:r>
      <w:proofErr w:type="spellEnd"/>
      <w:r w:rsidRPr="000330AE">
        <w:rPr>
          <w:lang w:val="ru-RU"/>
        </w:rPr>
        <w:t xml:space="preserve"> конвенции и Протокола о РВПЗ. </w:t>
      </w:r>
    </w:p>
  </w:footnote>
  <w:footnote w:id="14">
    <w:p w:rsidR="000330AE" w:rsidRPr="000330AE" w:rsidRDefault="000330AE" w:rsidP="00A47BEE">
      <w:pPr>
        <w:pStyle w:val="ad"/>
        <w:rPr>
          <w:lang w:val="ru-RU"/>
        </w:rPr>
      </w:pPr>
      <w:r w:rsidRPr="000330AE">
        <w:rPr>
          <w:lang w:val="ru-RU"/>
        </w:rPr>
        <w:tab/>
      </w:r>
      <w:r w:rsidRPr="00A47BEE">
        <w:rPr>
          <w:rStyle w:val="aa"/>
        </w:rPr>
        <w:footnoteRef/>
      </w:r>
      <w:r w:rsidRPr="000330AE">
        <w:rPr>
          <w:lang w:val="ru-RU"/>
        </w:rPr>
        <w:tab/>
        <w:t xml:space="preserve">То же. </w:t>
      </w:r>
    </w:p>
  </w:footnote>
  <w:footnote w:id="15">
    <w:p w:rsidR="000330AE" w:rsidRPr="000330AE" w:rsidRDefault="000330AE" w:rsidP="00A47BEE">
      <w:pPr>
        <w:pStyle w:val="ad"/>
        <w:rPr>
          <w:lang w:val="ru-RU"/>
        </w:rPr>
      </w:pPr>
      <w:r w:rsidRPr="000330AE">
        <w:rPr>
          <w:lang w:val="ru-RU"/>
        </w:rPr>
        <w:tab/>
      </w:r>
      <w:r w:rsidRPr="00A47BEE">
        <w:rPr>
          <w:rStyle w:val="aa"/>
        </w:rPr>
        <w:footnoteRef/>
      </w:r>
      <w:r w:rsidRPr="000330AE">
        <w:rPr>
          <w:lang w:val="ru-RU"/>
        </w:rPr>
        <w:tab/>
        <w:t>Задержка с ратификацией всеми Сторонами, принявшими поправку об открытии Конвенции по водам, не позволяла странам за пределами региона ЕЭК присоединиться к ней до марта 2016 года.</w:t>
      </w:r>
    </w:p>
  </w:footnote>
  <w:footnote w:id="16">
    <w:p w:rsidR="000330AE" w:rsidRPr="000330AE" w:rsidRDefault="000330AE" w:rsidP="00A47BEE">
      <w:pPr>
        <w:pStyle w:val="ad"/>
        <w:rPr>
          <w:lang w:val="ru-RU"/>
        </w:rPr>
      </w:pPr>
      <w:r w:rsidRPr="000330AE">
        <w:rPr>
          <w:lang w:val="ru-RU"/>
        </w:rPr>
        <w:tab/>
      </w:r>
      <w:r w:rsidRPr="00A47BEE">
        <w:rPr>
          <w:rStyle w:val="aa"/>
        </w:rPr>
        <w:footnoteRef/>
      </w:r>
      <w:r w:rsidRPr="000330AE">
        <w:rPr>
          <w:lang w:val="ru-RU"/>
        </w:rPr>
        <w:tab/>
        <w:t xml:space="preserve">То же. </w:t>
      </w:r>
    </w:p>
  </w:footnote>
  <w:footnote w:id="17">
    <w:p w:rsidR="000330AE" w:rsidRPr="0084398D" w:rsidRDefault="000330AE" w:rsidP="00A47BEE">
      <w:pPr>
        <w:pStyle w:val="ad"/>
        <w:rPr>
          <w:lang w:val="ru-RU"/>
        </w:rPr>
      </w:pPr>
      <w:r w:rsidRPr="000330AE">
        <w:rPr>
          <w:lang w:val="ru-RU"/>
        </w:rPr>
        <w:tab/>
      </w:r>
      <w:r w:rsidRPr="00A47BEE">
        <w:rPr>
          <w:rStyle w:val="aa"/>
        </w:rPr>
        <w:footnoteRef/>
      </w:r>
      <w:r w:rsidRPr="0084398D">
        <w:rPr>
          <w:lang w:val="ru-RU"/>
        </w:rPr>
        <w:tab/>
        <w:t>В течение двухгодичного периода 2016</w:t>
      </w:r>
      <w:r>
        <w:rPr>
          <w:lang w:val="ru-RU"/>
        </w:rPr>
        <w:t>–</w:t>
      </w:r>
      <w:r w:rsidRPr="0084398D">
        <w:rPr>
          <w:lang w:val="ru-RU"/>
        </w:rPr>
        <w:t xml:space="preserve">2017 годов основное внимание уделялось деятельности по наращиванию потенциала в странах, не являющихся Сторонами, что объясняет увеличение по </w:t>
      </w:r>
      <w:r>
        <w:t>a</w:t>
      </w:r>
      <w:r w:rsidRPr="0084398D">
        <w:rPr>
          <w:lang w:val="ru-RU"/>
        </w:rPr>
        <w:t xml:space="preserve">) и сокращение по </w:t>
      </w:r>
      <w:r>
        <w:t>b</w:t>
      </w:r>
      <w:r w:rsidRPr="0084398D">
        <w:rPr>
          <w:lang w:val="ru-RU"/>
        </w:rPr>
        <w:t>).</w:t>
      </w:r>
    </w:p>
  </w:footnote>
  <w:footnote w:id="18">
    <w:p w:rsidR="000330AE" w:rsidRPr="000330AE" w:rsidRDefault="000330AE" w:rsidP="00A47BEE">
      <w:pPr>
        <w:pStyle w:val="ad"/>
        <w:rPr>
          <w:lang w:val="ru-RU"/>
        </w:rPr>
      </w:pPr>
      <w:r w:rsidRPr="0084398D">
        <w:rPr>
          <w:lang w:val="ru-RU"/>
        </w:rPr>
        <w:tab/>
      </w:r>
      <w:r w:rsidRPr="00A47BEE">
        <w:rPr>
          <w:rStyle w:val="aa"/>
        </w:rPr>
        <w:footnoteRef/>
      </w:r>
      <w:r w:rsidRPr="000330AE">
        <w:rPr>
          <w:lang w:val="ru-RU"/>
        </w:rPr>
        <w:tab/>
        <w:t xml:space="preserve">То же. </w:t>
      </w:r>
    </w:p>
  </w:footnote>
  <w:footnote w:id="19">
    <w:p w:rsidR="000330AE" w:rsidRPr="0084398D" w:rsidRDefault="000330AE" w:rsidP="00A47BEE">
      <w:pPr>
        <w:pStyle w:val="ad"/>
        <w:rPr>
          <w:lang w:val="ru-RU"/>
        </w:rPr>
      </w:pPr>
      <w:r w:rsidRPr="000330AE">
        <w:rPr>
          <w:lang w:val="ru-RU"/>
        </w:rPr>
        <w:tab/>
      </w:r>
      <w:r w:rsidRPr="00A47BEE">
        <w:rPr>
          <w:rStyle w:val="aa"/>
        </w:rPr>
        <w:footnoteRef/>
      </w:r>
      <w:r w:rsidRPr="0084398D">
        <w:rPr>
          <w:lang w:val="ru-RU"/>
        </w:rPr>
        <w:tab/>
        <w:t xml:space="preserve">На основе данных национальных докладов об осуществлении за отчетный цикл </w:t>
      </w:r>
      <w:r>
        <w:rPr>
          <w:lang w:val="ru-RU"/>
        </w:rPr>
        <w:br/>
      </w:r>
      <w:r w:rsidRPr="0084398D">
        <w:rPr>
          <w:lang w:val="ru-RU"/>
        </w:rPr>
        <w:t>2014–2015 годов, которые были представлены в 2016 году.</w:t>
      </w:r>
    </w:p>
  </w:footnote>
  <w:footnote w:id="20">
    <w:p w:rsidR="000330AE" w:rsidRPr="00364F5D" w:rsidRDefault="000330AE" w:rsidP="00A47BEE">
      <w:pPr>
        <w:pStyle w:val="ad"/>
        <w:rPr>
          <w:lang w:val="ru-RU"/>
        </w:rPr>
      </w:pPr>
      <w:r w:rsidRPr="0084398D">
        <w:rPr>
          <w:lang w:val="ru-RU"/>
        </w:rPr>
        <w:tab/>
      </w:r>
      <w:r w:rsidRPr="00A47BEE">
        <w:rPr>
          <w:rStyle w:val="aa"/>
        </w:rPr>
        <w:footnoteRef/>
      </w:r>
      <w:r w:rsidRPr="00364F5D">
        <w:rPr>
          <w:lang w:val="ru-RU"/>
        </w:rPr>
        <w:tab/>
        <w:t xml:space="preserve">То же. </w:t>
      </w:r>
    </w:p>
  </w:footnote>
  <w:footnote w:id="21">
    <w:p w:rsidR="000330AE" w:rsidRPr="00364F5D" w:rsidRDefault="000330AE" w:rsidP="00A47BEE">
      <w:pPr>
        <w:pStyle w:val="ad"/>
        <w:rPr>
          <w:lang w:val="ru-RU"/>
        </w:rPr>
      </w:pPr>
      <w:r w:rsidRPr="00364F5D">
        <w:rPr>
          <w:lang w:val="ru-RU"/>
        </w:rPr>
        <w:tab/>
      </w:r>
      <w:r w:rsidRPr="00A47BEE">
        <w:rPr>
          <w:rStyle w:val="aa"/>
        </w:rPr>
        <w:footnoteRef/>
      </w:r>
      <w:r w:rsidRPr="00364F5D">
        <w:rPr>
          <w:lang w:val="ru-RU"/>
        </w:rPr>
        <w:tab/>
      </w:r>
      <w:proofErr w:type="gramStart"/>
      <w:r w:rsidRPr="00364F5D">
        <w:rPr>
          <w:lang w:val="ru-RU"/>
        </w:rPr>
        <w:t>Обучение по вопросам</w:t>
      </w:r>
      <w:proofErr w:type="gramEnd"/>
      <w:r w:rsidRPr="00364F5D">
        <w:rPr>
          <w:lang w:val="ru-RU"/>
        </w:rPr>
        <w:t xml:space="preserve"> внедрения Системы уведомления о промышленных авариях проводилось в режиме онлайновых консультаций.</w:t>
      </w:r>
    </w:p>
  </w:footnote>
  <w:footnote w:id="22">
    <w:p w:rsidR="000330AE" w:rsidRPr="00054275" w:rsidRDefault="000330AE" w:rsidP="00A47BEE">
      <w:pPr>
        <w:pStyle w:val="ad"/>
        <w:rPr>
          <w:lang w:val="ru-RU"/>
        </w:rPr>
      </w:pPr>
      <w:r w:rsidRPr="00364F5D">
        <w:rPr>
          <w:lang w:val="ru-RU"/>
        </w:rPr>
        <w:tab/>
      </w:r>
      <w:r w:rsidRPr="00A47BEE">
        <w:rPr>
          <w:rStyle w:val="aa"/>
        </w:rPr>
        <w:footnoteRef/>
      </w:r>
      <w:r w:rsidRPr="00054275">
        <w:rPr>
          <w:lang w:val="ru-RU"/>
        </w:rPr>
        <w:tab/>
        <w:t>Ожидается, что пересмотренные фактические результаты будут рассчитываться по итогам четырнадцатой сессии Совместной целевой группы по экологической статистике и показателям (Рим, 2 и 3 октября 2017 года), а получение ответов на вопросник по Общей системе экологической информации ожидается к концу 2017</w:t>
      </w:r>
      <w:r>
        <w:rPr>
          <w:lang w:val="ru-RU"/>
        </w:rPr>
        <w:t> </w:t>
      </w:r>
      <w:r w:rsidRPr="00054275">
        <w:rPr>
          <w:lang w:val="ru-RU"/>
        </w:rPr>
        <w:t xml:space="preserve">года. </w:t>
      </w:r>
    </w:p>
  </w:footnote>
  <w:footnote w:id="23">
    <w:p w:rsidR="000330AE" w:rsidRDefault="000330AE" w:rsidP="00A47BEE">
      <w:pPr>
        <w:pStyle w:val="ad"/>
      </w:pPr>
      <w:r w:rsidRPr="00054275">
        <w:rPr>
          <w:lang w:val="ru-RU"/>
        </w:rPr>
        <w:tab/>
      </w:r>
      <w:r w:rsidRPr="00A47BEE">
        <w:rPr>
          <w:rStyle w:val="aa"/>
        </w:rPr>
        <w:footnoteRef/>
      </w:r>
      <w:r w:rsidRPr="00364F5D">
        <w:rPr>
          <w:lang w:val="ru-RU"/>
        </w:rPr>
        <w:tab/>
        <w:t xml:space="preserve">Увеличение на 75% включает показатель выполнения рекомендаций Таджикистаном по итогам обзора, проведенного в 2016 году. Фактический показатель за двухгодичный период будет рассчитан по завершении обзоров для Албании и Боснии и Герцеговины. </w:t>
      </w:r>
      <w:proofErr w:type="spellStart"/>
      <w:proofErr w:type="gram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окончательный</w:t>
      </w:r>
      <w:proofErr w:type="spellEnd"/>
      <w:r>
        <w:t xml:space="preserve"> </w:t>
      </w:r>
      <w:proofErr w:type="spellStart"/>
      <w:r>
        <w:t>средний</w:t>
      </w:r>
      <w:proofErr w:type="spellEnd"/>
      <w:r>
        <w:t xml:space="preserve"> показатель за 2016–2017 годы может измениться.</w:t>
      </w:r>
      <w:proofErr w:type="gram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AE" w:rsidRPr="00E11382" w:rsidRDefault="00DA4EF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ECE/CEP/2017/8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AE" w:rsidRPr="00E11382" w:rsidRDefault="00DA4EF5" w:rsidP="00E1138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ECE/CEP/2017/8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A9"/>
    <w:rsid w:val="000330AE"/>
    <w:rsid w:val="00033EE1"/>
    <w:rsid w:val="00042B72"/>
    <w:rsid w:val="00054275"/>
    <w:rsid w:val="000558BD"/>
    <w:rsid w:val="000635A1"/>
    <w:rsid w:val="000B57E7"/>
    <w:rsid w:val="000B6373"/>
    <w:rsid w:val="000E4E5B"/>
    <w:rsid w:val="000F09DF"/>
    <w:rsid w:val="000F61B2"/>
    <w:rsid w:val="001075E9"/>
    <w:rsid w:val="001314D1"/>
    <w:rsid w:val="00137D44"/>
    <w:rsid w:val="0014152F"/>
    <w:rsid w:val="00180183"/>
    <w:rsid w:val="0018024D"/>
    <w:rsid w:val="0018649F"/>
    <w:rsid w:val="00196389"/>
    <w:rsid w:val="001A655D"/>
    <w:rsid w:val="001B3EF6"/>
    <w:rsid w:val="001C7A89"/>
    <w:rsid w:val="00255343"/>
    <w:rsid w:val="0027151D"/>
    <w:rsid w:val="00273E68"/>
    <w:rsid w:val="002A12A4"/>
    <w:rsid w:val="002A2EFC"/>
    <w:rsid w:val="002B0106"/>
    <w:rsid w:val="002B74B1"/>
    <w:rsid w:val="002C0E18"/>
    <w:rsid w:val="002C0F0A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4F5D"/>
    <w:rsid w:val="00381C24"/>
    <w:rsid w:val="00387CD4"/>
    <w:rsid w:val="003958D0"/>
    <w:rsid w:val="003A0D43"/>
    <w:rsid w:val="003A48CE"/>
    <w:rsid w:val="003B00E5"/>
    <w:rsid w:val="003E6ACB"/>
    <w:rsid w:val="00407B78"/>
    <w:rsid w:val="00424203"/>
    <w:rsid w:val="00443DFF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2C6D"/>
    <w:rsid w:val="005961C8"/>
    <w:rsid w:val="005966F1"/>
    <w:rsid w:val="005C514E"/>
    <w:rsid w:val="005D7914"/>
    <w:rsid w:val="005D7FD4"/>
    <w:rsid w:val="005E2B41"/>
    <w:rsid w:val="005F0B42"/>
    <w:rsid w:val="0061650E"/>
    <w:rsid w:val="00624058"/>
    <w:rsid w:val="006345DB"/>
    <w:rsid w:val="00636448"/>
    <w:rsid w:val="00640F49"/>
    <w:rsid w:val="00665846"/>
    <w:rsid w:val="00680D03"/>
    <w:rsid w:val="00681A10"/>
    <w:rsid w:val="006A1ED8"/>
    <w:rsid w:val="006C2031"/>
    <w:rsid w:val="006D461A"/>
    <w:rsid w:val="006F35EE"/>
    <w:rsid w:val="007021FF"/>
    <w:rsid w:val="00712895"/>
    <w:rsid w:val="00727FA3"/>
    <w:rsid w:val="00734ACB"/>
    <w:rsid w:val="007449D0"/>
    <w:rsid w:val="00751EAD"/>
    <w:rsid w:val="007563B3"/>
    <w:rsid w:val="00757357"/>
    <w:rsid w:val="0078425E"/>
    <w:rsid w:val="00792497"/>
    <w:rsid w:val="007B5D18"/>
    <w:rsid w:val="007C2E5E"/>
    <w:rsid w:val="00806737"/>
    <w:rsid w:val="0081535D"/>
    <w:rsid w:val="008203AD"/>
    <w:rsid w:val="00825F8D"/>
    <w:rsid w:val="00834B71"/>
    <w:rsid w:val="0084398D"/>
    <w:rsid w:val="00845258"/>
    <w:rsid w:val="0086445C"/>
    <w:rsid w:val="00881F06"/>
    <w:rsid w:val="00894693"/>
    <w:rsid w:val="008A08D7"/>
    <w:rsid w:val="008A37C8"/>
    <w:rsid w:val="008B6909"/>
    <w:rsid w:val="008D53B6"/>
    <w:rsid w:val="008F7609"/>
    <w:rsid w:val="00906890"/>
    <w:rsid w:val="00911BE4"/>
    <w:rsid w:val="00916E94"/>
    <w:rsid w:val="0093328F"/>
    <w:rsid w:val="00951972"/>
    <w:rsid w:val="009608F3"/>
    <w:rsid w:val="0096592B"/>
    <w:rsid w:val="009A24AC"/>
    <w:rsid w:val="009C6FE6"/>
    <w:rsid w:val="009D7E7D"/>
    <w:rsid w:val="00A14DA8"/>
    <w:rsid w:val="00A312BC"/>
    <w:rsid w:val="00A47BEE"/>
    <w:rsid w:val="00A67281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2F80"/>
    <w:rsid w:val="00BD33EE"/>
    <w:rsid w:val="00BE1CC7"/>
    <w:rsid w:val="00C106D6"/>
    <w:rsid w:val="00C119AE"/>
    <w:rsid w:val="00C137DD"/>
    <w:rsid w:val="00C22FA3"/>
    <w:rsid w:val="00C2443F"/>
    <w:rsid w:val="00C573A9"/>
    <w:rsid w:val="00C60F0C"/>
    <w:rsid w:val="00C805C9"/>
    <w:rsid w:val="00C92939"/>
    <w:rsid w:val="00CA1679"/>
    <w:rsid w:val="00CB151C"/>
    <w:rsid w:val="00CE5A1A"/>
    <w:rsid w:val="00CF55F6"/>
    <w:rsid w:val="00D15BCE"/>
    <w:rsid w:val="00D33D63"/>
    <w:rsid w:val="00D5253A"/>
    <w:rsid w:val="00D90028"/>
    <w:rsid w:val="00D90138"/>
    <w:rsid w:val="00DA4EF5"/>
    <w:rsid w:val="00DB7423"/>
    <w:rsid w:val="00DD78D1"/>
    <w:rsid w:val="00DE32CD"/>
    <w:rsid w:val="00DF5767"/>
    <w:rsid w:val="00DF71B9"/>
    <w:rsid w:val="00DF79E2"/>
    <w:rsid w:val="00E11382"/>
    <w:rsid w:val="00E12C5F"/>
    <w:rsid w:val="00E15C0C"/>
    <w:rsid w:val="00E22656"/>
    <w:rsid w:val="00E57B7E"/>
    <w:rsid w:val="00E73F76"/>
    <w:rsid w:val="00EA2C9F"/>
    <w:rsid w:val="00EA420E"/>
    <w:rsid w:val="00EC5E50"/>
    <w:rsid w:val="00ED0BDA"/>
    <w:rsid w:val="00EE142A"/>
    <w:rsid w:val="00EF1360"/>
    <w:rsid w:val="00EF3220"/>
    <w:rsid w:val="00EF397F"/>
    <w:rsid w:val="00F2523A"/>
    <w:rsid w:val="00F41523"/>
    <w:rsid w:val="00F43903"/>
    <w:rsid w:val="00F94155"/>
    <w:rsid w:val="00F9783F"/>
    <w:rsid w:val="00FC2104"/>
    <w:rsid w:val="00FD2EF7"/>
    <w:rsid w:val="00FD778C"/>
    <w:rsid w:val="00FE447E"/>
    <w:rsid w:val="00FF2309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7C2E5E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7C2E5E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FECB-D326-413B-8154-199F302A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22</Pages>
  <Words>7688</Words>
  <Characters>53821</Characters>
  <Application>Microsoft Office Word</Application>
  <DocSecurity>0</DocSecurity>
  <Lines>1055</Lines>
  <Paragraphs>284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ECE/CEP/2017/8</vt:lpstr>
      <vt:lpstr>A/</vt:lpstr>
    </vt:vector>
  </TitlesOfParts>
  <Company>DCM</Company>
  <LinksUpToDate>false</LinksUpToDate>
  <CharactersWithSpaces>61225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ECE/CEP/2017/8</dc:title>
  <dc:creator>Ekaterina SALYNSKAYA</dc:creator>
  <cp:lastModifiedBy>TPSRUS1</cp:lastModifiedBy>
  <cp:revision>3</cp:revision>
  <cp:lastPrinted>2017-09-25T11:55:00Z</cp:lastPrinted>
  <dcterms:created xsi:type="dcterms:W3CDTF">2017-09-25T11:55:00Z</dcterms:created>
  <dcterms:modified xsi:type="dcterms:W3CDTF">2017-09-25T11:55:00Z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