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E022FF" w:rsidTr="00387CD4">
        <w:trPr>
          <w:trHeight w:hRule="exact" w:val="851"/>
        </w:trPr>
        <w:tc>
          <w:tcPr>
            <w:tcW w:w="142" w:type="dxa"/>
            <w:tcBorders>
              <w:bottom w:val="single" w:sz="4" w:space="0" w:color="auto"/>
            </w:tcBorders>
          </w:tcPr>
          <w:p w:rsidR="002D5AAC" w:rsidRPr="00E022FF" w:rsidRDefault="002D5AAC" w:rsidP="00997316">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E022FF" w:rsidRDefault="00DF71B9" w:rsidP="00387CD4">
            <w:pPr>
              <w:spacing w:after="80" w:line="300" w:lineRule="exact"/>
              <w:rPr>
                <w:sz w:val="28"/>
              </w:rPr>
            </w:pPr>
            <w:r w:rsidRPr="00E022FF">
              <w:rPr>
                <w:sz w:val="28"/>
              </w:rPr>
              <w:t>Организация Объединенных Наций</w:t>
            </w:r>
          </w:p>
        </w:tc>
        <w:tc>
          <w:tcPr>
            <w:tcW w:w="4961" w:type="dxa"/>
            <w:gridSpan w:val="2"/>
            <w:tcBorders>
              <w:bottom w:val="single" w:sz="4" w:space="0" w:color="auto"/>
            </w:tcBorders>
            <w:vAlign w:val="bottom"/>
          </w:tcPr>
          <w:p w:rsidR="002D5AAC" w:rsidRPr="00E022FF" w:rsidRDefault="00997316" w:rsidP="00997316">
            <w:pPr>
              <w:jc w:val="right"/>
            </w:pPr>
            <w:r w:rsidRPr="00E022FF">
              <w:rPr>
                <w:sz w:val="40"/>
              </w:rPr>
              <w:t>ECE</w:t>
            </w:r>
            <w:r w:rsidRPr="00E022FF">
              <w:t>/CEP/2017/5</w:t>
            </w:r>
          </w:p>
        </w:tc>
      </w:tr>
      <w:tr w:rsidR="002D5AAC" w:rsidRPr="00AC389F" w:rsidTr="00387CD4">
        <w:trPr>
          <w:trHeight w:hRule="exact" w:val="2835"/>
        </w:trPr>
        <w:tc>
          <w:tcPr>
            <w:tcW w:w="1280" w:type="dxa"/>
            <w:gridSpan w:val="2"/>
            <w:tcBorders>
              <w:top w:val="single" w:sz="4" w:space="0" w:color="auto"/>
              <w:bottom w:val="single" w:sz="12" w:space="0" w:color="auto"/>
            </w:tcBorders>
          </w:tcPr>
          <w:p w:rsidR="002D5AAC" w:rsidRPr="00E022FF" w:rsidRDefault="002E5067" w:rsidP="00387CD4">
            <w:pPr>
              <w:spacing w:before="120"/>
              <w:jc w:val="center"/>
            </w:pPr>
            <w:r w:rsidRPr="00E022FF">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E022FF" w:rsidRDefault="008A37C8" w:rsidP="00387CD4">
            <w:pPr>
              <w:spacing w:before="120" w:line="460" w:lineRule="exact"/>
              <w:rPr>
                <w:b/>
                <w:sz w:val="34"/>
                <w:szCs w:val="34"/>
              </w:rPr>
            </w:pPr>
            <w:r w:rsidRPr="00E022FF">
              <w:rPr>
                <w:rFonts w:eastAsia="Times New Roman" w:cs="Times New Roman"/>
                <w:b/>
                <w:spacing w:val="-4"/>
                <w:sz w:val="40"/>
                <w:szCs w:val="40"/>
              </w:rPr>
              <w:t xml:space="preserve">Экономический </w:t>
            </w:r>
            <w:r w:rsidRPr="00E022FF">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Pr="00E022FF" w:rsidRDefault="00997316" w:rsidP="00387CD4">
            <w:pPr>
              <w:spacing w:before="240"/>
              <w:rPr>
                <w:lang w:val="en-US"/>
              </w:rPr>
            </w:pPr>
            <w:r w:rsidRPr="00E022FF">
              <w:rPr>
                <w:lang w:val="en-US"/>
              </w:rPr>
              <w:t>Distr.: General</w:t>
            </w:r>
          </w:p>
          <w:p w:rsidR="00997316" w:rsidRPr="00E022FF" w:rsidRDefault="00997316" w:rsidP="00997316">
            <w:pPr>
              <w:spacing w:line="240" w:lineRule="exact"/>
              <w:rPr>
                <w:lang w:val="en-US"/>
              </w:rPr>
            </w:pPr>
            <w:r w:rsidRPr="00E022FF">
              <w:rPr>
                <w:lang w:val="en-US"/>
              </w:rPr>
              <w:t>31 October 2018</w:t>
            </w:r>
          </w:p>
          <w:p w:rsidR="00997316" w:rsidRPr="00E022FF" w:rsidRDefault="00997316" w:rsidP="00997316">
            <w:pPr>
              <w:spacing w:line="240" w:lineRule="exact"/>
              <w:rPr>
                <w:lang w:val="en-US"/>
              </w:rPr>
            </w:pPr>
            <w:r w:rsidRPr="00E022FF">
              <w:rPr>
                <w:lang w:val="en-US"/>
              </w:rPr>
              <w:t>Russian</w:t>
            </w:r>
          </w:p>
          <w:p w:rsidR="00997316" w:rsidRPr="00E022FF" w:rsidRDefault="00997316" w:rsidP="00997316">
            <w:pPr>
              <w:spacing w:line="240" w:lineRule="exact"/>
              <w:rPr>
                <w:lang w:val="en-US"/>
              </w:rPr>
            </w:pPr>
            <w:r w:rsidRPr="00E022FF">
              <w:rPr>
                <w:lang w:val="en-US"/>
              </w:rPr>
              <w:t>Original: English</w:t>
            </w:r>
          </w:p>
        </w:tc>
      </w:tr>
    </w:tbl>
    <w:p w:rsidR="00997316" w:rsidRPr="00E022FF" w:rsidRDefault="008A37C8" w:rsidP="00255343">
      <w:pPr>
        <w:spacing w:before="120"/>
        <w:rPr>
          <w:b/>
          <w:sz w:val="28"/>
          <w:szCs w:val="28"/>
        </w:rPr>
      </w:pPr>
      <w:r w:rsidRPr="00E022FF">
        <w:rPr>
          <w:b/>
          <w:sz w:val="28"/>
          <w:szCs w:val="28"/>
        </w:rPr>
        <w:t>Европейская экономическая комиссия</w:t>
      </w:r>
    </w:p>
    <w:p w:rsidR="00997316" w:rsidRPr="00E022FF" w:rsidRDefault="00997316" w:rsidP="00997316">
      <w:pPr>
        <w:spacing w:before="120"/>
        <w:rPr>
          <w:sz w:val="28"/>
          <w:szCs w:val="28"/>
        </w:rPr>
      </w:pPr>
      <w:r w:rsidRPr="00E022FF">
        <w:rPr>
          <w:sz w:val="28"/>
          <w:szCs w:val="28"/>
        </w:rPr>
        <w:t>Комитет по экологической политике</w:t>
      </w:r>
    </w:p>
    <w:p w:rsidR="00997316" w:rsidRPr="00E022FF" w:rsidRDefault="00997316" w:rsidP="00997316">
      <w:pPr>
        <w:spacing w:before="120"/>
        <w:rPr>
          <w:b/>
        </w:rPr>
      </w:pPr>
      <w:r w:rsidRPr="00E022FF">
        <w:rPr>
          <w:b/>
          <w:bCs/>
        </w:rPr>
        <w:t>Двадцать третья сессия</w:t>
      </w:r>
    </w:p>
    <w:p w:rsidR="00997316" w:rsidRPr="00E022FF" w:rsidRDefault="00997316" w:rsidP="00997316">
      <w:r w:rsidRPr="00E022FF">
        <w:t>Женева, 14</w:t>
      </w:r>
      <w:r w:rsidR="00E022FF" w:rsidRPr="00E022FF">
        <w:t>–</w:t>
      </w:r>
      <w:r w:rsidRPr="00E022FF">
        <w:t>17 ноября 2017 года</w:t>
      </w:r>
    </w:p>
    <w:p w:rsidR="00997316" w:rsidRPr="00E022FF" w:rsidRDefault="00997316" w:rsidP="00EC4FF0">
      <w:pPr>
        <w:pStyle w:val="HChG"/>
      </w:pPr>
      <w:r w:rsidRPr="00E022FF">
        <w:tab/>
      </w:r>
      <w:r w:rsidRPr="00E022FF">
        <w:tab/>
        <w:t>Доклад Комитета по экологической политике о работе его двадцать третьей сессии</w:t>
      </w:r>
    </w:p>
    <w:p w:rsidR="00EC4FF0" w:rsidRPr="00E022FF" w:rsidRDefault="00EC4FF0" w:rsidP="00E022FF">
      <w:pPr>
        <w:spacing w:after="120"/>
        <w:rPr>
          <w:sz w:val="28"/>
        </w:rPr>
      </w:pPr>
      <w:r w:rsidRPr="00E022FF">
        <w:rPr>
          <w:sz w:val="28"/>
        </w:rPr>
        <w:t>Содержание</w:t>
      </w:r>
    </w:p>
    <w:p w:rsidR="00EC4FF0" w:rsidRPr="00E022FF" w:rsidRDefault="00EC4FF0" w:rsidP="00E022FF">
      <w:pPr>
        <w:tabs>
          <w:tab w:val="right" w:pos="9638"/>
        </w:tabs>
        <w:spacing w:after="120"/>
        <w:ind w:left="283"/>
        <w:rPr>
          <w:sz w:val="18"/>
        </w:rPr>
      </w:pPr>
      <w:r w:rsidRPr="00E022FF">
        <w:rPr>
          <w:i/>
          <w:sz w:val="18"/>
        </w:rPr>
        <w:tab/>
        <w:t>Стр.</w:t>
      </w:r>
    </w:p>
    <w:p w:rsidR="00EC4FF0" w:rsidRPr="00E022FF" w:rsidRDefault="00EC4FF0" w:rsidP="00E022FF">
      <w:pPr>
        <w:tabs>
          <w:tab w:val="right" w:pos="850"/>
          <w:tab w:val="left" w:pos="1134"/>
          <w:tab w:val="left" w:pos="1559"/>
          <w:tab w:val="left" w:pos="1984"/>
          <w:tab w:val="left" w:leader="dot" w:pos="8787"/>
          <w:tab w:val="right" w:pos="9638"/>
        </w:tabs>
        <w:spacing w:after="120"/>
      </w:pPr>
      <w:r w:rsidRPr="00E022FF">
        <w:tab/>
        <w:t>I.</w:t>
      </w:r>
      <w:r w:rsidRPr="00E022FF">
        <w:tab/>
        <w:t>Введение</w:t>
      </w:r>
      <w:r w:rsidRPr="00E022FF">
        <w:tab/>
      </w:r>
      <w:r w:rsidRPr="00E022FF">
        <w:tab/>
      </w:r>
      <w:r w:rsidRPr="00E022FF">
        <w:tab/>
      </w:r>
      <w:r w:rsidR="000A178A">
        <w:t>3</w:t>
      </w:r>
    </w:p>
    <w:p w:rsidR="00EC4FF0" w:rsidRPr="00E022FF" w:rsidRDefault="00EC4FF0" w:rsidP="00EC4FF0">
      <w:pPr>
        <w:tabs>
          <w:tab w:val="right" w:pos="850"/>
          <w:tab w:val="left" w:pos="1134"/>
          <w:tab w:val="left" w:pos="1559"/>
          <w:tab w:val="left" w:pos="1984"/>
          <w:tab w:val="left" w:leader="dot" w:pos="8787"/>
          <w:tab w:val="right" w:pos="9638"/>
        </w:tabs>
        <w:spacing w:after="120"/>
      </w:pPr>
      <w:r w:rsidRPr="00E022FF">
        <w:tab/>
      </w:r>
      <w:r w:rsidRPr="00E022FF">
        <w:tab/>
        <w:t>A.</w:t>
      </w:r>
      <w:r w:rsidRPr="00E022FF">
        <w:tab/>
        <w:t>Участники</w:t>
      </w:r>
      <w:r w:rsidRPr="00E022FF">
        <w:tab/>
      </w:r>
      <w:r w:rsidRPr="00E022FF">
        <w:tab/>
        <w:t>3</w:t>
      </w:r>
    </w:p>
    <w:p w:rsidR="00EC4FF0" w:rsidRPr="00E022FF" w:rsidRDefault="00EC4FF0" w:rsidP="00EC4FF0">
      <w:pPr>
        <w:tabs>
          <w:tab w:val="right" w:pos="850"/>
          <w:tab w:val="left" w:pos="1134"/>
          <w:tab w:val="left" w:pos="1559"/>
          <w:tab w:val="left" w:pos="1984"/>
          <w:tab w:val="left" w:leader="dot" w:pos="8787"/>
          <w:tab w:val="right" w:pos="9638"/>
        </w:tabs>
        <w:spacing w:after="120"/>
      </w:pPr>
      <w:r w:rsidRPr="00E022FF">
        <w:tab/>
      </w:r>
      <w:r w:rsidRPr="00E022FF">
        <w:tab/>
        <w:t>B.</w:t>
      </w:r>
      <w:r w:rsidRPr="00E022FF">
        <w:tab/>
        <w:t>Открытие сессии и организационные вопросы</w:t>
      </w:r>
      <w:r w:rsidRPr="00E022FF">
        <w:tab/>
      </w:r>
      <w:r w:rsidRPr="00E022FF">
        <w:tab/>
        <w:t>4</w:t>
      </w:r>
    </w:p>
    <w:p w:rsidR="00EC4FF0" w:rsidRPr="00E022FF" w:rsidRDefault="00EC4FF0" w:rsidP="00EC4FF0">
      <w:pPr>
        <w:tabs>
          <w:tab w:val="right" w:pos="850"/>
          <w:tab w:val="left" w:pos="1134"/>
          <w:tab w:val="left" w:pos="1559"/>
          <w:tab w:val="left" w:pos="1984"/>
          <w:tab w:val="left" w:leader="dot" w:pos="8787"/>
          <w:tab w:val="right" w:pos="9638"/>
        </w:tabs>
        <w:spacing w:after="120"/>
      </w:pPr>
      <w:r w:rsidRPr="00E022FF">
        <w:tab/>
        <w:t>II.</w:t>
      </w:r>
      <w:r w:rsidRPr="00E022FF">
        <w:tab/>
        <w:t>Итоги работы Президиума</w:t>
      </w:r>
      <w:r w:rsidRPr="00E022FF">
        <w:tab/>
      </w:r>
      <w:r w:rsidRPr="00E022FF">
        <w:tab/>
        <w:t>4</w:t>
      </w:r>
    </w:p>
    <w:p w:rsidR="00EC4FF0" w:rsidRPr="00E022FF" w:rsidRDefault="00EC4FF0" w:rsidP="00EC4FF0">
      <w:pPr>
        <w:tabs>
          <w:tab w:val="right" w:pos="850"/>
          <w:tab w:val="left" w:pos="1134"/>
          <w:tab w:val="left" w:pos="1559"/>
          <w:tab w:val="left" w:pos="1984"/>
          <w:tab w:val="left" w:leader="dot" w:pos="8787"/>
          <w:tab w:val="right" w:pos="9638"/>
        </w:tabs>
        <w:spacing w:after="120"/>
      </w:pPr>
      <w:r w:rsidRPr="00E022FF">
        <w:tab/>
        <w:t>III.</w:t>
      </w:r>
      <w:r w:rsidRPr="00E022FF">
        <w:tab/>
        <w:t>Устойчивое развитие в регионе</w:t>
      </w:r>
      <w:r w:rsidRPr="00E022FF">
        <w:tab/>
      </w:r>
      <w:r w:rsidRPr="00E022FF">
        <w:tab/>
        <w:t>4</w:t>
      </w:r>
    </w:p>
    <w:p w:rsidR="00EC4FF0" w:rsidRPr="00E022FF" w:rsidRDefault="00EC4FF0" w:rsidP="00EC4FF0">
      <w:pPr>
        <w:tabs>
          <w:tab w:val="right" w:pos="850"/>
          <w:tab w:val="left" w:pos="1134"/>
          <w:tab w:val="left" w:pos="1559"/>
          <w:tab w:val="left" w:pos="1984"/>
          <w:tab w:val="left" w:leader="dot" w:pos="8787"/>
          <w:tab w:val="right" w:pos="9638"/>
        </w:tabs>
        <w:spacing w:after="120"/>
      </w:pPr>
      <w:r w:rsidRPr="00E022FF">
        <w:tab/>
        <w:t>IV.</w:t>
      </w:r>
      <w:r w:rsidRPr="00E022FF">
        <w:tab/>
        <w:t>Многосторонние природоохранные соглашения</w:t>
      </w:r>
      <w:r w:rsidRPr="00E022FF">
        <w:tab/>
      </w:r>
      <w:r w:rsidRPr="00E022FF">
        <w:tab/>
      </w:r>
      <w:r w:rsidR="000A178A">
        <w:t>9</w:t>
      </w:r>
    </w:p>
    <w:p w:rsidR="00EC4FF0" w:rsidRPr="00E022FF" w:rsidRDefault="00EC4FF0" w:rsidP="00EC4FF0">
      <w:pPr>
        <w:tabs>
          <w:tab w:val="right" w:pos="850"/>
          <w:tab w:val="left" w:pos="1134"/>
          <w:tab w:val="left" w:pos="1559"/>
          <w:tab w:val="left" w:pos="1984"/>
          <w:tab w:val="left" w:leader="dot" w:pos="8787"/>
          <w:tab w:val="right" w:pos="9638"/>
        </w:tabs>
        <w:spacing w:after="120"/>
      </w:pPr>
      <w:r w:rsidRPr="00E022FF">
        <w:tab/>
        <w:t>V.</w:t>
      </w:r>
      <w:r w:rsidRPr="00E022FF">
        <w:tab/>
        <w:t xml:space="preserve">Последующие меры в связи с восьмой Конференцией министров </w:t>
      </w:r>
      <w:r w:rsidR="001F22AE" w:rsidRPr="00E022FF">
        <w:rPr>
          <w:rStyle w:val="FootnoteReference"/>
          <w:vertAlign w:val="baseline"/>
        </w:rPr>
        <w:t>«</w:t>
      </w:r>
      <w:r w:rsidRPr="00E022FF">
        <w:t>Окружающая среда</w:t>
      </w:r>
      <w:r w:rsidRPr="00E022FF">
        <w:br/>
      </w:r>
      <w:r w:rsidRPr="00E022FF">
        <w:tab/>
      </w:r>
      <w:r w:rsidRPr="00E022FF">
        <w:tab/>
        <w:t>для Европы</w:t>
      </w:r>
      <w:r w:rsidR="001F22AE" w:rsidRPr="00E022FF">
        <w:rPr>
          <w:rStyle w:val="FootnoteReference"/>
          <w:vertAlign w:val="baseline"/>
        </w:rPr>
        <w:t>»</w:t>
      </w:r>
      <w:r w:rsidRPr="00E022FF">
        <w:t xml:space="preserve"> и подготовка среднесрочного обзора основных итогов Конференции</w:t>
      </w:r>
      <w:r w:rsidRPr="00E022FF">
        <w:tab/>
      </w:r>
      <w:r w:rsidRPr="00E022FF">
        <w:tab/>
        <w:t>1</w:t>
      </w:r>
      <w:r w:rsidR="000A178A">
        <w:t>2</w:t>
      </w:r>
    </w:p>
    <w:p w:rsidR="00EC4FF0" w:rsidRPr="00E022FF" w:rsidRDefault="00EC4FF0" w:rsidP="00EC4FF0">
      <w:pPr>
        <w:tabs>
          <w:tab w:val="right" w:pos="850"/>
          <w:tab w:val="left" w:pos="1134"/>
          <w:tab w:val="left" w:pos="1559"/>
          <w:tab w:val="left" w:pos="1984"/>
          <w:tab w:val="left" w:leader="dot" w:pos="8787"/>
          <w:tab w:val="right" w:pos="9638"/>
        </w:tabs>
        <w:spacing w:after="120"/>
      </w:pPr>
      <w:r w:rsidRPr="00E022FF">
        <w:tab/>
        <w:t>VI.</w:t>
      </w:r>
      <w:r w:rsidRPr="00E022FF">
        <w:tab/>
        <w:t xml:space="preserve">Экологические мониторинг, оценка </w:t>
      </w:r>
      <w:r w:rsidR="000A178A">
        <w:t>и отчетность</w:t>
      </w:r>
      <w:r w:rsidR="000A178A">
        <w:tab/>
      </w:r>
      <w:r w:rsidR="000A178A">
        <w:tab/>
        <w:t>14</w:t>
      </w:r>
    </w:p>
    <w:p w:rsidR="00EC4FF0" w:rsidRPr="00E022FF" w:rsidRDefault="00EC4FF0" w:rsidP="00EC4FF0">
      <w:pPr>
        <w:tabs>
          <w:tab w:val="right" w:pos="850"/>
          <w:tab w:val="left" w:pos="1134"/>
          <w:tab w:val="left" w:pos="1559"/>
          <w:tab w:val="left" w:pos="1984"/>
          <w:tab w:val="left" w:leader="dot" w:pos="8787"/>
          <w:tab w:val="right" w:pos="9638"/>
        </w:tabs>
        <w:spacing w:after="120"/>
      </w:pPr>
      <w:r w:rsidRPr="00E022FF">
        <w:tab/>
        <w:t>VII.</w:t>
      </w:r>
      <w:r w:rsidRPr="00E022FF">
        <w:tab/>
        <w:t>Обзоры результативности экологической деятельности</w:t>
      </w:r>
      <w:r w:rsidRPr="00E022FF">
        <w:tab/>
      </w:r>
      <w:r w:rsidRPr="00E022FF">
        <w:tab/>
        <w:t>1</w:t>
      </w:r>
      <w:r w:rsidR="000A178A">
        <w:t>6</w:t>
      </w:r>
    </w:p>
    <w:p w:rsidR="00EC4FF0" w:rsidRPr="00E022FF" w:rsidRDefault="00EC4FF0" w:rsidP="00EC4FF0">
      <w:pPr>
        <w:tabs>
          <w:tab w:val="right" w:pos="850"/>
          <w:tab w:val="left" w:pos="1134"/>
          <w:tab w:val="left" w:pos="1559"/>
          <w:tab w:val="left" w:pos="1984"/>
          <w:tab w:val="left" w:leader="dot" w:pos="8787"/>
          <w:tab w:val="right" w:pos="9638"/>
        </w:tabs>
        <w:spacing w:after="120"/>
      </w:pPr>
      <w:r w:rsidRPr="00E022FF">
        <w:tab/>
        <w:t>VIII.</w:t>
      </w:r>
      <w:r w:rsidRPr="00E022FF">
        <w:tab/>
        <w:t>Межсекторальная деятельность</w:t>
      </w:r>
      <w:r w:rsidRPr="00E022FF">
        <w:tab/>
      </w:r>
      <w:r w:rsidRPr="00E022FF">
        <w:tab/>
        <w:t>1</w:t>
      </w:r>
      <w:r w:rsidR="000A178A">
        <w:t>8</w:t>
      </w:r>
    </w:p>
    <w:p w:rsidR="00EC4FF0" w:rsidRPr="00E022FF" w:rsidRDefault="00EC4FF0" w:rsidP="00EC4FF0">
      <w:pPr>
        <w:tabs>
          <w:tab w:val="right" w:pos="850"/>
          <w:tab w:val="left" w:pos="1134"/>
          <w:tab w:val="left" w:pos="1559"/>
          <w:tab w:val="left" w:pos="1984"/>
          <w:tab w:val="left" w:leader="dot" w:pos="8787"/>
          <w:tab w:val="right" w:pos="9638"/>
        </w:tabs>
        <w:spacing w:after="120"/>
      </w:pPr>
      <w:r w:rsidRPr="00E022FF">
        <w:tab/>
      </w:r>
      <w:r w:rsidRPr="00E022FF">
        <w:tab/>
        <w:t>A.</w:t>
      </w:r>
      <w:r w:rsidRPr="00E022FF">
        <w:tab/>
        <w:t>Образование в интересах устойчивого развития</w:t>
      </w:r>
      <w:r w:rsidRPr="00E022FF">
        <w:tab/>
      </w:r>
      <w:r w:rsidRPr="00E022FF">
        <w:tab/>
        <w:t>1</w:t>
      </w:r>
      <w:r w:rsidR="000A178A">
        <w:t>8</w:t>
      </w:r>
    </w:p>
    <w:p w:rsidR="00EC4FF0" w:rsidRPr="00E022FF" w:rsidRDefault="00EC4FF0" w:rsidP="00AC389F">
      <w:pPr>
        <w:tabs>
          <w:tab w:val="right" w:pos="850"/>
          <w:tab w:val="left" w:pos="1134"/>
          <w:tab w:val="left" w:pos="1559"/>
          <w:tab w:val="left" w:pos="1984"/>
          <w:tab w:val="left" w:leader="dot" w:pos="8787"/>
          <w:tab w:val="right" w:pos="9638"/>
        </w:tabs>
        <w:spacing w:after="120"/>
        <w:ind w:left="850" w:hanging="850"/>
      </w:pPr>
      <w:r w:rsidRPr="00E022FF">
        <w:tab/>
      </w:r>
      <w:r w:rsidRPr="00E022FF">
        <w:tab/>
        <w:t>B.</w:t>
      </w:r>
      <w:r w:rsidRPr="00E022FF">
        <w:tab/>
        <w:t xml:space="preserve">Общеевропейская программа по транспорту, окружающей среде и охране </w:t>
      </w:r>
      <w:r w:rsidR="004408BE">
        <w:br/>
      </w:r>
      <w:r w:rsidR="004408BE">
        <w:tab/>
      </w:r>
      <w:r w:rsidR="004408BE">
        <w:tab/>
      </w:r>
      <w:r w:rsidRPr="00E022FF">
        <w:t>здоровья</w:t>
      </w:r>
      <w:r w:rsidRPr="00E022FF">
        <w:tab/>
      </w:r>
      <w:r w:rsidR="004408BE">
        <w:tab/>
      </w:r>
      <w:r w:rsidRPr="00E022FF">
        <w:t>1</w:t>
      </w:r>
      <w:r w:rsidR="000A178A">
        <w:t>9</w:t>
      </w:r>
    </w:p>
    <w:p w:rsidR="00EC4FF0" w:rsidRPr="00E022FF" w:rsidRDefault="00EC4FF0" w:rsidP="00EC4FF0">
      <w:pPr>
        <w:tabs>
          <w:tab w:val="right" w:pos="850"/>
          <w:tab w:val="left" w:pos="1134"/>
          <w:tab w:val="left" w:pos="1559"/>
          <w:tab w:val="left" w:pos="1984"/>
          <w:tab w:val="left" w:leader="dot" w:pos="8787"/>
          <w:tab w:val="right" w:pos="9638"/>
        </w:tabs>
        <w:spacing w:after="120"/>
      </w:pPr>
      <w:r w:rsidRPr="00E022FF">
        <w:tab/>
      </w:r>
      <w:r w:rsidRPr="00E022FF">
        <w:tab/>
        <w:t>C.</w:t>
      </w:r>
      <w:r w:rsidRPr="00E022FF">
        <w:tab/>
        <w:t>Окружающая среда и безопасность</w:t>
      </w:r>
      <w:r w:rsidRPr="00E022FF">
        <w:tab/>
      </w:r>
      <w:r w:rsidRPr="00E022FF">
        <w:tab/>
        <w:t>1</w:t>
      </w:r>
      <w:r w:rsidR="000A178A">
        <w:t>9</w:t>
      </w:r>
    </w:p>
    <w:p w:rsidR="00EC4FF0" w:rsidRPr="00E022FF" w:rsidRDefault="00EC4FF0" w:rsidP="00EC4FF0">
      <w:pPr>
        <w:tabs>
          <w:tab w:val="right" w:pos="850"/>
          <w:tab w:val="left" w:pos="1134"/>
          <w:tab w:val="left" w:pos="1559"/>
          <w:tab w:val="left" w:pos="1984"/>
          <w:tab w:val="left" w:leader="dot" w:pos="8787"/>
          <w:tab w:val="right" w:pos="9638"/>
        </w:tabs>
        <w:spacing w:after="120"/>
      </w:pPr>
      <w:r w:rsidRPr="00E022FF">
        <w:tab/>
      </w:r>
      <w:r w:rsidRPr="00E022FF">
        <w:tab/>
        <w:t>D.</w:t>
      </w:r>
      <w:r w:rsidRPr="00E022FF">
        <w:tab/>
        <w:t xml:space="preserve">Европейский процесс </w:t>
      </w:r>
      <w:r w:rsidR="001F22AE" w:rsidRPr="00E022FF">
        <w:rPr>
          <w:rStyle w:val="FootnoteReference"/>
          <w:vertAlign w:val="baseline"/>
        </w:rPr>
        <w:t>«</w:t>
      </w:r>
      <w:r w:rsidRPr="00E022FF">
        <w:t>Окружающая среда и здоровье</w:t>
      </w:r>
      <w:r w:rsidR="001F22AE" w:rsidRPr="00E022FF">
        <w:rPr>
          <w:rStyle w:val="FootnoteReference"/>
          <w:vertAlign w:val="baseline"/>
        </w:rPr>
        <w:t>»</w:t>
      </w:r>
      <w:r w:rsidRPr="00E022FF">
        <w:tab/>
      </w:r>
      <w:r w:rsidRPr="00E022FF">
        <w:tab/>
        <w:t>1</w:t>
      </w:r>
      <w:r w:rsidR="000A178A">
        <w:t>9</w:t>
      </w:r>
    </w:p>
    <w:p w:rsidR="00EC4FF0" w:rsidRPr="00E022FF" w:rsidRDefault="00EC4FF0" w:rsidP="00EC4FF0">
      <w:pPr>
        <w:tabs>
          <w:tab w:val="right" w:pos="850"/>
          <w:tab w:val="left" w:pos="1134"/>
          <w:tab w:val="left" w:pos="1559"/>
          <w:tab w:val="left" w:pos="1984"/>
          <w:tab w:val="left" w:leader="dot" w:pos="8787"/>
          <w:tab w:val="right" w:pos="9638"/>
        </w:tabs>
        <w:spacing w:after="120"/>
      </w:pPr>
      <w:r w:rsidRPr="00E022FF">
        <w:tab/>
      </w:r>
      <w:r w:rsidRPr="00E022FF">
        <w:tab/>
        <w:t>E.</w:t>
      </w:r>
      <w:r w:rsidRPr="00E022FF">
        <w:tab/>
        <w:t xml:space="preserve">Строительство </w:t>
      </w:r>
      <w:r w:rsidR="001F22AE" w:rsidRPr="00E022FF">
        <w:rPr>
          <w:rStyle w:val="FootnoteReference"/>
          <w:vertAlign w:val="baseline"/>
        </w:rPr>
        <w:t>«</w:t>
      </w:r>
      <w:r w:rsidRPr="00E022FF">
        <w:t>зеленых</w:t>
      </w:r>
      <w:r w:rsidR="001F22AE" w:rsidRPr="00E022FF">
        <w:rPr>
          <w:rStyle w:val="FootnoteReference"/>
          <w:vertAlign w:val="baseline"/>
        </w:rPr>
        <w:t>»</w:t>
      </w:r>
      <w:r w:rsidR="000A178A">
        <w:t xml:space="preserve"> зданий</w:t>
      </w:r>
      <w:r w:rsidR="000A178A">
        <w:tab/>
      </w:r>
      <w:r w:rsidR="000A178A">
        <w:tab/>
        <w:t>20</w:t>
      </w:r>
    </w:p>
    <w:p w:rsidR="00EC4FF0" w:rsidRPr="00E022FF" w:rsidRDefault="00EC4FF0" w:rsidP="00EC4FF0">
      <w:pPr>
        <w:tabs>
          <w:tab w:val="right" w:pos="850"/>
          <w:tab w:val="left" w:pos="1134"/>
          <w:tab w:val="left" w:pos="1559"/>
          <w:tab w:val="left" w:pos="1984"/>
          <w:tab w:val="left" w:leader="dot" w:pos="8787"/>
          <w:tab w:val="right" w:pos="9638"/>
        </w:tabs>
        <w:spacing w:after="120"/>
      </w:pPr>
      <w:r w:rsidRPr="00E022FF">
        <w:tab/>
        <w:t>IX.</w:t>
      </w:r>
      <w:r w:rsidRPr="00E022FF">
        <w:tab/>
        <w:t>Программа работы Подпрограммы по окружающей среде</w:t>
      </w:r>
      <w:r w:rsidRPr="00E022FF">
        <w:tab/>
      </w:r>
      <w:r w:rsidRPr="00E022FF">
        <w:tab/>
      </w:r>
      <w:r w:rsidR="000A178A">
        <w:t>20</w:t>
      </w:r>
    </w:p>
    <w:p w:rsidR="00EC4FF0" w:rsidRPr="00E022FF" w:rsidRDefault="00EC4FF0" w:rsidP="00EC4FF0">
      <w:pPr>
        <w:tabs>
          <w:tab w:val="right" w:pos="850"/>
          <w:tab w:val="left" w:pos="1134"/>
          <w:tab w:val="left" w:pos="1559"/>
          <w:tab w:val="left" w:pos="1984"/>
          <w:tab w:val="left" w:leader="dot" w:pos="8787"/>
          <w:tab w:val="right" w:pos="9638"/>
        </w:tabs>
        <w:spacing w:after="120"/>
      </w:pPr>
      <w:r w:rsidRPr="00E022FF">
        <w:tab/>
      </w:r>
      <w:r w:rsidRPr="00E022FF">
        <w:tab/>
        <w:t>A.</w:t>
      </w:r>
      <w:r w:rsidRPr="00E022FF">
        <w:tab/>
        <w:t>Учет гендерной проблематики в природоохранной деяте</w:t>
      </w:r>
      <w:r w:rsidR="000A178A">
        <w:t>льности</w:t>
      </w:r>
      <w:r w:rsidR="000A178A">
        <w:tab/>
      </w:r>
      <w:r w:rsidR="000A178A">
        <w:tab/>
        <w:t>20</w:t>
      </w:r>
    </w:p>
    <w:p w:rsidR="00EC4FF0" w:rsidRPr="00E022FF" w:rsidRDefault="00EC4FF0" w:rsidP="00EC4FF0">
      <w:pPr>
        <w:tabs>
          <w:tab w:val="right" w:pos="850"/>
          <w:tab w:val="left" w:pos="1134"/>
          <w:tab w:val="left" w:pos="1559"/>
          <w:tab w:val="left" w:pos="1984"/>
          <w:tab w:val="left" w:leader="dot" w:pos="8787"/>
          <w:tab w:val="right" w:pos="9638"/>
        </w:tabs>
        <w:spacing w:after="120"/>
      </w:pPr>
      <w:r w:rsidRPr="00E022FF">
        <w:tab/>
      </w:r>
      <w:r w:rsidRPr="00E022FF">
        <w:tab/>
        <w:t>B.</w:t>
      </w:r>
      <w:r w:rsidRPr="00E022FF">
        <w:tab/>
        <w:t xml:space="preserve">Оценка результативности Подпрограммы по окружающей среде </w:t>
      </w:r>
      <w:r w:rsidRPr="00E022FF">
        <w:br/>
      </w:r>
      <w:r w:rsidRPr="00E022FF">
        <w:tab/>
      </w:r>
      <w:r w:rsidRPr="00E022FF">
        <w:tab/>
      </w:r>
      <w:r w:rsidRPr="00E022FF">
        <w:tab/>
        <w:t>за 2016–2017 годы и план оценки результативности на 2018–2019 годы</w:t>
      </w:r>
      <w:r w:rsidRPr="00E022FF">
        <w:tab/>
      </w:r>
      <w:r w:rsidRPr="00E022FF">
        <w:tab/>
      </w:r>
      <w:r w:rsidR="000A178A">
        <w:t>2</w:t>
      </w:r>
      <w:r w:rsidRPr="00E022FF">
        <w:t>1</w:t>
      </w:r>
    </w:p>
    <w:p w:rsidR="00EC4FF0" w:rsidRPr="00E022FF" w:rsidRDefault="00EC4FF0" w:rsidP="003150D5">
      <w:pPr>
        <w:pageBreakBefore/>
        <w:tabs>
          <w:tab w:val="right" w:pos="850"/>
          <w:tab w:val="left" w:pos="1134"/>
          <w:tab w:val="left" w:pos="1559"/>
          <w:tab w:val="left" w:pos="1984"/>
          <w:tab w:val="left" w:leader="dot" w:pos="8787"/>
          <w:tab w:val="right" w:pos="9638"/>
        </w:tabs>
        <w:spacing w:after="120"/>
      </w:pPr>
      <w:r w:rsidRPr="00E022FF">
        <w:lastRenderedPageBreak/>
        <w:tab/>
      </w:r>
      <w:r w:rsidRPr="00E022FF">
        <w:tab/>
        <w:t>C.</w:t>
      </w:r>
      <w:r w:rsidRPr="00E022FF">
        <w:tab/>
        <w:t>Программа работы и перечень публикаций Подпрограммы по окружающей среде</w:t>
      </w:r>
      <w:r w:rsidRPr="00E022FF">
        <w:br/>
      </w:r>
      <w:r w:rsidRPr="00E022FF">
        <w:tab/>
      </w:r>
      <w:r w:rsidRPr="00E022FF">
        <w:tab/>
      </w:r>
      <w:r w:rsidRPr="00E022FF">
        <w:tab/>
        <w:t>на 2018–2019 годы</w:t>
      </w:r>
      <w:r w:rsidRPr="00E022FF">
        <w:tab/>
      </w:r>
      <w:r w:rsidRPr="00E022FF">
        <w:tab/>
      </w:r>
      <w:r w:rsidR="000A178A">
        <w:t>2</w:t>
      </w:r>
      <w:r w:rsidRPr="00E022FF">
        <w:t>1</w:t>
      </w:r>
    </w:p>
    <w:p w:rsidR="00EC4FF0" w:rsidRPr="00E022FF" w:rsidRDefault="00EC4FF0" w:rsidP="00EC4FF0">
      <w:pPr>
        <w:tabs>
          <w:tab w:val="right" w:pos="850"/>
          <w:tab w:val="left" w:pos="1134"/>
          <w:tab w:val="left" w:pos="1559"/>
          <w:tab w:val="left" w:pos="1984"/>
          <w:tab w:val="left" w:leader="dot" w:pos="8787"/>
          <w:tab w:val="right" w:pos="9638"/>
        </w:tabs>
        <w:spacing w:after="120"/>
      </w:pPr>
      <w:r w:rsidRPr="00E022FF">
        <w:tab/>
      </w:r>
      <w:r w:rsidRPr="00E022FF">
        <w:tab/>
        <w:t>D.</w:t>
      </w:r>
      <w:r w:rsidRPr="00E022FF">
        <w:tab/>
        <w:t xml:space="preserve">Предлагаемые стратегические рамки Подпрограммы по окружающей среде </w:t>
      </w:r>
      <w:r w:rsidRPr="00E022FF">
        <w:br/>
      </w:r>
      <w:r w:rsidRPr="00E022FF">
        <w:tab/>
      </w:r>
      <w:r w:rsidRPr="00E022FF">
        <w:tab/>
      </w:r>
      <w:r w:rsidRPr="00E022FF">
        <w:tab/>
        <w:t>на 2020–2021 годы</w:t>
      </w:r>
      <w:r w:rsidRPr="00E022FF">
        <w:tab/>
      </w:r>
      <w:r w:rsidRPr="00E022FF">
        <w:tab/>
      </w:r>
      <w:r w:rsidR="000A178A">
        <w:t>2</w:t>
      </w:r>
      <w:r w:rsidRPr="00E022FF">
        <w:t>1</w:t>
      </w:r>
    </w:p>
    <w:p w:rsidR="00EC4FF0" w:rsidRPr="00E022FF" w:rsidRDefault="00EC4FF0" w:rsidP="00EC4FF0">
      <w:pPr>
        <w:tabs>
          <w:tab w:val="right" w:pos="850"/>
          <w:tab w:val="left" w:pos="1134"/>
          <w:tab w:val="left" w:pos="1559"/>
          <w:tab w:val="left" w:pos="1984"/>
          <w:tab w:val="left" w:leader="dot" w:pos="8787"/>
          <w:tab w:val="right" w:pos="9638"/>
        </w:tabs>
        <w:spacing w:after="120"/>
      </w:pPr>
      <w:r w:rsidRPr="00E022FF">
        <w:tab/>
      </w:r>
      <w:r w:rsidRPr="00E022FF">
        <w:tab/>
        <w:t>E.</w:t>
      </w:r>
      <w:r w:rsidRPr="00E022FF">
        <w:tab/>
        <w:t>Обзор ресурсов для осуществления природоохранной деятельности и критерии</w:t>
      </w:r>
      <w:r w:rsidR="003150D5" w:rsidRPr="00E022FF">
        <w:br/>
      </w:r>
      <w:r w:rsidR="003150D5" w:rsidRPr="00E022FF">
        <w:tab/>
      </w:r>
      <w:r w:rsidR="003150D5" w:rsidRPr="00E022FF">
        <w:tab/>
      </w:r>
      <w:r w:rsidR="003150D5" w:rsidRPr="00E022FF">
        <w:tab/>
      </w:r>
      <w:r w:rsidRPr="00E022FF">
        <w:t>оказания финансовой поддержки для участия в совещаниях и мероприятиях</w:t>
      </w:r>
      <w:r w:rsidRPr="00E022FF">
        <w:tab/>
      </w:r>
      <w:r w:rsidRPr="00E022FF">
        <w:tab/>
        <w:t>2</w:t>
      </w:r>
      <w:r w:rsidR="000A178A">
        <w:t>1</w:t>
      </w:r>
    </w:p>
    <w:p w:rsidR="00EC4FF0" w:rsidRPr="00E022FF" w:rsidRDefault="00EC4FF0" w:rsidP="00EC4FF0">
      <w:pPr>
        <w:tabs>
          <w:tab w:val="right" w:pos="850"/>
          <w:tab w:val="left" w:pos="1134"/>
          <w:tab w:val="left" w:pos="1559"/>
          <w:tab w:val="left" w:pos="1984"/>
          <w:tab w:val="left" w:leader="dot" w:pos="8787"/>
          <w:tab w:val="right" w:pos="9638"/>
        </w:tabs>
        <w:spacing w:after="120"/>
      </w:pPr>
      <w:r w:rsidRPr="00E022FF">
        <w:tab/>
        <w:t>X.</w:t>
      </w:r>
      <w:r w:rsidRPr="00E022FF">
        <w:tab/>
        <w:t xml:space="preserve">Представление мнений и обмен мнениями о третьей Ассамблее Организации </w:t>
      </w:r>
      <w:r w:rsidR="003150D5" w:rsidRPr="00E022FF">
        <w:br/>
      </w:r>
      <w:r w:rsidR="003150D5" w:rsidRPr="00E022FF">
        <w:tab/>
      </w:r>
      <w:r w:rsidR="003150D5" w:rsidRPr="00E022FF">
        <w:tab/>
      </w:r>
      <w:r w:rsidRPr="00E022FF">
        <w:t>Объединенных Наций по окружающей среде</w:t>
      </w:r>
      <w:r w:rsidRPr="00E022FF">
        <w:tab/>
      </w:r>
      <w:r w:rsidRPr="00E022FF">
        <w:tab/>
        <w:t>2</w:t>
      </w:r>
      <w:r w:rsidR="000A178A">
        <w:t>2</w:t>
      </w:r>
    </w:p>
    <w:p w:rsidR="00EC4FF0" w:rsidRPr="00E022FF" w:rsidRDefault="00EC4FF0" w:rsidP="00EC4FF0">
      <w:pPr>
        <w:tabs>
          <w:tab w:val="right" w:pos="850"/>
          <w:tab w:val="left" w:pos="1134"/>
          <w:tab w:val="left" w:pos="1559"/>
          <w:tab w:val="left" w:pos="1984"/>
          <w:tab w:val="left" w:leader="dot" w:pos="8787"/>
          <w:tab w:val="right" w:pos="9638"/>
        </w:tabs>
        <w:spacing w:after="120"/>
      </w:pPr>
      <w:r w:rsidRPr="00E022FF">
        <w:tab/>
        <w:t>XI.</w:t>
      </w:r>
      <w:r w:rsidRPr="00E022FF">
        <w:tab/>
        <w:t>Круг ведения</w:t>
      </w:r>
      <w:r w:rsidRPr="00E022FF">
        <w:tab/>
      </w:r>
      <w:r w:rsidRPr="00E022FF">
        <w:tab/>
        <w:t>2</w:t>
      </w:r>
      <w:r w:rsidR="000A178A">
        <w:t>2</w:t>
      </w:r>
    </w:p>
    <w:p w:rsidR="00EC4FF0" w:rsidRPr="00E022FF" w:rsidRDefault="00EC4FF0" w:rsidP="00EC4FF0">
      <w:pPr>
        <w:tabs>
          <w:tab w:val="right" w:pos="850"/>
          <w:tab w:val="left" w:pos="1134"/>
          <w:tab w:val="left" w:pos="1559"/>
          <w:tab w:val="left" w:pos="1984"/>
          <w:tab w:val="left" w:leader="dot" w:pos="8787"/>
          <w:tab w:val="right" w:pos="9638"/>
        </w:tabs>
        <w:spacing w:after="120"/>
      </w:pPr>
      <w:r w:rsidRPr="00E022FF">
        <w:tab/>
        <w:t>XII.</w:t>
      </w:r>
      <w:r w:rsidRPr="00E022FF">
        <w:tab/>
        <w:t>Правила процедуры</w:t>
      </w:r>
      <w:r w:rsidRPr="00E022FF">
        <w:tab/>
      </w:r>
      <w:r w:rsidRPr="00E022FF">
        <w:tab/>
        <w:t>2</w:t>
      </w:r>
      <w:r w:rsidR="000A178A">
        <w:t>2</w:t>
      </w:r>
    </w:p>
    <w:p w:rsidR="00EC4FF0" w:rsidRPr="00E022FF" w:rsidRDefault="00EC4FF0" w:rsidP="00EC4FF0">
      <w:pPr>
        <w:tabs>
          <w:tab w:val="right" w:pos="850"/>
          <w:tab w:val="left" w:pos="1134"/>
          <w:tab w:val="left" w:pos="1559"/>
          <w:tab w:val="left" w:pos="1984"/>
          <w:tab w:val="left" w:leader="dot" w:pos="8787"/>
          <w:tab w:val="right" w:pos="9638"/>
        </w:tabs>
        <w:spacing w:after="120"/>
      </w:pPr>
      <w:r w:rsidRPr="00E022FF">
        <w:tab/>
        <w:t>XIII.</w:t>
      </w:r>
      <w:r w:rsidRPr="00E022FF">
        <w:tab/>
        <w:t>Выборы должностных лиц</w:t>
      </w:r>
      <w:r w:rsidRPr="00E022FF">
        <w:tab/>
      </w:r>
      <w:r w:rsidRPr="00E022FF">
        <w:tab/>
        <w:t>2</w:t>
      </w:r>
      <w:r w:rsidR="000A178A">
        <w:t>2</w:t>
      </w:r>
    </w:p>
    <w:p w:rsidR="00EC4FF0" w:rsidRPr="00E022FF" w:rsidRDefault="00EC4FF0" w:rsidP="00EC4FF0">
      <w:pPr>
        <w:tabs>
          <w:tab w:val="right" w:pos="850"/>
          <w:tab w:val="left" w:pos="1134"/>
          <w:tab w:val="left" w:pos="1559"/>
          <w:tab w:val="left" w:pos="1984"/>
          <w:tab w:val="left" w:leader="dot" w:pos="8787"/>
          <w:tab w:val="right" w:pos="9638"/>
        </w:tabs>
        <w:spacing w:after="120"/>
      </w:pPr>
      <w:r w:rsidRPr="00E022FF">
        <w:tab/>
        <w:t>XIV.</w:t>
      </w:r>
      <w:r w:rsidRPr="00E022FF">
        <w:tab/>
        <w:t>Расписание совещаний</w:t>
      </w:r>
      <w:r w:rsidRPr="00E022FF">
        <w:tab/>
      </w:r>
      <w:r w:rsidRPr="00E022FF">
        <w:tab/>
        <w:t>2</w:t>
      </w:r>
      <w:r w:rsidR="000A178A">
        <w:t>3</w:t>
      </w:r>
    </w:p>
    <w:p w:rsidR="00EC4FF0" w:rsidRPr="00E022FF" w:rsidRDefault="00EC4FF0" w:rsidP="00EC4FF0">
      <w:pPr>
        <w:tabs>
          <w:tab w:val="right" w:pos="850"/>
          <w:tab w:val="left" w:pos="1134"/>
          <w:tab w:val="left" w:pos="1559"/>
          <w:tab w:val="left" w:pos="1984"/>
          <w:tab w:val="left" w:leader="dot" w:pos="8787"/>
          <w:tab w:val="right" w:pos="9638"/>
        </w:tabs>
        <w:spacing w:after="120"/>
      </w:pPr>
      <w:r w:rsidRPr="00E022FF">
        <w:tab/>
        <w:t>XV.</w:t>
      </w:r>
      <w:r w:rsidRPr="00E022FF">
        <w:tab/>
        <w:t>Закрытие сессии</w:t>
      </w:r>
      <w:r w:rsidRPr="00E022FF">
        <w:tab/>
      </w:r>
      <w:r w:rsidRPr="00E022FF">
        <w:tab/>
        <w:t>2</w:t>
      </w:r>
      <w:r w:rsidR="000A178A">
        <w:t>3</w:t>
      </w:r>
    </w:p>
    <w:p w:rsidR="00EC4FF0" w:rsidRPr="00E022FF" w:rsidRDefault="00EC4FF0" w:rsidP="00EC4FF0">
      <w:pPr>
        <w:tabs>
          <w:tab w:val="left" w:pos="284"/>
          <w:tab w:val="right" w:pos="850"/>
          <w:tab w:val="left" w:pos="1134"/>
          <w:tab w:val="left" w:pos="1559"/>
          <w:tab w:val="left" w:pos="1984"/>
          <w:tab w:val="left" w:leader="dot" w:pos="8787"/>
          <w:tab w:val="right" w:pos="9638"/>
        </w:tabs>
        <w:spacing w:after="120"/>
      </w:pPr>
      <w:r w:rsidRPr="00E022FF">
        <w:tab/>
      </w:r>
      <w:r w:rsidRPr="00E022FF">
        <w:tab/>
        <w:t>Приложение</w:t>
      </w:r>
    </w:p>
    <w:p w:rsidR="00EC4FF0" w:rsidRPr="00E022FF" w:rsidRDefault="00EC4FF0" w:rsidP="00EC4FF0">
      <w:pPr>
        <w:tabs>
          <w:tab w:val="right" w:pos="850"/>
          <w:tab w:val="left" w:pos="1134"/>
          <w:tab w:val="left" w:pos="1559"/>
          <w:tab w:val="left" w:pos="1984"/>
          <w:tab w:val="left" w:leader="dot" w:pos="8787"/>
          <w:tab w:val="right" w:pos="9638"/>
        </w:tabs>
        <w:spacing w:after="120"/>
      </w:pPr>
      <w:r w:rsidRPr="00E022FF">
        <w:tab/>
      </w:r>
      <w:r w:rsidRPr="00E022FF">
        <w:tab/>
      </w:r>
      <w:r w:rsidR="00280E3F" w:rsidRPr="00E022FF">
        <w:rPr>
          <w:bCs/>
        </w:rPr>
        <w:t>Круг ведения Комитета по экологической политике</w:t>
      </w:r>
      <w:r w:rsidRPr="00E022FF">
        <w:tab/>
      </w:r>
      <w:r w:rsidRPr="00E022FF">
        <w:tab/>
        <w:t>2</w:t>
      </w:r>
      <w:r w:rsidR="000A178A">
        <w:t>4</w:t>
      </w:r>
    </w:p>
    <w:p w:rsidR="00997316" w:rsidRPr="00E022FF" w:rsidRDefault="00997316" w:rsidP="00997316">
      <w:pPr>
        <w:suppressAutoHyphens w:val="0"/>
        <w:spacing w:line="240" w:lineRule="auto"/>
      </w:pPr>
      <w:r w:rsidRPr="00E022FF">
        <w:br w:type="page"/>
      </w:r>
    </w:p>
    <w:p w:rsidR="00997316" w:rsidRPr="00E022FF" w:rsidRDefault="003150D5" w:rsidP="00997316">
      <w:pPr>
        <w:pStyle w:val="HChG"/>
      </w:pPr>
      <w:r w:rsidRPr="00E022FF">
        <w:lastRenderedPageBreak/>
        <w:tab/>
      </w:r>
      <w:r w:rsidR="00997316" w:rsidRPr="00E022FF">
        <w:t>I.</w:t>
      </w:r>
      <w:r w:rsidR="00997316" w:rsidRPr="00E022FF">
        <w:tab/>
      </w:r>
      <w:r w:rsidR="00997316" w:rsidRPr="00E022FF">
        <w:rPr>
          <w:bCs/>
        </w:rPr>
        <w:t>Введение</w:t>
      </w:r>
    </w:p>
    <w:p w:rsidR="00997316" w:rsidRPr="00E022FF" w:rsidRDefault="00997316" w:rsidP="00997316">
      <w:pPr>
        <w:pStyle w:val="SingleTxtG"/>
      </w:pPr>
      <w:r w:rsidRPr="00E022FF">
        <w:t>1.</w:t>
      </w:r>
      <w:r w:rsidRPr="00E022FF">
        <w:tab/>
        <w:t>Комитет по экологической политике провел</w:t>
      </w:r>
      <w:r w:rsidR="003150D5" w:rsidRPr="00E022FF">
        <w:t xml:space="preserve"> свою двадцать третью сессию </w:t>
      </w:r>
      <w:r w:rsidR="003150D5" w:rsidRPr="00E022FF">
        <w:br/>
        <w:t>14–</w:t>
      </w:r>
      <w:r w:rsidRPr="00E022FF">
        <w:t>17 ноября 2017 года в Женеве. Настоящий доклад подготовлен на основе резюме итогов сессии и принятых решений, которые Комитет утвердил 17 ноября 201</w:t>
      </w:r>
      <w:r w:rsidR="00186C18" w:rsidRPr="00186C18">
        <w:t>7</w:t>
      </w:r>
      <w:r w:rsidRPr="00E022FF">
        <w:t xml:space="preserve"> года</w:t>
      </w:r>
      <w:r w:rsidRPr="00E022FF">
        <w:rPr>
          <w:rStyle w:val="FootnoteReference"/>
        </w:rPr>
        <w:footnoteReference w:id="1"/>
      </w:r>
      <w:r w:rsidR="003150D5" w:rsidRPr="00E022FF">
        <w:t>.</w:t>
      </w:r>
    </w:p>
    <w:p w:rsidR="00997316" w:rsidRPr="00E022FF" w:rsidRDefault="003150D5" w:rsidP="00997316">
      <w:pPr>
        <w:pStyle w:val="H1G"/>
      </w:pPr>
      <w:r w:rsidRPr="00E022FF">
        <w:tab/>
      </w:r>
      <w:r w:rsidR="00997316" w:rsidRPr="00E022FF">
        <w:t>A.</w:t>
      </w:r>
      <w:r w:rsidR="00997316" w:rsidRPr="00E022FF">
        <w:tab/>
      </w:r>
      <w:r w:rsidR="00997316" w:rsidRPr="00E022FF">
        <w:rPr>
          <w:bCs/>
        </w:rPr>
        <w:t>Участники</w:t>
      </w:r>
    </w:p>
    <w:p w:rsidR="00997316" w:rsidRPr="00E022FF" w:rsidRDefault="00997316" w:rsidP="00997316">
      <w:pPr>
        <w:pStyle w:val="SingleTxtG"/>
      </w:pPr>
      <w:r w:rsidRPr="00E022FF">
        <w:t>2.</w:t>
      </w:r>
      <w:r w:rsidRPr="00E022FF">
        <w:tab/>
        <w:t>На сессии присутствовали делегации из 43 государств – членов Европейской экономической комиссии Организации Объединенных Наций (ЕЭК</w:t>
      </w:r>
      <w:r w:rsidR="003150D5" w:rsidRPr="00E022FF">
        <w:t xml:space="preserve">): Австрии, Азербайджана, Албании, Армении, Беларуси, Бельгии, Болгарии, Боснии и Герцеговины, бывшей югославской Республики Македония, Венгрии, Германии, Греции, Грузии, Испании, Италии, Казахстана, Кипра, Кыргызстана, Латвии, Литвы, Люксембурга, Мальты, Монако, Нидерландов, Норвегии, Польши, Португалии, Российской Федерации, Румынии, Сербии, Словакии, Словении, Соединенных Штатов Америки, Таджикистана, Украины, Финляндии, Франции, Хорватии, Черногории, Чехии, Швейцарии, Швеции и Эстонии. </w:t>
      </w:r>
      <w:r w:rsidRPr="00E022FF">
        <w:t xml:space="preserve">В работе сессии приняли также участие представители Монголии. </w:t>
      </w:r>
    </w:p>
    <w:p w:rsidR="00997316" w:rsidRPr="00E022FF" w:rsidRDefault="00997316" w:rsidP="00997316">
      <w:pPr>
        <w:pStyle w:val="SingleTxtG"/>
      </w:pPr>
      <w:r w:rsidRPr="00E022FF">
        <w:t>3.</w:t>
      </w:r>
      <w:r w:rsidRPr="00E022FF">
        <w:tab/>
        <w:t>В сессии также участвовали председатели или заместители председателей органов следующих многосторонних природоохранных соглашений ЕЭК: Конвенции о доступе к информации, участии общественности в процессе принятия решений и доступе к правосудию по вопросам, касающимся окружающей среды (Орхусская конвенция) и ее Протокола о регистрах выбросов и переноса загрязнителей; Конвенции об оценке воздействия на окружающую среду в трансграничном контексте (Конвенция Эспо) и е</w:t>
      </w:r>
      <w:r w:rsidR="00E022FF" w:rsidRPr="00E022FF">
        <w:rPr>
          <w:rStyle w:val="FootnoteReference"/>
          <w:sz w:val="20"/>
          <w:vertAlign w:val="baseline"/>
        </w:rPr>
        <w:t>е</w:t>
      </w:r>
      <w:r w:rsidR="00B64EDB">
        <w:t xml:space="preserve"> </w:t>
      </w:r>
      <w:r w:rsidRPr="00E022FF">
        <w:t>Протокола по стратегической экологической оценке (Протокол по СЭО); Конвенции о трансграничном загрязнении воздуха на большие расстояния (Конвенция по воздуху); Конвенции по охране и использованию трансграничных водотоков и международных озер (Конвенция по водам); и Конвенции о трансграничном воздействии промышленных аварий (Конвенция о промышленных авариях).</w:t>
      </w:r>
    </w:p>
    <w:p w:rsidR="00997316" w:rsidRPr="00E022FF" w:rsidRDefault="00997316" w:rsidP="00997316">
      <w:pPr>
        <w:pStyle w:val="SingleTxtG"/>
      </w:pPr>
      <w:r w:rsidRPr="00E022FF">
        <w:t>4.</w:t>
      </w:r>
      <w:r w:rsidRPr="00E022FF">
        <w:tab/>
        <w:t>Председатели или другие представители с</w:t>
      </w:r>
      <w:r w:rsidR="00F40200">
        <w:t>ледующих секторальных комитетов </w:t>
      </w:r>
      <w:r w:rsidRPr="00E022FF">
        <w:t xml:space="preserve">ЕЭК приняли участие в дискуссии по вопросам устойчивого развития в регионе: Комитета по лесам и лесной отрасли; Комитета по инновационной деятельности, конкурентоспособности и государственно-частным партнерствам и Комитета по устойчивой энергетике. </w:t>
      </w:r>
    </w:p>
    <w:p w:rsidR="00997316" w:rsidRPr="00E022FF" w:rsidRDefault="00997316" w:rsidP="00997316">
      <w:pPr>
        <w:pStyle w:val="SingleTxtG"/>
      </w:pPr>
      <w:r w:rsidRPr="00E022FF">
        <w:t>5.</w:t>
      </w:r>
      <w:r w:rsidRPr="00E022FF">
        <w:tab/>
        <w:t xml:space="preserve">От системы Организации Объединенных Наций на сессии присутствовали представители </w:t>
      </w:r>
      <w:r w:rsidRPr="00E022FF">
        <w:rPr>
          <w:color w:val="333333"/>
          <w:sz w:val="21"/>
          <w:szCs w:val="21"/>
          <w:shd w:val="clear" w:color="auto" w:fill="FFFFFF"/>
        </w:rPr>
        <w:t xml:space="preserve">Европейского регионального бюро </w:t>
      </w:r>
      <w:r w:rsidRPr="00E022FF">
        <w:t>Организации Объединенных Наций по окружающей среде (ЮНЕП), Организации Объединенных Наций по промышленному развитию (ЮНИДО), Канцелярии координатора-резидента Организации Объединенных Наций в Боснии и Герцеговине и Европейского регионального бюро Всемирной организации здравоохранения (ВОЗ).</w:t>
      </w:r>
    </w:p>
    <w:p w:rsidR="00997316" w:rsidRPr="00B64EDB" w:rsidRDefault="00997316" w:rsidP="00997316">
      <w:pPr>
        <w:pStyle w:val="SingleTxtG"/>
      </w:pPr>
      <w:r w:rsidRPr="00E022FF">
        <w:t>6.</w:t>
      </w:r>
      <w:r w:rsidRPr="00E022FF">
        <w:tab/>
        <w:t xml:space="preserve">На сессии были представлены и другие национальные, региональные и международные организации и органы, включая Европейский союз, представленный Советом Европейского союза, Европейской комиссией, Европейским агентством по окружающей среде и Европейским инвестиционным банком; Организацию экономического сотрудничества и развития (ОЭСР); Региональный экологический </w:t>
      </w:r>
      <w:r w:rsidRPr="00B64EDB">
        <w:t>центр для Кавказа и Региональный экологический центр для</w:t>
      </w:r>
      <w:r w:rsidR="003150D5" w:rsidRPr="00B64EDB">
        <w:t xml:space="preserve"> </w:t>
      </w:r>
      <w:r w:rsidRPr="00B64EDB">
        <w:t>Молдовы.</w:t>
      </w:r>
    </w:p>
    <w:p w:rsidR="00997316" w:rsidRPr="00B64EDB" w:rsidRDefault="00997316" w:rsidP="00997316">
      <w:pPr>
        <w:pStyle w:val="SingleTxtG"/>
      </w:pPr>
      <w:r w:rsidRPr="00B64EDB">
        <w:t>7.</w:t>
      </w:r>
      <w:r w:rsidRPr="00B64EDB">
        <w:tab/>
        <w:t xml:space="preserve">От гражданского общества участие в сессии приняли представители следующих организаций: </w:t>
      </w:r>
      <w:r w:rsidR="001F22AE" w:rsidRPr="00B64EDB">
        <w:rPr>
          <w:rStyle w:val="FootnoteReference"/>
          <w:sz w:val="20"/>
          <w:vertAlign w:val="baseline"/>
        </w:rPr>
        <w:t>«</w:t>
      </w:r>
      <w:r w:rsidRPr="00B64EDB">
        <w:t>Эко-согласие</w:t>
      </w:r>
      <w:r w:rsidR="001F22AE" w:rsidRPr="00B64EDB">
        <w:rPr>
          <w:rStyle w:val="FootnoteReference"/>
          <w:sz w:val="20"/>
          <w:vertAlign w:val="baseline"/>
        </w:rPr>
        <w:t>»</w:t>
      </w:r>
      <w:r w:rsidRPr="00B64EDB">
        <w:t xml:space="preserve">; Европейский ЭКО-форум; </w:t>
      </w:r>
      <w:r w:rsidR="001F22AE" w:rsidRPr="00B64EDB">
        <w:rPr>
          <w:rStyle w:val="FootnoteReference"/>
          <w:sz w:val="20"/>
          <w:vertAlign w:val="baseline"/>
        </w:rPr>
        <w:t>«</w:t>
      </w:r>
      <w:r w:rsidRPr="00B64EDB">
        <w:t>Зеленая свобода</w:t>
      </w:r>
      <w:r w:rsidR="001F22AE" w:rsidRPr="00B64EDB">
        <w:rPr>
          <w:rStyle w:val="FootnoteReference"/>
          <w:sz w:val="20"/>
          <w:vertAlign w:val="baseline"/>
        </w:rPr>
        <w:t>»</w:t>
      </w:r>
      <w:r w:rsidRPr="00B64EDB">
        <w:t xml:space="preserve">; </w:t>
      </w:r>
      <w:r w:rsidR="001F22AE" w:rsidRPr="00B64EDB">
        <w:rPr>
          <w:rStyle w:val="FootnoteReference"/>
          <w:sz w:val="20"/>
          <w:vertAlign w:val="baseline"/>
        </w:rPr>
        <w:t>«</w:t>
      </w:r>
      <w:r w:rsidRPr="00B64EDB">
        <w:t>Журналисты за права человека</w:t>
      </w:r>
      <w:r w:rsidR="001F22AE" w:rsidRPr="00B64EDB">
        <w:rPr>
          <w:rStyle w:val="FootnoteReference"/>
          <w:sz w:val="20"/>
          <w:vertAlign w:val="baseline"/>
        </w:rPr>
        <w:t>»</w:t>
      </w:r>
      <w:r w:rsidRPr="00B64EDB">
        <w:t xml:space="preserve">; Фонд устойчивой инфраструктуры; и экологическая сеть </w:t>
      </w:r>
      <w:r w:rsidR="001F22AE" w:rsidRPr="00B64EDB">
        <w:rPr>
          <w:rStyle w:val="FootnoteReference"/>
          <w:sz w:val="20"/>
          <w:vertAlign w:val="baseline"/>
        </w:rPr>
        <w:t>«</w:t>
      </w:r>
      <w:r w:rsidRPr="00B64EDB">
        <w:t>Зои</w:t>
      </w:r>
      <w:r w:rsidR="001F22AE" w:rsidRPr="00B64EDB">
        <w:rPr>
          <w:rStyle w:val="FootnoteReference"/>
          <w:sz w:val="20"/>
          <w:vertAlign w:val="baseline"/>
        </w:rPr>
        <w:t>»</w:t>
      </w:r>
      <w:r w:rsidRPr="00B64EDB">
        <w:t xml:space="preserve">. </w:t>
      </w:r>
    </w:p>
    <w:p w:rsidR="00997316" w:rsidRPr="00E022FF" w:rsidRDefault="003150D5" w:rsidP="00997316">
      <w:pPr>
        <w:pStyle w:val="H1G"/>
      </w:pPr>
      <w:r w:rsidRPr="00E022FF">
        <w:lastRenderedPageBreak/>
        <w:tab/>
      </w:r>
      <w:r w:rsidR="00997316" w:rsidRPr="00E022FF">
        <w:t>B.</w:t>
      </w:r>
      <w:r w:rsidR="00997316" w:rsidRPr="00E022FF">
        <w:tab/>
      </w:r>
      <w:r w:rsidR="00997316" w:rsidRPr="00E022FF">
        <w:rPr>
          <w:bCs/>
        </w:rPr>
        <w:t>Открытие сессии и организационные вопросы</w:t>
      </w:r>
    </w:p>
    <w:p w:rsidR="00997316" w:rsidRPr="00B64EDB" w:rsidRDefault="00997316" w:rsidP="00997316">
      <w:pPr>
        <w:pStyle w:val="SingleTxtG"/>
      </w:pPr>
      <w:r w:rsidRPr="00B64EDB">
        <w:t>8.</w:t>
      </w:r>
      <w:r w:rsidRPr="00B64EDB">
        <w:tab/>
        <w:t>В своем вступительном слове заместител</w:t>
      </w:r>
      <w:r w:rsidR="00E022FF" w:rsidRPr="00B64EDB">
        <w:t>ь Исполнительного секретаря ЕЭК </w:t>
      </w:r>
      <w:r w:rsidRPr="00B64EDB">
        <w:t>ООН проинформировал Комитет о ходе реформы системы управления секретариата Организации Объединенных Наций, инициированной Генеральным секретарем, с тем чтобы более эффективно реагировать на запросы государств-членов о рассмотрении новых возникающи</w:t>
      </w:r>
      <w:r w:rsidR="00186C18">
        <w:t>х</w:t>
      </w:r>
      <w:r w:rsidRPr="00B64EDB">
        <w:t xml:space="preserve"> проблем и задач. Кроме того, он подчеркнул важную роль решений восьмой Конференции министров </w:t>
      </w:r>
      <w:r w:rsidR="001F22AE" w:rsidRPr="00B64EDB">
        <w:rPr>
          <w:rStyle w:val="FootnoteReference"/>
          <w:sz w:val="20"/>
          <w:vertAlign w:val="baseline"/>
        </w:rPr>
        <w:t>«</w:t>
      </w:r>
      <w:r w:rsidRPr="00B64EDB">
        <w:t>Окружающая среда для Европы</w:t>
      </w:r>
      <w:r w:rsidR="001F22AE" w:rsidRPr="00B64EDB">
        <w:rPr>
          <w:rStyle w:val="FootnoteReference"/>
          <w:sz w:val="20"/>
          <w:vertAlign w:val="baseline"/>
        </w:rPr>
        <w:t>»</w:t>
      </w:r>
      <w:r w:rsidRPr="00B64EDB">
        <w:t xml:space="preserve"> (Батуми</w:t>
      </w:r>
      <w:r w:rsidR="00186C18">
        <w:t>,</w:t>
      </w:r>
      <w:r w:rsidRPr="00B64EDB">
        <w:t xml:space="preserve"> Грузия, 8–10 июня 2016 года) в поддержке усилий стран по повышению эффективности управления природоохранной деятельностью и достижению Целей в области устойчивого развития, включая батумские инициативы, касающиеся борьбы за чистый воздух и </w:t>
      </w:r>
      <w:r w:rsidR="001F22AE" w:rsidRPr="00B64EDB">
        <w:rPr>
          <w:rStyle w:val="FootnoteReference"/>
          <w:sz w:val="20"/>
          <w:vertAlign w:val="baseline"/>
        </w:rPr>
        <w:t>«</w:t>
      </w:r>
      <w:r w:rsidRPr="00B64EDB">
        <w:t>зеленой</w:t>
      </w:r>
      <w:r w:rsidR="001F22AE" w:rsidRPr="00B64EDB">
        <w:rPr>
          <w:rStyle w:val="FootnoteReference"/>
          <w:sz w:val="20"/>
          <w:vertAlign w:val="baseline"/>
        </w:rPr>
        <w:t>»</w:t>
      </w:r>
      <w:r w:rsidRPr="00B64EDB">
        <w:t xml:space="preserve"> экономики, и решения о будущей направленности Программы обзоров результативности экологической деятельности и Общей системы экологической информации.</w:t>
      </w:r>
    </w:p>
    <w:p w:rsidR="00997316" w:rsidRPr="00B64EDB" w:rsidRDefault="00997316" w:rsidP="00997316">
      <w:pPr>
        <w:pStyle w:val="SingleTxtG"/>
      </w:pPr>
      <w:r w:rsidRPr="00B64EDB">
        <w:t>9.</w:t>
      </w:r>
      <w:r w:rsidRPr="00B64EDB">
        <w:tab/>
        <w:t>Председатель Комитета по экологической политике приветствовала участников и напомнила об основных целях сессии.</w:t>
      </w:r>
    </w:p>
    <w:p w:rsidR="00997316" w:rsidRPr="00B64EDB" w:rsidRDefault="00997316" w:rsidP="00997316">
      <w:pPr>
        <w:pStyle w:val="SingleTxtG"/>
      </w:pPr>
      <w:r w:rsidRPr="00B64EDB">
        <w:t>10.</w:t>
      </w:r>
      <w:r w:rsidRPr="00B64EDB">
        <w:tab/>
        <w:t xml:space="preserve">Параллельное мероприятие </w:t>
      </w:r>
      <w:r w:rsidR="001F22AE" w:rsidRPr="00B64EDB">
        <w:rPr>
          <w:rStyle w:val="FootnoteReference"/>
          <w:sz w:val="20"/>
          <w:vertAlign w:val="baseline"/>
        </w:rPr>
        <w:t>«</w:t>
      </w:r>
      <w:r w:rsidRPr="00B64EDB">
        <w:t xml:space="preserve">Экологический компонент инициативы </w:t>
      </w:r>
      <w:r w:rsidR="00186C18">
        <w:t>"</w:t>
      </w:r>
      <w:r w:rsidRPr="00B64EDB">
        <w:t>Пояс и путь</w:t>
      </w:r>
      <w:r w:rsidR="00186C18">
        <w:t>"</w:t>
      </w:r>
      <w:r w:rsidRPr="00B64EDB">
        <w:t>: перспективы и проблемы</w:t>
      </w:r>
      <w:r w:rsidR="001F22AE" w:rsidRPr="00B64EDB">
        <w:rPr>
          <w:rStyle w:val="FootnoteReference"/>
          <w:sz w:val="20"/>
          <w:vertAlign w:val="baseline"/>
        </w:rPr>
        <w:t>»</w:t>
      </w:r>
      <w:r w:rsidRPr="00B64EDB">
        <w:t xml:space="preserve"> было орган</w:t>
      </w:r>
      <w:r w:rsidR="00B64EDB">
        <w:t>изовано совместно ЕЭК и ЮНЕП 14 </w:t>
      </w:r>
      <w:r w:rsidRPr="00B64EDB">
        <w:t xml:space="preserve">ноября. Еще одно параллельное мероприятие на тему </w:t>
      </w:r>
      <w:r w:rsidR="001F22AE" w:rsidRPr="00B64EDB">
        <w:rPr>
          <w:rStyle w:val="FootnoteReference"/>
          <w:sz w:val="20"/>
          <w:vertAlign w:val="baseline"/>
        </w:rPr>
        <w:t>«</w:t>
      </w:r>
      <w:r w:rsidRPr="00B64EDB">
        <w:t xml:space="preserve">Итоги проекта </w:t>
      </w:r>
      <w:r w:rsidR="001F22AE" w:rsidRPr="00B64EDB">
        <w:rPr>
          <w:rStyle w:val="FootnoteReference"/>
          <w:sz w:val="20"/>
          <w:vertAlign w:val="baseline"/>
        </w:rPr>
        <w:t>«</w:t>
      </w:r>
      <w:r w:rsidRPr="00B64EDB">
        <w:t>Экологизация экономики стран Восточного партнерства (EaP GREEN)</w:t>
      </w:r>
      <w:r w:rsidR="001F22AE" w:rsidRPr="00B64EDB">
        <w:rPr>
          <w:rStyle w:val="FootnoteReference"/>
          <w:sz w:val="20"/>
          <w:vertAlign w:val="baseline"/>
        </w:rPr>
        <w:t>»</w:t>
      </w:r>
      <w:r w:rsidRPr="00B64EDB">
        <w:t>, финансируемого Европейским союзом, было организовано совместно ЕЭК, ОЭСР, ЮНЕП и ЮНИДО 15 ноября.</w:t>
      </w:r>
    </w:p>
    <w:p w:rsidR="00997316" w:rsidRPr="00E022FF" w:rsidRDefault="00997316" w:rsidP="00997316">
      <w:pPr>
        <w:pStyle w:val="SingleTxtG"/>
      </w:pPr>
      <w:r w:rsidRPr="00B64EDB">
        <w:t>11.</w:t>
      </w:r>
      <w:r w:rsidRPr="00B64EDB">
        <w:tab/>
        <w:t>Комитет утвердил повестку дня своей двадцать третьей сессии (ECE/CEP/2017/4), а также предложенное расписание работы</w:t>
      </w:r>
      <w:r w:rsidRPr="00E022FF">
        <w:t xml:space="preserve"> (информационный документ № 1/Rev.1).</w:t>
      </w:r>
    </w:p>
    <w:p w:rsidR="00997316" w:rsidRPr="00E022FF" w:rsidRDefault="003150D5" w:rsidP="00997316">
      <w:pPr>
        <w:pStyle w:val="HChG"/>
      </w:pPr>
      <w:r w:rsidRPr="00E022FF">
        <w:tab/>
      </w:r>
      <w:r w:rsidR="00997316" w:rsidRPr="00E022FF">
        <w:t>II.</w:t>
      </w:r>
      <w:r w:rsidR="00997316" w:rsidRPr="00E022FF">
        <w:tab/>
      </w:r>
      <w:r w:rsidR="00997316" w:rsidRPr="00E022FF">
        <w:rPr>
          <w:bCs/>
        </w:rPr>
        <w:t>Итоги работы Президиума</w:t>
      </w:r>
      <w:r w:rsidR="00997316" w:rsidRPr="00E022FF">
        <w:t xml:space="preserve"> </w:t>
      </w:r>
    </w:p>
    <w:p w:rsidR="00997316" w:rsidRPr="00E022FF" w:rsidRDefault="00997316" w:rsidP="00997316">
      <w:pPr>
        <w:pStyle w:val="SingleTxtG"/>
      </w:pPr>
      <w:r w:rsidRPr="00E022FF">
        <w:t>12.</w:t>
      </w:r>
      <w:r w:rsidRPr="00E022FF">
        <w:tab/>
        <w:t>Председатель сообщила, что Президиум осуществлял свою работу с помощью средств электронных консультаций и провел совещани</w:t>
      </w:r>
      <w:r w:rsidR="00E022FF">
        <w:t>е в Лиссабоне 28 и 29 июня 2017 </w:t>
      </w:r>
      <w:r w:rsidRPr="00E022FF">
        <w:t xml:space="preserve">года в целях подготовки нынешней сессии Комитета. Результаты работы Президиума были представлены в документе ECE/CEP/2017/6. Кроме того, Президиум провел совещание продолжительностью в полдня </w:t>
      </w:r>
      <w:r w:rsidR="00186C18">
        <w:t>1</w:t>
      </w:r>
      <w:r w:rsidRPr="00E022FF">
        <w:t xml:space="preserve">3 ноября 2017 года для урегулирования нерешенных вопросов. Председатель предложила Комитету рассмотреть итоги работы Президиума в рамках соответствующих пунктов повестки дня. </w:t>
      </w:r>
    </w:p>
    <w:p w:rsidR="00997316" w:rsidRPr="00E022FF" w:rsidRDefault="00997316" w:rsidP="00997316">
      <w:pPr>
        <w:pStyle w:val="SingleTxtG"/>
      </w:pPr>
      <w:r w:rsidRPr="00E022FF">
        <w:t>13.</w:t>
      </w:r>
      <w:r w:rsidRPr="00E022FF">
        <w:tab/>
        <w:t>Комитет выразил признательность Президиуму за его хорошую работу и секретариату ЕЭК – за поддержку, оказанную Президиуму.</w:t>
      </w:r>
    </w:p>
    <w:p w:rsidR="00997316" w:rsidRPr="00E022FF" w:rsidRDefault="003150D5" w:rsidP="00997316">
      <w:pPr>
        <w:pStyle w:val="HChG"/>
      </w:pPr>
      <w:r w:rsidRPr="00E022FF">
        <w:tab/>
      </w:r>
      <w:r w:rsidR="00997316" w:rsidRPr="00E022FF">
        <w:t>III.</w:t>
      </w:r>
      <w:r w:rsidR="00997316" w:rsidRPr="00E022FF">
        <w:tab/>
      </w:r>
      <w:r w:rsidR="00997316" w:rsidRPr="00E022FF">
        <w:rPr>
          <w:bCs/>
        </w:rPr>
        <w:t>Устойчивое развитие в регионе</w:t>
      </w:r>
    </w:p>
    <w:p w:rsidR="00997316" w:rsidRPr="00B64EDB" w:rsidRDefault="00997316" w:rsidP="00997316">
      <w:pPr>
        <w:pStyle w:val="SingleTxtG"/>
      </w:pPr>
      <w:r w:rsidRPr="00E022FF">
        <w:t>14.</w:t>
      </w:r>
      <w:r w:rsidRPr="00E022FF">
        <w:tab/>
        <w:t>Главный советник Исполнительного секретаря ЕЭК представила в своем качестве координатора ЕЭК по Повестке дня в области устойчивого развития на период до 2030 года (Повестка дня на период до 2030 года) информацию о событиях, связанных с Региональным форумом ЕЭК по устойчивому развитию. На сессии 20</w:t>
      </w:r>
      <w:r w:rsidR="00E022FF">
        <w:t>17 </w:t>
      </w:r>
      <w:r w:rsidRPr="00E022FF">
        <w:t xml:space="preserve">года Регионального форума (25 апреля) участники рассказали о национальных усилиях по осуществлению Повестки дня на период до 2030 года, в том числе путем использования существующих политических рамок; пересмотра стратегий и политики в свете Целей в области устойчивого развития; определения новых стратегий адаптации Целей к национальным и местным реалиям; создания институциональных структур между министерствами и использования общегосударственного подхода в целях координации деятельности по реализации Повестки дня на период до 2030 года; и различных стратегий для обеспечения того, чтобы заинтересованные стороны участвовали в этом процессе на всех уровнях. Система Организации Объединенных Наций оказывала поддержку усилиям стран путем предоставления норм, стандартов, </w:t>
      </w:r>
      <w:r w:rsidRPr="00B64EDB">
        <w:lastRenderedPageBreak/>
        <w:t>правовых документов, рекомендаций по вопросам политики и экспертной консультационной помощи, а также прямую поддержку странам. Генеральный секретарь инициировал текущую реформу системы развития Организации Объединенных Наций непосредственно для обеспечения максимального эффекта на уровне стран при осуществлении такой программы преобразований. Подготовленное Председателем резюме результатов сессии 2017 года Регионального форума было представлено Политическому форуму высокого уровня по устойчивому развитию для рассмотрения на его совещании 2017 года (10–19 июля).</w:t>
      </w:r>
    </w:p>
    <w:p w:rsidR="00997316" w:rsidRPr="00B64EDB" w:rsidRDefault="00997316" w:rsidP="00997316">
      <w:pPr>
        <w:pStyle w:val="SingleTxtG"/>
      </w:pPr>
      <w:r w:rsidRPr="00B64EDB">
        <w:t>15.</w:t>
      </w:r>
      <w:r w:rsidRPr="00B64EDB">
        <w:tab/>
        <w:t>Продолжалась работа по подготовке сессии</w:t>
      </w:r>
      <w:r w:rsidR="00E022FF" w:rsidRPr="00B64EDB">
        <w:t xml:space="preserve"> 2018 года Регионального форума </w:t>
      </w:r>
      <w:r w:rsidRPr="00B64EDB">
        <w:t xml:space="preserve">ЕЭК по устойчивому развитию (1–2 марта). Как и сессия 2017 года, сессия 2018 года будет организована в виде платформы взаимного обучения с уделением основного внимания Целям, подлежащим обзору в 2018 году, а именно Целям 6 (чистая вода и санитария), 7 (недорогие и экологически чистые источники энергии), 11 (устойчивые города и общины), 12 (ответственное </w:t>
      </w:r>
      <w:r w:rsidR="00B64EDB" w:rsidRPr="00B64EDB">
        <w:t>потребление и производство), 15 </w:t>
      </w:r>
      <w:r w:rsidRPr="00B64EDB">
        <w:t>(сохранение экосистем суши) и 17 (партнерство в интересах достижения Целей). Участники будут работать как в пленарном формате, так и в составе небольших групп, с тем чтобы обеспечить возможность для эффективного обмена передовой практикой и практическими примерами; определить общие цели, задачи и региональные тенденции и найти решения трансграничных проблем. На полях этой сессии будут проведены 28 февраля 2018 года предсессионное совещание представителей гражданского общества и региональное подготовительное совещание для стран, осуществляющих добровольный национальный обзор</w:t>
      </w:r>
      <w:r w:rsidR="00E022FF" w:rsidRPr="00B64EDB">
        <w:t xml:space="preserve"> в 2018 году. Итоги сессии 2018 </w:t>
      </w:r>
      <w:r w:rsidRPr="00B64EDB">
        <w:t xml:space="preserve">года Регионального форума явятся вкладом региона ЕЭК в совещание Политического форума высокого уровня по устойчивому развитию 2018 года </w:t>
      </w:r>
      <w:r w:rsidR="00E022FF" w:rsidRPr="00B64EDB">
        <w:br/>
      </w:r>
      <w:r w:rsidR="00186C18">
        <w:t>(9</w:t>
      </w:r>
      <w:r w:rsidRPr="00B64EDB">
        <w:t>–1</w:t>
      </w:r>
      <w:r w:rsidR="00186C18">
        <w:t>8</w:t>
      </w:r>
      <w:r w:rsidRPr="00B64EDB">
        <w:t xml:space="preserve"> июля).</w:t>
      </w:r>
    </w:p>
    <w:p w:rsidR="00997316" w:rsidRPr="00B64EDB" w:rsidRDefault="00997316" w:rsidP="00997316">
      <w:pPr>
        <w:pStyle w:val="SingleTxtG"/>
      </w:pPr>
      <w:r w:rsidRPr="00B64EDB">
        <w:t>16.</w:t>
      </w:r>
      <w:r w:rsidRPr="00B64EDB">
        <w:tab/>
        <w:t xml:space="preserve">Делегаты из Бельгии, Чехии, Финляндии, Казахстана, Румынии и Швеции поделились своим опытом и информацией о практических путях осуществления Повестки дня на период до 2030 года и Целей в области устойчивого развития, уделив особое внимание Целям, подлежащим обзору в 2018 году. </w:t>
      </w:r>
    </w:p>
    <w:p w:rsidR="00997316" w:rsidRPr="00B64EDB" w:rsidRDefault="00997316" w:rsidP="00997316">
      <w:pPr>
        <w:pStyle w:val="SingleTxtG"/>
      </w:pPr>
      <w:r w:rsidRPr="00B64EDB">
        <w:t>17.</w:t>
      </w:r>
      <w:r w:rsidRPr="00B64EDB">
        <w:tab/>
        <w:t>Бельгия создала законодательную, политическую и институциональную основу для осуществления Повестки дня на период до 2030 года. Принцип устойчивого развития является частью Конституции Бельгии и признан в качестве общей политической цели, достижению которой должны содействовать федеральное государство, общины и регионы. Бельгия занимается реализацией своей первой национальной стратегии устойчивого развития, утвержденной в 2017 году, в том числе путем проведения межсекторальной деятельности. Координацию осуществления Стратегии обеспечивает межведомственная конференция по устойчивому развитию, созданная для этой цели. Для достижения Цели 7 Бельгия сосредоточила свое внимание на устойчивом строительстве, реновации и энергоэффективности зданий, в том числе с помощью инструментов и стимулов</w:t>
      </w:r>
      <w:r w:rsidR="00186C18">
        <w:t>,</w:t>
      </w:r>
      <w:r w:rsidRPr="00B64EDB">
        <w:t xml:space="preserve"> таких как </w:t>
      </w:r>
      <w:r w:rsidR="001F22AE" w:rsidRPr="00B64EDB">
        <w:rPr>
          <w:rStyle w:val="FootnoteReference"/>
          <w:sz w:val="20"/>
          <w:vertAlign w:val="baseline"/>
        </w:rPr>
        <w:t>«</w:t>
      </w:r>
      <w:r w:rsidRPr="00B64EDB">
        <w:t>дорожная карта</w:t>
      </w:r>
      <w:r w:rsidR="001F22AE" w:rsidRPr="00B64EDB">
        <w:rPr>
          <w:rStyle w:val="FootnoteReference"/>
          <w:sz w:val="20"/>
          <w:vertAlign w:val="baseline"/>
        </w:rPr>
        <w:t>»</w:t>
      </w:r>
      <w:r w:rsidRPr="00B64EDB">
        <w:t xml:space="preserve"> реновации, сертификат энергетических характеристик и цифровые паспорта домов. Достижение Цели 11 опирается на подход </w:t>
      </w:r>
      <w:r w:rsidR="001F22AE" w:rsidRPr="00B64EDB">
        <w:rPr>
          <w:rStyle w:val="FootnoteReference"/>
          <w:sz w:val="20"/>
          <w:vertAlign w:val="baseline"/>
        </w:rPr>
        <w:t>«</w:t>
      </w:r>
      <w:r w:rsidRPr="00B64EDB">
        <w:t>умного города</w:t>
      </w:r>
      <w:r w:rsidR="001F22AE" w:rsidRPr="00B64EDB">
        <w:rPr>
          <w:rStyle w:val="FootnoteReference"/>
          <w:sz w:val="20"/>
          <w:vertAlign w:val="baseline"/>
        </w:rPr>
        <w:t>»</w:t>
      </w:r>
      <w:r w:rsidRPr="00B64EDB">
        <w:t xml:space="preserve">. Что касается Цели 12, то </w:t>
      </w:r>
      <w:r w:rsidR="001F22AE" w:rsidRPr="00B64EDB">
        <w:rPr>
          <w:rStyle w:val="FootnoteReference"/>
          <w:sz w:val="20"/>
          <w:vertAlign w:val="baseline"/>
        </w:rPr>
        <w:t>«</w:t>
      </w:r>
      <w:r w:rsidRPr="00B64EDB">
        <w:t>Программа фламандских материалов</w:t>
      </w:r>
      <w:r w:rsidR="001F22AE" w:rsidRPr="00B64EDB">
        <w:rPr>
          <w:rStyle w:val="FootnoteReference"/>
          <w:sz w:val="20"/>
          <w:vertAlign w:val="baseline"/>
        </w:rPr>
        <w:t>»</w:t>
      </w:r>
      <w:r w:rsidRPr="00B64EDB">
        <w:t xml:space="preserve">, предусматривающая экономические, юридические и информационно-пропагандистские мероприятия в поддержку экономики замкнутого цикла, была удостоена </w:t>
      </w:r>
      <w:r w:rsidR="001F22AE" w:rsidRPr="00B64EDB">
        <w:rPr>
          <w:rStyle w:val="FootnoteReference"/>
          <w:sz w:val="20"/>
          <w:vertAlign w:val="baseline"/>
        </w:rPr>
        <w:t>«</w:t>
      </w:r>
      <w:r w:rsidRPr="00B64EDB">
        <w:t>Премии лидеров замкнутого цикла</w:t>
      </w:r>
      <w:r w:rsidR="001F22AE" w:rsidRPr="00B64EDB">
        <w:rPr>
          <w:rStyle w:val="FootnoteReference"/>
          <w:sz w:val="20"/>
          <w:vertAlign w:val="baseline"/>
        </w:rPr>
        <w:t>»</w:t>
      </w:r>
      <w:r w:rsidRPr="00B64EDB">
        <w:t xml:space="preserve"> на Всемирном экономическом форуме 2016 года. С апреля 2017 года Бельгия работает в партнерстве с частным сектором по достижению Цели 15 посредством осуществления стратегии BeBiodiversity, призванной ориентировать рынки на более благоприятные для биоразнообразия продукты, воздействуя как на спрос, так и предложение.</w:t>
      </w:r>
      <w:r w:rsidR="003150D5" w:rsidRPr="00B64EDB">
        <w:t xml:space="preserve"> </w:t>
      </w:r>
    </w:p>
    <w:p w:rsidR="00997316" w:rsidRPr="00B64EDB" w:rsidRDefault="00997316" w:rsidP="00997316">
      <w:pPr>
        <w:pStyle w:val="SingleTxtG"/>
      </w:pPr>
      <w:r w:rsidRPr="00B64EDB">
        <w:t>18.</w:t>
      </w:r>
      <w:r w:rsidRPr="00B64EDB">
        <w:tab/>
        <w:t>Чехия проанализировала каждую задачу Целей в области устойчивого развития и назначила ответственные учреждения в различных секторах, призванные играть ведущую роль в усилиях по их решению. Наибольшее число задач было поручено министерству окружающей среды (34), за кот</w:t>
      </w:r>
      <w:r w:rsidR="0027704F" w:rsidRPr="00B64EDB">
        <w:t>орым следуют канцелярия премьер</w:t>
      </w:r>
      <w:r w:rsidR="0027704F" w:rsidRPr="00B64EDB">
        <w:noBreakHyphen/>
      </w:r>
      <w:r w:rsidRPr="00B64EDB">
        <w:t>министра (24), министерства социальных дел и труда (20), промышленности и торговли (19), внутренних дел (19) и другие сектора. Для обеспечения эффекти</w:t>
      </w:r>
      <w:r w:rsidRPr="00E022FF">
        <w:t xml:space="preserve">вной координации, руководства и комплексного подхода к реализации Повестки дня на период до 2030 года при канцелярии премьер-министра был создан Государственный </w:t>
      </w:r>
      <w:r w:rsidRPr="00B64EDB">
        <w:lastRenderedPageBreak/>
        <w:t>совет по устойчивому развитию. Совет также оказывает поддержку осуществлению обязательств по Парижскому соглашению, Сендайской рамочной программе по снижению риска бедствий на 2015–2030 годы и другим международным соглашениям. Совет разработал конкретные меры по осуществлению в шести основных областях, определенных в стратегии</w:t>
      </w:r>
      <w:r w:rsidR="003150D5" w:rsidRPr="00B64EDB">
        <w:t xml:space="preserve"> </w:t>
      </w:r>
      <w:r w:rsidRPr="00B64EDB">
        <w:t>развития Чехии, а именно</w:t>
      </w:r>
      <w:r w:rsidR="00186C18">
        <w:t>:</w:t>
      </w:r>
      <w:r w:rsidRPr="00B64EDB">
        <w:t xml:space="preserve"> люди и общество в целом, экономическая модель, жизнестойкие экосистемы, муниципалитеты, глобальное развитие и благое управление. Он также обеспечивает увязку между Целями и задачами в области устойчивого развития и указанными шестью областями. Что касается Цели 6, то основными требующими решения проблемами являются обеспечение доступа к питьевой воде и санитарии для маргинализированных групп населения; загрязнение нитратами и фосфором из диффузных источников и дефицит воды в результате изменения климата. Усилия по достижению Цели 7 направлены на то, чтобы счета за энергию не превышали 10% расходов домохозяйств, обеспечение перехода к устойчивым и возобновляемым источникам энергии и сокращение потребления энергии на 30%. Меры по достижению Цели 15, реализуемые в рамках Стратегии в области биоразнообразия на 2016–2025 годы, предусматривают</w:t>
      </w:r>
      <w:r w:rsidR="00186C18">
        <w:t>,</w:t>
      </w:r>
      <w:r w:rsidRPr="00B64EDB">
        <w:t xml:space="preserve"> в частности</w:t>
      </w:r>
      <w:r w:rsidR="00186C18">
        <w:t>,</w:t>
      </w:r>
      <w:r w:rsidRPr="00B64EDB">
        <w:t xml:space="preserve"> меры по защите ландшафта от водной и ветровой эрозии и снижение площади сельскохозяйственных земель. </w:t>
      </w:r>
    </w:p>
    <w:p w:rsidR="00997316" w:rsidRPr="00B64EDB" w:rsidRDefault="00997316" w:rsidP="00997316">
      <w:pPr>
        <w:pStyle w:val="SingleTxtG"/>
      </w:pPr>
      <w:r w:rsidRPr="00B64EDB">
        <w:t>19.</w:t>
      </w:r>
      <w:r w:rsidRPr="00B64EDB">
        <w:tab/>
        <w:t>Финляндия использует двоякий подход к реализации Повестки дня на период до 2030 года: она демонстрирует политическое лидерство и приверженность правительства и задействует вс</w:t>
      </w:r>
      <w:r w:rsidR="00E022FF" w:rsidRPr="00B64EDB">
        <w:rPr>
          <w:rStyle w:val="FootnoteReference"/>
          <w:sz w:val="20"/>
          <w:vertAlign w:val="baseline"/>
        </w:rPr>
        <w:t>е</w:t>
      </w:r>
      <w:r w:rsidRPr="00B64EDB">
        <w:t xml:space="preserve"> общество в е</w:t>
      </w:r>
      <w:r w:rsidR="00E022FF" w:rsidRPr="00B64EDB">
        <w:rPr>
          <w:rStyle w:val="FootnoteReference"/>
          <w:sz w:val="20"/>
          <w:vertAlign w:val="baseline"/>
        </w:rPr>
        <w:t>е</w:t>
      </w:r>
      <w:r w:rsidRPr="00B64EDB">
        <w:t xml:space="preserve"> осуществлении за счет партнерства на основе участия. В правительственном Плане осуществления Повестки дня на период до 2030 года, принятом в феврале 2017 года, основное внимание уделяется углеродной нейтральности, эффективному использованию ресурсов, недискриминации, равенству и компетентности. Система мониторинга, состоящая из 40 недавно обновленных национальных показателей устойчивого развития, и онлайновый интерактивный механизм контроля на основе широкого участия позволяют проводить обсуждения с участием многих заинтересованных сторон по вопросам достигнутого прогресса, пробелов и перспектив будущего развития. В поддержку своих действий Финляндия планирует включить элементы устойчивого развития в процесс планирования бюджета на 2019 год. Национальная комиссия по устойчивому развитию, учрежденная в 1993 году, обеспечивает прочную институциональную основу в течение более 25 лет, действующую под руководством премьер-министра. Помимо поощрения общегосударственного подхода, одной из приоритетных задач страны является обеспечение участия всего общества в конкретных действиях и инновациях в интересах устойчивого развития. Эта работа осуществляется в рамках политической стратегии </w:t>
      </w:r>
      <w:r w:rsidR="001F22AE" w:rsidRPr="00B64EDB">
        <w:rPr>
          <w:rStyle w:val="FootnoteReference"/>
          <w:sz w:val="20"/>
          <w:vertAlign w:val="baseline"/>
        </w:rPr>
        <w:t>«</w:t>
      </w:r>
      <w:r w:rsidRPr="00B64EDB">
        <w:t>Приверженность общества устойчивому развитию</w:t>
      </w:r>
      <w:r w:rsidR="001F22AE" w:rsidRPr="00B64EDB">
        <w:rPr>
          <w:rStyle w:val="FootnoteReference"/>
          <w:sz w:val="20"/>
          <w:vertAlign w:val="baseline"/>
        </w:rPr>
        <w:t>»</w:t>
      </w:r>
      <w:r w:rsidRPr="00B64EDB">
        <w:t xml:space="preserve"> для государственной администрации, гражданского общества и других заинтересованных сторон, рассчитанной на период до 2050 года. Эта политическая стратегия уже получила поддержку в виде более 700 обязательств от всех субъектов и на всех уровнях общества в целях реализации концепции процветающей Финляндии в пределах ассимилирующей способности природы.</w:t>
      </w:r>
    </w:p>
    <w:p w:rsidR="00997316" w:rsidRPr="00B64EDB" w:rsidRDefault="00997316" w:rsidP="00997316">
      <w:pPr>
        <w:pStyle w:val="SingleTxtG"/>
      </w:pPr>
      <w:r w:rsidRPr="00B64EDB">
        <w:t>20.</w:t>
      </w:r>
      <w:r w:rsidRPr="00B64EDB">
        <w:tab/>
        <w:t xml:space="preserve">В Казахстане многие планы по достижению шести Целей, подлежащих обзору в 2018 году, опираются на концепцию перехода к </w:t>
      </w:r>
      <w:r w:rsidR="001F22AE" w:rsidRPr="00B64EDB">
        <w:rPr>
          <w:rStyle w:val="FootnoteReference"/>
          <w:sz w:val="20"/>
          <w:vertAlign w:val="baseline"/>
        </w:rPr>
        <w:t>«</w:t>
      </w:r>
      <w:r w:rsidRPr="00B64EDB">
        <w:t>зеленой</w:t>
      </w:r>
      <w:r w:rsidR="001F22AE" w:rsidRPr="00B64EDB">
        <w:rPr>
          <w:rStyle w:val="FootnoteReference"/>
          <w:sz w:val="20"/>
          <w:vertAlign w:val="baseline"/>
        </w:rPr>
        <w:t>»</w:t>
      </w:r>
      <w:r w:rsidRPr="00B64EDB">
        <w:t xml:space="preserve"> экономике. В частности, что касается Цели 6, то в стране достигнут значительный прогресс в обеспечении постоянного доступа к центральному питьевому водоснабжению как в городских, так и сельских районах и повышена эффективность водопользования и продуктивность использования водных ресурсов в сельском хозяйстве, лесоводстве и рыбоводстве. Деятельность по достижению Цели 7 направлена на увеличение доли возобновляемых источников энергии, которая должна достичь 3% к 2</w:t>
      </w:r>
      <w:r w:rsidR="00B64EDB">
        <w:t>020 году, 10% к 2030 году и 30% </w:t>
      </w:r>
      <w:r w:rsidRPr="00B64EDB">
        <w:t xml:space="preserve">к 2050 году. Для достижения Цели 11 осуществляются меры по уменьшению выбросов загрязнителей в воздух и сокращению масштабов сжигания газа, а также экологически эффективные природоохранные меры. Деятельность по достижению Цели 12 включает в себя работу по переходу к </w:t>
      </w:r>
      <w:r w:rsidR="001F22AE" w:rsidRPr="00B64EDB">
        <w:rPr>
          <w:rStyle w:val="FootnoteReference"/>
          <w:sz w:val="20"/>
          <w:vertAlign w:val="baseline"/>
        </w:rPr>
        <w:t>«</w:t>
      </w:r>
      <w:r w:rsidRPr="00B64EDB">
        <w:t>зеленой</w:t>
      </w:r>
      <w:r w:rsidR="001F22AE" w:rsidRPr="00B64EDB">
        <w:rPr>
          <w:rStyle w:val="FootnoteReference"/>
          <w:sz w:val="20"/>
          <w:vertAlign w:val="baseline"/>
        </w:rPr>
        <w:t>»</w:t>
      </w:r>
      <w:r w:rsidRPr="00B64EDB">
        <w:t xml:space="preserve"> экономике, увеличению доли рециркулируемых отходов и поощрению использования экологически чистых транспортных средств. Для достижения Цели 15 разработаны планы сохранения и эффективного регулирования экосистем, рыбных запасов и биологического разнообразия, включая сохранение популяций сайги и снежного барса и </w:t>
      </w:r>
      <w:r w:rsidRPr="00B64EDB">
        <w:lastRenderedPageBreak/>
        <w:t xml:space="preserve">реинтродукцию туранского тигра. Программа партнерства </w:t>
      </w:r>
      <w:r w:rsidR="001F22AE" w:rsidRPr="00B64EDB">
        <w:rPr>
          <w:rStyle w:val="FootnoteReference"/>
          <w:sz w:val="20"/>
          <w:vertAlign w:val="baseline"/>
        </w:rPr>
        <w:t>«</w:t>
      </w:r>
      <w:r w:rsidRPr="00B64EDB">
        <w:t>Зеленый мост</w:t>
      </w:r>
      <w:r w:rsidR="001F22AE" w:rsidRPr="00B64EDB">
        <w:rPr>
          <w:rStyle w:val="FootnoteReference"/>
          <w:sz w:val="20"/>
          <w:vertAlign w:val="baseline"/>
        </w:rPr>
        <w:t>»</w:t>
      </w:r>
      <w:r w:rsidRPr="00B64EDB">
        <w:t xml:space="preserve"> и Международный центр зеленых технологий и инвестиционных проектов оказывают поддержку достижению Цели 17 путем облегчения передачи технологий и разработки и производства технологических решений на местном уровне с уделением особого внимания субрегиону Центральной Азии и соседним странам.</w:t>
      </w:r>
    </w:p>
    <w:p w:rsidR="00997316" w:rsidRPr="00B64EDB" w:rsidRDefault="00997316" w:rsidP="00997316">
      <w:pPr>
        <w:pStyle w:val="SingleTxtG"/>
      </w:pPr>
      <w:r w:rsidRPr="00B64EDB">
        <w:t>21.</w:t>
      </w:r>
      <w:r w:rsidRPr="00B64EDB">
        <w:tab/>
        <w:t>В целях содействия процессу подготовки своего добровольного национального обзора в 2018 году Румыния создала институциональные механизмы в области устойчивого развития, включая департамент по устойчивому развитию при канцелярии премьер-министра и межведомственный комитет по координации интеграции мер по защите окружающей среды в секторальную политику и стратегии, возглавляемый министром окружающей среды. Кроме того, была разработана комплексная матрица, определяющая основные процессы и меры, необходимые для решения каждой задачи Целей в области устойчивого развития. В матрице определены учреждения, ответственные за решение каждой задачи; многосторонние природоохранные соглашения, а также глобальные и региональные стратегии, которые способны содействовать решению соответствующей задачи; существующие и разрабатываемые национальные стратегии в поддержку Повестки дня на период до 2030 года; национальные показатели</w:t>
      </w:r>
      <w:r w:rsidR="003150D5" w:rsidRPr="00B64EDB">
        <w:t xml:space="preserve"> </w:t>
      </w:r>
      <w:r w:rsidRPr="00B64EDB">
        <w:t>и показатели Организации Объединенных Наций для оценки прогресса в решении этих задач; и требуемые финансовые ресурсы и другие средства осуществления. Рабочая группа открытого состава, действующая под эгидой межведомственного комитета, занимается подготовкой добровольного национального обзора на основе данной матрицы. Затем проект будет представлен на утверждение правительству до его представления в секретариат Организации Объединенных Наций.</w:t>
      </w:r>
    </w:p>
    <w:p w:rsidR="00997316" w:rsidRPr="00B64EDB" w:rsidRDefault="00997316" w:rsidP="00997316">
      <w:pPr>
        <w:pStyle w:val="SingleTxtG"/>
      </w:pPr>
      <w:r w:rsidRPr="00B64EDB">
        <w:t>22.</w:t>
      </w:r>
      <w:r w:rsidRPr="00B64EDB">
        <w:tab/>
        <w:t>В Швеции благоприятные стартовые условия для достижения Целей в области устойчивого развития обеспечиваются наличием транспарентных и подотчетных учреждений, давней традицией сотрудничества на национальном и международном уровнях, е</w:t>
      </w:r>
      <w:r w:rsidR="00E022FF" w:rsidRPr="00B64EDB">
        <w:rPr>
          <w:rStyle w:val="FootnoteReference"/>
          <w:sz w:val="20"/>
          <w:vertAlign w:val="baseline"/>
        </w:rPr>
        <w:t>е</w:t>
      </w:r>
      <w:r w:rsidRPr="00B64EDB">
        <w:t xml:space="preserve"> опытом, накопленным в контексте работы на основе комплексного подхода, динамичным и новаторским частным сектором и хорошо организованными социальными партнерами, а также уже осуществляемыми процессами и видами деятельности. Кроме того, эффективным подходом являются создание под руководством правительства национального комитета по Повестке дня на период до 2030 года, играющего консультативную роль, и участие в этой работе всех слоев общества, включая генеральных директоров 40 органов власти и представителей организаций гражданского общества. Был достигнут хороший прогресс в достижении Целей 6, 7, 15 и 17, но при этом сохраняются проблемы с достижением Целей 11 и 12. Последующие шаги включают в себя общий анализ пробелов, выявление вызывающих разногласия вопросов и поиск возможных компромиссов в целях принятия национального плана действий и создания системы поддержки мер по достижению и контролю, в том числе в рамках более широких и новых партнерств. Привлечение молодежи и расширение просветительской и пропагандистской работы рассматриваются в качестве важных предварительных условий обеспечения своевременного осуществления Повестки дня на период до 2030 года.</w:t>
      </w:r>
    </w:p>
    <w:p w:rsidR="00997316" w:rsidRPr="00B64EDB" w:rsidRDefault="00997316" w:rsidP="00997316">
      <w:pPr>
        <w:pStyle w:val="SingleTxtG"/>
      </w:pPr>
      <w:r w:rsidRPr="00B64EDB">
        <w:t>23.</w:t>
      </w:r>
      <w:r w:rsidRPr="00B64EDB">
        <w:tab/>
        <w:t>Затем Комитет заслушал представителей других секторальных комитетов ЕЭК, которые поделились опытом и проблемами, с которыми сталкиваются их комитеты в адаптации своей работы и деятельности в поддержку</w:t>
      </w:r>
      <w:r w:rsidR="0027704F" w:rsidRPr="00B64EDB">
        <w:t xml:space="preserve"> Повестки дня на период до 2030 </w:t>
      </w:r>
      <w:r w:rsidRPr="00B64EDB">
        <w:t xml:space="preserve">года. Комитет по лесам и лесной отрасли принял Варшавскую комплексную программу работы по лесам (2018–2021 годы) с целью согласования своей работы и оказания прямой поддержки осуществлению Повестки дня на период до 2030 года и </w:t>
      </w:r>
      <w:r w:rsidRPr="00E022FF">
        <w:t xml:space="preserve">достижению ее Целей 15, 12, 7 и 13. Комитет по устойчивой энергетике сосредоточил свою деятельность на оказании поддержки странам </w:t>
      </w:r>
      <w:r w:rsidR="0027704F">
        <w:t>в их усилиях по достижению Цели </w:t>
      </w:r>
      <w:r w:rsidRPr="00E022FF">
        <w:t xml:space="preserve">7, с уделением повышенного внимания решению проблемы высокого потребления энергии в регионе, 80% которой приходится на ископаемые виды топлива; модернизации энергетической инфраструктуры; разработке стандартов и норм, например по энергетической эффективности в жилищном секторе; и обеспечению платформы для диалога по вопросам политики. Комитет по инновационной деятельности, конкурентоспособности и государственно-частным партнерствам помогает странам в осуществлении Повестки дня на период до 2030 года </w:t>
      </w:r>
      <w:r w:rsidRPr="00B64EDB">
        <w:lastRenderedPageBreak/>
        <w:t xml:space="preserve">на межсекторальной основе, и в частности достижению Цели 12, посредством стимулирования экономики замкнутого цикла, в том числе путем проведения национальных обзоров инновационной деятельности в интересах устойчивого развития для заинтересованных стран, а также поощрения государственно-частных партнерств на благо людей в интересах реализации инициативы </w:t>
      </w:r>
      <w:r w:rsidR="001F22AE" w:rsidRPr="00B64EDB">
        <w:rPr>
          <w:rStyle w:val="FootnoteReference"/>
          <w:sz w:val="20"/>
          <w:vertAlign w:val="baseline"/>
        </w:rPr>
        <w:t>«</w:t>
      </w:r>
      <w:r w:rsidRPr="00B64EDB">
        <w:t>Пояс и путь</w:t>
      </w:r>
      <w:r w:rsidR="001F22AE" w:rsidRPr="00B64EDB">
        <w:rPr>
          <w:rStyle w:val="FootnoteReference"/>
          <w:sz w:val="20"/>
          <w:vertAlign w:val="baseline"/>
        </w:rPr>
        <w:t>»</w:t>
      </w:r>
      <w:r w:rsidRPr="00B64EDB">
        <w:t xml:space="preserve"> и Целей в области устойчивого развития.</w:t>
      </w:r>
    </w:p>
    <w:p w:rsidR="00997316" w:rsidRPr="00B64EDB" w:rsidRDefault="00997316" w:rsidP="00997316">
      <w:pPr>
        <w:pStyle w:val="SingleTxtG"/>
      </w:pPr>
      <w:r w:rsidRPr="00B64EDB">
        <w:t>24.</w:t>
      </w:r>
      <w:r w:rsidRPr="00B64EDB">
        <w:tab/>
        <w:t>В ходе последовавшего за этим обсуждения делегации задали вопросы и рассмотрели предоставленную информацию.</w:t>
      </w:r>
    </w:p>
    <w:p w:rsidR="00997316" w:rsidRPr="00B64EDB" w:rsidRDefault="00997316" w:rsidP="00997316">
      <w:pPr>
        <w:pStyle w:val="SingleTxtG"/>
      </w:pPr>
      <w:r w:rsidRPr="00B64EDB">
        <w:t>25.</w:t>
      </w:r>
      <w:r w:rsidRPr="00B64EDB">
        <w:tab/>
        <w:t xml:space="preserve">Комитет принял к сведению изменения в деятельности ЕЭК, связанные с Повесткой дня на период до 2030 года. Он приветствовал предоставленную Бельгией, Чехией, Финляндией, Казахстаном, Румынией и Швецией информацию об их опыте определения практических путей и средств формирования подхода к осуществлению на национальном уровне Повестки дня на период до 2030 года и соответствующих Целей устойчивого развития, в частности Целей 6, 7, 11, 12, 15 и 17, с экологических позиций и предложил членам Комитета продолжить такой обмен опытом и передовой практикой по этой теме на его будущих сессиях. </w:t>
      </w:r>
    </w:p>
    <w:p w:rsidR="00997316" w:rsidRPr="00B64EDB" w:rsidRDefault="00997316" w:rsidP="00997316">
      <w:pPr>
        <w:pStyle w:val="SingleTxtG"/>
      </w:pPr>
      <w:r w:rsidRPr="00B64EDB">
        <w:t>26.</w:t>
      </w:r>
      <w:r w:rsidRPr="00B64EDB">
        <w:tab/>
        <w:t>Кроме того, Комитет приветствовал справочный документ, подготовленный Президиумом при поддержке секретариата, содержащий информацию о роли Комитета в поддержке осуществления Повестки дня на период до 2030 года (ECE/CEP/2017/15), постановил продолжить использовать этот документ на своей следующей сессии для активизации обсуждения вопроса о вкладе Комитета в поддержку осуществления Повестки дня на период до 2030 года и:</w:t>
      </w:r>
    </w:p>
    <w:p w:rsidR="00997316" w:rsidRPr="00B64EDB" w:rsidRDefault="00997316" w:rsidP="00997316">
      <w:pPr>
        <w:pStyle w:val="SingleTxtG"/>
      </w:pPr>
      <w:r w:rsidRPr="00B64EDB">
        <w:tab/>
      </w:r>
      <w:r w:rsidRPr="00B64EDB">
        <w:tab/>
        <w:t>а)</w:t>
      </w:r>
      <w:r w:rsidRPr="00B64EDB">
        <w:tab/>
        <w:t>вновь обратился с призывом в полной мере использовать существующие механизмы и процессы, уделяя особое внимание полезности, в рамках имеющихся ресурсов и избегая дублирования усилий;</w:t>
      </w:r>
    </w:p>
    <w:p w:rsidR="00997316" w:rsidRPr="00B64EDB" w:rsidRDefault="00997316" w:rsidP="00997316">
      <w:pPr>
        <w:pStyle w:val="SingleTxtG"/>
      </w:pPr>
      <w:r w:rsidRPr="00B64EDB">
        <w:tab/>
      </w:r>
      <w:r w:rsidRPr="00B64EDB">
        <w:tab/>
        <w:t>b)</w:t>
      </w:r>
      <w:r w:rsidRPr="00B64EDB">
        <w:tab/>
        <w:t>приветствовал начало деятельности, направленной на укрепление сотрудничества с другими секторальными комитетами ЕЭК путем организации специальных обсуждений в целях обмена информацией и опытом, выразил признательность председателям и другим представителям секторальных комитетов ЕЭК, включая Комитет по устойчивой энергетике, Комитет по лесам и лесной отрасли и Комитет по инновационной деятельности, конкурентоспособности и государственно-частным партнерствам, за их сообщения и высоко оценил возможность ознакомиться с деятельностью этих секторальных комитетов по адаптации их работы в поддержку осуществления</w:t>
      </w:r>
      <w:r w:rsidR="0027704F" w:rsidRPr="00B64EDB">
        <w:t xml:space="preserve"> Повестки дня на период до 2030 </w:t>
      </w:r>
      <w:r w:rsidRPr="00B64EDB">
        <w:t xml:space="preserve">года; </w:t>
      </w:r>
    </w:p>
    <w:p w:rsidR="00997316" w:rsidRPr="00B64EDB" w:rsidRDefault="00997316" w:rsidP="00997316">
      <w:pPr>
        <w:pStyle w:val="SingleTxtG"/>
      </w:pPr>
      <w:r w:rsidRPr="00B64EDB">
        <w:tab/>
      </w:r>
      <w:r w:rsidRPr="00B64EDB">
        <w:tab/>
        <w:t>c)</w:t>
      </w:r>
      <w:r w:rsidRPr="00B64EDB">
        <w:tab/>
        <w:t>рекомендовал</w:t>
      </w:r>
      <w:r w:rsidR="00F02593">
        <w:t>,</w:t>
      </w:r>
      <w:r w:rsidRPr="00B64EDB">
        <w:t xml:space="preserve"> чтобы Исполнительный комитет ЕЭК рассмотрел возможность рекомендации другим секторальным комитетам подготовить сравнительный обзор своих мероприятий, которые поддерживают достижение соответствующих Целей в области устойчивого развития и решение их задач, с тем чтобы помочь более информированному и эффективному выявлению возможных областей, в которых сотрудничество между секторальными комитетами ЕЭК может быть активизировано для поддержки усилий стран на комплексной основе в соответствии с Повесткой дня на период до 2030 года.</w:t>
      </w:r>
    </w:p>
    <w:p w:rsidR="00997316" w:rsidRPr="00B64EDB" w:rsidRDefault="00997316" w:rsidP="00997316">
      <w:pPr>
        <w:pStyle w:val="SingleTxtG"/>
      </w:pPr>
      <w:r w:rsidRPr="00B64EDB">
        <w:t>27.</w:t>
      </w:r>
      <w:r w:rsidRPr="00B64EDB">
        <w:tab/>
        <w:t>Что касается Регионального форума ЕЭК по устойчивому развитию, который будет организован в марте 2018 года, то Комитет просил секретариат подготовить в консультации с Президиумом краткую справочную записку по итогам обсуждений, касавшихся Повестки дня на период до 2030 года, состоявшихся на нынешней сессии, и представить е</w:t>
      </w:r>
      <w:r w:rsidR="00E022FF" w:rsidRPr="00B64EDB">
        <w:rPr>
          <w:rStyle w:val="FootnoteReference"/>
          <w:sz w:val="20"/>
          <w:vertAlign w:val="baseline"/>
        </w:rPr>
        <w:t>е</w:t>
      </w:r>
      <w:r w:rsidRPr="00B64EDB">
        <w:t xml:space="preserve"> Региональному форуму. Комитет призвал своих членов и наблюдателей рассмотреть возможность пропаганды ключевых выводов, связанных с Целями в области устойчивого развития, сформулированных по итогам обсуждений, состоявшихся на двадцать третьей сессии Комитета.</w:t>
      </w:r>
    </w:p>
    <w:p w:rsidR="00997316" w:rsidRPr="00E022FF" w:rsidRDefault="003150D5" w:rsidP="00997316">
      <w:pPr>
        <w:pStyle w:val="HChG"/>
      </w:pPr>
      <w:r w:rsidRPr="00E022FF">
        <w:lastRenderedPageBreak/>
        <w:tab/>
      </w:r>
      <w:r w:rsidR="00997316" w:rsidRPr="00E022FF">
        <w:t>IV.</w:t>
      </w:r>
      <w:r w:rsidR="00997316" w:rsidRPr="00E022FF">
        <w:tab/>
      </w:r>
      <w:r w:rsidR="00997316" w:rsidRPr="00E022FF">
        <w:rPr>
          <w:bCs/>
        </w:rPr>
        <w:t>Многосторонние природоохранные соглашения</w:t>
      </w:r>
    </w:p>
    <w:p w:rsidR="00997316" w:rsidRPr="00B64EDB" w:rsidRDefault="00997316" w:rsidP="00997316">
      <w:pPr>
        <w:pStyle w:val="SingleTxtG"/>
      </w:pPr>
      <w:r w:rsidRPr="00B64EDB">
        <w:t>28.</w:t>
      </w:r>
      <w:r w:rsidRPr="00B64EDB">
        <w:tab/>
        <w:t>Открывая дискуссию о многосторонних природоохранных соглашениях ЕЭК, Председатель Комитета по экологической политике приветствовала председателей и заместителей председателей многосторонних природоохранных соглашений ЕЭК и напомнила о том, что на нынешней сессии будет продолжено рассмотрение усилий, предпринимаемых в рамках каждого соглашения с целью определения своей роли в осуществлении Повестки дня на период до 2030 года, с уделением особого внимания достижению Целей в области устойчивого развития 6, 11, 12 и 17.</w:t>
      </w:r>
    </w:p>
    <w:p w:rsidR="00997316" w:rsidRPr="00B64EDB" w:rsidRDefault="00997316" w:rsidP="00997316">
      <w:pPr>
        <w:pStyle w:val="SingleTxtG"/>
      </w:pPr>
      <w:r w:rsidRPr="00B64EDB">
        <w:t>29.</w:t>
      </w:r>
      <w:r w:rsidRPr="00B64EDB">
        <w:tab/>
        <w:t>Председатель Совещания Сторон Конвенции по воздуху подчеркнул вклад Конвенции в достижение по меньшей мере 10 Целей в области устойчивого развития, в частности целей 2,</w:t>
      </w:r>
      <w:r w:rsidR="00F02593">
        <w:t xml:space="preserve"> </w:t>
      </w:r>
      <w:r w:rsidRPr="00B64EDB">
        <w:t>3,</w:t>
      </w:r>
      <w:r w:rsidR="00F02593">
        <w:t xml:space="preserve"> </w:t>
      </w:r>
      <w:r w:rsidRPr="00B64EDB">
        <w:t>7, 9,</w:t>
      </w:r>
      <w:r w:rsidR="00F02593">
        <w:t xml:space="preserve"> </w:t>
      </w:r>
      <w:r w:rsidRPr="00B64EDB">
        <w:t>11,</w:t>
      </w:r>
      <w:r w:rsidR="00F02593">
        <w:t xml:space="preserve"> </w:t>
      </w:r>
      <w:r w:rsidRPr="00B64EDB">
        <w:t>12, 13, 14, 15 и 17. Проект плана работы по Конвенции на 2018–2019 годы отражает связи с соответствующими Целями. Вклад Конвенции в достижение Цели 11 включает в себя установление целевых показателей по ряду загрязнителей, что приведет к улучшению качества воздуха на национальном и городском уровнях, и осуществление Международной совместной программы по воздействию загрязнения воздуха на материалы, включая памятники истории и культуры, которая ведет к уменьшению деградации исторических зданий и памятников в результате загрязнения воздуха. Достижению Цели 12 призваны способствовать установление целевых показателей в отношении выбросов химических веществ и загрязнителей в воздух; оказание научной поддержки, информирование процесса разработки политики и оказание помощи странам в мониторинге прогресса в деле уменьшения загрязнения воздуха в рамках Совместной программы наблюдения и оценки распространения загрязнителей воздуха на большие расстояния в Европе (ЕМЕП); и оценка степени и географических масштабов подкисления поверхностных вод в рамках Международной совместной программы по оценке и мониторингу воздействия загрязнения воздуха на реки и озера. В целом Конвенция способствует достижению соответствующих Целей благодаря уменьшению загрязнения воздуха и, следовательно, также воздействия загрязнения воздуха на другие природные ресурсы, такие как вода.</w:t>
      </w:r>
    </w:p>
    <w:p w:rsidR="00997316" w:rsidRPr="00B64EDB" w:rsidRDefault="00997316" w:rsidP="00997316">
      <w:pPr>
        <w:pStyle w:val="SingleTxtG"/>
      </w:pPr>
      <w:r w:rsidRPr="00B64EDB">
        <w:t>30.</w:t>
      </w:r>
      <w:r w:rsidRPr="00B64EDB">
        <w:tab/>
        <w:t>Председатель Совещания Сторон Конвенции по водам рассказал о вкладе Конвенции в оказание странам помощи в достижении и мониторинге Цели 6 и, в частности задачи 6.5</w:t>
      </w:r>
      <w:r w:rsidR="00F02593">
        <w:t>, обеспечить к 20</w:t>
      </w:r>
      <w:r w:rsidRPr="00B64EDB">
        <w:t xml:space="preserve">30 году комплексное управление водными ресурсами на всех уровнях, в том числе, при необходимости, на основе трансграничного сотрудничества. Конвенция по водам является курирующим учреждением по показателю 6.5.2, касающемуся трансграничного водного сотрудничества, и обеспечивает основу для представления отчетности по данному показателю и его мониторинга как для Сторон, так и государств, не являющихся Сторонами. Уже состоялся первый цикл представления отчетности, в рамках которого 102 из 154 стран, имеющих общие трансграничные воды, представили доклады. Кроме того, благодаря проведению на основе широкого участия оценок системы нексусных взаимосвязей </w:t>
      </w:r>
      <w:r w:rsidR="001F22AE" w:rsidRPr="00B64EDB">
        <w:rPr>
          <w:rStyle w:val="FootnoteReference"/>
          <w:sz w:val="20"/>
          <w:vertAlign w:val="baseline"/>
        </w:rPr>
        <w:t>«</w:t>
      </w:r>
      <w:r w:rsidRPr="00B64EDB">
        <w:t>вода–продовольствие–энергия–экосистемы</w:t>
      </w:r>
      <w:r w:rsidR="001F22AE" w:rsidRPr="00B64EDB">
        <w:rPr>
          <w:rStyle w:val="FootnoteReference"/>
          <w:sz w:val="20"/>
          <w:vertAlign w:val="baseline"/>
        </w:rPr>
        <w:t>»</w:t>
      </w:r>
      <w:r w:rsidRPr="00B64EDB">
        <w:t xml:space="preserve"> в ряде бассейнов Конвенция содействует внедрению межсекторального подхода к достижению Целей в области устойчивого развития. Основные уроки, извлеченные из этих оценок, касаются выгод широкого участия различных секторов в диалоге с целью нахождения баланса между развитием и окружающей средой; необходимости определения вза</w:t>
      </w:r>
      <w:r w:rsidR="00F02593">
        <w:t xml:space="preserve">имных интересов и выгод, таких </w:t>
      </w:r>
      <w:r w:rsidRPr="00B64EDB">
        <w:t>как эффективное водоснабжение и энергетика; и необходимости целенаправленной коммуникации при работе с различными секторами.</w:t>
      </w:r>
    </w:p>
    <w:p w:rsidR="00997316" w:rsidRPr="00E022FF" w:rsidRDefault="00997316" w:rsidP="00997316">
      <w:pPr>
        <w:pStyle w:val="SingleTxtG"/>
      </w:pPr>
      <w:r w:rsidRPr="00B64EDB">
        <w:t>31.</w:t>
      </w:r>
      <w:r w:rsidRPr="00B64EDB">
        <w:tab/>
        <w:t xml:space="preserve">Председатель Конференции Сторон Конвенции о промышленных авариях рассказал о деятельности, способствующей достижению Целей 6, 11, 12 и 17. Совместная группа экспертов по проблемам воды и промышленных аварий, совместно с Конвенцией по водам, подготовила публикацию </w:t>
      </w:r>
      <w:r w:rsidRPr="00B64EDB">
        <w:rPr>
          <w:i/>
          <w:iCs/>
        </w:rPr>
        <w:t xml:space="preserve">Руководящие принципы и надлежащая практика обеспечения эксплуатационной безопасности хвостохранилищ </w:t>
      </w:r>
      <w:r w:rsidRPr="00B64EDB">
        <w:t xml:space="preserve">и в настоящее время занимается разработкой руководящих принципов организации отвода и сбора стоков от пожаротушения, в поддержку решения задачи 6.3, касающейся улучшения качества воды за счет уменьшения </w:t>
      </w:r>
      <w:r w:rsidRPr="00E022FF">
        <w:lastRenderedPageBreak/>
        <w:t>загрязнения и сведения к минимуму выбросо</w:t>
      </w:r>
      <w:r w:rsidR="0027704F">
        <w:t>в опасных химических веществ. В </w:t>
      </w:r>
      <w:r w:rsidRPr="00E022FF">
        <w:t>качестве вклада в достижение Цели 11 (задачи 11.5 и 11.b) совместно с Конвенцией Эспо и Протоколом по стратегической экологической оценке было разработано</w:t>
      </w:r>
      <w:r w:rsidRPr="00E022FF">
        <w:rPr>
          <w:i/>
          <w:iCs/>
        </w:rPr>
        <w:t xml:space="preserve"> Руководство по вопросам планирования землепользования, размещения объектов, на которых осуществляется опасная деятельность, и связанным c ними аспектам безопасности.</w:t>
      </w:r>
      <w:r w:rsidRPr="00E022FF">
        <w:t xml:space="preserve"> Субрегиональные рабочие совещания по регулированию химических веществ и предотвращению промышленных аварий, проведенные в странах Кавказа, Центральной Азии, Восточной и Юго-Восточной Европы, содействовали решению задачи 12.4 Цели 12, а именно</w:t>
      </w:r>
      <w:r w:rsidR="00B64EDB">
        <w:t xml:space="preserve">: </w:t>
      </w:r>
      <w:r w:rsidRPr="00E022FF">
        <w:t>добиться к 2020 году экологически рационального использования химических веществ в соответствии с согласованными международными принципами. В целях расширени</w:t>
      </w:r>
      <w:r w:rsidR="00B64EDB">
        <w:t xml:space="preserve">я сотрудничества по линии </w:t>
      </w:r>
      <w:r w:rsidR="00B64EDB">
        <w:br/>
        <w:t>Север–</w:t>
      </w:r>
      <w:r w:rsidR="0027704F">
        <w:t>Юг, Юг</w:t>
      </w:r>
      <w:r w:rsidR="00B64EDB">
        <w:t>–</w:t>
      </w:r>
      <w:r w:rsidRPr="00E022FF">
        <w:t>Юг, а также трехстороннего регионального и международного сотрудничества (задача 17.6) Конвенция осуществляет партнерство с другими региональными и глобальными субъектами, которое ведет к таким инициативам, как совместный семинар ЕЭК</w:t>
      </w:r>
      <w:r w:rsidR="00B64EDB">
        <w:t>–</w:t>
      </w:r>
      <w:r w:rsidRPr="00E022FF">
        <w:t xml:space="preserve">ОЭСР по стимулированию осуществления Повестки дня на период до 2030 года и Сендайской рамочной программы по снижению риска бедствий (ноябрь 2016 года) и последующие мероприятия. </w:t>
      </w:r>
    </w:p>
    <w:p w:rsidR="00997316" w:rsidRPr="00E022FF" w:rsidRDefault="00997316" w:rsidP="00997316">
      <w:pPr>
        <w:pStyle w:val="SingleTxtG"/>
      </w:pPr>
      <w:r w:rsidRPr="00E022FF">
        <w:t>32.</w:t>
      </w:r>
      <w:r w:rsidRPr="00E022FF">
        <w:tab/>
        <w:t>Заместитель Председателя Совещания Сторон Орхусской конвенции пояснил роль Конвенции в поддержке достижения Целей в области устойчивого развития, отметив, что Цель 16 (мир, правосудие и эффективные учреждения) имеет основополагающее значение для достижения всех Целей. Орхусская Конвенция поощряет транспарентность и всестороннее и эффективное участие общественности в процессе принятия решений по широкому кругу вопросов, оказывающих воздействие на окружающую среду и здоровье человека. Например, в Эстонии электронные средства помогли повысить осведомленность общественности и сделать сложные вопросы, касающиеся национального механизма регулирования цен на воду, понятными для широкой общественности, что содействует выполнению обязательств по Конвенции в отношении доступа к информации, а также поддерживает достижение Цели 6, касающейся водных ресурсов. Эффективное участие общественности в градостроительном планировании и управлении городским хозяйством благодаря созданию онлайнового реестра свалок содействовало достижению Цели 11 на Украине. В Нидерландах участие общественности играет ключевую роль в обеспечении устойчивого потребления и производства согласно Цели 12 и достижению на практике Цели 17, например, путем создания принадлежащей гражданам электрической компании.</w:t>
      </w:r>
    </w:p>
    <w:p w:rsidR="00997316" w:rsidRPr="00E022FF" w:rsidRDefault="00997316" w:rsidP="00997316">
      <w:pPr>
        <w:pStyle w:val="SingleTxtG"/>
      </w:pPr>
      <w:r w:rsidRPr="00E022FF">
        <w:t>33.</w:t>
      </w:r>
      <w:r w:rsidRPr="00E022FF">
        <w:tab/>
        <w:t>Председатель Совещания Сторон Конвенции Эспо и е</w:t>
      </w:r>
      <w:r w:rsidR="00E022FF" w:rsidRPr="00E022FF">
        <w:rPr>
          <w:rStyle w:val="FootnoteReference"/>
          <w:vertAlign w:val="baseline"/>
        </w:rPr>
        <w:t>е</w:t>
      </w:r>
      <w:r w:rsidRPr="00E022FF">
        <w:t xml:space="preserve"> Протокола по стратегической экологической оценке отметил, что в качестве межсекторальных правовых документов оба договора могут содействовать решению задач почти всех Целей в области устойчивого развития. В частности, эти договоры предусматривают учет на раннем этапе экологических и санитарных соображений во всех планах экономического и регионального развития и способствуют расширению международного сотрудничества по этому вопросу. Кроме того, они предусматривают применение подхода, основанного на принципе предосторожности, что позволяет прогнозировать, предотвращать и смягчать ущерб окружающей среде. Более того, эти договоры способствуют приданию процесса принятия решений более инклюзивного, транспарентного и основанного на широком участии характера, требуя проведения органами власти консультаций с общественностью. В Минской декларации, принятой на Совещании Сторон, подчеркивается роль этих международных договоров в деле претворения глобальных обязательств в практические действия на национальном уровне. Кроме того, совместный план работы по этим договорам на </w:t>
      </w:r>
      <w:r w:rsidR="0027704F">
        <w:br/>
      </w:r>
      <w:r w:rsidRPr="00E022FF">
        <w:t>2017–2020 годы предусматривает мероприятия, содействующие достижению Целей в области устойчивого развития: например, разработку руководства по применению стратегической экологической оценки к городскому планированию в качестве вклада в решение задачи 11.3.</w:t>
      </w:r>
    </w:p>
    <w:p w:rsidR="00997316" w:rsidRPr="00E022FF" w:rsidRDefault="00997316" w:rsidP="00997316">
      <w:pPr>
        <w:pStyle w:val="SingleTxtG"/>
      </w:pPr>
      <w:r w:rsidRPr="00E022FF">
        <w:t>34.</w:t>
      </w:r>
      <w:r w:rsidRPr="00E022FF">
        <w:tab/>
        <w:t xml:space="preserve">Председатель Совещания Сторон Протокола о регистрах выбросов и переноса загрязнителей пояснил роль Протокола в обеспечении принятия опирающихся на факты, информированных решений и отслеживании успехов в достижении Целей в области устойчивого развития. Протокол выполняет двоякую роль, в качестве </w:t>
      </w:r>
      <w:r w:rsidRPr="00E022FF">
        <w:lastRenderedPageBreak/>
        <w:t xml:space="preserve">инструмента представления информации и источника данных, связанных с загрязнением, способствуя тем самым предотвращению и сокращению загрязнения благодаря повышению транспарентности и содействуя улучшению экологических характеристик производства и потребления. Он помогает странам осуществлять мониторинг выбросов и переноса загрязнителей во времени; обеспечивает предоставление общественности информации о выбросах загрязнителей и перемещении отходов, заставляет государственные компании сокращать свои выбросы загрязнителей и содействует выявлению более </w:t>
      </w:r>
      <w:r w:rsidR="001F22AE" w:rsidRPr="00E022FF">
        <w:rPr>
          <w:rStyle w:val="FootnoteReference"/>
          <w:vertAlign w:val="baseline"/>
        </w:rPr>
        <w:t>«</w:t>
      </w:r>
      <w:r w:rsidRPr="00E022FF">
        <w:t>умных</w:t>
      </w:r>
      <w:r w:rsidR="001F22AE" w:rsidRPr="00E022FF">
        <w:rPr>
          <w:rStyle w:val="FootnoteReference"/>
          <w:vertAlign w:val="baseline"/>
        </w:rPr>
        <w:t>»</w:t>
      </w:r>
      <w:r w:rsidRPr="00E022FF">
        <w:t xml:space="preserve"> производственных методов; повышает полезность данных регистров выбросов и переноса загрязнителей путем комбинации с другими типами информации, такими как данные о состоянии здоровья, инфраструктуре и демографические и экономические данные; и обеспечивает онлайновый инструмент для директивных органов в целях выявления и расширения масштабов возможных будущих действий. Существуют многочисленные примеры, иллюстрирующие роль Протокола в содействии достижению Целей на практике, в том числе в Европейском союзе (Цель 6), Израиле и Швеции (Цель 11), Норвегии (Цель 12) и Сербии (Цель 17).</w:t>
      </w:r>
    </w:p>
    <w:p w:rsidR="00997316" w:rsidRPr="00E022FF" w:rsidRDefault="00997316" w:rsidP="00997316">
      <w:pPr>
        <w:pStyle w:val="SingleTxtG"/>
      </w:pPr>
      <w:r w:rsidRPr="00E022FF">
        <w:t>35.</w:t>
      </w:r>
      <w:r w:rsidRPr="00E022FF">
        <w:tab/>
        <w:t>Председатель Совещания Сторон Протокола по проблемам воды и здоровья подчеркнул роль Протокола в достижении Целей 6 и 11. Например, в Сербии осуществление Протокола привело к проведению оценки качества воды, которая выявила более низкое качество водоснабжения в сельских районах по сравнению с городскими районами. Страна также провела оценку систем водоснабжения, санитарии и гигиены в школах, которая показала, что, несмотря на наличие достаточного числа таких систем, их техническое обслуживание оставляет желать лучшего. Кроме того, Сербия установила целевые показатели в соответствии с Протоколом по 14 тематическим областям и планирует принять политику в отношении планов безопасного водоснабжения с учетом уроков,</w:t>
      </w:r>
      <w:r w:rsidR="0027704F">
        <w:t xml:space="preserve"> извлеченных из наводнения 2014 </w:t>
      </w:r>
      <w:r w:rsidRPr="00E022FF">
        <w:t xml:space="preserve">года. Кроме того, страна планирует провести оценку равенства доступа к воде и санитарии с использованием Механизма для оценки равного доступа Протокола. </w:t>
      </w:r>
    </w:p>
    <w:p w:rsidR="00997316" w:rsidRPr="00E022FF" w:rsidRDefault="00997316" w:rsidP="00997316">
      <w:pPr>
        <w:pStyle w:val="SingleTxtG"/>
      </w:pPr>
      <w:r w:rsidRPr="00E022FF">
        <w:t>36.</w:t>
      </w:r>
      <w:r w:rsidRPr="00E022FF">
        <w:tab/>
        <w:t>Председатель Совещания Сторон Протокола и секретариат кратко изложили итоги обсуждений, состоявшихся на последнем совещании представителей руководящих органов многосторонних природоохранных соглашений ЕЭК и Комитета по экологической политике, прошедшем 13 ноября 2017 года. Участники обменялись опытом по проблемам и возможностям, связанным с ратификацией и осуществлением соответствующих договоров, с уделением особого внимания Центральной Азии, и обменялись информацией об усилиях по определению роли договоров в осуществлении Повестки дня на период до 2030 года.</w:t>
      </w:r>
    </w:p>
    <w:p w:rsidR="00997316" w:rsidRPr="00E022FF" w:rsidRDefault="00997316" w:rsidP="00997316">
      <w:pPr>
        <w:pStyle w:val="SingleTxtG"/>
      </w:pPr>
      <w:r w:rsidRPr="00E022FF">
        <w:t>37.</w:t>
      </w:r>
      <w:r w:rsidRPr="00E022FF">
        <w:tab/>
        <w:t>Комитет приветствовал интерактивное обсуждение многосторонних природоохранных соглашений ЕЭК, выразил признательность председателям и другим членам президиумов за предоставленные ими материалы, принял к сведению предоставленную информацию в отношении усилий, предпринимавшихся до сих пор в рамках каждого соглашения для определения своей роли в осуществлении Повестки дня на период до 2030 года, с уделением особого внимания Целям 6, 11, 12 и 17 в области устойчивого развития, подлежащим обзору в 2018 году, и:</w:t>
      </w:r>
    </w:p>
    <w:p w:rsidR="00997316" w:rsidRPr="00E022FF" w:rsidRDefault="00997316" w:rsidP="00997316">
      <w:pPr>
        <w:pStyle w:val="SingleTxtG"/>
      </w:pPr>
      <w:r w:rsidRPr="00E022FF">
        <w:tab/>
      </w:r>
      <w:r w:rsidRPr="00E022FF">
        <w:tab/>
        <w:t>а)</w:t>
      </w:r>
      <w:r w:rsidRPr="00E022FF">
        <w:tab/>
        <w:t>признал, что многосторонние природоохранные соглашения ЕЭК обеспечива</w:t>
      </w:r>
      <w:r w:rsidR="00F02593">
        <w:t>ю</w:t>
      </w:r>
      <w:r w:rsidRPr="00E022FF">
        <w:t xml:space="preserve">т полезные рамки для проведения различных видов деятельности в интересах достижения Целей 6, 11, 12 и 17; </w:t>
      </w:r>
    </w:p>
    <w:p w:rsidR="00997316" w:rsidRPr="00E022FF" w:rsidRDefault="00997316" w:rsidP="00997316">
      <w:pPr>
        <w:pStyle w:val="SingleTxtG"/>
      </w:pPr>
      <w:r w:rsidRPr="00E022FF">
        <w:tab/>
      </w:r>
      <w:r w:rsidRPr="00E022FF">
        <w:tab/>
        <w:t>b)</w:t>
      </w:r>
      <w:r w:rsidRPr="00E022FF">
        <w:tab/>
        <w:t>призвал своих членов содействовать транспарентному и основанному на широком участии процессу принятия решений при реализации Повестки дня на период до 2030 года;</w:t>
      </w:r>
    </w:p>
    <w:p w:rsidR="00997316" w:rsidRPr="00E022FF" w:rsidRDefault="00997316" w:rsidP="00997316">
      <w:pPr>
        <w:pStyle w:val="SingleTxtG"/>
      </w:pPr>
      <w:r w:rsidRPr="00E022FF">
        <w:tab/>
      </w:r>
      <w:r w:rsidRPr="00E022FF">
        <w:tab/>
        <w:t>c)</w:t>
      </w:r>
      <w:r w:rsidRPr="00E022FF">
        <w:tab/>
        <w:t>признал, что достижение Целей в области устойчивого развития предполагает расширение сотрудничества между многосторонними природоохранными соглашениями и между многосторонними соглашениями по окружающей среде и Комитетом по экологической политике;</w:t>
      </w:r>
    </w:p>
    <w:p w:rsidR="00997316" w:rsidRPr="00E022FF" w:rsidRDefault="00997316" w:rsidP="00997316">
      <w:pPr>
        <w:pStyle w:val="SingleTxtG"/>
      </w:pPr>
      <w:r w:rsidRPr="00E022FF">
        <w:tab/>
      </w:r>
      <w:r w:rsidRPr="00E022FF">
        <w:tab/>
        <w:t>d)</w:t>
      </w:r>
      <w:r w:rsidRPr="00E022FF">
        <w:tab/>
        <w:t>подчеркнул необходимость изучения путей дальнейшего улучшения сотрудничества и взаимодействия между Комитетом и многосторонними природоохранными соглашениями;</w:t>
      </w:r>
    </w:p>
    <w:p w:rsidR="00997316" w:rsidRPr="00E022FF" w:rsidRDefault="00997316" w:rsidP="00997316">
      <w:pPr>
        <w:pStyle w:val="SingleTxtG"/>
      </w:pPr>
      <w:r w:rsidRPr="00E022FF">
        <w:lastRenderedPageBreak/>
        <w:tab/>
      </w:r>
      <w:r w:rsidRPr="00E022FF">
        <w:tab/>
        <w:t>e)</w:t>
      </w:r>
      <w:r w:rsidRPr="00E022FF">
        <w:tab/>
        <w:t>принял к сведению недавние изменения, произошедшие на неофициальных совместных совещаниях представителей руководящих органов многосторонних природоохранных соглашений ЕЭК</w:t>
      </w:r>
      <w:r w:rsidR="00B64EDB">
        <w:t xml:space="preserve"> и Комитета.</w:t>
      </w:r>
    </w:p>
    <w:p w:rsidR="00997316" w:rsidRPr="0027704F" w:rsidRDefault="003150D5" w:rsidP="0027704F">
      <w:pPr>
        <w:pStyle w:val="HChG"/>
      </w:pPr>
      <w:r w:rsidRPr="00E022FF">
        <w:tab/>
      </w:r>
      <w:r w:rsidR="00997316" w:rsidRPr="0027704F">
        <w:t>V.</w:t>
      </w:r>
      <w:r w:rsidR="00997316" w:rsidRPr="0027704F">
        <w:tab/>
        <w:t xml:space="preserve">Последующие меры в связи с восьмой Конференцией министров </w:t>
      </w:r>
      <w:r w:rsidR="001F22AE" w:rsidRPr="0027704F">
        <w:rPr>
          <w:rStyle w:val="FootnoteReference"/>
          <w:sz w:val="28"/>
          <w:vertAlign w:val="baseline"/>
        </w:rPr>
        <w:t>«</w:t>
      </w:r>
      <w:r w:rsidRPr="0027704F">
        <w:t>Окружающая среда для Европы</w:t>
      </w:r>
      <w:r w:rsidR="001F22AE" w:rsidRPr="0027704F">
        <w:rPr>
          <w:rStyle w:val="FootnoteReference"/>
          <w:sz w:val="28"/>
          <w:vertAlign w:val="baseline"/>
        </w:rPr>
        <w:t>»</w:t>
      </w:r>
      <w:r w:rsidRPr="0027704F">
        <w:t xml:space="preserve"> и </w:t>
      </w:r>
      <w:r w:rsidR="00997316" w:rsidRPr="0027704F">
        <w:t>подготовка среднесрочного обзора основных итогов Конференции</w:t>
      </w:r>
    </w:p>
    <w:p w:rsidR="00997316" w:rsidRPr="00B64EDB" w:rsidRDefault="00997316" w:rsidP="00997316">
      <w:pPr>
        <w:pStyle w:val="SingleTxtG"/>
      </w:pPr>
      <w:r w:rsidRPr="00B64EDB">
        <w:t>38.</w:t>
      </w:r>
      <w:r w:rsidRPr="00B64EDB">
        <w:tab/>
        <w:t xml:space="preserve">Полтора года спустя после принятия обязательств по экологизации экономики и улучшению качества воздуха во всем регионе на восьмой Конференции министров </w:t>
      </w:r>
      <w:r w:rsidR="001F22AE" w:rsidRPr="00B64EDB">
        <w:rPr>
          <w:rStyle w:val="FootnoteReference"/>
          <w:sz w:val="20"/>
          <w:vertAlign w:val="baseline"/>
        </w:rPr>
        <w:t>«</w:t>
      </w:r>
      <w:r w:rsidRPr="00B64EDB">
        <w:t>Окружающая среда для Европы</w:t>
      </w:r>
      <w:r w:rsidR="001F22AE" w:rsidRPr="00B64EDB">
        <w:rPr>
          <w:rStyle w:val="FootnoteReference"/>
          <w:sz w:val="20"/>
          <w:vertAlign w:val="baseline"/>
        </w:rPr>
        <w:t>»</w:t>
      </w:r>
      <w:r w:rsidRPr="00B64EDB">
        <w:t xml:space="preserve"> делегаты обменялись информацией о прогрессе в выполнении этих обязательств и своими мнениями в отношении встреченных проблем. Представители Беларуси, Чехии, Португалии, Швейцарии и Украины, являвшиеся гостями Батумского ток-шоу, ответили на вопросы организаторов ток-шоу и директоров Отдела окружающей среды ЕЭК и Европейского регионального бюро ЮНЕП. Гости особо отметили меры, принятые в целях выполнения добровольных обязательств по Батумской инициативе по </w:t>
      </w:r>
      <w:r w:rsidR="001F22AE" w:rsidRPr="00B64EDB">
        <w:rPr>
          <w:rStyle w:val="FootnoteReference"/>
          <w:sz w:val="20"/>
          <w:vertAlign w:val="baseline"/>
        </w:rPr>
        <w:t>«</w:t>
      </w:r>
      <w:r w:rsidRPr="00B64EDB">
        <w:t>зеленой</w:t>
      </w:r>
      <w:r w:rsidR="001F22AE" w:rsidRPr="00B64EDB">
        <w:rPr>
          <w:rStyle w:val="FootnoteReference"/>
          <w:sz w:val="20"/>
          <w:vertAlign w:val="baseline"/>
        </w:rPr>
        <w:t>»</w:t>
      </w:r>
      <w:r w:rsidRPr="00B64EDB">
        <w:t xml:space="preserve"> экономике и Батумской инициативе по борьбе за чистый воздух. В ходе ток-шоу под названием </w:t>
      </w:r>
      <w:r w:rsidR="001F22AE" w:rsidRPr="00B64EDB">
        <w:rPr>
          <w:rStyle w:val="FootnoteReference"/>
          <w:sz w:val="20"/>
          <w:vertAlign w:val="baseline"/>
        </w:rPr>
        <w:t>«</w:t>
      </w:r>
      <w:r w:rsidRPr="00B64EDB">
        <w:t xml:space="preserve">Количественная оценка достижения целей в области развития благодаря действиям по </w:t>
      </w:r>
      <w:r w:rsidR="001F22AE" w:rsidRPr="00B64EDB">
        <w:rPr>
          <w:rStyle w:val="FootnoteReference"/>
          <w:sz w:val="20"/>
          <w:vertAlign w:val="baseline"/>
        </w:rPr>
        <w:t>«</w:t>
      </w:r>
      <w:r w:rsidRPr="00B64EDB">
        <w:t>зеленой</w:t>
      </w:r>
      <w:r w:rsidR="001F22AE" w:rsidRPr="00B64EDB">
        <w:rPr>
          <w:rStyle w:val="FootnoteReference"/>
          <w:sz w:val="20"/>
          <w:vertAlign w:val="baseline"/>
        </w:rPr>
        <w:t>»</w:t>
      </w:r>
      <w:r w:rsidRPr="00B64EDB">
        <w:t xml:space="preserve"> экономике и борьбе за чистый воздух</w:t>
      </w:r>
      <w:r w:rsidR="001F22AE" w:rsidRPr="00B64EDB">
        <w:rPr>
          <w:rStyle w:val="FootnoteReference"/>
          <w:sz w:val="20"/>
          <w:vertAlign w:val="baseline"/>
        </w:rPr>
        <w:t>»</w:t>
      </w:r>
      <w:r w:rsidRPr="00B64EDB">
        <w:t xml:space="preserve">, представитель Украины объявил о новых мерах в рамках инициативы по </w:t>
      </w:r>
      <w:r w:rsidR="001F22AE" w:rsidRPr="00B64EDB">
        <w:rPr>
          <w:rStyle w:val="FootnoteReference"/>
          <w:sz w:val="20"/>
          <w:vertAlign w:val="baseline"/>
        </w:rPr>
        <w:t>«</w:t>
      </w:r>
      <w:r w:rsidRPr="00B64EDB">
        <w:t>зеленой</w:t>
      </w:r>
      <w:r w:rsidR="001F22AE" w:rsidRPr="00B64EDB">
        <w:rPr>
          <w:rStyle w:val="FootnoteReference"/>
          <w:sz w:val="20"/>
          <w:vertAlign w:val="baseline"/>
        </w:rPr>
        <w:t>»</w:t>
      </w:r>
      <w:r w:rsidRPr="00B64EDB">
        <w:t xml:space="preserve"> экономике. Кроме того, представители Беларуси, Чехии, Португалии и Швейцарии обсудили шаги, которые они предприняли в целях выполнения своих обязательств, взятых в Батуми, и планы в отношении дальнейших действий. В ходе дискуссии были затронуты также вопросы релевантности обязательств для Целей в области устойчивого развития, с уделением особого внимания Целям, подлежащим обзору на глобальном уровне в 2018 году.</w:t>
      </w:r>
    </w:p>
    <w:p w:rsidR="00997316" w:rsidRPr="00B64EDB" w:rsidRDefault="00997316" w:rsidP="00997316">
      <w:pPr>
        <w:pStyle w:val="SingleTxtG"/>
      </w:pPr>
      <w:r w:rsidRPr="00B64EDB">
        <w:t>39.</w:t>
      </w:r>
      <w:r w:rsidRPr="00B64EDB">
        <w:tab/>
        <w:t xml:space="preserve">В ходе ток-шоу было отмечено, что со времени Батумской конференции число участников этих двух инициатив и обязательств по ним увеличилось с принятием новых обязательств </w:t>
      </w:r>
      <w:r w:rsidR="00F02593" w:rsidRPr="00B64EDB">
        <w:t>Казахстаном</w:t>
      </w:r>
      <w:r w:rsidR="00F02593">
        <w:t>,</w:t>
      </w:r>
      <w:r w:rsidR="00F02593" w:rsidRPr="00B64EDB">
        <w:t xml:space="preserve"> </w:t>
      </w:r>
      <w:r w:rsidRPr="00B64EDB">
        <w:t xml:space="preserve">Канадой, </w:t>
      </w:r>
      <w:r w:rsidR="00F02593" w:rsidRPr="00B64EDB">
        <w:t xml:space="preserve">Украиной </w:t>
      </w:r>
      <w:r w:rsidR="00F02593">
        <w:t xml:space="preserve">и </w:t>
      </w:r>
      <w:r w:rsidRPr="00B64EDB">
        <w:t xml:space="preserve">Францией, Европейским региональным бюро ВОЗ и Межгосударственной комиссией по устойчивому развитию Международного фонда спасения Арала. На момент двадцать третьей сессии Комитета 26 стран и 13 организаций присоединились к Батумской инициативе по </w:t>
      </w:r>
      <w:r w:rsidR="001F22AE" w:rsidRPr="00B64EDB">
        <w:rPr>
          <w:rStyle w:val="FootnoteReference"/>
          <w:sz w:val="20"/>
          <w:vertAlign w:val="baseline"/>
        </w:rPr>
        <w:t>«</w:t>
      </w:r>
      <w:r w:rsidRPr="00B64EDB">
        <w:t>зеленой</w:t>
      </w:r>
      <w:r w:rsidR="001F22AE" w:rsidRPr="00B64EDB">
        <w:rPr>
          <w:rStyle w:val="FootnoteReference"/>
          <w:sz w:val="20"/>
          <w:vertAlign w:val="baseline"/>
        </w:rPr>
        <w:t>»</w:t>
      </w:r>
      <w:r w:rsidRPr="00B64EDB">
        <w:t xml:space="preserve"> экономике со 121 обязательством, и 27 стран и 4 организации присоединились к Батумской инициативе по борьбе за чистый воздух со 108 обязательствами. Эти обязательства поддерживают их усилия по созданию более экологичных и более инклюзивных экономических моделей и улучшению качества воздуха. Эти две инициативы остаются открытыми для новых обязательств.</w:t>
      </w:r>
    </w:p>
    <w:p w:rsidR="00997316" w:rsidRPr="00B64EDB" w:rsidRDefault="00997316" w:rsidP="00997316">
      <w:pPr>
        <w:pStyle w:val="SingleTxtG"/>
      </w:pPr>
      <w:r w:rsidRPr="00B64EDB">
        <w:t>40.</w:t>
      </w:r>
      <w:r w:rsidRPr="00B64EDB">
        <w:tab/>
        <w:t>Заместитель Председателя Конвенции по воздуху рассказал о мерах по пропаганде Батумской инициативы по борьбе за чистый воздух, включая пропаганду инициативы на нескольких мероприятиях и регулярное рассмотрение прогресса в выполнении обязательств по данной инициативе в ходе совещаний Рабочей группы по стратегиям и обзору.</w:t>
      </w:r>
    </w:p>
    <w:p w:rsidR="00997316" w:rsidRPr="00B64EDB" w:rsidRDefault="00997316" w:rsidP="00997316">
      <w:pPr>
        <w:pStyle w:val="SingleTxtG"/>
      </w:pPr>
      <w:r w:rsidRPr="00B64EDB">
        <w:t>41.</w:t>
      </w:r>
      <w:r w:rsidRPr="00B64EDB">
        <w:tab/>
        <w:t xml:space="preserve">Представители секретариата ЕЭК и ЮНЕП сообщили о мероприятиях по пропаганде </w:t>
      </w:r>
      <w:r w:rsidR="001F22AE" w:rsidRPr="00B64EDB">
        <w:rPr>
          <w:rStyle w:val="FootnoteReference"/>
          <w:sz w:val="20"/>
          <w:vertAlign w:val="baseline"/>
        </w:rPr>
        <w:t>«</w:t>
      </w:r>
      <w:r w:rsidRPr="00B64EDB">
        <w:t>зеленой</w:t>
      </w:r>
      <w:r w:rsidR="001F22AE" w:rsidRPr="00B64EDB">
        <w:rPr>
          <w:rStyle w:val="FootnoteReference"/>
          <w:sz w:val="20"/>
          <w:vertAlign w:val="baseline"/>
        </w:rPr>
        <w:t>»</w:t>
      </w:r>
      <w:r w:rsidRPr="00B64EDB">
        <w:t xml:space="preserve"> экономики, Панъевропейских стратегических рамок экологизации экономики и Батумской инициативы по </w:t>
      </w:r>
      <w:r w:rsidR="001F22AE" w:rsidRPr="00B64EDB">
        <w:rPr>
          <w:rStyle w:val="FootnoteReference"/>
          <w:sz w:val="20"/>
          <w:vertAlign w:val="baseline"/>
        </w:rPr>
        <w:t>«</w:t>
      </w:r>
      <w:r w:rsidRPr="00B64EDB">
        <w:t>зеленой</w:t>
      </w:r>
      <w:r w:rsidR="001F22AE" w:rsidRPr="00B64EDB">
        <w:rPr>
          <w:rStyle w:val="FootnoteReference"/>
          <w:sz w:val="20"/>
          <w:vertAlign w:val="baseline"/>
        </w:rPr>
        <w:t>»</w:t>
      </w:r>
      <w:r w:rsidRPr="00B64EDB">
        <w:t xml:space="preserve"> экономике. Батумские ток-шоу были организованы на полях шестьдесят сед</w:t>
      </w:r>
      <w:r w:rsidR="00B64EDB">
        <w:t>ьмой сессии ЕЭК 27 </w:t>
      </w:r>
      <w:r w:rsidR="0027704F" w:rsidRPr="00B64EDB">
        <w:t>апреля 2017 </w:t>
      </w:r>
      <w:r w:rsidRPr="00B64EDB">
        <w:t xml:space="preserve">года и в ходе ежегодного совещания Целевой группы Программы по </w:t>
      </w:r>
      <w:r w:rsidR="001F22AE" w:rsidRPr="00B64EDB">
        <w:rPr>
          <w:rStyle w:val="FootnoteReference"/>
          <w:sz w:val="20"/>
          <w:vertAlign w:val="baseline"/>
        </w:rPr>
        <w:t>«</w:t>
      </w:r>
      <w:r w:rsidRPr="00B64EDB">
        <w:t>зеленой</w:t>
      </w:r>
      <w:r w:rsidR="001F22AE" w:rsidRPr="00B64EDB">
        <w:rPr>
          <w:rStyle w:val="FootnoteReference"/>
          <w:sz w:val="20"/>
          <w:vertAlign w:val="baseline"/>
        </w:rPr>
        <w:t>»</w:t>
      </w:r>
      <w:r w:rsidRPr="00B64EDB">
        <w:t xml:space="preserve"> экономике и охране окружающей среды ОЭСР, состоявшегося 26 октября 2017 года в Алматы, Казахстан. Пропаганда Батумской инициативы по </w:t>
      </w:r>
      <w:r w:rsidR="001F22AE" w:rsidRPr="00B64EDB">
        <w:rPr>
          <w:rStyle w:val="FootnoteReference"/>
          <w:sz w:val="20"/>
          <w:vertAlign w:val="baseline"/>
        </w:rPr>
        <w:t>«</w:t>
      </w:r>
      <w:r w:rsidRPr="00B64EDB">
        <w:t>зеленой</w:t>
      </w:r>
      <w:r w:rsidR="001F22AE" w:rsidRPr="00B64EDB">
        <w:rPr>
          <w:rStyle w:val="FootnoteReference"/>
          <w:sz w:val="20"/>
          <w:vertAlign w:val="baseline"/>
        </w:rPr>
        <w:t>»</w:t>
      </w:r>
      <w:r w:rsidRPr="00B64EDB">
        <w:t xml:space="preserve"> экономике велась на Конференции на уровне министров Партнерства за действия в интересах </w:t>
      </w:r>
      <w:r w:rsidR="00F02593">
        <w:t>«</w:t>
      </w:r>
      <w:r w:rsidRPr="00B64EDB">
        <w:t>зеленой</w:t>
      </w:r>
      <w:r w:rsidR="00F02593">
        <w:t>»</w:t>
      </w:r>
      <w:r w:rsidRPr="00B64EDB">
        <w:t xml:space="preserve"> экономики в марте 2017 года, на специальном мероприятии </w:t>
      </w:r>
      <w:r w:rsidR="001F22AE" w:rsidRPr="00B64EDB">
        <w:rPr>
          <w:rStyle w:val="FootnoteReference"/>
          <w:sz w:val="20"/>
          <w:vertAlign w:val="baseline"/>
        </w:rPr>
        <w:t>«</w:t>
      </w:r>
      <w:r w:rsidRPr="00B64EDB">
        <w:t>Партнерский обмен</w:t>
      </w:r>
      <w:r w:rsidR="001F22AE" w:rsidRPr="00B64EDB">
        <w:rPr>
          <w:rStyle w:val="FootnoteReference"/>
          <w:sz w:val="20"/>
          <w:vertAlign w:val="baseline"/>
        </w:rPr>
        <w:t>»</w:t>
      </w:r>
      <w:r w:rsidRPr="00B64EDB">
        <w:t xml:space="preserve"> в ходе политического форума высокого уровня по устойчивому развитию в июле 2017 года и на нескольких других мероприятий высокого уровня в 2017 году. Также в 2017 году ЕЭК и ЮНЕП совместно провели сравнительный обзор деятельности международных организаций в поддержку экологизации экономики в </w:t>
      </w:r>
      <w:r w:rsidRPr="00B64EDB">
        <w:lastRenderedPageBreak/>
        <w:t xml:space="preserve">панъевропейском регионе. Представитель Целевой группы Программы по </w:t>
      </w:r>
      <w:r w:rsidR="001F22AE" w:rsidRPr="00B64EDB">
        <w:rPr>
          <w:rStyle w:val="FootnoteReference"/>
          <w:sz w:val="20"/>
          <w:vertAlign w:val="baseline"/>
        </w:rPr>
        <w:t>«</w:t>
      </w:r>
      <w:r w:rsidRPr="00B64EDB">
        <w:t>зеленой</w:t>
      </w:r>
      <w:r w:rsidR="001F22AE" w:rsidRPr="00B64EDB">
        <w:rPr>
          <w:rStyle w:val="FootnoteReference"/>
          <w:sz w:val="20"/>
          <w:vertAlign w:val="baseline"/>
        </w:rPr>
        <w:t>»</w:t>
      </w:r>
      <w:r w:rsidRPr="00B64EDB">
        <w:t xml:space="preserve"> экономике и охране окружающей среды также представил информацию о работе Целевой группы, уделив особое внимание деятельности в области</w:t>
      </w:r>
      <w:r w:rsidR="0027704F" w:rsidRPr="00B64EDB">
        <w:t xml:space="preserve"> «</w:t>
      </w:r>
      <w:r w:rsidRPr="00B64EDB">
        <w:t>зеленой</w:t>
      </w:r>
      <w:r w:rsidR="0027704F" w:rsidRPr="00B64EDB">
        <w:t>»</w:t>
      </w:r>
      <w:r w:rsidRPr="00B64EDB">
        <w:t xml:space="preserve"> экономики. </w:t>
      </w:r>
    </w:p>
    <w:p w:rsidR="00997316" w:rsidRPr="00B64EDB" w:rsidRDefault="00997316" w:rsidP="00997316">
      <w:pPr>
        <w:pStyle w:val="SingleTxtG"/>
      </w:pPr>
      <w:r w:rsidRPr="00B64EDB">
        <w:t>42.</w:t>
      </w:r>
      <w:r w:rsidRPr="00B64EDB">
        <w:tab/>
        <w:t xml:space="preserve">Председатель проинформировала делегатов о рекомендациях Президиума, сформулированных с учетом уроков, извлеченных из организации восьмой Конференции министров </w:t>
      </w:r>
      <w:r w:rsidR="001F22AE" w:rsidRPr="00B64EDB">
        <w:rPr>
          <w:rStyle w:val="FootnoteReference"/>
          <w:sz w:val="20"/>
          <w:vertAlign w:val="baseline"/>
        </w:rPr>
        <w:t>«</w:t>
      </w:r>
      <w:r w:rsidRPr="00B64EDB">
        <w:t>Окружающая среда для Европы</w:t>
      </w:r>
      <w:r w:rsidR="001F22AE" w:rsidRPr="00B64EDB">
        <w:rPr>
          <w:rStyle w:val="FootnoteReference"/>
          <w:sz w:val="20"/>
          <w:vertAlign w:val="baseline"/>
        </w:rPr>
        <w:t>»</w:t>
      </w:r>
      <w:r w:rsidRPr="00B64EDB">
        <w:t xml:space="preserve">, а секретарь Комитета представил основные результаты проведенного после Конференции опроса. </w:t>
      </w:r>
    </w:p>
    <w:p w:rsidR="00997316" w:rsidRPr="00B64EDB" w:rsidRDefault="00997316" w:rsidP="00997316">
      <w:pPr>
        <w:pStyle w:val="SingleTxtG"/>
      </w:pPr>
      <w:r w:rsidRPr="00B64EDB">
        <w:t>43.</w:t>
      </w:r>
      <w:r w:rsidRPr="00B64EDB">
        <w:tab/>
        <w:t xml:space="preserve">Кроме того, Председатель представила рекомендации Президиума по подготовке среднесрочного обзора основных итогов Батумской конференции, и участники обсудили вопросы подготовки среднесрочного обзора. </w:t>
      </w:r>
    </w:p>
    <w:p w:rsidR="00997316" w:rsidRPr="00B64EDB" w:rsidRDefault="00997316" w:rsidP="00997316">
      <w:pPr>
        <w:pStyle w:val="SingleTxtG"/>
      </w:pPr>
      <w:r w:rsidRPr="00B64EDB">
        <w:t>44.</w:t>
      </w:r>
      <w:r w:rsidRPr="00B64EDB">
        <w:tab/>
        <w:t xml:space="preserve">Комитет принял к сведению документ об уроках, извлеченных из процесса подготовки, организации и проведения Батумской конференции (ECE/CEP/2017/17), и согласился с рекомендацией Президиума подготовить краткий вопросник о степени удовлетворенности, который будет распространяться в последний день работы будущих конференций министров </w:t>
      </w:r>
      <w:r w:rsidR="001F22AE" w:rsidRPr="00B64EDB">
        <w:rPr>
          <w:rStyle w:val="FootnoteReference"/>
          <w:sz w:val="20"/>
          <w:vertAlign w:val="baseline"/>
        </w:rPr>
        <w:t>«</w:t>
      </w:r>
      <w:r w:rsidRPr="00B64EDB">
        <w:t>Окружающая среда для Европы</w:t>
      </w:r>
      <w:r w:rsidR="001F22AE" w:rsidRPr="00B64EDB">
        <w:rPr>
          <w:rStyle w:val="FootnoteReference"/>
          <w:sz w:val="20"/>
          <w:vertAlign w:val="baseline"/>
        </w:rPr>
        <w:t>»</w:t>
      </w:r>
      <w:r w:rsidRPr="00B64EDB">
        <w:t>. Еще один краткий вопросник можно было бы также подготовить, при необходимости, для проведения опроса после среднесрочных обзоров итогов Конференции для определения приоритетов и тем следующей Конференции.</w:t>
      </w:r>
    </w:p>
    <w:p w:rsidR="00997316" w:rsidRPr="00B64EDB" w:rsidRDefault="00997316" w:rsidP="00997316">
      <w:pPr>
        <w:pStyle w:val="SingleTxtG"/>
      </w:pPr>
      <w:r w:rsidRPr="00B64EDB">
        <w:t>45.</w:t>
      </w:r>
      <w:r w:rsidRPr="00B64EDB">
        <w:tab/>
        <w:t>Комитет приветствовал последующие меры по осуществлению основных итогов Батумской конференции и:</w:t>
      </w:r>
    </w:p>
    <w:p w:rsidR="00997316" w:rsidRPr="00B64EDB" w:rsidRDefault="00997316" w:rsidP="00997316">
      <w:pPr>
        <w:pStyle w:val="SingleTxtG"/>
      </w:pPr>
      <w:r w:rsidRPr="00B64EDB">
        <w:tab/>
      </w:r>
      <w:r w:rsidRPr="00B64EDB">
        <w:tab/>
        <w:t>а)</w:t>
      </w:r>
      <w:r w:rsidRPr="00B64EDB">
        <w:tab/>
        <w:t xml:space="preserve">приветствовал также Батумское ток-шоу в качестве эффективного механизма пропаганды Батумской инициативы по </w:t>
      </w:r>
      <w:r w:rsidR="001F22AE" w:rsidRPr="00B64EDB">
        <w:rPr>
          <w:rStyle w:val="FootnoteReference"/>
          <w:sz w:val="20"/>
          <w:vertAlign w:val="baseline"/>
        </w:rPr>
        <w:t>«</w:t>
      </w:r>
      <w:r w:rsidRPr="00B64EDB">
        <w:t>зеленой</w:t>
      </w:r>
      <w:r w:rsidR="001F22AE" w:rsidRPr="00B64EDB">
        <w:rPr>
          <w:rStyle w:val="FootnoteReference"/>
          <w:sz w:val="20"/>
          <w:vertAlign w:val="baseline"/>
        </w:rPr>
        <w:t>»</w:t>
      </w:r>
      <w:r w:rsidRPr="00B64EDB">
        <w:t xml:space="preserve"> экономике (БИЗ-Э) и Батумской инициативы по борьбе за чистый воздух (БАКА) и предложил заинтересованным странам и организациям рассмотреть вопрос об организации Батумского ток-шоу на соответствующих мероприятиях, по мере необходимости;</w:t>
      </w:r>
    </w:p>
    <w:p w:rsidR="00997316" w:rsidRPr="00B64EDB" w:rsidRDefault="00997316" w:rsidP="00997316">
      <w:pPr>
        <w:pStyle w:val="SingleTxtG"/>
      </w:pPr>
      <w:r w:rsidRPr="00B64EDB">
        <w:tab/>
      </w:r>
      <w:r w:rsidRPr="00B64EDB">
        <w:tab/>
        <w:t>b)</w:t>
      </w:r>
      <w:r w:rsidRPr="00B64EDB">
        <w:tab/>
        <w:t xml:space="preserve">выразил признательность Беларуси, </w:t>
      </w:r>
      <w:r w:rsidR="00F02593" w:rsidRPr="00B64EDB">
        <w:t>Португалии</w:t>
      </w:r>
      <w:r w:rsidR="00F02593">
        <w:t>,</w:t>
      </w:r>
      <w:r w:rsidR="00F02593" w:rsidRPr="00B64EDB">
        <w:t xml:space="preserve"> </w:t>
      </w:r>
      <w:r w:rsidR="00F02593">
        <w:t>Чехии,</w:t>
      </w:r>
      <w:r w:rsidR="00F02593" w:rsidRPr="00F02593">
        <w:t xml:space="preserve"> </w:t>
      </w:r>
      <w:r w:rsidR="00F02593" w:rsidRPr="00B64EDB">
        <w:t>Украине</w:t>
      </w:r>
      <w:r w:rsidRPr="00B64EDB">
        <w:t xml:space="preserve"> и </w:t>
      </w:r>
      <w:r w:rsidR="00F02593" w:rsidRPr="00B64EDB">
        <w:t xml:space="preserve">Швейцарии </w:t>
      </w:r>
      <w:r w:rsidRPr="00B64EDB">
        <w:t xml:space="preserve">за участие в Батумском ток-шоу, обмен опытом осуществления их обязательств по Батумским инициативам и объявление новых обязательств; </w:t>
      </w:r>
    </w:p>
    <w:p w:rsidR="00997316" w:rsidRPr="00B64EDB" w:rsidRDefault="00997316" w:rsidP="00997316">
      <w:pPr>
        <w:pStyle w:val="SingleTxtG"/>
      </w:pPr>
      <w:r w:rsidRPr="00B64EDB">
        <w:tab/>
      </w:r>
      <w:r w:rsidRPr="00B64EDB">
        <w:tab/>
        <w:t>c)</w:t>
      </w:r>
      <w:r w:rsidRPr="00B64EDB">
        <w:tab/>
        <w:t>предложил странам и организациям, участвующим в Батумских инициативах, продолжать выполнять свои обязательства и обмениваться опытом и передовой практикой на сессиях Комитета;</w:t>
      </w:r>
      <w:r w:rsidR="003150D5" w:rsidRPr="00B64EDB">
        <w:t xml:space="preserve"> </w:t>
      </w:r>
    </w:p>
    <w:p w:rsidR="00997316" w:rsidRPr="00B64EDB" w:rsidRDefault="00997316" w:rsidP="00997316">
      <w:pPr>
        <w:pStyle w:val="SingleTxtG"/>
      </w:pPr>
      <w:r w:rsidRPr="00B64EDB">
        <w:tab/>
      </w:r>
      <w:r w:rsidRPr="00B64EDB">
        <w:tab/>
        <w:t>d)</w:t>
      </w:r>
      <w:r w:rsidRPr="00B64EDB">
        <w:tab/>
        <w:t xml:space="preserve">приветствовал увеличение числа участников Батумских инициатив и обязательств по ним, с удовлетворением отметив, что со времени проведения последней сессии Комитета Канада и ВОЗ присоединились к Батумской инициативе по борьбе за чистый воздух, а Украина и Межгосударственная комиссия по устойчивому развитию присоединились к Батумской инициативе по </w:t>
      </w:r>
      <w:r w:rsidR="001F22AE" w:rsidRPr="00B64EDB">
        <w:rPr>
          <w:rStyle w:val="FootnoteReference"/>
          <w:sz w:val="20"/>
          <w:vertAlign w:val="baseline"/>
        </w:rPr>
        <w:t>«</w:t>
      </w:r>
      <w:r w:rsidRPr="00B64EDB">
        <w:t>зеленой</w:t>
      </w:r>
      <w:r w:rsidR="001F22AE" w:rsidRPr="00B64EDB">
        <w:rPr>
          <w:rStyle w:val="FootnoteReference"/>
          <w:sz w:val="20"/>
          <w:vertAlign w:val="baseline"/>
        </w:rPr>
        <w:t>»</w:t>
      </w:r>
      <w:r w:rsidRPr="00B64EDB">
        <w:t xml:space="preserve"> экономике, а Казахстан взял новое обязательство по этой инициативе;</w:t>
      </w:r>
    </w:p>
    <w:p w:rsidR="00997316" w:rsidRPr="00B64EDB" w:rsidRDefault="00997316" w:rsidP="00997316">
      <w:pPr>
        <w:pStyle w:val="SingleTxtG"/>
      </w:pPr>
      <w:r w:rsidRPr="00B64EDB">
        <w:tab/>
      </w:r>
      <w:r w:rsidRPr="00B64EDB">
        <w:tab/>
        <w:t>e)</w:t>
      </w:r>
      <w:r w:rsidRPr="00B64EDB">
        <w:tab/>
        <w:t xml:space="preserve">вновь обратился с призывом к странам и организациям рассмотреть вопрос о присоединении к Батумским инициативам и представить дополнительные действия по экологизации экономики и улучшению качества воздуха; </w:t>
      </w:r>
    </w:p>
    <w:p w:rsidR="00997316" w:rsidRPr="00B64EDB" w:rsidRDefault="00997316" w:rsidP="00997316">
      <w:pPr>
        <w:pStyle w:val="SingleTxtG"/>
      </w:pPr>
      <w:r w:rsidRPr="00B64EDB">
        <w:tab/>
      </w:r>
      <w:r w:rsidRPr="00B64EDB">
        <w:tab/>
        <w:t>f)</w:t>
      </w:r>
      <w:r w:rsidRPr="00B64EDB">
        <w:tab/>
        <w:t>приветствовал информацию, предоставленную заместителем Председателя Совещания Сторон Конвенции по воздуху о мерах по пропаганде Батумской инициативы по борьбе за чистый воздух и предложил представителям Конвенции продолжать информировать Комитет по этому вопросу на его следующих сессиях;</w:t>
      </w:r>
    </w:p>
    <w:p w:rsidR="00997316" w:rsidRPr="00E022FF" w:rsidRDefault="00997316" w:rsidP="00997316">
      <w:pPr>
        <w:pStyle w:val="SingleTxtG"/>
      </w:pPr>
      <w:r w:rsidRPr="00B64EDB">
        <w:tab/>
      </w:r>
      <w:r w:rsidRPr="00B64EDB">
        <w:tab/>
        <w:t>g)</w:t>
      </w:r>
      <w:r w:rsidRPr="00B64EDB">
        <w:tab/>
        <w:t xml:space="preserve">приветствовал также информацию, сообщенную представителями ЕЭК и ЮНЕП о мероприятиях по осуществлению Панъевропейских стратегических рамок экологизации экономики, включая пропаганду Батумской инициативы по </w:t>
      </w:r>
      <w:r w:rsidR="001F22AE" w:rsidRPr="00B64EDB">
        <w:rPr>
          <w:rStyle w:val="FootnoteReference"/>
          <w:sz w:val="20"/>
          <w:vertAlign w:val="baseline"/>
        </w:rPr>
        <w:t>«</w:t>
      </w:r>
      <w:r w:rsidRPr="00B64EDB">
        <w:t>зеленой</w:t>
      </w:r>
      <w:r w:rsidR="001F22AE" w:rsidRPr="00B64EDB">
        <w:rPr>
          <w:rStyle w:val="FootnoteReference"/>
          <w:sz w:val="20"/>
          <w:vertAlign w:val="baseline"/>
        </w:rPr>
        <w:t>»</w:t>
      </w:r>
      <w:r w:rsidRPr="00B64EDB">
        <w:t xml:space="preserve"> экономике на национальных, региональных и глобальных совещаниях высокого уровня, и их усилия, направленные на поддержку осуществления данной инициативы</w:t>
      </w:r>
      <w:r w:rsidRPr="00E022FF">
        <w:t>;</w:t>
      </w:r>
    </w:p>
    <w:p w:rsidR="00997316" w:rsidRPr="00B64EDB" w:rsidRDefault="00997316" w:rsidP="00997316">
      <w:pPr>
        <w:pStyle w:val="SingleTxtG"/>
      </w:pPr>
      <w:r w:rsidRPr="00E022FF">
        <w:lastRenderedPageBreak/>
        <w:tab/>
      </w:r>
      <w:r w:rsidRPr="00B64EDB">
        <w:tab/>
        <w:t>h)</w:t>
      </w:r>
      <w:r w:rsidRPr="00B64EDB">
        <w:tab/>
        <w:t xml:space="preserve">подчеркнул в связи с экологизацией экономики важность активного вовлечения в нее частного сектора и других заинтересованных сторон в масштабах всего панъевропейского региона и на глобальном уровне; </w:t>
      </w:r>
    </w:p>
    <w:p w:rsidR="00997316" w:rsidRPr="00B64EDB" w:rsidRDefault="00997316" w:rsidP="00997316">
      <w:pPr>
        <w:pStyle w:val="SingleTxtG"/>
      </w:pPr>
      <w:r w:rsidRPr="00B64EDB">
        <w:tab/>
      </w:r>
      <w:r w:rsidRPr="00B64EDB">
        <w:tab/>
        <w:t>i)</w:t>
      </w:r>
      <w:r w:rsidRPr="00B64EDB">
        <w:tab/>
        <w:t xml:space="preserve">приветствовал информацию, предоставленную базирующимся в ОЭСР секретариатом Целевой группы Программы по </w:t>
      </w:r>
      <w:r w:rsidR="001F22AE" w:rsidRPr="00B64EDB">
        <w:rPr>
          <w:rStyle w:val="FootnoteReference"/>
          <w:sz w:val="20"/>
          <w:vertAlign w:val="baseline"/>
        </w:rPr>
        <w:t>«</w:t>
      </w:r>
      <w:r w:rsidRPr="00B64EDB">
        <w:t>зеленой</w:t>
      </w:r>
      <w:r w:rsidR="001F22AE" w:rsidRPr="00B64EDB">
        <w:rPr>
          <w:rStyle w:val="FootnoteReference"/>
          <w:sz w:val="20"/>
          <w:vertAlign w:val="baseline"/>
        </w:rPr>
        <w:t>»</w:t>
      </w:r>
      <w:r w:rsidRPr="00B64EDB">
        <w:t xml:space="preserve"> экономике и охране окружающей среды, и предложил секретариату Целевой группы регулярно информировать Комитет о дея</w:t>
      </w:r>
      <w:r w:rsidR="00F02593">
        <w:t>тельности данной Целевой группы.</w:t>
      </w:r>
    </w:p>
    <w:p w:rsidR="00997316" w:rsidRPr="00B64EDB" w:rsidRDefault="00997316" w:rsidP="00997316">
      <w:pPr>
        <w:pStyle w:val="SingleTxtG"/>
      </w:pPr>
      <w:r w:rsidRPr="00B64EDB">
        <w:t>46.</w:t>
      </w:r>
      <w:r w:rsidRPr="00B64EDB">
        <w:tab/>
        <w:t>Что касается среднесрочного обзора, то Комитет приветствовал подготовленный Президиумом при поддержке секретариата документ об организации среднесрочного обзора основных итогов Батумской конференции (ECE/CEP/2017/16), утвердил предложенные тематический охват, формат и порядок организации среднесрочного обзора основных итогов Конференци</w:t>
      </w:r>
      <w:r w:rsidR="00397477">
        <w:t>и, изложенные в этом документе, </w:t>
      </w:r>
      <w:r w:rsidRPr="00B64EDB">
        <w:t>и:</w:t>
      </w:r>
    </w:p>
    <w:p w:rsidR="00997316" w:rsidRPr="00B64EDB" w:rsidRDefault="00997316" w:rsidP="00997316">
      <w:pPr>
        <w:pStyle w:val="SingleTxtG"/>
      </w:pPr>
      <w:r w:rsidRPr="00B64EDB">
        <w:tab/>
      </w:r>
      <w:r w:rsidRPr="00B64EDB">
        <w:tab/>
        <w:t>а)</w:t>
      </w:r>
      <w:r w:rsidRPr="00B64EDB">
        <w:tab/>
        <w:t>постановил организовать однодневный среднесрочный обзор основных итогов Батумской конференции в рамках двадцать четвертой сессии Комитета;</w:t>
      </w:r>
    </w:p>
    <w:p w:rsidR="00997316" w:rsidRPr="00B64EDB" w:rsidRDefault="00997316" w:rsidP="00997316">
      <w:pPr>
        <w:pStyle w:val="SingleTxtG"/>
      </w:pPr>
      <w:r w:rsidRPr="00B64EDB">
        <w:tab/>
      </w:r>
      <w:r w:rsidRPr="00B64EDB">
        <w:tab/>
        <w:t>b)</w:t>
      </w:r>
      <w:r w:rsidRPr="00B64EDB">
        <w:tab/>
        <w:t>предложил секретариату ЕЭК в сотрудничестве с соответствующими партнерами приступить к организации среднесрочного обзора, в соответствии с положениями документа ECE/CEP/2017/16, итогами обсуждений Комитета на его нынешней сессии и дальнейшими рекомендациями Президиума в этом отношении;</w:t>
      </w:r>
    </w:p>
    <w:p w:rsidR="00997316" w:rsidRPr="00B64EDB" w:rsidRDefault="00997316" w:rsidP="00997316">
      <w:pPr>
        <w:pStyle w:val="SingleTxtG"/>
      </w:pPr>
      <w:r w:rsidRPr="00B64EDB">
        <w:tab/>
      </w:r>
      <w:r w:rsidRPr="00B64EDB">
        <w:tab/>
        <w:t>c)</w:t>
      </w:r>
      <w:r w:rsidRPr="00B64EDB">
        <w:tab/>
        <w:t>предложил странам и организациям принять активное участие в организации среднесрочного обзора и в самом обзоре;</w:t>
      </w:r>
    </w:p>
    <w:p w:rsidR="00997316" w:rsidRPr="00B64EDB" w:rsidRDefault="00997316" w:rsidP="00997316">
      <w:pPr>
        <w:pStyle w:val="SingleTxtG"/>
      </w:pPr>
      <w:r w:rsidRPr="00B64EDB">
        <w:tab/>
      </w:r>
      <w:r w:rsidRPr="00B64EDB">
        <w:tab/>
        <w:t>d)</w:t>
      </w:r>
      <w:r w:rsidRPr="00B64EDB">
        <w:tab/>
        <w:t>предложил партнерам и заинтересованным сторонам, указанным в документе ECE/CEP/2017/16, приступить к подготовке докладов для среднесрочного обзора, которые должны быть краткими и целенаправленными, но без ущерба для их качества, а также быть подготовлены по установленной типовой форме, включенной в приложение II к этому документу. При необходимости, в приложениях к докладу для среднесрочного обзора может быть представлена дополни</w:t>
      </w:r>
      <w:r w:rsidR="00C43F14">
        <w:t>тельная существенная информация;</w:t>
      </w:r>
    </w:p>
    <w:p w:rsidR="00997316" w:rsidRPr="00B64EDB" w:rsidRDefault="00997316" w:rsidP="00997316">
      <w:pPr>
        <w:pStyle w:val="SingleTxtG"/>
      </w:pPr>
      <w:r w:rsidRPr="00B64EDB">
        <w:tab/>
      </w:r>
      <w:r w:rsidRPr="00B64EDB">
        <w:tab/>
        <w:t>e)</w:t>
      </w:r>
      <w:r w:rsidRPr="00B64EDB">
        <w:tab/>
        <w:t xml:space="preserve">отметил, что диалог и сотрудничество с соответствующими организациями и другими заинтересованными сторонами имеют крайне важное значение для продвижения инициатив Конференции </w:t>
      </w:r>
      <w:r w:rsidR="001F22AE" w:rsidRPr="00B64EDB">
        <w:rPr>
          <w:rStyle w:val="FootnoteReference"/>
          <w:sz w:val="20"/>
          <w:vertAlign w:val="baseline"/>
        </w:rPr>
        <w:t>«</w:t>
      </w:r>
      <w:r w:rsidRPr="00B64EDB">
        <w:t>Окружающая среда для Европы</w:t>
      </w:r>
      <w:r w:rsidR="001F22AE" w:rsidRPr="00B64EDB">
        <w:rPr>
          <w:rStyle w:val="FootnoteReference"/>
          <w:sz w:val="20"/>
          <w:vertAlign w:val="baseline"/>
        </w:rPr>
        <w:t>»</w:t>
      </w:r>
      <w:r w:rsidRPr="00B64EDB">
        <w:t>, призвал предпринять усилия по вовлечению в них широкого круга заинтересованных сторон, включая деловые круги, гражданское общество и других, а также предложил рассмотреть возможность вовлечения в них молодежных организаций;</w:t>
      </w:r>
    </w:p>
    <w:p w:rsidR="00997316" w:rsidRPr="00B64EDB" w:rsidRDefault="00997316" w:rsidP="00997316">
      <w:pPr>
        <w:pStyle w:val="SingleTxtG"/>
      </w:pPr>
      <w:r w:rsidRPr="00B64EDB">
        <w:tab/>
      </w:r>
      <w:r w:rsidRPr="00B64EDB">
        <w:tab/>
        <w:t>f)</w:t>
      </w:r>
      <w:r w:rsidRPr="00B64EDB">
        <w:tab/>
        <w:t>постановил использовать набор различных интерактивных форматов в целях среднесрочного обзора.</w:t>
      </w:r>
    </w:p>
    <w:p w:rsidR="00997316" w:rsidRPr="00E022FF" w:rsidRDefault="003150D5" w:rsidP="00997316">
      <w:pPr>
        <w:pStyle w:val="HChG"/>
      </w:pPr>
      <w:r w:rsidRPr="00E022FF">
        <w:tab/>
      </w:r>
      <w:r w:rsidR="00997316" w:rsidRPr="00E022FF">
        <w:t>VI.</w:t>
      </w:r>
      <w:r w:rsidR="00997316" w:rsidRPr="00E022FF">
        <w:tab/>
      </w:r>
      <w:r w:rsidR="00997316" w:rsidRPr="00E022FF">
        <w:rPr>
          <w:bCs/>
        </w:rPr>
        <w:t>Экологические мониторинг, оценка и отчетность</w:t>
      </w:r>
    </w:p>
    <w:p w:rsidR="00997316" w:rsidRPr="00B64EDB" w:rsidRDefault="00997316" w:rsidP="00997316">
      <w:pPr>
        <w:pStyle w:val="SingleTxtG"/>
      </w:pPr>
      <w:r w:rsidRPr="00B64EDB">
        <w:t>47.</w:t>
      </w:r>
      <w:r w:rsidRPr="00B64EDB">
        <w:tab/>
        <w:t xml:space="preserve">Заместитель Председателя Рабочей группы по мониторингу и оценке окружающей среды рассказал о прогрессе, достигнутом в области мониторинга и оценки в период после сессии Комитета, прошедшей в январе 2017 года. Что касается будущей работы, то руководитель Секции оперативной деятельности и обзора Отдела окружающей среды ЕЭК представил два документа на рассмотрение Комитета: Общий план деятельности Рабочей группы на период до 2021 года (ECE/CEP/2017/13) и Формы и методы работы региональной сети сетей экологической информации и оценки (ECE/CEP/2017/14). Он обратил внимание, в частности, на запланированный среднесрочный обзор прогресса в деле создания Общей системы экологической информации. </w:t>
      </w:r>
    </w:p>
    <w:p w:rsidR="00997316" w:rsidRPr="00B64EDB" w:rsidRDefault="00997316" w:rsidP="00997316">
      <w:pPr>
        <w:pStyle w:val="SingleTxtG"/>
      </w:pPr>
      <w:r w:rsidRPr="00B64EDB">
        <w:t>48.</w:t>
      </w:r>
      <w:r w:rsidRPr="00B64EDB">
        <w:tab/>
        <w:t xml:space="preserve">Делегаты рассмотрели ход работы и предлагаемые будущие мероприятия. Комитет признал необходимость расширения участия стран Европейского союза в деятельности Рабочей группы и выделения адекватных финансовых ресурсов для поддержки работы. Что касается будущей работы, то было высказано мнение о том, </w:t>
      </w:r>
      <w:r w:rsidRPr="00B64EDB">
        <w:lastRenderedPageBreak/>
        <w:t xml:space="preserve">что Рабочая группа могла бы рассмотреть темы </w:t>
      </w:r>
      <w:r w:rsidR="001F22AE" w:rsidRPr="00B64EDB">
        <w:rPr>
          <w:rStyle w:val="FootnoteReference"/>
          <w:sz w:val="20"/>
          <w:vertAlign w:val="baseline"/>
        </w:rPr>
        <w:t>«</w:t>
      </w:r>
      <w:r w:rsidRPr="00B64EDB">
        <w:t xml:space="preserve">Данные для </w:t>
      </w:r>
      <w:r w:rsidR="00F02593">
        <w:t>"</w:t>
      </w:r>
      <w:r w:rsidRPr="00B64EDB">
        <w:t>зеленой</w:t>
      </w:r>
      <w:r w:rsidR="00F02593">
        <w:t>"</w:t>
      </w:r>
      <w:r w:rsidRPr="00B64EDB">
        <w:t xml:space="preserve"> экономики</w:t>
      </w:r>
      <w:r w:rsidR="001F22AE" w:rsidRPr="00B64EDB">
        <w:rPr>
          <w:rStyle w:val="FootnoteReference"/>
          <w:sz w:val="20"/>
          <w:vertAlign w:val="baseline"/>
        </w:rPr>
        <w:t>»</w:t>
      </w:r>
      <w:r w:rsidRPr="00B64EDB">
        <w:t xml:space="preserve"> и </w:t>
      </w:r>
      <w:r w:rsidR="001F22AE" w:rsidRPr="00B64EDB">
        <w:rPr>
          <w:rStyle w:val="FootnoteReference"/>
          <w:sz w:val="20"/>
          <w:vertAlign w:val="baseline"/>
        </w:rPr>
        <w:t>«</w:t>
      </w:r>
      <w:r w:rsidRPr="00B64EDB">
        <w:t>Экологическая составляющая Целей в области устойчивого развития</w:t>
      </w:r>
      <w:r w:rsidR="001F22AE" w:rsidRPr="00B64EDB">
        <w:rPr>
          <w:rStyle w:val="FootnoteReference"/>
          <w:sz w:val="20"/>
          <w:vertAlign w:val="baseline"/>
        </w:rPr>
        <w:t>»</w:t>
      </w:r>
      <w:r w:rsidRPr="00B64EDB">
        <w:t>.</w:t>
      </w:r>
      <w:r w:rsidR="003150D5" w:rsidRPr="00B64EDB">
        <w:t xml:space="preserve"> </w:t>
      </w:r>
    </w:p>
    <w:p w:rsidR="00997316" w:rsidRPr="00B64EDB" w:rsidRDefault="00997316" w:rsidP="00997316">
      <w:pPr>
        <w:pStyle w:val="SingleTxtG"/>
      </w:pPr>
      <w:r w:rsidRPr="00B64EDB">
        <w:t>49.</w:t>
      </w:r>
      <w:r w:rsidRPr="00B64EDB">
        <w:tab/>
        <w:t>Комитет положительно оценил деятельность Рабочей группы и:</w:t>
      </w:r>
    </w:p>
    <w:p w:rsidR="00997316" w:rsidRPr="00B64EDB" w:rsidRDefault="00997316" w:rsidP="00997316">
      <w:pPr>
        <w:pStyle w:val="SingleTxtG"/>
      </w:pPr>
      <w:r w:rsidRPr="00B64EDB">
        <w:tab/>
      </w:r>
      <w:r w:rsidRPr="00B64EDB">
        <w:tab/>
        <w:t>а)</w:t>
      </w:r>
      <w:r w:rsidRPr="00B64EDB">
        <w:tab/>
        <w:t>просил Рабочую группу пересмотреть и оптимизировать общий план е</w:t>
      </w:r>
      <w:r w:rsidR="00E022FF" w:rsidRPr="00B64EDB">
        <w:rPr>
          <w:rStyle w:val="FootnoteReference"/>
          <w:sz w:val="20"/>
          <w:vertAlign w:val="baseline"/>
        </w:rPr>
        <w:t>е</w:t>
      </w:r>
      <w:r w:rsidRPr="00B64EDB">
        <w:t xml:space="preserve"> деятельности на период до 2021 </w:t>
      </w:r>
      <w:r w:rsidR="00F02593">
        <w:t xml:space="preserve">года </w:t>
      </w:r>
      <w:r w:rsidRPr="00B64EDB">
        <w:t>путем включения поддающихся измерению результатов и уделения приоритетного внимания своей основной деятельности в соответствии с имеющимися финансовыми ресурсами;</w:t>
      </w:r>
    </w:p>
    <w:p w:rsidR="00997316" w:rsidRPr="00B64EDB" w:rsidRDefault="00997316" w:rsidP="00997316">
      <w:pPr>
        <w:pStyle w:val="SingleTxtG"/>
      </w:pPr>
      <w:r w:rsidRPr="00B64EDB">
        <w:tab/>
      </w:r>
      <w:r w:rsidRPr="00B64EDB">
        <w:tab/>
        <w:t>b)</w:t>
      </w:r>
      <w:r w:rsidRPr="00B64EDB">
        <w:tab/>
        <w:t>принял к сведению формы и методы работы региональной сети сетей экологической информации и оценки;</w:t>
      </w:r>
    </w:p>
    <w:p w:rsidR="00997316" w:rsidRPr="00B64EDB" w:rsidRDefault="00997316" w:rsidP="00997316">
      <w:pPr>
        <w:pStyle w:val="SingleTxtG"/>
      </w:pPr>
      <w:r w:rsidRPr="00B64EDB">
        <w:tab/>
      </w:r>
      <w:r w:rsidRPr="00B64EDB">
        <w:tab/>
        <w:t>c)</w:t>
      </w:r>
      <w:r w:rsidRPr="00B64EDB">
        <w:tab/>
        <w:t>просил Рабочую группу поощрять и облегчать расширение участия государств-членов, соответствующих организаций и существующих региональных сетей экологической информации и оценки;</w:t>
      </w:r>
    </w:p>
    <w:p w:rsidR="00997316" w:rsidRPr="00B64EDB" w:rsidRDefault="00997316" w:rsidP="00997316">
      <w:pPr>
        <w:pStyle w:val="SingleTxtG"/>
      </w:pPr>
      <w:r w:rsidRPr="00B64EDB">
        <w:tab/>
      </w:r>
      <w:r w:rsidRPr="00B64EDB">
        <w:tab/>
        <w:t>d)</w:t>
      </w:r>
      <w:r w:rsidRPr="00B64EDB">
        <w:tab/>
        <w:t>вновь призвал государства-члены и соответствующие организации принимать активное участие в мероприятиях и совещаниях Рабочей группы и предложил государствам-членам, которые не представлены в Рабочей группе, назначить своих представителей до 1 декабря 2017 года и представить их кандидатуры в секретариат;</w:t>
      </w:r>
    </w:p>
    <w:p w:rsidR="00997316" w:rsidRPr="00B64EDB" w:rsidRDefault="00997316" w:rsidP="00997316">
      <w:pPr>
        <w:pStyle w:val="SingleTxtG"/>
      </w:pPr>
      <w:r w:rsidRPr="00B64EDB">
        <w:tab/>
      </w:r>
      <w:r w:rsidRPr="00B64EDB">
        <w:tab/>
        <w:t>e)</w:t>
      </w:r>
      <w:r w:rsidRPr="00B64EDB">
        <w:tab/>
        <w:t>принял к сведению призыв Рабочей группы к государствам-членам принять активное участие в предоставлении ответов на вопросник, который будет распространен среди членов Комитета и национальных представителей, назначенных для участия в Рабочей группе, с тем чтобы точно оценить достигнутый к настоящему времени прогресс в деле создания Общей системы экологической информации в панъевропейском регионе;</w:t>
      </w:r>
    </w:p>
    <w:p w:rsidR="00997316" w:rsidRPr="00B64EDB" w:rsidRDefault="00997316" w:rsidP="00997316">
      <w:pPr>
        <w:pStyle w:val="SingleTxtG"/>
      </w:pPr>
      <w:r w:rsidRPr="00B64EDB">
        <w:tab/>
      </w:r>
      <w:r w:rsidRPr="00B64EDB">
        <w:tab/>
        <w:t>f)</w:t>
      </w:r>
      <w:r w:rsidRPr="00B64EDB">
        <w:tab/>
        <w:t>согласился с включением дополнительной существенной информации в приложение к краткому докладу по среднесрочному обзору прогресса в деле создания Общей системы экологической информации, в соответствующих случаях.</w:t>
      </w:r>
    </w:p>
    <w:p w:rsidR="00997316" w:rsidRPr="00B64EDB" w:rsidRDefault="00997316" w:rsidP="00997316">
      <w:pPr>
        <w:pStyle w:val="SingleTxtG"/>
      </w:pPr>
      <w:r w:rsidRPr="00B64EDB">
        <w:t>50.</w:t>
      </w:r>
      <w:r w:rsidRPr="00B64EDB">
        <w:tab/>
        <w:t>Затем руководитель Секции оперативной деятельности и обзора представил основные результаты работы Совместной целевой группой по экологической статистике и показателям и предложение Совместной целевой группы относительно е</w:t>
      </w:r>
      <w:r w:rsidR="00E022FF" w:rsidRPr="00B64EDB">
        <w:rPr>
          <w:rStyle w:val="FootnoteReference"/>
          <w:sz w:val="20"/>
          <w:vertAlign w:val="baseline"/>
        </w:rPr>
        <w:t>е</w:t>
      </w:r>
      <w:r w:rsidRPr="00B64EDB">
        <w:t xml:space="preserve"> обновленного мандата и круга ведения (ECE/CEP/2017/12, приложение). Совместная целевая группа особо подчеркнула необходимость:</w:t>
      </w:r>
    </w:p>
    <w:p w:rsidR="00997316" w:rsidRPr="00B64EDB" w:rsidRDefault="00997316" w:rsidP="00997316">
      <w:pPr>
        <w:pStyle w:val="SingleTxtG"/>
      </w:pPr>
      <w:r w:rsidRPr="00B64EDB">
        <w:tab/>
      </w:r>
      <w:r w:rsidRPr="00B64EDB">
        <w:tab/>
        <w:t>а)</w:t>
      </w:r>
      <w:r w:rsidRPr="00B64EDB">
        <w:tab/>
        <w:t>продолжения пересмотра руководящих принципов по экологической статистике и показателям и проведения работы по согласованию данных руководящих принципов с Повесткой дня в области устойчивого развития на период до 2030 года;</w:t>
      </w:r>
    </w:p>
    <w:p w:rsidR="00997316" w:rsidRPr="00B64EDB" w:rsidRDefault="00997316" w:rsidP="00997316">
      <w:pPr>
        <w:pStyle w:val="SingleTxtG"/>
      </w:pPr>
      <w:r w:rsidRPr="00B64EDB">
        <w:tab/>
      </w:r>
      <w:r w:rsidRPr="00B64EDB">
        <w:tab/>
        <w:t>b)</w:t>
      </w:r>
      <w:r w:rsidRPr="00B64EDB">
        <w:tab/>
        <w:t xml:space="preserve">оказания поддержки странам в деле подготовки и использования экологических показателей; </w:t>
      </w:r>
    </w:p>
    <w:p w:rsidR="00997316" w:rsidRPr="00B64EDB" w:rsidRDefault="00997316" w:rsidP="00997316">
      <w:pPr>
        <w:pStyle w:val="SingleTxtG"/>
      </w:pPr>
      <w:r w:rsidRPr="00B64EDB">
        <w:tab/>
      </w:r>
      <w:r w:rsidRPr="00B64EDB">
        <w:tab/>
        <w:t>c)</w:t>
      </w:r>
      <w:r w:rsidRPr="00B64EDB">
        <w:tab/>
        <w:t xml:space="preserve">применения принципов Общей системы экологической информации как к производству, так и распространению экологической информации. </w:t>
      </w:r>
    </w:p>
    <w:p w:rsidR="00997316" w:rsidRPr="00B64EDB" w:rsidRDefault="00997316" w:rsidP="00997316">
      <w:pPr>
        <w:pStyle w:val="SingleTxtG"/>
      </w:pPr>
      <w:r w:rsidRPr="00B64EDB">
        <w:t>51.</w:t>
      </w:r>
      <w:r w:rsidRPr="00B64EDB">
        <w:tab/>
        <w:t xml:space="preserve">Председатель Комитета напомнила делегатам о том, что Бюро Конференции европейских статистиков одобрило обновленный мандат и круг ведения Совместной целевой группы на период 2016–2021 годов. </w:t>
      </w:r>
    </w:p>
    <w:p w:rsidR="00997316" w:rsidRPr="00B64EDB" w:rsidRDefault="00997316" w:rsidP="00997316">
      <w:pPr>
        <w:pStyle w:val="SingleTxtG"/>
      </w:pPr>
      <w:r w:rsidRPr="00B64EDB">
        <w:t>52.</w:t>
      </w:r>
      <w:r w:rsidRPr="00B64EDB">
        <w:tab/>
        <w:t xml:space="preserve">Комитет высоко оценил работу Совместной целевой группы по экологической статистике и показателям и: </w:t>
      </w:r>
    </w:p>
    <w:p w:rsidR="00997316" w:rsidRPr="00B64EDB" w:rsidRDefault="00997316" w:rsidP="00997316">
      <w:pPr>
        <w:pStyle w:val="SingleTxtG"/>
      </w:pPr>
      <w:r w:rsidRPr="00B64EDB">
        <w:tab/>
      </w:r>
      <w:r w:rsidRPr="00B64EDB">
        <w:tab/>
        <w:t>а)</w:t>
      </w:r>
      <w:r w:rsidRPr="00B64EDB">
        <w:tab/>
        <w:t xml:space="preserve">одобрил обновленный мандат и круг ведения Рабочей группы на </w:t>
      </w:r>
      <w:r w:rsidR="0027704F" w:rsidRPr="00B64EDB">
        <w:br/>
      </w:r>
      <w:r w:rsidRPr="00B64EDB">
        <w:t>2018–2021 годы и просил секретариат представить обновленный мандат на утвержден</w:t>
      </w:r>
      <w:r w:rsidR="0027704F" w:rsidRPr="00B64EDB">
        <w:t>ие Исполнительного комитета ЕЭК;</w:t>
      </w:r>
    </w:p>
    <w:p w:rsidR="00997316" w:rsidRPr="00B64EDB" w:rsidRDefault="00997316" w:rsidP="00997316">
      <w:pPr>
        <w:pStyle w:val="SingleTxtG"/>
      </w:pPr>
      <w:r w:rsidRPr="00B64EDB">
        <w:tab/>
      </w:r>
      <w:r w:rsidRPr="00B64EDB">
        <w:tab/>
        <w:t>b)</w:t>
      </w:r>
      <w:r w:rsidRPr="00B64EDB">
        <w:tab/>
        <w:t>принял к сведению запланированное сокращение периодичности совещаний Совместной целевой группы.</w:t>
      </w:r>
    </w:p>
    <w:p w:rsidR="00997316" w:rsidRPr="00E022FF" w:rsidRDefault="00997316" w:rsidP="00997316">
      <w:pPr>
        <w:pStyle w:val="SingleTxtG"/>
      </w:pPr>
      <w:r w:rsidRPr="00B64EDB">
        <w:t>53.</w:t>
      </w:r>
      <w:r w:rsidRPr="00B64EDB">
        <w:tab/>
        <w:t xml:space="preserve">Председатель Комитета напомнила о том, что в апреле 2017 года ЕЭК просила свой секретариат наладить взаимодействие с Европейским региональным комитетом Инициативы Организации Объединенных Наций по глобальному управлению </w:t>
      </w:r>
      <w:r w:rsidRPr="00E022FF">
        <w:lastRenderedPageBreak/>
        <w:t>геопространственной информацией, с тем чтобы лучше понять, каким образом геопространственная информация может дополнять и поддерживать существующие мероприятия ЕЭК, в частности в области обзора прогресса в достижении Целей в области устойчивого развития. Представитель Отдела статистики ЕЭК сообщил о деятельности Отдела, связанной с работой в рамках данной Инициативы Организации Объединенных Наций в Европе и участием в ней ЕЭК. Еще один представитель Отдела статистики рассказал о других связанных с окружающей средой мероприятиях Отдела.</w:t>
      </w:r>
    </w:p>
    <w:p w:rsidR="00997316" w:rsidRPr="00E022FF" w:rsidRDefault="00997316" w:rsidP="00997316">
      <w:pPr>
        <w:pStyle w:val="SingleTxtG"/>
      </w:pPr>
      <w:r w:rsidRPr="00E022FF">
        <w:t>54.</w:t>
      </w:r>
      <w:r w:rsidRPr="00E022FF">
        <w:tab/>
        <w:t>Комитет приветствовал информацию, предоставленную Отделом статистики ЕЭК о конкретных видах деятельности, связанных с экологической статистикой и показателями, и об Инициативе Организации Объединенных Наций по глобальному управлению геопространственной информацией.</w:t>
      </w:r>
    </w:p>
    <w:p w:rsidR="00997316" w:rsidRPr="00E022FF" w:rsidRDefault="00997316" w:rsidP="00997316">
      <w:pPr>
        <w:pStyle w:val="SingleTxtG"/>
      </w:pPr>
      <w:r w:rsidRPr="00E022FF">
        <w:t>55.</w:t>
      </w:r>
      <w:r w:rsidRPr="00E022FF">
        <w:tab/>
        <w:t>Комитет предложил государствам-членам и организациям предоставлять поддержку в натуральной форме и финансовую поддержку для программы мониторинга и оценки окружающей среды и, в частности, поблагодарил Европейское агентство по окружающей среде, Российскую Федерацию и Швейцарию за их финансовую поддержку, а также ЮНЕП и Европейское агентство по окружающей среде – за существенную поддержку программы.</w:t>
      </w:r>
    </w:p>
    <w:p w:rsidR="00997316" w:rsidRPr="00E022FF" w:rsidRDefault="003150D5" w:rsidP="00997316">
      <w:pPr>
        <w:pStyle w:val="HChG"/>
      </w:pPr>
      <w:r w:rsidRPr="00E022FF">
        <w:tab/>
      </w:r>
      <w:r w:rsidR="00997316" w:rsidRPr="00E022FF">
        <w:t>VII.</w:t>
      </w:r>
      <w:r w:rsidR="00997316" w:rsidRPr="00E022FF">
        <w:tab/>
      </w:r>
      <w:r w:rsidR="00997316" w:rsidRPr="00E022FF">
        <w:rPr>
          <w:bCs/>
        </w:rPr>
        <w:t>Обзоры результативности экологической деятельности</w:t>
      </w:r>
      <w:r w:rsidR="00997316" w:rsidRPr="00E022FF">
        <w:t xml:space="preserve"> </w:t>
      </w:r>
    </w:p>
    <w:p w:rsidR="00997316" w:rsidRPr="00B64EDB" w:rsidRDefault="00997316" w:rsidP="00997316">
      <w:pPr>
        <w:pStyle w:val="SingleTxtG"/>
      </w:pPr>
      <w:r w:rsidRPr="00B64EDB">
        <w:t>56.</w:t>
      </w:r>
      <w:r w:rsidRPr="00B64EDB">
        <w:tab/>
        <w:t xml:space="preserve">Секретарь Группы экспертов по обзорам результативности экологической деятельности представил обзор деятельности, </w:t>
      </w:r>
      <w:r w:rsidR="0027704F" w:rsidRPr="00B64EDB">
        <w:t>осуществлявшейся в 2017 году. В </w:t>
      </w:r>
      <w:r w:rsidRPr="00B64EDB">
        <w:t>январе/феврале и марте/апреле 2017 года были проведены обзорные миссии для подготовки третьих обзоров по Албании и Боснии и Герцеговине соответственно. Обзорная миссия в Монголии была проведена в мае 2017 года в тесном сотрудничестве с Экономической и социальной комиссией для Азии и Тихого океана. В охват этих обзоров</w:t>
      </w:r>
      <w:r w:rsidR="00F02593">
        <w:t xml:space="preserve"> впервые</w:t>
      </w:r>
      <w:r w:rsidRPr="00B64EDB">
        <w:t xml:space="preserve"> Группа экспертов включила вопросы достижения Целей в области устойчивого развития. В августе 2017 года третий обзор результативности экологической деятельности Таджикистана был опубликован и представлен в Душанбе. На своем совещании в октябре 2017 года Группа экспертов занималась доработкой трех обзоров, проведенных в 2017 году, и подвела итоги опыта интеграции Целей в области устойчивого развития в охват обзоров.</w:t>
      </w:r>
    </w:p>
    <w:p w:rsidR="00997316" w:rsidRPr="00B64EDB" w:rsidRDefault="00997316" w:rsidP="00997316">
      <w:pPr>
        <w:pStyle w:val="SingleTxtG"/>
      </w:pPr>
      <w:r w:rsidRPr="00B64EDB">
        <w:t>57.</w:t>
      </w:r>
      <w:r w:rsidRPr="00B64EDB">
        <w:tab/>
        <w:t>Представляя запланированные на 2018 год мероприятия, секретарь Группы экспертов указал, что миссии по подготовке третьих обзоров результативности экологической деятельности Казахстана и бывшей югославской Республики Македония будут проведены 27 и 28 ноября 2017 г</w:t>
      </w:r>
      <w:r w:rsidR="000B4508">
        <w:t>ода и 26 и 27 февраля 2018 года</w:t>
      </w:r>
      <w:r w:rsidRPr="00B64EDB">
        <w:t xml:space="preserve"> соответственно. Страновые миссии для подготовки третьих обзоров будут проведены в марте и сентябре 2018 года соответственно. Румыния и Украина являются следующими в очереди на проведение третьих обзоров результативности экологической деятельности. Обзоры Албании, Боснии и Герцеговины и Монголии будут опубликованы в первой половине 2018 года и презентованы во второй половине года.</w:t>
      </w:r>
      <w:r w:rsidR="003150D5" w:rsidRPr="00B64EDB">
        <w:t xml:space="preserve"> </w:t>
      </w:r>
    </w:p>
    <w:p w:rsidR="00997316" w:rsidRPr="00B64EDB" w:rsidRDefault="00997316" w:rsidP="00997316">
      <w:pPr>
        <w:pStyle w:val="SingleTxtG"/>
      </w:pPr>
      <w:r w:rsidRPr="00B64EDB">
        <w:t>58.</w:t>
      </w:r>
      <w:r w:rsidRPr="00B64EDB">
        <w:tab/>
        <w:t>Секретарь сообщил, что в 2017 году будут проведены два субрегиональных рабочих совещания по наращиванию потенциала с учетом потребностей, выявленных в ходе обзоров результативности экологической деятельности: рабочее совещание</w:t>
      </w:r>
      <w:r w:rsidR="003150D5" w:rsidRPr="00B64EDB">
        <w:t xml:space="preserve"> </w:t>
      </w:r>
      <w:r w:rsidRPr="00B64EDB">
        <w:t>для укрепления национального потенциала стран Центральной Азии в деле перехода к ус</w:t>
      </w:r>
      <w:r w:rsidR="00F02593">
        <w:t>тойчивой энергетической политике</w:t>
      </w:r>
      <w:r w:rsidRPr="00B64EDB">
        <w:t xml:space="preserve"> и практике (Астана, ноябрь 2017 года) и рабочее совещание для стран Кавказа, Центральной Азии, Восточной и Юго-Восточной Европы, посвященное переходу к устойчивой транспортной политике и практике (Тбилиси, декабрь 2017 года). В 2018 году проект по укреплению национального потенциала в целях обеспечения основанного на фактологических данных управления природоохранной деятельностью и устойчивой экологической политики в поддержку осуществления Повестки дня на период до 2030 года будет осуществляться в Албании, Боснии и Герцеговине, </w:t>
      </w:r>
      <w:r w:rsidR="00F02593" w:rsidRPr="00B64EDB">
        <w:t>бывшей югославской Республике Македония</w:t>
      </w:r>
      <w:r w:rsidR="00F02593">
        <w:t>,</w:t>
      </w:r>
      <w:r w:rsidR="00F02593" w:rsidRPr="00B64EDB">
        <w:t xml:space="preserve"> Сербии</w:t>
      </w:r>
      <w:r w:rsidR="00F02593">
        <w:t xml:space="preserve"> и</w:t>
      </w:r>
      <w:r w:rsidR="00F02593" w:rsidRPr="00B64EDB">
        <w:t xml:space="preserve"> </w:t>
      </w:r>
      <w:r w:rsidRPr="00B64EDB">
        <w:t xml:space="preserve">Черногории в период с марта 2018 года по декабрь 2021 года в рамках проекта по линии Счета развития Организации Объединенных Наций. </w:t>
      </w:r>
    </w:p>
    <w:p w:rsidR="00997316" w:rsidRPr="00E022FF" w:rsidRDefault="00997316" w:rsidP="00997316">
      <w:pPr>
        <w:pStyle w:val="SingleTxtG"/>
      </w:pPr>
      <w:r w:rsidRPr="00B64EDB">
        <w:lastRenderedPageBreak/>
        <w:t>59.</w:t>
      </w:r>
      <w:r w:rsidRPr="00B64EDB">
        <w:tab/>
        <w:t>Комитет приветствовал представленную информацию о деятельности по Программе обзоров результативности экологической деятельности и выразил свою признательность секретариату за его отличную ра</w:t>
      </w:r>
      <w:r w:rsidR="0027704F" w:rsidRPr="00B64EDB">
        <w:t xml:space="preserve">боту по поддержке Программы. </w:t>
      </w:r>
      <w:r w:rsidR="0027704F">
        <w:t>Он </w:t>
      </w:r>
      <w:r w:rsidRPr="00E022FF">
        <w:t>высоко оценил работу Группы экспертов в 2017 году и предложил делегациям назначить представителей в состав Группы эксперт</w:t>
      </w:r>
      <w:r w:rsidR="0027704F">
        <w:t>ов. Что касается планов на 2018 </w:t>
      </w:r>
      <w:r w:rsidRPr="00E022FF">
        <w:t>год, то Комитет приветствовал начало третьего обзора результативности экологической деятельности Казахстана и просьбы Румынии, бывшей югославской Республики Македония и Украины пройти третьи обзоры результативности экологической деятельности.</w:t>
      </w:r>
    </w:p>
    <w:p w:rsidR="00997316" w:rsidRPr="00E022FF" w:rsidRDefault="00997316" w:rsidP="00997316">
      <w:pPr>
        <w:pStyle w:val="SingleTxtG"/>
      </w:pPr>
      <w:r w:rsidRPr="00E022FF">
        <w:t>60.</w:t>
      </w:r>
      <w:r w:rsidRPr="00E022FF">
        <w:tab/>
        <w:t>Кроме того, Комитет принял к сведению предоставленную секретариатом информацию о мобилизации ресурсов на Программу обзоров результативности экологической деятельности в 2017 год у и, в частности, поблагодарил:</w:t>
      </w:r>
    </w:p>
    <w:p w:rsidR="00997316" w:rsidRPr="00E022FF" w:rsidRDefault="00997316" w:rsidP="00997316">
      <w:pPr>
        <w:pStyle w:val="SingleTxtG"/>
      </w:pPr>
      <w:r w:rsidRPr="00E022FF">
        <w:tab/>
      </w:r>
      <w:r w:rsidRPr="00E022FF">
        <w:tab/>
        <w:t>а)</w:t>
      </w:r>
      <w:r w:rsidRPr="00E022FF">
        <w:tab/>
        <w:t>Германию, Португалию и Швейцарию за их финансовую поддержку;</w:t>
      </w:r>
    </w:p>
    <w:p w:rsidR="00997316" w:rsidRPr="00E022FF" w:rsidRDefault="00997316" w:rsidP="00997316">
      <w:pPr>
        <w:pStyle w:val="SingleTxtG"/>
      </w:pPr>
      <w:r w:rsidRPr="00E022FF">
        <w:tab/>
      </w:r>
      <w:r w:rsidRPr="00E022FF">
        <w:tab/>
        <w:t>b)</w:t>
      </w:r>
      <w:r w:rsidRPr="00E022FF">
        <w:tab/>
      </w:r>
      <w:r w:rsidR="00F02593" w:rsidRPr="00E022FF">
        <w:t>Венгрию,</w:t>
      </w:r>
      <w:r w:rsidR="00F02593">
        <w:t xml:space="preserve"> </w:t>
      </w:r>
      <w:r w:rsidR="00F02593" w:rsidRPr="00E022FF">
        <w:t>Германию,</w:t>
      </w:r>
      <w:r w:rsidR="00F02593">
        <w:t xml:space="preserve"> </w:t>
      </w:r>
      <w:r w:rsidR="00F02593" w:rsidRPr="00E022FF">
        <w:t>Италию,</w:t>
      </w:r>
      <w:r w:rsidR="00F02593">
        <w:t xml:space="preserve"> </w:t>
      </w:r>
      <w:r w:rsidR="00F02593" w:rsidRPr="00E022FF">
        <w:t>Португалию,</w:t>
      </w:r>
      <w:r w:rsidR="00F02593">
        <w:t xml:space="preserve"> </w:t>
      </w:r>
      <w:r w:rsidRPr="00E022FF">
        <w:t xml:space="preserve">Францию, ЮНЕП и ВОЗ за оказание экспертной помощи; </w:t>
      </w:r>
    </w:p>
    <w:p w:rsidR="00997316" w:rsidRPr="00E022FF" w:rsidRDefault="00997316" w:rsidP="00997316">
      <w:pPr>
        <w:pStyle w:val="SingleTxtG"/>
      </w:pPr>
      <w:r w:rsidRPr="00E022FF">
        <w:tab/>
      </w:r>
      <w:r w:rsidRPr="00E022FF">
        <w:tab/>
        <w:t>c)</w:t>
      </w:r>
      <w:r w:rsidRPr="00E022FF">
        <w:tab/>
        <w:t xml:space="preserve">Беларусь, Венгрию, Германию, Грузию, </w:t>
      </w:r>
      <w:r w:rsidR="00F02593">
        <w:t xml:space="preserve">Италию, </w:t>
      </w:r>
      <w:r w:rsidRPr="00E022FF">
        <w:t>Республику Молдова, Румынию, Черногорию, Швейцарию и Эстонию – за направлен</w:t>
      </w:r>
      <w:r w:rsidR="00B64EDB">
        <w:t>ие экспертов в Группу экспертов </w:t>
      </w:r>
      <w:r w:rsidRPr="00E022FF">
        <w:t>ЕЭК по обзорам результативности экологической деятельности;</w:t>
      </w:r>
    </w:p>
    <w:p w:rsidR="00997316" w:rsidRPr="00E022FF" w:rsidRDefault="00997316" w:rsidP="00997316">
      <w:pPr>
        <w:pStyle w:val="SingleTxtG"/>
      </w:pPr>
      <w:r w:rsidRPr="00E022FF">
        <w:tab/>
      </w:r>
      <w:r w:rsidRPr="00E022FF">
        <w:tab/>
        <w:t>d)</w:t>
      </w:r>
      <w:r w:rsidRPr="00E022FF">
        <w:tab/>
        <w:t>Швецию – за организацию учебного курса для секретариата Программы обзоров результативности экологической деятельности;</w:t>
      </w:r>
    </w:p>
    <w:p w:rsidR="00997316" w:rsidRPr="00E022FF" w:rsidRDefault="00997316" w:rsidP="00997316">
      <w:pPr>
        <w:pStyle w:val="SingleTxtG"/>
      </w:pPr>
      <w:r w:rsidRPr="00E022FF">
        <w:tab/>
      </w:r>
      <w:r w:rsidRPr="00E022FF">
        <w:tab/>
        <w:t>e)</w:t>
      </w:r>
      <w:r w:rsidRPr="00E022FF">
        <w:tab/>
        <w:t xml:space="preserve">ПРООН – за организационно-техническую поддержку. </w:t>
      </w:r>
    </w:p>
    <w:p w:rsidR="00997316" w:rsidRPr="00E022FF" w:rsidRDefault="00997316" w:rsidP="00997316">
      <w:pPr>
        <w:pStyle w:val="SingleTxtG"/>
      </w:pPr>
      <w:r w:rsidRPr="00E022FF">
        <w:t>61.</w:t>
      </w:r>
      <w:r w:rsidRPr="00E022FF">
        <w:tab/>
        <w:t>Комитет также высоко оценил тесное сотрудничество с участниками Программы обзоров результативности экологической деятельности со стороны Отделов устойчивой энергетики, по лесам, землепользованию и жилищному хозяйству, статистики и устойчивого транспорта.</w:t>
      </w:r>
    </w:p>
    <w:p w:rsidR="00997316" w:rsidRPr="00E022FF" w:rsidRDefault="00997316" w:rsidP="00997316">
      <w:pPr>
        <w:pStyle w:val="SingleTxtG"/>
      </w:pPr>
      <w:r w:rsidRPr="00E022FF">
        <w:t>62.</w:t>
      </w:r>
      <w:r w:rsidRPr="00E022FF">
        <w:tab/>
        <w:t>Комитет призвал делегации предоставить Программе обзоров результативности экологической деятельности поддержку натурой (экспертную) и финансовую поддержку.</w:t>
      </w:r>
    </w:p>
    <w:p w:rsidR="00997316" w:rsidRPr="00E022FF" w:rsidRDefault="00997316" w:rsidP="00997316">
      <w:pPr>
        <w:pStyle w:val="SingleTxtG"/>
      </w:pPr>
      <w:r w:rsidRPr="00E022FF">
        <w:t>63.</w:t>
      </w:r>
      <w:r w:rsidRPr="00E022FF">
        <w:tab/>
        <w:t xml:space="preserve">После этого Комитет приступил к </w:t>
      </w:r>
      <w:r w:rsidR="001B124C">
        <w:t>коллегиальному</w:t>
      </w:r>
      <w:r w:rsidRPr="00E022FF">
        <w:t xml:space="preserve"> рецензированию обзоров результативности экологической деятельности Албании, Боснии и Герцеговины и Монголии.</w:t>
      </w:r>
    </w:p>
    <w:p w:rsidR="00997316" w:rsidRPr="00E022FF" w:rsidRDefault="00997316" w:rsidP="00997316">
      <w:pPr>
        <w:pStyle w:val="SingleTxtG"/>
      </w:pPr>
      <w:r w:rsidRPr="00E022FF">
        <w:t>64.</w:t>
      </w:r>
      <w:r w:rsidRPr="00E022FF">
        <w:tab/>
        <w:t>Докладчик по обзору (Швейцария) кратко изложил основные выводы и рекомендации по третьему обзору результативности экологической деятельности Монголии, рассмотрение которого Группа эксперт</w:t>
      </w:r>
      <w:r w:rsidR="0027704F">
        <w:t>ов провела 25 и 26 октября 2017 </w:t>
      </w:r>
      <w:r w:rsidRPr="00E022FF">
        <w:t xml:space="preserve">года. Генеральный директор департамента </w:t>
      </w:r>
      <w:r w:rsidR="001F22AE" w:rsidRPr="00E022FF">
        <w:rPr>
          <w:rStyle w:val="FootnoteReference"/>
          <w:vertAlign w:val="baseline"/>
        </w:rPr>
        <w:t>«</w:t>
      </w:r>
      <w:r w:rsidRPr="00E022FF">
        <w:t>зеленой</w:t>
      </w:r>
      <w:r w:rsidR="001F22AE" w:rsidRPr="00E022FF">
        <w:rPr>
          <w:rStyle w:val="FootnoteReference"/>
          <w:vertAlign w:val="baseline"/>
        </w:rPr>
        <w:t>»</w:t>
      </w:r>
      <w:r w:rsidRPr="00E022FF">
        <w:t xml:space="preserve"> политики и планирования министерства охраны окружающей среды и туризма Монголии рассказал о ключевых экологических проблемах страны. После обсуждения обзора Комитет одобрил рекомендации, содержащиеся в третьем обзоре результативности экологической деятельности Монголии (информационный документ № 2).</w:t>
      </w:r>
    </w:p>
    <w:p w:rsidR="00997316" w:rsidRPr="00E022FF" w:rsidRDefault="00997316" w:rsidP="00997316">
      <w:pPr>
        <w:pStyle w:val="SingleTxtG"/>
      </w:pPr>
      <w:r w:rsidRPr="00E022FF">
        <w:t>65.</w:t>
      </w:r>
      <w:r w:rsidRPr="00E022FF">
        <w:tab/>
        <w:t>Докладчик по обзору (Эстония) кратко изложил основные выводы и рекомендации третьего обзора результативности экологической деятельности Албании, рассмотрение которого было проведено Гр</w:t>
      </w:r>
      <w:r w:rsidR="0027704F">
        <w:t>уппой экспертов 23 октября 2017 </w:t>
      </w:r>
      <w:r w:rsidRPr="00E022FF">
        <w:t>года. Заместитель министра туризма и окружающей среды Албании рассказал о ключевых проблемах страны и прогрессе, достигнутом со времени проведения второго обзора в 2011 году. После обсуждения обзора Комитет одобрил рекомендации, содержащиеся в третьем обзоре результативности экологической деятельности Албании (информационный документ № 3).</w:t>
      </w:r>
    </w:p>
    <w:p w:rsidR="00997316" w:rsidRPr="00E022FF" w:rsidRDefault="00997316" w:rsidP="00997316">
      <w:pPr>
        <w:pStyle w:val="SingleTxtG"/>
      </w:pPr>
      <w:r w:rsidRPr="00E022FF">
        <w:t>66.</w:t>
      </w:r>
      <w:r w:rsidRPr="00E022FF">
        <w:tab/>
        <w:t>Докладчик по обзору (Беларусь) кратко изложил основные выводы и рекомендации по третьему обзору результативности экологической деятельности Боснии и Герцеговины, рассмотрение которого Группа экспертов</w:t>
      </w:r>
      <w:r w:rsidR="0027704F">
        <w:t xml:space="preserve"> провела </w:t>
      </w:r>
      <w:r w:rsidR="00B64EDB">
        <w:br/>
      </w:r>
      <w:r w:rsidR="004944BF">
        <w:t>24 и 25</w:t>
      </w:r>
      <w:r w:rsidR="00B64EDB">
        <w:t xml:space="preserve"> </w:t>
      </w:r>
      <w:r w:rsidRPr="00E022FF">
        <w:t xml:space="preserve">октября 2017 года. Руководитель департамента охраны окружающей среды министерства внешней торговли и экономических связей Боснии и Герцеговины поделился с делегатами основными экологическими проблемами, с которыми </w:t>
      </w:r>
      <w:r w:rsidRPr="00E022FF">
        <w:lastRenderedPageBreak/>
        <w:t>сталкивается страна, и рассказал о прогрессе, достигнутом со времени проведения второго обзора в 2010 году. После обсуждения обзора Комитет одобрил рекомендации, содержащиеся в третьем обзоре результативности экологической деятельности Боснии и Герцеговины (информационный документ № 4).</w:t>
      </w:r>
    </w:p>
    <w:p w:rsidR="00997316" w:rsidRPr="00E022FF" w:rsidRDefault="00997316" w:rsidP="00997316">
      <w:pPr>
        <w:pStyle w:val="SingleTxtG"/>
      </w:pPr>
      <w:r w:rsidRPr="00E022FF">
        <w:t>67.</w:t>
      </w:r>
      <w:r w:rsidRPr="00E022FF">
        <w:tab/>
        <w:t xml:space="preserve">Представитель бывшей югославской Республики Македония сообщил об осуществлении 47 рекомендаций, вынесенных по итогам второго обзора. Комитет приветствовал предоставленную информацию об осуществлении рекомендаций, содержащихся во втором обзоре результативности экологической деятельности бывшей югославской Республики Македония, проведенном в 2011 году. </w:t>
      </w:r>
    </w:p>
    <w:p w:rsidR="00997316" w:rsidRPr="00E022FF" w:rsidRDefault="00997316" w:rsidP="00997316">
      <w:pPr>
        <w:pStyle w:val="SingleTxtG"/>
      </w:pPr>
      <w:r w:rsidRPr="00E022FF">
        <w:t>68.</w:t>
      </w:r>
      <w:r w:rsidRPr="00E022FF">
        <w:tab/>
        <w:t xml:space="preserve">Председатель проинформировала Комитет о том, что документ </w:t>
      </w:r>
      <w:r w:rsidR="001F22AE" w:rsidRPr="00E022FF">
        <w:rPr>
          <w:rStyle w:val="FootnoteReference"/>
          <w:vertAlign w:val="baseline"/>
        </w:rPr>
        <w:t>«</w:t>
      </w:r>
      <w:r w:rsidRPr="00E022FF">
        <w:t>Роль обзоров результативности экологической деятельности в оказании поддержки осуществлению и мониторингу целей устойчивого развития в Панъевропейском регионе</w:t>
      </w:r>
      <w:r w:rsidR="001F22AE" w:rsidRPr="00E022FF">
        <w:rPr>
          <w:rStyle w:val="FootnoteReference"/>
          <w:vertAlign w:val="baseline"/>
        </w:rPr>
        <w:t>»</w:t>
      </w:r>
      <w:r w:rsidRPr="00E022FF">
        <w:t>, подготовленный Группой экспертов и одобренный Комитетом на его двадцать второй сессии, был переработан в его окончательный отредактированный вариант (ECE/CEP/2017/11).</w:t>
      </w:r>
    </w:p>
    <w:p w:rsidR="00997316" w:rsidRPr="00E022FF" w:rsidRDefault="00997316" w:rsidP="00997316">
      <w:pPr>
        <w:pStyle w:val="SingleTxtG"/>
      </w:pPr>
      <w:r w:rsidRPr="00E022FF">
        <w:t>69.</w:t>
      </w:r>
      <w:r w:rsidRPr="00E022FF">
        <w:tab/>
        <w:t xml:space="preserve">Представитель Швейцарии представил результаты обсуждения Группой экспертов первого опыта включения Целей в области устойчивого развития в охват трех обзоров, проведенных в 2017 году. </w:t>
      </w:r>
    </w:p>
    <w:p w:rsidR="00997316" w:rsidRPr="00E022FF" w:rsidRDefault="00997316" w:rsidP="00997316">
      <w:pPr>
        <w:pStyle w:val="SingleTxtG"/>
      </w:pPr>
      <w:r w:rsidRPr="00E022FF">
        <w:t>70.</w:t>
      </w:r>
      <w:r w:rsidRPr="00E022FF">
        <w:tab/>
        <w:t>Представитель Канцелярии координатора-резидента Организации Объединенных Наций в Боснии и Герцеговине рассказал об опыте Боснии и Герцеговины в деле информирования государственных служащих и населения в целом и формировании чувства сопричастности к осуществлению Целей в области устойчивого развития.</w:t>
      </w:r>
    </w:p>
    <w:p w:rsidR="00997316" w:rsidRPr="00E022FF" w:rsidRDefault="00997316" w:rsidP="00997316">
      <w:pPr>
        <w:pStyle w:val="SingleTxtG"/>
      </w:pPr>
      <w:r w:rsidRPr="00E022FF">
        <w:t>71.</w:t>
      </w:r>
      <w:r w:rsidRPr="00E022FF">
        <w:tab/>
        <w:t xml:space="preserve">Представители Албании и Монголии прокомментировали опыт своих стран в деле повышения уровня информированности о Целях в области устойчивого развития, связанных с этим проблемах и рекомендациях, предоставленных в их соответствующих обзорах. </w:t>
      </w:r>
    </w:p>
    <w:p w:rsidR="00997316" w:rsidRPr="00E022FF" w:rsidRDefault="00997316" w:rsidP="00997316">
      <w:pPr>
        <w:pStyle w:val="SingleTxtG"/>
      </w:pPr>
      <w:r w:rsidRPr="00E022FF">
        <w:t>72.</w:t>
      </w:r>
      <w:r w:rsidRPr="00E022FF">
        <w:tab/>
        <w:t>Комитет высоко оценил первый опыт включения соответствующих Целей и задач в области устойчивого развития в охват обзоров результативности экологической деятельности, проведенных в 2017 году. Он подчеркнул важность включения соответствующих Целей и задач, насколько это возможно, во все тематические области или главы каждого обзора.</w:t>
      </w:r>
    </w:p>
    <w:p w:rsidR="00997316" w:rsidRPr="00E022FF" w:rsidRDefault="00997316" w:rsidP="00997316">
      <w:pPr>
        <w:pStyle w:val="SingleTxtG"/>
      </w:pPr>
      <w:r w:rsidRPr="00E022FF">
        <w:t>73.</w:t>
      </w:r>
      <w:r w:rsidRPr="00E022FF">
        <w:tab/>
        <w:t>Кроме того, Комитет приветствовал обмен опытом и передовой практикой в области повышения уровня осведомленности по вопросам окружающей среды и устойчивого развития, в частности о Целях в области устойчивого развития, и информирование государственных служащих и населения в целом и:</w:t>
      </w:r>
    </w:p>
    <w:p w:rsidR="00997316" w:rsidRPr="00E022FF" w:rsidRDefault="00997316" w:rsidP="00997316">
      <w:pPr>
        <w:pStyle w:val="SingleTxtG"/>
      </w:pPr>
      <w:r w:rsidRPr="00E022FF">
        <w:tab/>
      </w:r>
      <w:r w:rsidRPr="00E022FF">
        <w:tab/>
        <w:t>а)</w:t>
      </w:r>
      <w:r w:rsidRPr="00E022FF">
        <w:tab/>
        <w:t xml:space="preserve">признал многочисленные проблемы, с которыми сталкиваются страны при повышении уровня осведомленности и привлечении общественности и гражданских служащих к активному участию в работе по достижения Целей в области устойчивого развития; </w:t>
      </w:r>
    </w:p>
    <w:p w:rsidR="00997316" w:rsidRPr="00E022FF" w:rsidRDefault="00997316" w:rsidP="00997316">
      <w:pPr>
        <w:pStyle w:val="SingleTxtG"/>
      </w:pPr>
      <w:r w:rsidRPr="00E022FF">
        <w:tab/>
      </w:r>
      <w:r w:rsidRPr="00E022FF">
        <w:tab/>
        <w:t>b)</w:t>
      </w:r>
      <w:r w:rsidRPr="00E022FF">
        <w:tab/>
        <w:t>признал необходимость обмена опытом и передовой практикой в этой области, в том числе в рамках обзоров результативности экологической деятельности.</w:t>
      </w:r>
    </w:p>
    <w:p w:rsidR="00997316" w:rsidRPr="00E022FF" w:rsidRDefault="003150D5" w:rsidP="00997316">
      <w:pPr>
        <w:pStyle w:val="HChG"/>
      </w:pPr>
      <w:r w:rsidRPr="00E022FF">
        <w:tab/>
      </w:r>
      <w:r w:rsidR="00997316" w:rsidRPr="00E022FF">
        <w:t>VIII.</w:t>
      </w:r>
      <w:r w:rsidR="00997316" w:rsidRPr="00E022FF">
        <w:tab/>
      </w:r>
      <w:r w:rsidR="00997316" w:rsidRPr="00E022FF">
        <w:rPr>
          <w:bCs/>
        </w:rPr>
        <w:t>Межсекторальная деятельность</w:t>
      </w:r>
    </w:p>
    <w:p w:rsidR="00997316" w:rsidRPr="00E022FF" w:rsidRDefault="00997316" w:rsidP="00997316">
      <w:pPr>
        <w:pStyle w:val="SingleTxtG"/>
      </w:pPr>
      <w:r w:rsidRPr="00E022FF">
        <w:t>74.</w:t>
      </w:r>
      <w:r w:rsidRPr="00E022FF">
        <w:tab/>
        <w:t>Комитет был проинформирован о недавних изменениях в рамках ряда направлений текущей межсекторальной деятельности, осуществляемой под руководством ЕЭК или в партнерстве с другими организациями.</w:t>
      </w:r>
    </w:p>
    <w:p w:rsidR="00997316" w:rsidRPr="00E022FF" w:rsidRDefault="003150D5" w:rsidP="00997316">
      <w:pPr>
        <w:pStyle w:val="H1G"/>
      </w:pPr>
      <w:r w:rsidRPr="00E022FF">
        <w:tab/>
      </w:r>
      <w:r w:rsidR="00997316" w:rsidRPr="00E022FF">
        <w:t>A.</w:t>
      </w:r>
      <w:r w:rsidR="00997316" w:rsidRPr="00E022FF">
        <w:tab/>
      </w:r>
      <w:r w:rsidR="00997316" w:rsidRPr="00E022FF">
        <w:rPr>
          <w:bCs/>
        </w:rPr>
        <w:t>Образование в интересах устойчивого развития</w:t>
      </w:r>
    </w:p>
    <w:p w:rsidR="00997316" w:rsidRPr="00C34185" w:rsidRDefault="00997316" w:rsidP="00997316">
      <w:pPr>
        <w:pStyle w:val="SingleTxtG"/>
      </w:pPr>
      <w:r w:rsidRPr="00E022FF">
        <w:t>75.</w:t>
      </w:r>
      <w:r w:rsidRPr="00E022FF">
        <w:tab/>
        <w:t xml:space="preserve">Секретарь Комитета представил информацию об изменениях в деятельности по осуществлению Стратегии ЕЭК для образования в интересах устойчивого развития. </w:t>
      </w:r>
      <w:r w:rsidRPr="00C34185">
        <w:lastRenderedPageBreak/>
        <w:t>В</w:t>
      </w:r>
      <w:r w:rsidR="00B64EDB" w:rsidRPr="00C34185">
        <w:t> </w:t>
      </w:r>
      <w:r w:rsidRPr="00C34185">
        <w:t xml:space="preserve">2017 году работа по Стратегии была сосредоточена на осуществлении решений Совещания высокого уровня представителей министерств окружающей среды и образования, состоявшегося в 2016 году в рамках Батумской конференции. </w:t>
      </w:r>
    </w:p>
    <w:p w:rsidR="00997316" w:rsidRPr="00C34185" w:rsidRDefault="00997316" w:rsidP="00997316">
      <w:pPr>
        <w:pStyle w:val="SingleTxtG"/>
      </w:pPr>
      <w:r w:rsidRPr="00C34185">
        <w:t>76.</w:t>
      </w:r>
      <w:r w:rsidRPr="00C34185">
        <w:tab/>
        <w:t>Комитет принял к сведению предоставленную информацию о работе по Стратегии ЕЭК для образования в интересах устойчивого развития, отметив при этом сложное положение с мобилизацией добровольных взносов в объеме, достаточном для того, чтобы можно было обеспечить дальнейшее функционирование региональный межправительственной платформы и осуществление другой деятельности по обмену опытом и передовой практикой с целью продвижения образования в интересах устойчивого развития во всем регионе.</w:t>
      </w:r>
    </w:p>
    <w:p w:rsidR="00997316" w:rsidRPr="00E022FF" w:rsidRDefault="003150D5" w:rsidP="00997316">
      <w:pPr>
        <w:pStyle w:val="H1G"/>
      </w:pPr>
      <w:r w:rsidRPr="00E022FF">
        <w:tab/>
      </w:r>
      <w:r w:rsidR="00997316" w:rsidRPr="00E022FF">
        <w:t>B.</w:t>
      </w:r>
      <w:r w:rsidR="00997316" w:rsidRPr="00E022FF">
        <w:tab/>
      </w:r>
      <w:r w:rsidR="00997316" w:rsidRPr="00E022FF">
        <w:rPr>
          <w:bCs/>
        </w:rPr>
        <w:t>Общеевропейская программа по</w:t>
      </w:r>
      <w:r w:rsidR="000A178A">
        <w:rPr>
          <w:bCs/>
        </w:rPr>
        <w:t xml:space="preserve"> транспорту, окружающей среде и </w:t>
      </w:r>
      <w:r w:rsidR="00997316" w:rsidRPr="00E022FF">
        <w:rPr>
          <w:bCs/>
        </w:rPr>
        <w:t>охране здоровья</w:t>
      </w:r>
    </w:p>
    <w:p w:rsidR="00997316" w:rsidRPr="00C34185" w:rsidRDefault="00997316" w:rsidP="00997316">
      <w:pPr>
        <w:pStyle w:val="SingleTxtG"/>
      </w:pPr>
      <w:r w:rsidRPr="00C34185">
        <w:t>77.</w:t>
      </w:r>
      <w:r w:rsidRPr="00C34185">
        <w:tab/>
        <w:t xml:space="preserve">Заместитель Председателя (Австрия) Общеевропейской программы по транспорту, окружающей среде и охране здоровья (ОПТОСОЗ) проинформировал делегатов о событиях, произошедших после двадцать второй сессии Комитета. Деятельность была сосредоточена на подготовке Совещания высокого уровня ОПТОСОЗ осенью 2019 года, а также на содействии интеграции секторов транспорта, охраны здоровья и окружающей среды с помощью симпозиумов, рабочих совещаний, </w:t>
      </w:r>
      <w:r w:rsidR="001F22AE" w:rsidRPr="00C34185">
        <w:rPr>
          <w:rStyle w:val="FootnoteReference"/>
          <w:sz w:val="20"/>
          <w:vertAlign w:val="baseline"/>
        </w:rPr>
        <w:t>«</w:t>
      </w:r>
      <w:r w:rsidRPr="00C34185">
        <w:t>эстафет</w:t>
      </w:r>
      <w:r w:rsidR="001F22AE" w:rsidRPr="00C34185">
        <w:rPr>
          <w:rStyle w:val="FootnoteReference"/>
          <w:sz w:val="20"/>
          <w:vertAlign w:val="baseline"/>
        </w:rPr>
        <w:t>»</w:t>
      </w:r>
      <w:r w:rsidRPr="00C34185">
        <w:t xml:space="preserve"> и параллельных мероприятий</w:t>
      </w:r>
      <w:r w:rsidR="00B64EDB" w:rsidRPr="00C34185">
        <w:rPr>
          <w:rStyle w:val="FootnoteReference"/>
          <w:sz w:val="20"/>
        </w:rPr>
        <w:footnoteReference w:id="2"/>
      </w:r>
      <w:r w:rsidRPr="00C34185">
        <w:t>.</w:t>
      </w:r>
      <w:r w:rsidR="003150D5" w:rsidRPr="00C34185">
        <w:t xml:space="preserve"> </w:t>
      </w:r>
    </w:p>
    <w:p w:rsidR="00997316" w:rsidRPr="00C34185" w:rsidRDefault="00997316" w:rsidP="00997316">
      <w:pPr>
        <w:pStyle w:val="SingleTxtG"/>
      </w:pPr>
      <w:r w:rsidRPr="00C34185">
        <w:t>78.</w:t>
      </w:r>
      <w:r w:rsidRPr="00C34185">
        <w:tab/>
        <w:t xml:space="preserve">Комитет приветствовал предоставленную информацию и прогресс в работе по линии ОПТОСОЗ. </w:t>
      </w:r>
    </w:p>
    <w:p w:rsidR="00997316" w:rsidRPr="00E022FF" w:rsidRDefault="003150D5" w:rsidP="00997316">
      <w:pPr>
        <w:pStyle w:val="H1G"/>
      </w:pPr>
      <w:r w:rsidRPr="00E022FF">
        <w:tab/>
      </w:r>
      <w:r w:rsidR="00997316" w:rsidRPr="00E022FF">
        <w:t>C.</w:t>
      </w:r>
      <w:r w:rsidR="00997316" w:rsidRPr="00E022FF">
        <w:tab/>
      </w:r>
      <w:r w:rsidR="00997316" w:rsidRPr="00E022FF">
        <w:rPr>
          <w:bCs/>
        </w:rPr>
        <w:t>Окружающая среда и безопасность</w:t>
      </w:r>
    </w:p>
    <w:p w:rsidR="00997316" w:rsidRPr="00C34185" w:rsidRDefault="00997316" w:rsidP="00997316">
      <w:pPr>
        <w:pStyle w:val="SingleTxtG"/>
      </w:pPr>
      <w:r w:rsidRPr="00C34185">
        <w:t>79.</w:t>
      </w:r>
      <w:r w:rsidRPr="00C34185">
        <w:tab/>
        <w:t xml:space="preserve">Директор Отдела окружающей среды ЕЭК представил обзор текущего вклада ЕЭК в Инициативу </w:t>
      </w:r>
      <w:r w:rsidR="001F22AE" w:rsidRPr="00C34185">
        <w:rPr>
          <w:rStyle w:val="FootnoteReference"/>
          <w:sz w:val="20"/>
          <w:vertAlign w:val="baseline"/>
        </w:rPr>
        <w:t>«</w:t>
      </w:r>
      <w:r w:rsidRPr="00C34185">
        <w:t>Окружающая среда и безопасность</w:t>
      </w:r>
      <w:r w:rsidR="001F22AE" w:rsidRPr="00C34185">
        <w:rPr>
          <w:rStyle w:val="FootnoteReference"/>
          <w:sz w:val="20"/>
          <w:vertAlign w:val="baseline"/>
        </w:rPr>
        <w:t>»</w:t>
      </w:r>
      <w:r w:rsidR="00B64EDB" w:rsidRPr="00C34185">
        <w:t xml:space="preserve"> (информационный документ </w:t>
      </w:r>
      <w:r w:rsidRPr="00C34185">
        <w:t>№ 5).</w:t>
      </w:r>
    </w:p>
    <w:p w:rsidR="00997316" w:rsidRPr="00C34185" w:rsidRDefault="00997316" w:rsidP="00997316">
      <w:pPr>
        <w:pStyle w:val="SingleTxtG"/>
      </w:pPr>
      <w:r w:rsidRPr="00C34185">
        <w:t>80.</w:t>
      </w:r>
      <w:r w:rsidRPr="00C34185">
        <w:tab/>
        <w:t xml:space="preserve">Комитет принял к сведению предоставленную информацию по Инициативе </w:t>
      </w:r>
      <w:r w:rsidR="001F22AE" w:rsidRPr="00C34185">
        <w:rPr>
          <w:rStyle w:val="FootnoteReference"/>
          <w:sz w:val="20"/>
          <w:vertAlign w:val="baseline"/>
        </w:rPr>
        <w:t>«</w:t>
      </w:r>
      <w:r w:rsidRPr="00C34185">
        <w:t>Окружающая среда и безопасность</w:t>
      </w:r>
      <w:r w:rsidR="001F22AE" w:rsidRPr="00C34185">
        <w:rPr>
          <w:rStyle w:val="FootnoteReference"/>
          <w:sz w:val="20"/>
          <w:vertAlign w:val="baseline"/>
        </w:rPr>
        <w:t>»</w:t>
      </w:r>
      <w:r w:rsidRPr="00C34185">
        <w:t>.</w:t>
      </w:r>
    </w:p>
    <w:p w:rsidR="00997316" w:rsidRPr="00280E3F" w:rsidRDefault="003150D5" w:rsidP="00997316">
      <w:pPr>
        <w:pStyle w:val="H1G"/>
        <w:rPr>
          <w:szCs w:val="24"/>
        </w:rPr>
      </w:pPr>
      <w:r w:rsidRPr="00E022FF">
        <w:tab/>
      </w:r>
      <w:r w:rsidR="00997316" w:rsidRPr="00E022FF">
        <w:t>D.</w:t>
      </w:r>
      <w:r w:rsidR="00997316" w:rsidRPr="00E022FF">
        <w:tab/>
      </w:r>
      <w:r w:rsidR="00997316" w:rsidRPr="00E022FF">
        <w:rPr>
          <w:bCs/>
        </w:rPr>
        <w:t>Европейский процесс</w:t>
      </w:r>
      <w:r w:rsidR="00997316" w:rsidRPr="00280E3F">
        <w:rPr>
          <w:bCs/>
          <w:szCs w:val="24"/>
        </w:rPr>
        <w:t xml:space="preserve"> </w:t>
      </w:r>
      <w:r w:rsidR="001F22AE" w:rsidRPr="00280E3F">
        <w:rPr>
          <w:rStyle w:val="FootnoteReference"/>
          <w:sz w:val="24"/>
          <w:szCs w:val="24"/>
          <w:vertAlign w:val="baseline"/>
        </w:rPr>
        <w:t>«</w:t>
      </w:r>
      <w:r w:rsidR="00997316" w:rsidRPr="00280E3F">
        <w:rPr>
          <w:bCs/>
          <w:szCs w:val="24"/>
        </w:rPr>
        <w:t>Окружающая среда и здоровье</w:t>
      </w:r>
      <w:r w:rsidR="001F22AE" w:rsidRPr="00280E3F">
        <w:rPr>
          <w:rStyle w:val="FootnoteReference"/>
          <w:sz w:val="24"/>
          <w:szCs w:val="24"/>
          <w:vertAlign w:val="baseline"/>
        </w:rPr>
        <w:t>»</w:t>
      </w:r>
    </w:p>
    <w:p w:rsidR="00997316" w:rsidRPr="00E022FF" w:rsidRDefault="00997316" w:rsidP="00997316">
      <w:pPr>
        <w:pStyle w:val="SingleTxtG"/>
      </w:pPr>
      <w:r w:rsidRPr="00E022FF">
        <w:t>81.</w:t>
      </w:r>
      <w:r w:rsidRPr="00E022FF">
        <w:tab/>
        <w:t xml:space="preserve">Председатель Целевой группы по европейскому процессу </w:t>
      </w:r>
      <w:r w:rsidR="001F22AE" w:rsidRPr="00E022FF">
        <w:rPr>
          <w:rStyle w:val="FootnoteReference"/>
          <w:vertAlign w:val="baseline"/>
        </w:rPr>
        <w:t>«</w:t>
      </w:r>
      <w:r w:rsidRPr="00E022FF">
        <w:t>Окружающая среда и здоровье</w:t>
      </w:r>
      <w:r w:rsidR="001F22AE" w:rsidRPr="00E022FF">
        <w:rPr>
          <w:rStyle w:val="FootnoteReference"/>
          <w:vertAlign w:val="baseline"/>
        </w:rPr>
        <w:t>»</w:t>
      </w:r>
      <w:r w:rsidRPr="00E022FF">
        <w:t xml:space="preserve"> ВОЗ (Австрия) проинформировал Комитет об основных итогах шестой Конференции министров по окружающей среде и охра</w:t>
      </w:r>
      <w:r w:rsidR="00B64EDB">
        <w:t>не здоровья (Острава, Чехия, 13</w:t>
      </w:r>
      <w:r w:rsidRPr="00E022FF">
        <w:t>–15 июня 2017 года).</w:t>
      </w:r>
      <w:r w:rsidR="003150D5" w:rsidRPr="00E022FF">
        <w:t xml:space="preserve"> </w:t>
      </w:r>
    </w:p>
    <w:p w:rsidR="00997316" w:rsidRPr="00E022FF" w:rsidRDefault="00997316" w:rsidP="00997316">
      <w:pPr>
        <w:pStyle w:val="SingleTxtG"/>
      </w:pPr>
      <w:r w:rsidRPr="00E022FF">
        <w:t>82.</w:t>
      </w:r>
      <w:r w:rsidRPr="00E022FF">
        <w:tab/>
        <w:t>Представитель Европейского регионального бюро ВОЗ представил предлагаемые последующие мероприятия по итогам Конференции в Остраве.</w:t>
      </w:r>
      <w:r w:rsidR="003150D5" w:rsidRPr="00E022FF">
        <w:t xml:space="preserve"> </w:t>
      </w:r>
    </w:p>
    <w:p w:rsidR="00997316" w:rsidRPr="00E022FF" w:rsidRDefault="00997316" w:rsidP="00997316">
      <w:pPr>
        <w:pStyle w:val="SingleTxtG"/>
      </w:pPr>
      <w:r w:rsidRPr="00E022FF">
        <w:t>83.</w:t>
      </w:r>
      <w:r w:rsidRPr="00E022FF">
        <w:tab/>
        <w:t>В отношении создания совместного секретариата этого процесса руководитель Секции оперативной деятельности и обзора ЕЭК представил документ, описывающий варианты создания совместного секретариата ЕЭК и Европейского регионального бюро ВОЗ</w:t>
      </w:r>
      <w:r w:rsidR="00F02593">
        <w:t xml:space="preserve"> </w:t>
      </w:r>
      <w:r w:rsidRPr="00E022FF">
        <w:t xml:space="preserve">(ECE/CEP/2017/18). </w:t>
      </w:r>
    </w:p>
    <w:p w:rsidR="00997316" w:rsidRPr="00E022FF" w:rsidRDefault="00997316" w:rsidP="00997316">
      <w:pPr>
        <w:pStyle w:val="SingleTxtG"/>
      </w:pPr>
      <w:r w:rsidRPr="00E022FF">
        <w:t>84.</w:t>
      </w:r>
      <w:r w:rsidRPr="00E022FF">
        <w:tab/>
        <w:t>Комитет приветствовал предоставленную информацию об итогах шестой Конференции министров по окружающей среде и охране здоровья. Он признал тесные взаимосвязи, существующ</w:t>
      </w:r>
      <w:r w:rsidR="00F02593">
        <w:t>ие</w:t>
      </w:r>
      <w:r w:rsidRPr="00E022FF">
        <w:t xml:space="preserve"> между окружающей средой и здоровьем. </w:t>
      </w:r>
    </w:p>
    <w:p w:rsidR="00997316" w:rsidRPr="00C34185" w:rsidRDefault="00997316" w:rsidP="00997316">
      <w:pPr>
        <w:pStyle w:val="SingleTxtG"/>
      </w:pPr>
      <w:r w:rsidRPr="00E022FF">
        <w:t>85.</w:t>
      </w:r>
      <w:r w:rsidRPr="00E022FF">
        <w:tab/>
        <w:t xml:space="preserve">Комитет также приветствовал документ, подготовленный секретариатом в консультации с Президиумом о возможных вариантах создания совместного секретариата процесса </w:t>
      </w:r>
      <w:r w:rsidR="001F22AE" w:rsidRPr="00E022FF">
        <w:rPr>
          <w:rStyle w:val="FootnoteReference"/>
          <w:vertAlign w:val="baseline"/>
        </w:rPr>
        <w:t>«</w:t>
      </w:r>
      <w:r w:rsidRPr="00E022FF">
        <w:t>Европейская окружающая среда и здоровье</w:t>
      </w:r>
      <w:r w:rsidR="001F22AE" w:rsidRPr="00E022FF">
        <w:rPr>
          <w:rStyle w:val="FootnoteReference"/>
          <w:vertAlign w:val="baseline"/>
        </w:rPr>
        <w:t>»</w:t>
      </w:r>
      <w:r w:rsidRPr="00E022FF">
        <w:t xml:space="preserve">. Он постановил, </w:t>
      </w:r>
      <w:r w:rsidRPr="00C34185">
        <w:lastRenderedPageBreak/>
        <w:t xml:space="preserve">что ЕЭК следует сохранять статус-кво и оставаться надежным партнером европейского процесса </w:t>
      </w:r>
      <w:r w:rsidR="001F22AE" w:rsidRPr="00C34185">
        <w:rPr>
          <w:rStyle w:val="FootnoteReference"/>
          <w:sz w:val="20"/>
          <w:vertAlign w:val="baseline"/>
        </w:rPr>
        <w:t>«</w:t>
      </w:r>
      <w:r w:rsidRPr="00C34185">
        <w:t>Окружающая среда и здоровье</w:t>
      </w:r>
      <w:r w:rsidR="001F22AE" w:rsidRPr="00C34185">
        <w:rPr>
          <w:rStyle w:val="FootnoteReference"/>
          <w:sz w:val="20"/>
          <w:vertAlign w:val="baseline"/>
        </w:rPr>
        <w:t>»</w:t>
      </w:r>
      <w:r w:rsidRPr="00C34185">
        <w:t>, не входя в секретариат процесса в настоящее время, и вновь рассмотреть этот вопрос в случае предоставления внебюджетных ресурсов заинтересованными странами для дополнительной работы ЕЭК по этому процессу.</w:t>
      </w:r>
    </w:p>
    <w:p w:rsidR="00997316" w:rsidRPr="00C34185" w:rsidRDefault="00997316" w:rsidP="00997316">
      <w:pPr>
        <w:pStyle w:val="SingleTxtG"/>
      </w:pPr>
      <w:r w:rsidRPr="00C34185">
        <w:t>86.</w:t>
      </w:r>
      <w:r w:rsidRPr="00C34185">
        <w:tab/>
        <w:t xml:space="preserve">Комитет сделал вывод о том, что более широкое участие министерств охраны окружающей среды в Европейском процессе </w:t>
      </w:r>
      <w:r w:rsidR="001F22AE" w:rsidRPr="00C34185">
        <w:rPr>
          <w:rStyle w:val="FootnoteReference"/>
          <w:sz w:val="20"/>
          <w:vertAlign w:val="baseline"/>
        </w:rPr>
        <w:t>«</w:t>
      </w:r>
      <w:r w:rsidRPr="00C34185">
        <w:t>Окружающая среда и здоровье</w:t>
      </w:r>
      <w:r w:rsidR="001F22AE" w:rsidRPr="00C34185">
        <w:rPr>
          <w:rStyle w:val="FootnoteReference"/>
          <w:sz w:val="20"/>
          <w:vertAlign w:val="baseline"/>
        </w:rPr>
        <w:t>»</w:t>
      </w:r>
      <w:r w:rsidRPr="00C34185">
        <w:t xml:space="preserve"> имеет важное значение для решения проблем экологического воздействия на здоровье человека в регионе более эффективным и комплексным образом. </w:t>
      </w:r>
    </w:p>
    <w:p w:rsidR="00997316" w:rsidRPr="00C34185" w:rsidRDefault="00997316" w:rsidP="00997316">
      <w:pPr>
        <w:pStyle w:val="SingleTxtG"/>
      </w:pPr>
      <w:r w:rsidRPr="00C34185">
        <w:t>87.</w:t>
      </w:r>
      <w:r w:rsidRPr="00C34185">
        <w:tab/>
        <w:t>Что касается Европейского совета министров по окружающей среде и здоровью, то Комитет просил секретариат направить письма тем министрам окружающей среды, которые выразили заинтересованность в участии в работе Совета в 2017–2018 годах, с тем чтобы информировать их о новых институциональных механизмах в рамках данного процесса, которые более не включают в себя Совет.</w:t>
      </w:r>
    </w:p>
    <w:p w:rsidR="00997316" w:rsidRPr="00C34185" w:rsidRDefault="00997316" w:rsidP="00997316">
      <w:pPr>
        <w:pStyle w:val="SingleTxtG"/>
      </w:pPr>
      <w:r w:rsidRPr="00C34185">
        <w:t>88.</w:t>
      </w:r>
      <w:r w:rsidRPr="00C34185">
        <w:tab/>
        <w:t xml:space="preserve">Комитет принял к сведению предложение назначить национальных координаторов по вопросам экологии для Целевой группы европейского процесса </w:t>
      </w:r>
      <w:r w:rsidR="001F22AE" w:rsidRPr="00C34185">
        <w:rPr>
          <w:rStyle w:val="FootnoteReference"/>
          <w:sz w:val="20"/>
          <w:vertAlign w:val="baseline"/>
        </w:rPr>
        <w:t>«</w:t>
      </w:r>
      <w:r w:rsidRPr="00C34185">
        <w:t>Окружающая среда и здоровье</w:t>
      </w:r>
      <w:r w:rsidR="001F22AE" w:rsidRPr="00C34185">
        <w:rPr>
          <w:rStyle w:val="FootnoteReference"/>
          <w:sz w:val="20"/>
          <w:vertAlign w:val="baseline"/>
        </w:rPr>
        <w:t>»</w:t>
      </w:r>
      <w:r w:rsidRPr="00C34185">
        <w:t xml:space="preserve">. Он призвал своих членов поддерживать связь с партнерами из сектора здравоохранения, участвующими в европейском процессе </w:t>
      </w:r>
      <w:r w:rsidR="001F22AE" w:rsidRPr="00C34185">
        <w:rPr>
          <w:rStyle w:val="FootnoteReference"/>
          <w:sz w:val="20"/>
          <w:vertAlign w:val="baseline"/>
        </w:rPr>
        <w:t>«</w:t>
      </w:r>
      <w:r w:rsidRPr="00C34185">
        <w:t>Окружающая среда и здоровьем</w:t>
      </w:r>
      <w:r w:rsidR="001F22AE" w:rsidRPr="00C34185">
        <w:rPr>
          <w:rStyle w:val="FootnoteReference"/>
          <w:sz w:val="20"/>
          <w:vertAlign w:val="baseline"/>
        </w:rPr>
        <w:t>»</w:t>
      </w:r>
      <w:r w:rsidRPr="00C34185">
        <w:t>, с тем чтобы избежать возможных противоречий между будущими решениями, принимаемыми в рамках процесса, с решениями, принимаемыми Комитетом.</w:t>
      </w:r>
      <w:r w:rsidR="003150D5" w:rsidRPr="00C34185">
        <w:t xml:space="preserve"> </w:t>
      </w:r>
    </w:p>
    <w:p w:rsidR="00997316" w:rsidRPr="000A178A" w:rsidRDefault="003150D5" w:rsidP="000A178A">
      <w:pPr>
        <w:pStyle w:val="H1G"/>
        <w:rPr>
          <w:szCs w:val="24"/>
        </w:rPr>
      </w:pPr>
      <w:r w:rsidRPr="00E022FF">
        <w:tab/>
      </w:r>
      <w:r w:rsidR="00997316" w:rsidRPr="00E022FF">
        <w:t>E.</w:t>
      </w:r>
      <w:r w:rsidR="00997316" w:rsidRPr="00E022FF">
        <w:tab/>
        <w:t>Ст</w:t>
      </w:r>
      <w:r w:rsidR="00997316" w:rsidRPr="000A178A">
        <w:rPr>
          <w:szCs w:val="24"/>
        </w:rPr>
        <w:t xml:space="preserve">роительство </w:t>
      </w:r>
      <w:r w:rsidR="001F22AE" w:rsidRPr="000A178A">
        <w:rPr>
          <w:rStyle w:val="FootnoteReference"/>
          <w:sz w:val="24"/>
          <w:szCs w:val="24"/>
          <w:vertAlign w:val="baseline"/>
        </w:rPr>
        <w:t>«</w:t>
      </w:r>
      <w:r w:rsidR="00997316" w:rsidRPr="000A178A">
        <w:rPr>
          <w:szCs w:val="24"/>
        </w:rPr>
        <w:t>зеленых</w:t>
      </w:r>
      <w:r w:rsidR="001F22AE" w:rsidRPr="000A178A">
        <w:rPr>
          <w:rStyle w:val="FootnoteReference"/>
          <w:sz w:val="24"/>
          <w:szCs w:val="24"/>
          <w:vertAlign w:val="baseline"/>
        </w:rPr>
        <w:t>»</w:t>
      </w:r>
      <w:r w:rsidR="00997316" w:rsidRPr="000A178A">
        <w:rPr>
          <w:szCs w:val="24"/>
        </w:rPr>
        <w:t xml:space="preserve"> зданий</w:t>
      </w:r>
    </w:p>
    <w:p w:rsidR="00997316" w:rsidRPr="00E022FF" w:rsidRDefault="00997316" w:rsidP="00997316">
      <w:pPr>
        <w:pStyle w:val="SingleTxtG"/>
      </w:pPr>
      <w:r w:rsidRPr="00E022FF">
        <w:t>89.</w:t>
      </w:r>
      <w:r w:rsidRPr="00E022FF">
        <w:tab/>
        <w:t xml:space="preserve">Представитель Отдела ЕЭК по лесам, землепользованию и жилищному хозяйству представил информацию о работе Комитета ЕЭК по жилищному хозяйству и землепользованию в области строительства </w:t>
      </w:r>
      <w:r w:rsidR="001F22AE" w:rsidRPr="00E022FF">
        <w:rPr>
          <w:rStyle w:val="FootnoteReference"/>
          <w:vertAlign w:val="baseline"/>
        </w:rPr>
        <w:t>«</w:t>
      </w:r>
      <w:r w:rsidRPr="00E022FF">
        <w:t>зеленых</w:t>
      </w:r>
      <w:r w:rsidR="001F22AE" w:rsidRPr="00E022FF">
        <w:rPr>
          <w:rStyle w:val="FootnoteReference"/>
          <w:vertAlign w:val="baseline"/>
        </w:rPr>
        <w:t>»</w:t>
      </w:r>
      <w:r w:rsidRPr="00E022FF">
        <w:t xml:space="preserve"> зданий.</w:t>
      </w:r>
    </w:p>
    <w:p w:rsidR="00997316" w:rsidRPr="00E022FF" w:rsidRDefault="00997316" w:rsidP="00997316">
      <w:pPr>
        <w:pStyle w:val="SingleTxtG"/>
      </w:pPr>
      <w:r w:rsidRPr="00E022FF">
        <w:t>90.</w:t>
      </w:r>
      <w:r w:rsidRPr="00E022FF">
        <w:tab/>
        <w:t xml:space="preserve">Комитет по экологической политике принял к сведению деятельность Комитета по жилищному хозяйству и землепользованию, в частности ход работы по повышению энергоэффективности зданий. </w:t>
      </w:r>
    </w:p>
    <w:p w:rsidR="00997316" w:rsidRPr="00E022FF" w:rsidRDefault="003150D5" w:rsidP="00997316">
      <w:pPr>
        <w:pStyle w:val="HChG"/>
      </w:pPr>
      <w:r w:rsidRPr="00E022FF">
        <w:tab/>
      </w:r>
      <w:r w:rsidR="00997316" w:rsidRPr="00E022FF">
        <w:t>IX.</w:t>
      </w:r>
      <w:r w:rsidR="00997316" w:rsidRPr="00E022FF">
        <w:tab/>
      </w:r>
      <w:r w:rsidR="00997316" w:rsidRPr="00E022FF">
        <w:rPr>
          <w:bCs/>
        </w:rPr>
        <w:t>Программа работы Подпрограммы по окружающей среде</w:t>
      </w:r>
      <w:r w:rsidR="00997316" w:rsidRPr="00E022FF">
        <w:t xml:space="preserve"> </w:t>
      </w:r>
    </w:p>
    <w:p w:rsidR="00997316" w:rsidRPr="00E022FF" w:rsidRDefault="003150D5" w:rsidP="00997316">
      <w:pPr>
        <w:pStyle w:val="H1G"/>
      </w:pPr>
      <w:r w:rsidRPr="00E022FF">
        <w:tab/>
      </w:r>
      <w:r w:rsidR="00997316" w:rsidRPr="00E022FF">
        <w:t>A.</w:t>
      </w:r>
      <w:r w:rsidR="00997316" w:rsidRPr="00E022FF">
        <w:tab/>
      </w:r>
      <w:r w:rsidR="00997316" w:rsidRPr="00E022FF">
        <w:rPr>
          <w:bCs/>
        </w:rPr>
        <w:t>Учет гендерной проблематики в природоохранной деятельности</w:t>
      </w:r>
    </w:p>
    <w:p w:rsidR="00997316" w:rsidRPr="00C34185" w:rsidRDefault="00997316" w:rsidP="00997316">
      <w:pPr>
        <w:pStyle w:val="SingleTxtG"/>
      </w:pPr>
      <w:r w:rsidRPr="00C34185">
        <w:t>91.</w:t>
      </w:r>
      <w:r w:rsidRPr="00C34185">
        <w:tab/>
        <w:t xml:space="preserve">Координатор по гендерным вопросам Отдела по окружающей среде представил общий обзор основных мер по учету гендерной проблематики в природоохранной деятельности, проведенной в 2017 году. Представитель секретариата Конвенции по водам и представитель неправительственной организации </w:t>
      </w:r>
      <w:r w:rsidR="001F22AE" w:rsidRPr="00C34185">
        <w:rPr>
          <w:rStyle w:val="FootnoteReference"/>
          <w:sz w:val="20"/>
          <w:vertAlign w:val="baseline"/>
        </w:rPr>
        <w:t>«</w:t>
      </w:r>
      <w:r w:rsidRPr="00C34185">
        <w:t>Журналисты за права человека</w:t>
      </w:r>
      <w:r w:rsidR="001F22AE" w:rsidRPr="00C34185">
        <w:rPr>
          <w:rStyle w:val="FootnoteReference"/>
          <w:sz w:val="20"/>
          <w:vertAlign w:val="baseline"/>
        </w:rPr>
        <w:t>»</w:t>
      </w:r>
      <w:r w:rsidRPr="00C34185">
        <w:t xml:space="preserve"> совместно рассказали о работе, проводимой в рамках Протокола по проблемам воды и здоровья по обеспечению справедливого доступа, используя пример оценки равенства доступа к воде и санитарии, проведенной в бывшей югославской Республике Македония. </w:t>
      </w:r>
    </w:p>
    <w:p w:rsidR="00997316" w:rsidRPr="00C34185" w:rsidRDefault="00997316" w:rsidP="00997316">
      <w:pPr>
        <w:pStyle w:val="SingleTxtG"/>
      </w:pPr>
      <w:r w:rsidRPr="00C34185">
        <w:t>92.</w:t>
      </w:r>
      <w:r w:rsidRPr="00C34185">
        <w:tab/>
        <w:t>Комитет принял к сведению предоставленную информацию об учете гендерной проблематики в природоохранной деятельности, проведенной Отделом окружающей среды ЕЭК в период после последней сессии Комитета, в рамках осуществления политики ЕЭК по вопросам гендерного равенства и расширения прав и возможностей женщин на 2016–2020 годы и:</w:t>
      </w:r>
    </w:p>
    <w:p w:rsidR="00997316" w:rsidRPr="00C34185" w:rsidRDefault="00997316" w:rsidP="00997316">
      <w:pPr>
        <w:pStyle w:val="SingleTxtG"/>
      </w:pPr>
      <w:r w:rsidRPr="00C34185">
        <w:tab/>
      </w:r>
      <w:r w:rsidRPr="00C34185">
        <w:tab/>
        <w:t>а)</w:t>
      </w:r>
      <w:r w:rsidRPr="00C34185">
        <w:tab/>
        <w:t>приветствовал предоставленную информацию о работе по вопросам равного доступа к воде и санитарии в соответствии с Протоколом по проблемам воды и здоровья, в частности с целью учета гендерных аспектов доступа к воде и санитарии;</w:t>
      </w:r>
    </w:p>
    <w:p w:rsidR="00997316" w:rsidRPr="00C34185" w:rsidRDefault="00997316" w:rsidP="00997316">
      <w:pPr>
        <w:pStyle w:val="SingleTxtG"/>
      </w:pPr>
      <w:r w:rsidRPr="00C34185">
        <w:tab/>
      </w:r>
      <w:r w:rsidRPr="00C34185">
        <w:tab/>
        <w:t>b)</w:t>
      </w:r>
      <w:r w:rsidRPr="00C34185">
        <w:tab/>
        <w:t>признал важность дезагрегированных по признаку пола данных для углубления понимания гендерных аспектов экологических проблем.</w:t>
      </w:r>
    </w:p>
    <w:p w:rsidR="00997316" w:rsidRPr="00E022FF" w:rsidRDefault="003150D5" w:rsidP="00997316">
      <w:pPr>
        <w:pStyle w:val="H1G"/>
      </w:pPr>
      <w:r w:rsidRPr="00E022FF">
        <w:lastRenderedPageBreak/>
        <w:tab/>
      </w:r>
      <w:r w:rsidR="00997316" w:rsidRPr="00E022FF">
        <w:t>B.</w:t>
      </w:r>
      <w:r w:rsidR="00997316" w:rsidRPr="00E022FF">
        <w:tab/>
      </w:r>
      <w:r w:rsidR="00997316" w:rsidRPr="00E022FF">
        <w:rPr>
          <w:bCs/>
        </w:rPr>
        <w:t>Оценка результативности Подп</w:t>
      </w:r>
      <w:r w:rsidR="00B64EDB">
        <w:rPr>
          <w:bCs/>
        </w:rPr>
        <w:t>рограммы по окружающей среде за </w:t>
      </w:r>
      <w:r w:rsidR="00997316" w:rsidRPr="00E022FF">
        <w:rPr>
          <w:bCs/>
        </w:rPr>
        <w:t xml:space="preserve">2016–2017 годы и план оценки результативности </w:t>
      </w:r>
      <w:r w:rsidR="00B64EDB">
        <w:rPr>
          <w:bCs/>
        </w:rPr>
        <w:br/>
      </w:r>
      <w:r w:rsidR="00997316" w:rsidRPr="00E022FF">
        <w:rPr>
          <w:bCs/>
        </w:rPr>
        <w:t>на 2018–2019 годы</w:t>
      </w:r>
    </w:p>
    <w:p w:rsidR="00997316" w:rsidRPr="00E022FF" w:rsidRDefault="00997316" w:rsidP="00997316">
      <w:pPr>
        <w:pStyle w:val="SingleTxtG"/>
      </w:pPr>
      <w:r w:rsidRPr="00E022FF">
        <w:t>93.</w:t>
      </w:r>
      <w:r w:rsidRPr="00E022FF">
        <w:tab/>
        <w:t xml:space="preserve">Председатель напомнил о принятом Комитетом в 2014 году решении продолжить подготовку оценок результативности и планов оценки результативности Подпрограммы по окружающей среде на двухгодичной основе. </w:t>
      </w:r>
    </w:p>
    <w:p w:rsidR="00997316" w:rsidRPr="00E022FF" w:rsidRDefault="00997316" w:rsidP="00997316">
      <w:pPr>
        <w:pStyle w:val="SingleTxtG"/>
      </w:pPr>
      <w:r w:rsidRPr="00E022FF">
        <w:t>94.</w:t>
      </w:r>
      <w:r w:rsidRPr="00E022FF">
        <w:tab/>
        <w:t>Комитет утвердил доклад о выполнении Подпрограммы по окружающей среде за двухгодичный период 2016–2017 годов (ECE/CEP/2017/8). Он также утвердил план оценки результативности Подпрограммы по окружающей среде на двухгодичный период 2018–2019 годов (ECE/CEP/2017/9).</w:t>
      </w:r>
    </w:p>
    <w:p w:rsidR="00997316" w:rsidRPr="00E022FF" w:rsidRDefault="003150D5" w:rsidP="00997316">
      <w:pPr>
        <w:pStyle w:val="H1G"/>
      </w:pPr>
      <w:r w:rsidRPr="00E022FF">
        <w:tab/>
      </w:r>
      <w:r w:rsidR="00997316" w:rsidRPr="00E022FF">
        <w:t>C.</w:t>
      </w:r>
      <w:r w:rsidR="00997316" w:rsidRPr="00E022FF">
        <w:tab/>
      </w:r>
      <w:r w:rsidR="00997316" w:rsidRPr="00E022FF">
        <w:rPr>
          <w:bCs/>
        </w:rPr>
        <w:t>Программа работы и пере</w:t>
      </w:r>
      <w:r w:rsidR="00B64EDB">
        <w:rPr>
          <w:bCs/>
        </w:rPr>
        <w:t>чень публикаций Подпрограммы по </w:t>
      </w:r>
      <w:r w:rsidR="00997316" w:rsidRPr="00E022FF">
        <w:rPr>
          <w:bCs/>
        </w:rPr>
        <w:t>окружающей среде на 2018–2019 годы</w:t>
      </w:r>
    </w:p>
    <w:p w:rsidR="00997316" w:rsidRPr="00E022FF" w:rsidRDefault="00997316" w:rsidP="00997316">
      <w:pPr>
        <w:pStyle w:val="SingleTxtG"/>
      </w:pPr>
      <w:r w:rsidRPr="00E022FF">
        <w:t>95.</w:t>
      </w:r>
      <w:r w:rsidRPr="00E022FF">
        <w:tab/>
        <w:t>Председатель проинформировала делегатов о том, что программа работы на 2018–2019</w:t>
      </w:r>
      <w:r w:rsidR="00F02593">
        <w:t xml:space="preserve"> годы</w:t>
      </w:r>
      <w:r w:rsidRPr="00E022FF">
        <w:t xml:space="preserve"> и перечень публикаций на этот двухгодичный период содержатся в документе ECE/CEP/2017/7. </w:t>
      </w:r>
    </w:p>
    <w:p w:rsidR="00997316" w:rsidRPr="00E022FF" w:rsidRDefault="00997316" w:rsidP="00997316">
      <w:pPr>
        <w:pStyle w:val="SingleTxtG"/>
      </w:pPr>
      <w:r w:rsidRPr="00E022FF">
        <w:t>96.</w:t>
      </w:r>
      <w:r w:rsidRPr="00E022FF">
        <w:tab/>
        <w:t xml:space="preserve">Комитет принял программу работы Подпрограммы по окружающей среде на 2018–2019 годы и перечень публикаций, содержащийся в приложении к ней, и просил секретариат представить его на рассмотрение Исполнительному комитету ЕЭК для утверждения. </w:t>
      </w:r>
    </w:p>
    <w:p w:rsidR="00997316" w:rsidRPr="00E022FF" w:rsidRDefault="003150D5" w:rsidP="00997316">
      <w:pPr>
        <w:pStyle w:val="H1G"/>
      </w:pPr>
      <w:r w:rsidRPr="00E022FF">
        <w:tab/>
      </w:r>
      <w:r w:rsidR="00997316" w:rsidRPr="00E022FF">
        <w:t>D.</w:t>
      </w:r>
      <w:r w:rsidR="00997316" w:rsidRPr="00E022FF">
        <w:tab/>
      </w:r>
      <w:r w:rsidR="00997316" w:rsidRPr="00E022FF">
        <w:rPr>
          <w:bCs/>
        </w:rPr>
        <w:t>Предлагаемые страт</w:t>
      </w:r>
      <w:r w:rsidR="00B64EDB">
        <w:rPr>
          <w:bCs/>
        </w:rPr>
        <w:t>егические рамки Подпрограммы по </w:t>
      </w:r>
      <w:r w:rsidR="00997316" w:rsidRPr="00E022FF">
        <w:rPr>
          <w:bCs/>
        </w:rPr>
        <w:t>окружающей среде на 2020–2021 годы</w:t>
      </w:r>
    </w:p>
    <w:p w:rsidR="00997316" w:rsidRPr="00E022FF" w:rsidRDefault="00997316" w:rsidP="00997316">
      <w:pPr>
        <w:pStyle w:val="SingleTxtG"/>
      </w:pPr>
      <w:r w:rsidRPr="00E022FF">
        <w:t>97.</w:t>
      </w:r>
      <w:r w:rsidRPr="00E022FF">
        <w:tab/>
        <w:t xml:space="preserve">Председатель сообщила, что Президиум рассмотрел документ, содержащий предлагаемые стратегические рамки Подпрограммы по окружающей среде на </w:t>
      </w:r>
      <w:r w:rsidR="00B64EDB">
        <w:br/>
      </w:r>
      <w:r w:rsidRPr="00E022FF">
        <w:t>2020–2021 годы на своем июньском совещании</w:t>
      </w:r>
      <w:r w:rsidR="00F02593">
        <w:t>,</w:t>
      </w:r>
      <w:r w:rsidRPr="00E022FF">
        <w:t xml:space="preserve"> и постановил представить его Комитету для рассмотрения. Комитет рассмотрел и утвердил предложенные стратегические рамки Подпрограммы по окружающей среде на 2020–2021 годы (ECE/CEP/2017/10).</w:t>
      </w:r>
    </w:p>
    <w:p w:rsidR="00997316" w:rsidRPr="00E022FF" w:rsidRDefault="003150D5" w:rsidP="00997316">
      <w:pPr>
        <w:pStyle w:val="H1G"/>
      </w:pPr>
      <w:r w:rsidRPr="00E022FF">
        <w:tab/>
      </w:r>
      <w:r w:rsidR="00997316" w:rsidRPr="00E022FF">
        <w:t>E.</w:t>
      </w:r>
      <w:r w:rsidR="00997316" w:rsidRPr="00E022FF">
        <w:tab/>
      </w:r>
      <w:r w:rsidR="00997316" w:rsidRPr="00E022FF">
        <w:rPr>
          <w:bCs/>
        </w:rPr>
        <w:t>Обзор ресурсов для осуществления природоохранной деятельности и критерии оказания фин</w:t>
      </w:r>
      <w:r w:rsidR="00B64EDB">
        <w:rPr>
          <w:bCs/>
        </w:rPr>
        <w:t>ансовой поддержки для участия в </w:t>
      </w:r>
      <w:r w:rsidR="00997316" w:rsidRPr="00E022FF">
        <w:rPr>
          <w:bCs/>
        </w:rPr>
        <w:t>совещаниях и мероприятиях</w:t>
      </w:r>
    </w:p>
    <w:p w:rsidR="00997316" w:rsidRPr="00C34185" w:rsidRDefault="00997316" w:rsidP="00997316">
      <w:pPr>
        <w:pStyle w:val="SingleTxtG"/>
      </w:pPr>
      <w:r w:rsidRPr="00C34185">
        <w:t>98.</w:t>
      </w:r>
      <w:r w:rsidRPr="00C34185">
        <w:tab/>
        <w:t xml:space="preserve">Секретарь Комитета объявил, что он по-прежнему не в состоянии выполнить поручение представить на нынешней сессии доклад о положении дел с ресурсами Подпрограммы по окружающей среде для двухгодичного периода 2016–2017 годов. Новая система общеорганизационного планирования ресурсов Организации Объединенных Наций </w:t>
      </w:r>
      <w:r w:rsidR="001F22AE" w:rsidRPr="00C34185">
        <w:rPr>
          <w:rStyle w:val="FootnoteReference"/>
          <w:sz w:val="20"/>
          <w:vertAlign w:val="baseline"/>
        </w:rPr>
        <w:t>«</w:t>
      </w:r>
      <w:r w:rsidRPr="00C34185">
        <w:t>Умоджа</w:t>
      </w:r>
      <w:r w:rsidR="001F22AE" w:rsidRPr="00C34185">
        <w:rPr>
          <w:rStyle w:val="FootnoteReference"/>
          <w:sz w:val="20"/>
          <w:vertAlign w:val="baseline"/>
        </w:rPr>
        <w:t>»</w:t>
      </w:r>
      <w:r w:rsidRPr="00C34185">
        <w:t>, которая действует для ЕЭК с ноября 201</w:t>
      </w:r>
      <w:r w:rsidR="00F02593">
        <w:t>5</w:t>
      </w:r>
      <w:r w:rsidRPr="00C34185">
        <w:t xml:space="preserve"> года, все еще не полностью функциональна, что помешало подготовке данного доклада.</w:t>
      </w:r>
    </w:p>
    <w:p w:rsidR="00997316" w:rsidRPr="00C34185" w:rsidRDefault="00997316" w:rsidP="00997316">
      <w:pPr>
        <w:pStyle w:val="SingleTxtG"/>
      </w:pPr>
      <w:r w:rsidRPr="00C34185">
        <w:t>99.</w:t>
      </w:r>
      <w:r w:rsidRPr="00C34185">
        <w:tab/>
        <w:t>Комитет принял к сведению представленную информацию о сохраняющихся проблемах с отчетностью относительно положения дел с ресурсами для природоохранной деятельности и:</w:t>
      </w:r>
    </w:p>
    <w:p w:rsidR="00997316" w:rsidRPr="00C34185" w:rsidRDefault="00997316" w:rsidP="00997316">
      <w:pPr>
        <w:pStyle w:val="SingleTxtG"/>
      </w:pPr>
      <w:r w:rsidRPr="00C34185">
        <w:tab/>
      </w:r>
      <w:r w:rsidRPr="00C34185">
        <w:tab/>
        <w:t>а)</w:t>
      </w:r>
      <w:r w:rsidRPr="00C34185">
        <w:tab/>
        <w:t xml:space="preserve">выразил озабоченность по поводу трудностей, возникающих из-за того, что система </w:t>
      </w:r>
      <w:r w:rsidR="001F22AE" w:rsidRPr="00C34185">
        <w:rPr>
          <w:rStyle w:val="FootnoteReference"/>
          <w:sz w:val="20"/>
          <w:vertAlign w:val="baseline"/>
        </w:rPr>
        <w:t>«</w:t>
      </w:r>
      <w:r w:rsidRPr="00C34185">
        <w:t>Умоджа</w:t>
      </w:r>
      <w:r w:rsidR="001F22AE" w:rsidRPr="00C34185">
        <w:rPr>
          <w:rStyle w:val="FootnoteReference"/>
          <w:sz w:val="20"/>
          <w:vertAlign w:val="baseline"/>
        </w:rPr>
        <w:t>»</w:t>
      </w:r>
      <w:r w:rsidRPr="00C34185">
        <w:t xml:space="preserve"> не полностью функциональна; </w:t>
      </w:r>
    </w:p>
    <w:p w:rsidR="00997316" w:rsidRPr="00C34185" w:rsidRDefault="00997316" w:rsidP="00997316">
      <w:pPr>
        <w:pStyle w:val="SingleTxtG"/>
      </w:pPr>
      <w:r w:rsidRPr="00C34185">
        <w:tab/>
      </w:r>
      <w:r w:rsidRPr="00C34185">
        <w:tab/>
        <w:t>b)</w:t>
      </w:r>
      <w:r w:rsidRPr="00C34185">
        <w:tab/>
        <w:t>просил секретариат представить информацию о положении дел с ресурсами для двухгодичного периода 2016–2017 годов в рамках Подпрограммы по окружающей среде на двадцать четвертой сессии Комитета;</w:t>
      </w:r>
    </w:p>
    <w:p w:rsidR="00997316" w:rsidRPr="00C34185" w:rsidRDefault="00997316" w:rsidP="00997316">
      <w:pPr>
        <w:pStyle w:val="SingleTxtG"/>
      </w:pPr>
      <w:r w:rsidRPr="00C34185">
        <w:tab/>
      </w:r>
      <w:r w:rsidRPr="00C34185">
        <w:tab/>
        <w:t>c)</w:t>
      </w:r>
      <w:r w:rsidRPr="00C34185">
        <w:tab/>
        <w:t xml:space="preserve">предложил странам и другим заинтересованным сторонам рассмотреть вопрос о внесении добровольных взносов в целевой фонд процесса </w:t>
      </w:r>
      <w:r w:rsidR="001F22AE" w:rsidRPr="00C34185">
        <w:rPr>
          <w:rStyle w:val="FootnoteReference"/>
          <w:sz w:val="20"/>
          <w:vertAlign w:val="baseline"/>
        </w:rPr>
        <w:t>«</w:t>
      </w:r>
      <w:r w:rsidRPr="00C34185">
        <w:t xml:space="preserve">Окружающая </w:t>
      </w:r>
      <w:r w:rsidRPr="00C34185">
        <w:lastRenderedPageBreak/>
        <w:t>среда для Европы</w:t>
      </w:r>
      <w:r w:rsidR="001F22AE" w:rsidRPr="00C34185">
        <w:rPr>
          <w:rStyle w:val="FootnoteReference"/>
          <w:sz w:val="20"/>
          <w:vertAlign w:val="baseline"/>
        </w:rPr>
        <w:t>»</w:t>
      </w:r>
      <w:r w:rsidRPr="00C34185">
        <w:t xml:space="preserve"> для поддержки участия отвечающих критериям участников в сессиях Комитета и совещаниях его Президиума и выразил признательность Норвегии и Швейцарии за их финансовые взносы в поддержку деятельности секретариата по процессу </w:t>
      </w:r>
      <w:r w:rsidR="001F22AE" w:rsidRPr="00C34185">
        <w:rPr>
          <w:rStyle w:val="FootnoteReference"/>
          <w:sz w:val="20"/>
          <w:vertAlign w:val="baseline"/>
        </w:rPr>
        <w:t>«</w:t>
      </w:r>
      <w:r w:rsidRPr="00C34185">
        <w:t>Окружающая среда для Европы</w:t>
      </w:r>
      <w:r w:rsidR="001F22AE" w:rsidRPr="00C34185">
        <w:rPr>
          <w:rStyle w:val="FootnoteReference"/>
          <w:sz w:val="20"/>
          <w:vertAlign w:val="baseline"/>
        </w:rPr>
        <w:t>»</w:t>
      </w:r>
      <w:r w:rsidR="00F02593">
        <w:t>;</w:t>
      </w:r>
    </w:p>
    <w:p w:rsidR="00997316" w:rsidRPr="00C34185" w:rsidRDefault="00997316" w:rsidP="00997316">
      <w:pPr>
        <w:pStyle w:val="SingleTxtG"/>
      </w:pPr>
      <w:r w:rsidRPr="00C34185">
        <w:tab/>
      </w:r>
      <w:r w:rsidRPr="00C34185">
        <w:tab/>
        <w:t>d)</w:t>
      </w:r>
      <w:r w:rsidRPr="00C34185">
        <w:tab/>
        <w:t>просил секретариат направить письма всем государствам</w:t>
      </w:r>
      <w:r w:rsidR="00F02593">
        <w:t xml:space="preserve"> – </w:t>
      </w:r>
      <w:r w:rsidRPr="00C34185">
        <w:t>членам ЕЭК с целью доведения до их сведения прогресса, достигнутого в работе Комитета, и просьбы рассмотреть вопрос о внесении взносов в поддержку его работы.</w:t>
      </w:r>
    </w:p>
    <w:p w:rsidR="00997316" w:rsidRPr="00E022FF" w:rsidRDefault="00997316" w:rsidP="00997316">
      <w:pPr>
        <w:pStyle w:val="SingleTxtG"/>
      </w:pPr>
      <w:r w:rsidRPr="00C34185">
        <w:t>100.</w:t>
      </w:r>
      <w:r w:rsidRPr="00C34185">
        <w:tab/>
        <w:t xml:space="preserve">Что касается критериев оказания финансовой поддержки участию в совещаниях и мероприятиях, то Комитет согласился с рекомендацией Президиума продолжить использовать критерии оказания финансовой поддержки, принятые Комитетом на его двадцать второй сессии в январе 2017 года (на основе данных за 2015 год). В то же время Комитет просил Президиум проверить при поддержке секретариата наличие данных за 2016 год (например, в декабре 2017 года и в феврале и мае 2018 года) и, если таковые имеются по всем странам с переходной экономикой, подготовить пересмотренные критерии оказания финансовой поддержки для утверждения Комитетом по электронной почте на основе процедуры </w:t>
      </w:r>
      <w:r w:rsidR="001F22AE" w:rsidRPr="00C34185">
        <w:rPr>
          <w:rStyle w:val="FootnoteReference"/>
          <w:sz w:val="20"/>
          <w:vertAlign w:val="baseline"/>
        </w:rPr>
        <w:t>«</w:t>
      </w:r>
      <w:r w:rsidRPr="00C34185">
        <w:t>отсутствия возражений</w:t>
      </w:r>
      <w:r w:rsidR="001F22AE" w:rsidRPr="00C34185">
        <w:rPr>
          <w:rStyle w:val="FootnoteReference"/>
          <w:sz w:val="20"/>
          <w:vertAlign w:val="baseline"/>
        </w:rPr>
        <w:t>»</w:t>
      </w:r>
      <w:r w:rsidRPr="00E022FF">
        <w:t>.</w:t>
      </w:r>
    </w:p>
    <w:p w:rsidR="00997316" w:rsidRPr="00E022FF" w:rsidRDefault="003150D5" w:rsidP="00997316">
      <w:pPr>
        <w:pStyle w:val="HChG"/>
      </w:pPr>
      <w:r w:rsidRPr="00E022FF">
        <w:tab/>
      </w:r>
      <w:r w:rsidR="00997316" w:rsidRPr="00E022FF">
        <w:t>X.</w:t>
      </w:r>
      <w:r w:rsidR="00997316" w:rsidRPr="00E022FF">
        <w:tab/>
      </w:r>
      <w:r w:rsidR="00997316" w:rsidRPr="00E022FF">
        <w:rPr>
          <w:bCs/>
        </w:rPr>
        <w:t>Представление мнений и обмен мнениями о третьей Ассамблее Ор</w:t>
      </w:r>
      <w:r w:rsidR="00B64EDB">
        <w:rPr>
          <w:bCs/>
        </w:rPr>
        <w:t>ганизации Объединенных Наций по </w:t>
      </w:r>
      <w:r w:rsidR="00997316" w:rsidRPr="00E022FF">
        <w:rPr>
          <w:bCs/>
        </w:rPr>
        <w:t>окружающей среде</w:t>
      </w:r>
    </w:p>
    <w:p w:rsidR="00997316" w:rsidRPr="00E022FF" w:rsidRDefault="00997316" w:rsidP="00997316">
      <w:pPr>
        <w:pStyle w:val="SingleTxtG"/>
      </w:pPr>
      <w:r w:rsidRPr="00E022FF">
        <w:t>101.</w:t>
      </w:r>
      <w:r w:rsidRPr="00E022FF">
        <w:tab/>
        <w:t>Директор Европейского регионального бюро ЮНЕП проинформировал Комитет о ходе подготовки к третьей сессии Ассамбле</w:t>
      </w:r>
      <w:r w:rsidR="006D373F">
        <w:t>и</w:t>
      </w:r>
      <w:r w:rsidRPr="00E022FF">
        <w:t xml:space="preserve"> Организации Объединенных Наций по окружающей среде, которая пройдет с 4 по 6 декабря 2017 года по общей теме </w:t>
      </w:r>
      <w:r w:rsidR="001F22AE" w:rsidRPr="00E022FF">
        <w:rPr>
          <w:rStyle w:val="FootnoteReference"/>
          <w:vertAlign w:val="baseline"/>
        </w:rPr>
        <w:t>«</w:t>
      </w:r>
      <w:r w:rsidRPr="00E022FF">
        <w:t>Загрязнение</w:t>
      </w:r>
      <w:r w:rsidR="001F22AE" w:rsidRPr="00E022FF">
        <w:rPr>
          <w:rStyle w:val="FootnoteReference"/>
          <w:vertAlign w:val="baseline"/>
        </w:rPr>
        <w:t>»</w:t>
      </w:r>
      <w:r w:rsidRPr="00E022FF">
        <w:t>.</w:t>
      </w:r>
    </w:p>
    <w:p w:rsidR="00997316" w:rsidRPr="00E022FF" w:rsidRDefault="00997316" w:rsidP="00997316">
      <w:pPr>
        <w:pStyle w:val="SingleTxtG"/>
      </w:pPr>
      <w:r w:rsidRPr="00E022FF">
        <w:t>102.</w:t>
      </w:r>
      <w:r w:rsidRPr="00E022FF">
        <w:tab/>
        <w:t xml:space="preserve">Комитет приветствовал информацию о подготовке к третьей сессии Ассамблеи Организации Объединенных Наций по окружающей среде и предложил ЮНЕП продолжить информировать Комитет о соответствующих изменениях в рамках Ассамблеи. </w:t>
      </w:r>
    </w:p>
    <w:p w:rsidR="00997316" w:rsidRPr="00E022FF" w:rsidRDefault="003150D5" w:rsidP="00997316">
      <w:pPr>
        <w:pStyle w:val="HChG"/>
      </w:pPr>
      <w:r w:rsidRPr="00E022FF">
        <w:tab/>
      </w:r>
      <w:r w:rsidR="00997316" w:rsidRPr="00E022FF">
        <w:t>XI.</w:t>
      </w:r>
      <w:r w:rsidR="00997316" w:rsidRPr="00E022FF">
        <w:tab/>
      </w:r>
      <w:r w:rsidR="00997316" w:rsidRPr="00E022FF">
        <w:rPr>
          <w:bCs/>
        </w:rPr>
        <w:t>Круг ведения</w:t>
      </w:r>
    </w:p>
    <w:p w:rsidR="00997316" w:rsidRPr="00E022FF" w:rsidRDefault="00997316" w:rsidP="00997316">
      <w:pPr>
        <w:pStyle w:val="SingleTxtG"/>
      </w:pPr>
      <w:r w:rsidRPr="00E022FF">
        <w:t>103.</w:t>
      </w:r>
      <w:r w:rsidRPr="00E022FF">
        <w:tab/>
        <w:t>Комитет завершил работу над проектом своего пересмотренного круга ведения, создав редакционную группу под председательством представителя Норвегия, которая работала на протяжении сессии Комитета.</w:t>
      </w:r>
      <w:r w:rsidR="003150D5" w:rsidRPr="00E022FF">
        <w:t xml:space="preserve"> </w:t>
      </w:r>
    </w:p>
    <w:p w:rsidR="00997316" w:rsidRPr="00E022FF" w:rsidRDefault="00997316" w:rsidP="00997316">
      <w:pPr>
        <w:pStyle w:val="SingleTxtG"/>
      </w:pPr>
      <w:r w:rsidRPr="00E022FF">
        <w:t>104.</w:t>
      </w:r>
      <w:r w:rsidRPr="00E022FF">
        <w:tab/>
        <w:t>Комитет одобрил проект своего пересмотренного круга ведения, содержащийся в приложении к настоящему документу, и просил секретариат представить его ЕЭК для возможного утверждения на ее шестьдесят восьмой сессии в 2019 году.</w:t>
      </w:r>
    </w:p>
    <w:p w:rsidR="00997316" w:rsidRPr="00E022FF" w:rsidRDefault="003150D5" w:rsidP="00997316">
      <w:pPr>
        <w:pStyle w:val="HChG"/>
      </w:pPr>
      <w:r w:rsidRPr="00E022FF">
        <w:tab/>
      </w:r>
      <w:r w:rsidR="00997316" w:rsidRPr="00E022FF">
        <w:t>XII.</w:t>
      </w:r>
      <w:r w:rsidR="00997316" w:rsidRPr="00E022FF">
        <w:tab/>
      </w:r>
      <w:r w:rsidR="00997316" w:rsidRPr="00E022FF">
        <w:rPr>
          <w:bCs/>
        </w:rPr>
        <w:t>Правила процедуры</w:t>
      </w:r>
    </w:p>
    <w:p w:rsidR="00997316" w:rsidRPr="00E022FF" w:rsidRDefault="00997316" w:rsidP="00997316">
      <w:pPr>
        <w:pStyle w:val="SingleTxtG"/>
      </w:pPr>
      <w:r w:rsidRPr="00E022FF">
        <w:t>105.</w:t>
      </w:r>
      <w:r w:rsidRPr="00E022FF">
        <w:tab/>
        <w:t>Делегаты обсудили необходимость разработки собственных правил процедуры Комитета. Комитет постановил сохранить текущую практику проведения своих совещаний и организации своей работы в соответствии с правилами процедуры ЕЭК.</w:t>
      </w:r>
    </w:p>
    <w:p w:rsidR="00997316" w:rsidRPr="00E022FF" w:rsidRDefault="003150D5" w:rsidP="00997316">
      <w:pPr>
        <w:pStyle w:val="HChG"/>
      </w:pPr>
      <w:r w:rsidRPr="00E022FF">
        <w:tab/>
      </w:r>
      <w:r w:rsidR="00997316" w:rsidRPr="00E022FF">
        <w:t>XIII.</w:t>
      </w:r>
      <w:r w:rsidR="00997316" w:rsidRPr="00E022FF">
        <w:tab/>
      </w:r>
      <w:r w:rsidR="00997316" w:rsidRPr="00E022FF">
        <w:rPr>
          <w:bCs/>
        </w:rPr>
        <w:t>Выборы должностных лиц</w:t>
      </w:r>
    </w:p>
    <w:p w:rsidR="00997316" w:rsidRPr="00E022FF" w:rsidRDefault="00997316" w:rsidP="00997316">
      <w:pPr>
        <w:pStyle w:val="SingleTxtG"/>
      </w:pPr>
      <w:r w:rsidRPr="00E022FF">
        <w:t>106.</w:t>
      </w:r>
      <w:r w:rsidRPr="00E022FF">
        <w:tab/>
        <w:t>Комитет постановил отложить выборы должностных лиц до следующей сессии Комитета и сохранить до времени ее проведения нынешний состав Президиума.</w:t>
      </w:r>
    </w:p>
    <w:p w:rsidR="00997316" w:rsidRPr="00E022FF" w:rsidRDefault="003150D5" w:rsidP="00997316">
      <w:pPr>
        <w:pStyle w:val="HChG"/>
      </w:pPr>
      <w:r w:rsidRPr="00E022FF">
        <w:lastRenderedPageBreak/>
        <w:tab/>
      </w:r>
      <w:r w:rsidR="00997316" w:rsidRPr="00E022FF">
        <w:t>XIV.</w:t>
      </w:r>
      <w:r w:rsidR="00997316" w:rsidRPr="00E022FF">
        <w:tab/>
      </w:r>
      <w:r w:rsidR="00997316" w:rsidRPr="00E022FF">
        <w:rPr>
          <w:bCs/>
        </w:rPr>
        <w:t>Расписание совещаний</w:t>
      </w:r>
      <w:r w:rsidR="00997316" w:rsidRPr="00E022FF">
        <w:t xml:space="preserve"> </w:t>
      </w:r>
    </w:p>
    <w:p w:rsidR="00997316" w:rsidRPr="00E022FF" w:rsidRDefault="00997316" w:rsidP="00997316">
      <w:pPr>
        <w:pStyle w:val="SingleTxtG"/>
      </w:pPr>
      <w:r w:rsidRPr="00E022FF">
        <w:t>107.</w:t>
      </w:r>
      <w:r w:rsidRPr="00E022FF">
        <w:tab/>
        <w:t>Председатель представила расписание совещаний Комитета и его Президиума на период до 2020 года.</w:t>
      </w:r>
    </w:p>
    <w:p w:rsidR="00997316" w:rsidRPr="00E022FF" w:rsidRDefault="00997316" w:rsidP="00997316">
      <w:pPr>
        <w:pStyle w:val="SingleTxtG"/>
      </w:pPr>
      <w:r w:rsidRPr="00E022FF">
        <w:t>108.</w:t>
      </w:r>
      <w:r w:rsidRPr="00E022FF">
        <w:tab/>
        <w:t>Комитет одобрил предложенное расписание совещаний Комитета и Президиума на период до 2020 года, изложенное в информационном документе № 8, приняв при этом решение организовать двадцать четвертую сессии Комитета в Женеве в течение недели с 28 января по 1 февраля 2019 года, внеся соответствующие изменения в график е</w:t>
      </w:r>
      <w:r w:rsidR="00E022FF" w:rsidRPr="00E022FF">
        <w:rPr>
          <w:rStyle w:val="FootnoteReference"/>
          <w:vertAlign w:val="baseline"/>
        </w:rPr>
        <w:t>е</w:t>
      </w:r>
      <w:r w:rsidRPr="00E022FF">
        <w:t xml:space="preserve"> подготовки.</w:t>
      </w:r>
    </w:p>
    <w:p w:rsidR="00997316" w:rsidRPr="00E022FF" w:rsidRDefault="00997316" w:rsidP="00997316">
      <w:pPr>
        <w:pStyle w:val="SingleTxtG"/>
      </w:pPr>
      <w:r w:rsidRPr="00E022FF">
        <w:t>109.</w:t>
      </w:r>
      <w:r w:rsidRPr="00E022FF">
        <w:tab/>
        <w:t>Кроме того, Комитет предложил Президиуму и секретариату запросить мнения членов Комитета и наблюдателей по формату сессий Комитета и изучить возможность подготовки и организации совещания Президиума расширенного состава, возможно, в увязке с Региональным форумом по устойчивому развитию в регионе ЕЭК в 2018 году, с тем чтобы обсудить формат сессий Комитета.</w:t>
      </w:r>
    </w:p>
    <w:p w:rsidR="00997316" w:rsidRPr="00E022FF" w:rsidRDefault="003150D5" w:rsidP="00997316">
      <w:pPr>
        <w:pStyle w:val="HChG"/>
      </w:pPr>
      <w:r w:rsidRPr="00E022FF">
        <w:tab/>
      </w:r>
      <w:r w:rsidR="00997316" w:rsidRPr="00E022FF">
        <w:t>XV.</w:t>
      </w:r>
      <w:r w:rsidR="00997316" w:rsidRPr="00E022FF">
        <w:tab/>
      </w:r>
      <w:r w:rsidR="00997316" w:rsidRPr="00E022FF">
        <w:rPr>
          <w:bCs/>
        </w:rPr>
        <w:t>Закрытие сессии</w:t>
      </w:r>
    </w:p>
    <w:p w:rsidR="00997316" w:rsidRPr="00B64EDB" w:rsidRDefault="00997316" w:rsidP="00997316">
      <w:pPr>
        <w:pStyle w:val="SingleTxtG"/>
      </w:pPr>
      <w:r w:rsidRPr="00B64EDB">
        <w:t>110.</w:t>
      </w:r>
      <w:r w:rsidRPr="00B64EDB">
        <w:tab/>
        <w:t>При поддержке секретариата Председатель подготовила и представила резюме итогов и решений, принятых Комитетом на его двадцать третьей сессии. После обсуждения проект резюме был доработан и утвержден</w:t>
      </w:r>
      <w:r w:rsidR="00B64EDB" w:rsidRPr="00B64EDB">
        <w:rPr>
          <w:rStyle w:val="FootnoteReference"/>
          <w:sz w:val="20"/>
        </w:rPr>
        <w:footnoteReference w:id="3"/>
      </w:r>
      <w:r w:rsidRPr="00B64EDB">
        <w:t xml:space="preserve">. </w:t>
      </w:r>
    </w:p>
    <w:p w:rsidR="00997316" w:rsidRPr="00B64EDB" w:rsidRDefault="00997316" w:rsidP="00997316">
      <w:pPr>
        <w:pStyle w:val="SingleTxtG"/>
      </w:pPr>
      <w:r w:rsidRPr="00B64EDB">
        <w:t>111.</w:t>
      </w:r>
      <w:r w:rsidRPr="00B64EDB">
        <w:tab/>
        <w:t>Комитет просил Президиум и секретариат предпринять последующие действия в связи с решениями Комитета, в частности подготовить документы и доклады, необходимые для работы Комитета на его следующей сессии.</w:t>
      </w:r>
    </w:p>
    <w:p w:rsidR="00997316" w:rsidRPr="00B64EDB" w:rsidRDefault="00997316" w:rsidP="00997316">
      <w:pPr>
        <w:pStyle w:val="SingleTxtG"/>
      </w:pPr>
      <w:r w:rsidRPr="00B64EDB">
        <w:t>112.</w:t>
      </w:r>
      <w:r w:rsidRPr="00B64EDB">
        <w:tab/>
        <w:t>В отношении двух параллельных мероприятий, организованных на полях сессии, Комитет:</w:t>
      </w:r>
    </w:p>
    <w:p w:rsidR="00997316" w:rsidRPr="00B64EDB" w:rsidRDefault="00997316" w:rsidP="00997316">
      <w:pPr>
        <w:pStyle w:val="SingleTxtG"/>
      </w:pPr>
      <w:r w:rsidRPr="00B64EDB">
        <w:tab/>
      </w:r>
      <w:r w:rsidRPr="00B64EDB">
        <w:tab/>
        <w:t>а)</w:t>
      </w:r>
      <w:r w:rsidRPr="00B64EDB">
        <w:tab/>
        <w:t xml:space="preserve">выразил признательность ЕЭК и ЮНЕП за организацию параллельного мероприятия на тему </w:t>
      </w:r>
      <w:r w:rsidR="001F22AE" w:rsidRPr="00B64EDB">
        <w:rPr>
          <w:rStyle w:val="FootnoteReference"/>
          <w:sz w:val="20"/>
          <w:vertAlign w:val="baseline"/>
        </w:rPr>
        <w:t>«</w:t>
      </w:r>
      <w:r w:rsidRPr="00B64EDB">
        <w:t xml:space="preserve">Экологический компонент инициативы </w:t>
      </w:r>
      <w:r w:rsidR="006D373F">
        <w:t>"</w:t>
      </w:r>
      <w:r w:rsidRPr="00B64EDB">
        <w:t>Пояс и путь</w:t>
      </w:r>
      <w:r w:rsidR="006D373F">
        <w:t>"</w:t>
      </w:r>
      <w:r w:rsidRPr="00B64EDB">
        <w:t>: перспективы и проблемы</w:t>
      </w:r>
      <w:r w:rsidR="001F22AE" w:rsidRPr="00B64EDB">
        <w:rPr>
          <w:rStyle w:val="FootnoteReference"/>
          <w:sz w:val="20"/>
          <w:vertAlign w:val="baseline"/>
        </w:rPr>
        <w:t>»</w:t>
      </w:r>
      <w:r w:rsidRPr="00B64EDB">
        <w:t xml:space="preserve">; </w:t>
      </w:r>
    </w:p>
    <w:p w:rsidR="00997316" w:rsidRPr="00B64EDB" w:rsidRDefault="00997316" w:rsidP="00997316">
      <w:pPr>
        <w:pStyle w:val="SingleTxtG"/>
      </w:pPr>
      <w:r w:rsidRPr="00B64EDB">
        <w:tab/>
      </w:r>
      <w:r w:rsidRPr="00B64EDB">
        <w:tab/>
        <w:t>b)</w:t>
      </w:r>
      <w:r w:rsidRPr="00B64EDB">
        <w:tab/>
        <w:t xml:space="preserve">выразил признательность ЕЭК, ОЭСР, ЮНЕП и ЮНИДО за организацию параллельного мероприятия на тему </w:t>
      </w:r>
      <w:r w:rsidR="001F22AE" w:rsidRPr="00B64EDB">
        <w:rPr>
          <w:rStyle w:val="FootnoteReference"/>
          <w:sz w:val="20"/>
          <w:vertAlign w:val="baseline"/>
        </w:rPr>
        <w:t>«</w:t>
      </w:r>
      <w:r w:rsidRPr="00B64EDB">
        <w:t>Экологизация экономики стран Восточного партнерства: от обязательств к результатам</w:t>
      </w:r>
      <w:r w:rsidR="001F22AE" w:rsidRPr="00B64EDB">
        <w:rPr>
          <w:rStyle w:val="FootnoteReference"/>
          <w:sz w:val="20"/>
          <w:vertAlign w:val="baseline"/>
        </w:rPr>
        <w:t>»</w:t>
      </w:r>
      <w:r w:rsidRPr="00B64EDB">
        <w:t>.</w:t>
      </w:r>
    </w:p>
    <w:p w:rsidR="00997316" w:rsidRPr="00B64EDB" w:rsidRDefault="00997316" w:rsidP="00997316">
      <w:pPr>
        <w:pStyle w:val="SingleTxtG"/>
      </w:pPr>
      <w:r w:rsidRPr="00B64EDB">
        <w:t>113.</w:t>
      </w:r>
      <w:r w:rsidRPr="00B64EDB">
        <w:tab/>
        <w:t>Комитет выразил глубокую признательность секретариату ЕЭК за работу по подготовке настоящей сессии.</w:t>
      </w:r>
    </w:p>
    <w:p w:rsidR="00997316" w:rsidRPr="00E022FF" w:rsidRDefault="00997316" w:rsidP="00997316">
      <w:pPr>
        <w:pStyle w:val="SingleTxtG"/>
      </w:pPr>
      <w:r w:rsidRPr="00B64EDB">
        <w:t>114.</w:t>
      </w:r>
      <w:r w:rsidRPr="00B64EDB">
        <w:tab/>
        <w:t xml:space="preserve">Председатель проинформировала делегатов о том, что доклад о работе нынешней сессии и список участников будут размещены на веб-сайте ЕЭК после </w:t>
      </w:r>
      <w:r w:rsidRPr="00E022FF">
        <w:t>сессии. Председатель поблагодарила участников и объявил сессию закрытой.</w:t>
      </w:r>
    </w:p>
    <w:p w:rsidR="00997316" w:rsidRPr="00E022FF" w:rsidRDefault="00997316">
      <w:pPr>
        <w:suppressAutoHyphens w:val="0"/>
        <w:spacing w:line="240" w:lineRule="auto"/>
        <w:rPr>
          <w:rFonts w:eastAsia="Times New Roman" w:cs="Times New Roman"/>
          <w:b/>
          <w:bCs/>
          <w:sz w:val="28"/>
          <w:szCs w:val="20"/>
          <w:lang w:eastAsia="ru-RU"/>
        </w:rPr>
      </w:pPr>
      <w:r w:rsidRPr="00E022FF">
        <w:rPr>
          <w:bCs/>
        </w:rPr>
        <w:br w:type="page"/>
      </w:r>
    </w:p>
    <w:p w:rsidR="00997316" w:rsidRPr="00E022FF" w:rsidRDefault="00997316" w:rsidP="006D373F">
      <w:pPr>
        <w:pStyle w:val="HChG"/>
      </w:pPr>
      <w:r w:rsidRPr="00E022FF">
        <w:lastRenderedPageBreak/>
        <w:t>Приложение</w:t>
      </w:r>
    </w:p>
    <w:p w:rsidR="00997316" w:rsidRPr="00E022FF" w:rsidRDefault="00997316" w:rsidP="003150D5">
      <w:pPr>
        <w:pStyle w:val="HChG"/>
        <w:spacing w:before="0"/>
        <w:rPr>
          <w:bCs/>
        </w:rPr>
      </w:pPr>
      <w:r w:rsidRPr="00E022FF">
        <w:tab/>
      </w:r>
      <w:r w:rsidRPr="00E022FF">
        <w:tab/>
      </w:r>
      <w:r w:rsidRPr="00E022FF">
        <w:rPr>
          <w:bCs/>
        </w:rPr>
        <w:t>Круг ведения Комитета по экологической политике</w:t>
      </w:r>
    </w:p>
    <w:p w:rsidR="00997316" w:rsidRPr="00E022FF" w:rsidRDefault="00997316" w:rsidP="003150D5">
      <w:pPr>
        <w:pStyle w:val="SingleTxtGR"/>
        <w:suppressAutoHyphens/>
        <w:rPr>
          <w:spacing w:val="0"/>
          <w:w w:val="100"/>
          <w:kern w:val="0"/>
        </w:rPr>
      </w:pPr>
      <w:r w:rsidRPr="00E022FF">
        <w:rPr>
          <w:spacing w:val="0"/>
          <w:w w:val="100"/>
          <w:kern w:val="0"/>
        </w:rPr>
        <w:t>1.</w:t>
      </w:r>
      <w:r w:rsidRPr="00E022FF">
        <w:rPr>
          <w:spacing w:val="0"/>
          <w:w w:val="100"/>
          <w:kern w:val="0"/>
        </w:rPr>
        <w:tab/>
        <w:t xml:space="preserve">Комитет по экологической политике сосредоточивает свои усилия на предупреждении экологического ущерба, в том числе обусловленного изменением климата, поощрении устойчивого управления экологическими ресурсами и содействии развитию сотрудничества в области охраны окружающей среды между странами региона Европейской экономической комиссии Организации Объединенных Наций (ЕЭК), способствуя тем самым улучшению состояния окружающей среды в регионе. </w:t>
      </w:r>
    </w:p>
    <w:p w:rsidR="00997316" w:rsidRPr="00E022FF" w:rsidRDefault="00997316" w:rsidP="003150D5">
      <w:pPr>
        <w:pStyle w:val="SingleTxtGR"/>
        <w:suppressAutoHyphens/>
        <w:rPr>
          <w:spacing w:val="0"/>
          <w:w w:val="100"/>
          <w:kern w:val="0"/>
        </w:rPr>
      </w:pPr>
      <w:r w:rsidRPr="00E022FF">
        <w:rPr>
          <w:spacing w:val="0"/>
          <w:w w:val="100"/>
          <w:kern w:val="0"/>
        </w:rPr>
        <w:t>2.</w:t>
      </w:r>
      <w:r w:rsidRPr="00E022FF">
        <w:rPr>
          <w:spacing w:val="0"/>
          <w:w w:val="100"/>
          <w:kern w:val="0"/>
        </w:rPr>
        <w:tab/>
        <w:t>В частности, Комитет как многосторонний форум для сотрудничества в области окружающей среды в регионе ЕЭК ООН, будет:</w:t>
      </w:r>
    </w:p>
    <w:p w:rsidR="00997316" w:rsidRPr="00E022FF" w:rsidRDefault="00997316" w:rsidP="003150D5">
      <w:pPr>
        <w:pStyle w:val="SingleTxtGR"/>
        <w:suppressAutoHyphens/>
        <w:rPr>
          <w:spacing w:val="0"/>
          <w:w w:val="100"/>
          <w:kern w:val="0"/>
        </w:rPr>
      </w:pPr>
      <w:r w:rsidRPr="00E022FF">
        <w:rPr>
          <w:spacing w:val="0"/>
          <w:w w:val="100"/>
          <w:kern w:val="0"/>
        </w:rPr>
        <w:tab/>
        <w:t>а)</w:t>
      </w:r>
      <w:r w:rsidRPr="00E022FF">
        <w:rPr>
          <w:spacing w:val="0"/>
          <w:w w:val="100"/>
          <w:kern w:val="0"/>
        </w:rPr>
        <w:tab/>
        <w:t>служить для государств – членов ЕЭК инструментом стратегического руководства в регионе и развертывания международных инициатив, включая подготовку совещаний министров стран региона для рассмотрения экологических приоритетов и утверждения стратегических направлений экологической политики;</w:t>
      </w:r>
    </w:p>
    <w:p w:rsidR="00997316" w:rsidRPr="00E022FF" w:rsidRDefault="00997316" w:rsidP="003150D5">
      <w:pPr>
        <w:pStyle w:val="SingleTxtGR"/>
        <w:suppressAutoHyphens/>
        <w:rPr>
          <w:spacing w:val="0"/>
          <w:w w:val="100"/>
          <w:kern w:val="0"/>
        </w:rPr>
      </w:pPr>
      <w:r w:rsidRPr="00E022FF">
        <w:rPr>
          <w:spacing w:val="0"/>
          <w:w w:val="100"/>
          <w:kern w:val="0"/>
        </w:rPr>
        <w:tab/>
        <w:t>b)</w:t>
      </w:r>
      <w:r w:rsidRPr="00E022FF">
        <w:rPr>
          <w:spacing w:val="0"/>
          <w:w w:val="100"/>
          <w:kern w:val="0"/>
        </w:rPr>
        <w:tab/>
        <w:t xml:space="preserve">действовать в качестве органа, отвечающего за организацию подготовительного процесса для конференций министров </w:t>
      </w:r>
      <w:r w:rsidR="001F22AE" w:rsidRPr="00E022FF">
        <w:rPr>
          <w:rStyle w:val="FootnoteReference"/>
          <w:vertAlign w:val="baseline"/>
        </w:rPr>
        <w:t>«</w:t>
      </w:r>
      <w:r w:rsidRPr="00E022FF">
        <w:rPr>
          <w:spacing w:val="0"/>
          <w:w w:val="100"/>
          <w:kern w:val="0"/>
        </w:rPr>
        <w:t>Окружающая среда для Европы</w:t>
      </w:r>
      <w:r w:rsidR="001F22AE" w:rsidRPr="00E022FF">
        <w:rPr>
          <w:rStyle w:val="FootnoteReference"/>
          <w:vertAlign w:val="baseline"/>
        </w:rPr>
        <w:t>»</w:t>
      </w:r>
      <w:r w:rsidRPr="00E022FF">
        <w:rPr>
          <w:spacing w:val="0"/>
          <w:w w:val="100"/>
          <w:kern w:val="0"/>
        </w:rPr>
        <w:t>, и осуществлять соответствующие решения конференций министров;</w:t>
      </w:r>
    </w:p>
    <w:p w:rsidR="00997316" w:rsidRPr="00E022FF" w:rsidRDefault="00997316" w:rsidP="003150D5">
      <w:pPr>
        <w:pStyle w:val="SingleTxtGR"/>
        <w:suppressAutoHyphens/>
        <w:rPr>
          <w:spacing w:val="0"/>
          <w:w w:val="100"/>
          <w:kern w:val="0"/>
        </w:rPr>
      </w:pPr>
      <w:r w:rsidRPr="00E022FF">
        <w:rPr>
          <w:spacing w:val="0"/>
          <w:w w:val="100"/>
          <w:kern w:val="0"/>
        </w:rPr>
        <w:tab/>
        <w:t>с)</w:t>
      </w:r>
      <w:r w:rsidRPr="00E022FF">
        <w:rPr>
          <w:spacing w:val="0"/>
          <w:w w:val="100"/>
          <w:kern w:val="0"/>
        </w:rPr>
        <w:tab/>
        <w:t xml:space="preserve">поощрять обзоры результативности экологической деятельности и определять методы их проведения в заинтересованных странах, используя подход, ориентированный на потребности конкретной страны, принимать выводы и рекомендации обзоров и оказывать помощь государствам-членам в их осуществлении; </w:t>
      </w:r>
    </w:p>
    <w:p w:rsidR="00997316" w:rsidRPr="00E022FF" w:rsidRDefault="00997316" w:rsidP="003150D5">
      <w:pPr>
        <w:pStyle w:val="SingleTxtGR"/>
        <w:suppressAutoHyphens/>
        <w:rPr>
          <w:spacing w:val="0"/>
          <w:w w:val="100"/>
          <w:kern w:val="0"/>
        </w:rPr>
      </w:pPr>
      <w:r w:rsidRPr="00E022FF">
        <w:rPr>
          <w:spacing w:val="0"/>
          <w:w w:val="100"/>
          <w:kern w:val="0"/>
        </w:rPr>
        <w:tab/>
        <w:t>d)</w:t>
      </w:r>
      <w:r w:rsidRPr="00E022FF">
        <w:rPr>
          <w:spacing w:val="0"/>
          <w:w w:val="100"/>
          <w:kern w:val="0"/>
        </w:rPr>
        <w:tab/>
        <w:t>контролировать разработку и внедрение Общей системы экологической информации в поддержку регулярного процесса экологической оценки в регионе;</w:t>
      </w:r>
    </w:p>
    <w:p w:rsidR="00997316" w:rsidRPr="00E022FF" w:rsidRDefault="00997316" w:rsidP="003150D5">
      <w:pPr>
        <w:pStyle w:val="SingleTxtGR"/>
        <w:suppressAutoHyphens/>
        <w:rPr>
          <w:spacing w:val="0"/>
          <w:w w:val="100"/>
          <w:kern w:val="0"/>
        </w:rPr>
      </w:pPr>
      <w:r w:rsidRPr="00E022FF">
        <w:rPr>
          <w:spacing w:val="0"/>
          <w:w w:val="100"/>
          <w:kern w:val="0"/>
        </w:rPr>
        <w:tab/>
        <w:t>e)</w:t>
      </w:r>
      <w:r w:rsidRPr="00E022FF">
        <w:rPr>
          <w:spacing w:val="0"/>
          <w:w w:val="100"/>
          <w:kern w:val="0"/>
        </w:rPr>
        <w:tab/>
        <w:t>поощрять и укреплять информационный и наблюдательный потенциал в области охраны окружающей среды и использовать показатели для оценки прогресса, особенно в странах Восточной и Юго-Восточной Европы, Кавказа и Центральной Азии, а также в других странах ЕЭК, по мере необходимости, для получения надежной и значимой информации о состоянии окружающей среды в качестве основы для совершенствования выработки политики и ведения информационно-просветительской работы среди общественности;</w:t>
      </w:r>
    </w:p>
    <w:p w:rsidR="00997316" w:rsidRPr="00E022FF" w:rsidRDefault="00997316" w:rsidP="003150D5">
      <w:pPr>
        <w:pStyle w:val="SingleTxtGR"/>
        <w:suppressAutoHyphens/>
        <w:rPr>
          <w:spacing w:val="0"/>
          <w:w w:val="100"/>
          <w:kern w:val="0"/>
        </w:rPr>
      </w:pPr>
      <w:r w:rsidRPr="00E022FF">
        <w:rPr>
          <w:spacing w:val="0"/>
          <w:w w:val="100"/>
          <w:kern w:val="0"/>
        </w:rPr>
        <w:tab/>
        <w:t>f)</w:t>
      </w:r>
      <w:r w:rsidRPr="00E022FF">
        <w:rPr>
          <w:spacing w:val="0"/>
          <w:w w:val="100"/>
          <w:kern w:val="0"/>
        </w:rPr>
        <w:tab/>
        <w:t>изучать потребность в имеющих обязательную юридическую силу инструментах, рекомендациях, методологиях и руководствах для улучшения рационального природопользования в странах-членах и разрабатывать их, по мере необходимости;</w:t>
      </w:r>
    </w:p>
    <w:p w:rsidR="00997316" w:rsidRPr="00E022FF" w:rsidRDefault="00997316" w:rsidP="003150D5">
      <w:pPr>
        <w:pStyle w:val="SingleTxtGR"/>
        <w:suppressAutoHyphens/>
        <w:rPr>
          <w:spacing w:val="0"/>
          <w:w w:val="100"/>
          <w:kern w:val="0"/>
        </w:rPr>
      </w:pPr>
      <w:r w:rsidRPr="00E022FF">
        <w:rPr>
          <w:spacing w:val="0"/>
          <w:w w:val="100"/>
          <w:kern w:val="0"/>
        </w:rPr>
        <w:tab/>
        <w:t>g)</w:t>
      </w:r>
      <w:r w:rsidRPr="00E022FF">
        <w:rPr>
          <w:spacing w:val="0"/>
          <w:w w:val="100"/>
          <w:kern w:val="0"/>
        </w:rPr>
        <w:tab/>
        <w:t>проводить и поддерживать международные мероприятия, которые:</w:t>
      </w:r>
    </w:p>
    <w:p w:rsidR="00997316" w:rsidRPr="00E022FF" w:rsidRDefault="00997316" w:rsidP="003150D5">
      <w:pPr>
        <w:pStyle w:val="SingleTxtGR"/>
        <w:suppressAutoHyphens/>
        <w:ind w:left="1701" w:hanging="567"/>
        <w:rPr>
          <w:spacing w:val="0"/>
          <w:w w:val="100"/>
          <w:kern w:val="0"/>
        </w:rPr>
      </w:pPr>
      <w:r w:rsidRPr="00E022FF">
        <w:rPr>
          <w:spacing w:val="0"/>
          <w:w w:val="100"/>
          <w:kern w:val="0"/>
        </w:rPr>
        <w:tab/>
        <w:t>i)</w:t>
      </w:r>
      <w:r w:rsidRPr="00E022FF">
        <w:rPr>
          <w:spacing w:val="0"/>
          <w:w w:val="100"/>
          <w:kern w:val="0"/>
        </w:rPr>
        <w:tab/>
        <w:t>поощряют природоохранную деятельность и устойчивое развитие в регионе на субрегиональном и трансграничном уровнях;</w:t>
      </w:r>
    </w:p>
    <w:p w:rsidR="00997316" w:rsidRPr="00E022FF" w:rsidRDefault="00997316" w:rsidP="003150D5">
      <w:pPr>
        <w:pStyle w:val="SingleTxtGR"/>
        <w:suppressAutoHyphens/>
        <w:ind w:left="1701" w:hanging="567"/>
        <w:rPr>
          <w:spacing w:val="0"/>
          <w:w w:val="100"/>
          <w:kern w:val="0"/>
        </w:rPr>
      </w:pPr>
      <w:r w:rsidRPr="00E022FF">
        <w:rPr>
          <w:spacing w:val="0"/>
          <w:w w:val="100"/>
          <w:kern w:val="0"/>
        </w:rPr>
        <w:tab/>
        <w:t>ii)</w:t>
      </w:r>
      <w:r w:rsidRPr="00E022FF">
        <w:rPr>
          <w:spacing w:val="0"/>
          <w:w w:val="100"/>
          <w:kern w:val="0"/>
        </w:rPr>
        <w:tab/>
        <w:t>содействуют вкладу Комитета в работу Ассамблеи Организации Объединенных Наций по окружающей среде на глобальном уровне;</w:t>
      </w:r>
    </w:p>
    <w:p w:rsidR="00997316" w:rsidRPr="00E022FF" w:rsidRDefault="00997316" w:rsidP="003150D5">
      <w:pPr>
        <w:pStyle w:val="SingleTxtGR"/>
        <w:suppressAutoHyphens/>
        <w:ind w:left="1701" w:hanging="567"/>
        <w:rPr>
          <w:spacing w:val="0"/>
          <w:w w:val="100"/>
          <w:kern w:val="0"/>
        </w:rPr>
      </w:pPr>
      <w:r w:rsidRPr="00E022FF">
        <w:rPr>
          <w:spacing w:val="0"/>
          <w:w w:val="100"/>
          <w:kern w:val="0"/>
        </w:rPr>
        <w:tab/>
        <w:t>iii)</w:t>
      </w:r>
      <w:r w:rsidRPr="00E022FF">
        <w:rPr>
          <w:spacing w:val="0"/>
          <w:w w:val="100"/>
          <w:kern w:val="0"/>
        </w:rPr>
        <w:tab/>
        <w:t>способствуют развитию сотрудничества между всеми заинтересованными сторонами в целях обеспечения результативности и затратоэффективности проводимых мероприятий;</w:t>
      </w:r>
    </w:p>
    <w:p w:rsidR="00997316" w:rsidRPr="00E022FF" w:rsidRDefault="00997316" w:rsidP="003150D5">
      <w:pPr>
        <w:pStyle w:val="SingleTxtGR"/>
        <w:suppressAutoHyphens/>
        <w:ind w:left="1701" w:hanging="567"/>
        <w:rPr>
          <w:spacing w:val="0"/>
          <w:w w:val="100"/>
          <w:kern w:val="0"/>
        </w:rPr>
      </w:pPr>
      <w:r w:rsidRPr="00E022FF">
        <w:rPr>
          <w:spacing w:val="0"/>
          <w:w w:val="100"/>
          <w:kern w:val="0"/>
        </w:rPr>
        <w:tab/>
        <w:t>iv)</w:t>
      </w:r>
      <w:r w:rsidRPr="00E022FF">
        <w:rPr>
          <w:spacing w:val="0"/>
          <w:w w:val="100"/>
          <w:kern w:val="0"/>
        </w:rPr>
        <w:tab/>
        <w:t>поощряют общественность к участию в процессе принятия решений по вопросам окружающей среды с привлечением организаций гражданского общества, в том числе частного сектора, в соответствии с процедурами Организации Объединенных Наций и национальной практикой государств – членов ЕЭК;</w:t>
      </w:r>
    </w:p>
    <w:p w:rsidR="00997316" w:rsidRPr="00E022FF" w:rsidRDefault="00997316" w:rsidP="003150D5">
      <w:pPr>
        <w:pStyle w:val="SingleTxtGR"/>
        <w:suppressAutoHyphens/>
        <w:rPr>
          <w:spacing w:val="0"/>
          <w:w w:val="100"/>
          <w:kern w:val="0"/>
        </w:rPr>
      </w:pPr>
      <w:r w:rsidRPr="00E022FF">
        <w:rPr>
          <w:spacing w:val="0"/>
          <w:w w:val="100"/>
          <w:kern w:val="0"/>
        </w:rPr>
        <w:tab/>
        <w:t>h)</w:t>
      </w:r>
      <w:r w:rsidRPr="00E022FF">
        <w:rPr>
          <w:spacing w:val="0"/>
          <w:w w:val="100"/>
          <w:kern w:val="0"/>
        </w:rPr>
        <w:tab/>
        <w:t>развивать сотрудничество и обмен опытом между природоохранными конвенциями ЕЭК в целях содействия их эффективному осуществлению;</w:t>
      </w:r>
    </w:p>
    <w:p w:rsidR="00997316" w:rsidRPr="00E022FF" w:rsidRDefault="00997316" w:rsidP="003150D5">
      <w:pPr>
        <w:pStyle w:val="SingleTxtGR"/>
        <w:suppressAutoHyphens/>
        <w:rPr>
          <w:spacing w:val="0"/>
          <w:w w:val="100"/>
          <w:kern w:val="0"/>
        </w:rPr>
      </w:pPr>
      <w:r w:rsidRPr="00E022FF">
        <w:rPr>
          <w:spacing w:val="0"/>
          <w:w w:val="100"/>
          <w:kern w:val="0"/>
        </w:rPr>
        <w:lastRenderedPageBreak/>
        <w:tab/>
        <w:t>i)</w:t>
      </w:r>
      <w:r w:rsidRPr="00E022FF">
        <w:rPr>
          <w:spacing w:val="0"/>
          <w:w w:val="100"/>
          <w:kern w:val="0"/>
        </w:rPr>
        <w:tab/>
        <w:t>содействовать внедрению механизмов и инструментов политики и имеющих обязательную юридическую силу инструментов ЕЭК для расширения возможностей стран Восточной и Юго-Восточной Европы, Кавказа и Центральной Азии путем оказания технической помощи, организации консультативных миссий и укрепления потенциала, по просьбе государств-членов;</w:t>
      </w:r>
    </w:p>
    <w:p w:rsidR="00997316" w:rsidRPr="00E022FF" w:rsidRDefault="00997316" w:rsidP="003150D5">
      <w:pPr>
        <w:pStyle w:val="SingleTxtGR"/>
        <w:suppressAutoHyphens/>
        <w:rPr>
          <w:spacing w:val="0"/>
          <w:w w:val="100"/>
          <w:kern w:val="0"/>
        </w:rPr>
      </w:pPr>
      <w:r w:rsidRPr="00E022FF">
        <w:rPr>
          <w:spacing w:val="0"/>
          <w:w w:val="100"/>
          <w:kern w:val="0"/>
        </w:rPr>
        <w:tab/>
        <w:t>j)</w:t>
      </w:r>
      <w:r w:rsidRPr="00E022FF">
        <w:rPr>
          <w:spacing w:val="0"/>
          <w:w w:val="100"/>
          <w:kern w:val="0"/>
        </w:rPr>
        <w:tab/>
        <w:t>оказывать государствам-членам, по мере необходимости, содействие в обеспечении всестороннего учета экологических соображений в рамках других направлений политики для поощрения межсекторальных подходов и в использовании показателей для оценки достигнутого прогресса, в надлежащих случаях;</w:t>
      </w:r>
    </w:p>
    <w:p w:rsidR="00997316" w:rsidRPr="00E022FF" w:rsidRDefault="00997316" w:rsidP="003150D5">
      <w:pPr>
        <w:pStyle w:val="SingleTxtGR"/>
        <w:suppressAutoHyphens/>
        <w:rPr>
          <w:spacing w:val="0"/>
          <w:w w:val="100"/>
          <w:kern w:val="0"/>
        </w:rPr>
      </w:pPr>
      <w:r w:rsidRPr="00E022FF">
        <w:rPr>
          <w:spacing w:val="0"/>
          <w:w w:val="100"/>
          <w:kern w:val="0"/>
        </w:rPr>
        <w:tab/>
        <w:t>k)</w:t>
      </w:r>
      <w:r w:rsidRPr="00E022FF">
        <w:rPr>
          <w:spacing w:val="0"/>
          <w:w w:val="100"/>
          <w:kern w:val="0"/>
        </w:rPr>
        <w:tab/>
        <w:t>способствовать реализации в регионе ЕЭК экологического компонента Повестки дня в области устойчивого развития на период до 2030 года и оказывать поддержку региональным совещаниям, организуемым в рамках подготовки совещаний политического форума высокого уровня по устойчивому развитию;</w:t>
      </w:r>
    </w:p>
    <w:p w:rsidR="00997316" w:rsidRPr="00E022FF" w:rsidRDefault="00997316" w:rsidP="003150D5">
      <w:pPr>
        <w:pStyle w:val="SingleTxtGR"/>
        <w:suppressAutoHyphens/>
        <w:rPr>
          <w:spacing w:val="0"/>
          <w:w w:val="100"/>
          <w:kern w:val="0"/>
        </w:rPr>
      </w:pPr>
      <w:r w:rsidRPr="00E022FF">
        <w:rPr>
          <w:spacing w:val="0"/>
          <w:w w:val="100"/>
          <w:kern w:val="0"/>
        </w:rPr>
        <w:tab/>
        <w:t>l)</w:t>
      </w:r>
      <w:r w:rsidRPr="00E022FF">
        <w:rPr>
          <w:spacing w:val="0"/>
          <w:w w:val="100"/>
          <w:kern w:val="0"/>
        </w:rPr>
        <w:tab/>
        <w:t>пересматривать на регулярной основе свою программу работы для обеспечения согласованности своей деятельности с общими целями ЕЭК, развивать синергизм и предлагать Комиссии ЕЭК варианты сотрудничества с другими секторальными комитетами по вопросам, представляющим общий интерес;</w:t>
      </w:r>
    </w:p>
    <w:p w:rsidR="00997316" w:rsidRPr="00E022FF" w:rsidRDefault="00997316" w:rsidP="003150D5">
      <w:pPr>
        <w:pStyle w:val="SingleTxtGR"/>
        <w:suppressAutoHyphens/>
        <w:rPr>
          <w:spacing w:val="0"/>
          <w:w w:val="100"/>
          <w:kern w:val="0"/>
        </w:rPr>
      </w:pPr>
      <w:r w:rsidRPr="00E022FF">
        <w:rPr>
          <w:spacing w:val="0"/>
          <w:w w:val="100"/>
          <w:kern w:val="0"/>
        </w:rPr>
        <w:tab/>
        <w:t>m)</w:t>
      </w:r>
      <w:r w:rsidRPr="00E022FF">
        <w:rPr>
          <w:spacing w:val="0"/>
          <w:w w:val="100"/>
          <w:kern w:val="0"/>
        </w:rPr>
        <w:tab/>
        <w:t>содействовать достижению синергизма в деле осуществления региональных экологических программ, в том числе тех, которые были разработаны в рамках региональных организаций экономической интеграции, и сотрудничать с другими региональными комиссиями Организации Объединенных Наций, международными организациями и другими соответствующими органами, в частности с финансовыми учреждениями, во избежание дублирования работы и для укрепления синергизма;</w:t>
      </w:r>
    </w:p>
    <w:p w:rsidR="00E12C5F" w:rsidRPr="00E022FF" w:rsidRDefault="00B64EDB" w:rsidP="003150D5">
      <w:pPr>
        <w:pStyle w:val="SingleTxtG"/>
      </w:pPr>
      <w:r>
        <w:tab/>
      </w:r>
      <w:r w:rsidR="00997316" w:rsidRPr="00E022FF">
        <w:tab/>
        <w:t>n)</w:t>
      </w:r>
      <w:r w:rsidR="00997316" w:rsidRPr="00E022FF">
        <w:tab/>
        <w:t>поощрять и поддерживать усилия государств-членов, направленные на достижение Целей в области устойчивого развития.</w:t>
      </w:r>
    </w:p>
    <w:p w:rsidR="00997316" w:rsidRPr="00E022FF" w:rsidRDefault="00997316" w:rsidP="003150D5">
      <w:pPr>
        <w:pStyle w:val="SingleTxtG"/>
        <w:spacing w:before="240" w:after="0"/>
        <w:jc w:val="center"/>
        <w:rPr>
          <w:u w:val="single"/>
        </w:rPr>
      </w:pPr>
      <w:r w:rsidRPr="00E022FF">
        <w:rPr>
          <w:u w:val="single"/>
        </w:rPr>
        <w:tab/>
      </w:r>
      <w:r w:rsidRPr="00E022FF">
        <w:rPr>
          <w:u w:val="single"/>
        </w:rPr>
        <w:tab/>
      </w:r>
      <w:r w:rsidR="004E242B">
        <w:rPr>
          <w:u w:val="single"/>
        </w:rPr>
        <w:tab/>
      </w:r>
      <w:r w:rsidRPr="00E022FF">
        <w:rPr>
          <w:u w:val="single"/>
        </w:rPr>
        <w:tab/>
      </w:r>
    </w:p>
    <w:sectPr w:rsidR="00997316" w:rsidRPr="00E022FF" w:rsidSect="00997316">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2FF" w:rsidRPr="00A312BC" w:rsidRDefault="00E022FF" w:rsidP="00A312BC"/>
  </w:endnote>
  <w:endnote w:type="continuationSeparator" w:id="0">
    <w:p w:rsidR="00E022FF" w:rsidRPr="00A312BC" w:rsidRDefault="00E022F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2FF" w:rsidRPr="00997316" w:rsidRDefault="00E022FF">
    <w:pPr>
      <w:pStyle w:val="Footer"/>
    </w:pPr>
    <w:r w:rsidRPr="00997316">
      <w:rPr>
        <w:b/>
        <w:sz w:val="18"/>
      </w:rPr>
      <w:fldChar w:fldCharType="begin"/>
    </w:r>
    <w:r w:rsidRPr="00997316">
      <w:rPr>
        <w:b/>
        <w:sz w:val="18"/>
      </w:rPr>
      <w:instrText xml:space="preserve"> PAGE  \* MERGEFORMAT </w:instrText>
    </w:r>
    <w:r w:rsidRPr="00997316">
      <w:rPr>
        <w:b/>
        <w:sz w:val="18"/>
      </w:rPr>
      <w:fldChar w:fldCharType="separate"/>
    </w:r>
    <w:r w:rsidR="00FA778B">
      <w:rPr>
        <w:b/>
        <w:noProof/>
        <w:sz w:val="18"/>
      </w:rPr>
      <w:t>24</w:t>
    </w:r>
    <w:r w:rsidRPr="00997316">
      <w:rPr>
        <w:b/>
        <w:sz w:val="18"/>
      </w:rPr>
      <w:fldChar w:fldCharType="end"/>
    </w:r>
    <w:r>
      <w:rPr>
        <w:b/>
        <w:sz w:val="18"/>
      </w:rPr>
      <w:tab/>
    </w:r>
    <w:r>
      <w:t>GE.18-18229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2FF" w:rsidRPr="00997316" w:rsidRDefault="00E022FF" w:rsidP="00997316">
    <w:pPr>
      <w:pStyle w:val="Footer"/>
      <w:tabs>
        <w:tab w:val="clear" w:pos="9639"/>
        <w:tab w:val="right" w:pos="9638"/>
      </w:tabs>
      <w:rPr>
        <w:b/>
        <w:sz w:val="18"/>
      </w:rPr>
    </w:pPr>
    <w:r>
      <w:t>GE.18-18229</w:t>
    </w:r>
    <w:r>
      <w:tab/>
    </w:r>
    <w:r w:rsidRPr="00997316">
      <w:rPr>
        <w:b/>
        <w:sz w:val="18"/>
      </w:rPr>
      <w:fldChar w:fldCharType="begin"/>
    </w:r>
    <w:r w:rsidRPr="00997316">
      <w:rPr>
        <w:b/>
        <w:sz w:val="18"/>
      </w:rPr>
      <w:instrText xml:space="preserve"> PAGE  \* MERGEFORMAT </w:instrText>
    </w:r>
    <w:r w:rsidRPr="00997316">
      <w:rPr>
        <w:b/>
        <w:sz w:val="18"/>
      </w:rPr>
      <w:fldChar w:fldCharType="separate"/>
    </w:r>
    <w:r w:rsidR="00FA778B">
      <w:rPr>
        <w:b/>
        <w:noProof/>
        <w:sz w:val="18"/>
      </w:rPr>
      <w:t>23</w:t>
    </w:r>
    <w:r w:rsidRPr="0099731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2FF" w:rsidRPr="00997316" w:rsidRDefault="00E022FF" w:rsidP="00997316">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18-18229  (R)</w:t>
    </w:r>
    <w:r>
      <w:rPr>
        <w:lang w:val="en-US"/>
      </w:rPr>
      <w:t xml:space="preserve">  081118  </w:t>
    </w:r>
    <w:r w:rsidR="00776E31">
      <w:rPr>
        <w:lang w:val="en-US"/>
      </w:rPr>
      <w:t>16</w:t>
    </w:r>
    <w:r>
      <w:rPr>
        <w:lang w:val="en-US"/>
      </w:rPr>
      <w:t>1118</w:t>
    </w:r>
    <w:r>
      <w:br/>
    </w:r>
    <w:r w:rsidRPr="00997316">
      <w:rPr>
        <w:rFonts w:ascii="C39T30Lfz" w:hAnsi="C39T30Lfz"/>
        <w:kern w:val="14"/>
        <w:sz w:val="56"/>
      </w:rPr>
      <w:t></w:t>
    </w:r>
    <w:r w:rsidRPr="00997316">
      <w:rPr>
        <w:rFonts w:ascii="C39T30Lfz" w:hAnsi="C39T30Lfz"/>
        <w:kern w:val="14"/>
        <w:sz w:val="56"/>
      </w:rPr>
      <w:t></w:t>
    </w:r>
    <w:r w:rsidRPr="00997316">
      <w:rPr>
        <w:rFonts w:ascii="C39T30Lfz" w:hAnsi="C39T30Lfz"/>
        <w:kern w:val="14"/>
        <w:sz w:val="56"/>
      </w:rPr>
      <w:t></w:t>
    </w:r>
    <w:r w:rsidRPr="00997316">
      <w:rPr>
        <w:rFonts w:ascii="C39T30Lfz" w:hAnsi="C39T30Lfz"/>
        <w:kern w:val="14"/>
        <w:sz w:val="56"/>
      </w:rPr>
      <w:t></w:t>
    </w:r>
    <w:r w:rsidRPr="00997316">
      <w:rPr>
        <w:rFonts w:ascii="C39T30Lfz" w:hAnsi="C39T30Lfz"/>
        <w:kern w:val="14"/>
        <w:sz w:val="56"/>
      </w:rPr>
      <w:t></w:t>
    </w:r>
    <w:r w:rsidRPr="00997316">
      <w:rPr>
        <w:rFonts w:ascii="C39T30Lfz" w:hAnsi="C39T30Lfz"/>
        <w:kern w:val="14"/>
        <w:sz w:val="56"/>
      </w:rPr>
      <w:t></w:t>
    </w:r>
    <w:r w:rsidRPr="00997316">
      <w:rPr>
        <w:rFonts w:ascii="C39T30Lfz" w:hAnsi="C39T30Lfz"/>
        <w:kern w:val="14"/>
        <w:sz w:val="56"/>
      </w:rPr>
      <w:t></w:t>
    </w:r>
    <w:r w:rsidRPr="00997316">
      <w:rPr>
        <w:rFonts w:ascii="C39T30Lfz" w:hAnsi="C39T30Lfz"/>
        <w:kern w:val="14"/>
        <w:sz w:val="56"/>
      </w:rPr>
      <w:t></w:t>
    </w:r>
    <w:r w:rsidRPr="00997316">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CEP/2017/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7/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2FF" w:rsidRPr="001075E9" w:rsidRDefault="00E022FF" w:rsidP="001075E9">
      <w:pPr>
        <w:tabs>
          <w:tab w:val="right" w:pos="2155"/>
        </w:tabs>
        <w:spacing w:after="80" w:line="240" w:lineRule="auto"/>
        <w:ind w:left="680"/>
        <w:rPr>
          <w:u w:val="single"/>
        </w:rPr>
      </w:pPr>
      <w:r>
        <w:rPr>
          <w:u w:val="single"/>
        </w:rPr>
        <w:tab/>
      </w:r>
    </w:p>
  </w:footnote>
  <w:footnote w:type="continuationSeparator" w:id="0">
    <w:p w:rsidR="00E022FF" w:rsidRDefault="00E022FF" w:rsidP="00407B78">
      <w:pPr>
        <w:tabs>
          <w:tab w:val="right" w:pos="2155"/>
        </w:tabs>
        <w:spacing w:after="80"/>
        <w:ind w:left="680"/>
        <w:rPr>
          <w:u w:val="single"/>
        </w:rPr>
      </w:pPr>
      <w:r>
        <w:rPr>
          <w:u w:val="single"/>
        </w:rPr>
        <w:tab/>
      </w:r>
    </w:p>
  </w:footnote>
  <w:footnote w:id="1">
    <w:p w:rsidR="00E022FF" w:rsidRPr="00626719" w:rsidRDefault="00E022FF" w:rsidP="003150D5">
      <w:pPr>
        <w:pStyle w:val="FootnoteText"/>
      </w:pPr>
      <w:r>
        <w:tab/>
      </w:r>
      <w:r w:rsidRPr="003150D5">
        <w:rPr>
          <w:rStyle w:val="FootnoteReference"/>
        </w:rPr>
        <w:footnoteRef/>
      </w:r>
      <w:r>
        <w:tab/>
        <w:t>Документы сессии и другая информация о сессии, включая резюме решений, доступны на веб</w:t>
      </w:r>
      <w:r>
        <w:noBreakHyphen/>
        <w:t xml:space="preserve">странице сессии </w:t>
      </w:r>
      <w:r w:rsidRPr="00E022FF">
        <w:t>(</w:t>
      </w:r>
      <w:hyperlink r:id="rId1" w:history="1">
        <w:r w:rsidRPr="00E022FF">
          <w:rPr>
            <w:rStyle w:val="Hyperlink"/>
            <w:color w:val="auto"/>
          </w:rPr>
          <w:t>http://www.unece.org/index.php?id=45618</w:t>
        </w:r>
      </w:hyperlink>
      <w:r>
        <w:t xml:space="preserve">). </w:t>
      </w:r>
    </w:p>
  </w:footnote>
  <w:footnote w:id="2">
    <w:p w:rsidR="00B64EDB" w:rsidRPr="00B64EDB" w:rsidRDefault="00B64EDB" w:rsidP="00B64EDB">
      <w:pPr>
        <w:pStyle w:val="FootnoteText"/>
      </w:pPr>
      <w:r>
        <w:tab/>
      </w:r>
      <w:r w:rsidRPr="003150D5">
        <w:rPr>
          <w:rStyle w:val="FootnoteReference"/>
        </w:rPr>
        <w:footnoteRef/>
      </w:r>
      <w:r>
        <w:tab/>
        <w:t>Более подробную информацию см. по адресу</w:t>
      </w:r>
      <w:r w:rsidRPr="00B64EDB">
        <w:t xml:space="preserve"> </w:t>
      </w:r>
      <w:hyperlink r:id="rId2" w:history="1">
        <w:r w:rsidRPr="00B64EDB">
          <w:rPr>
            <w:rStyle w:val="Hyperlink"/>
            <w:color w:val="auto"/>
          </w:rPr>
          <w:t>https://thepep.unece.org/events/15th-session-pep-steering-committee</w:t>
        </w:r>
      </w:hyperlink>
      <w:r w:rsidRPr="00B64EDB">
        <w:t>.</w:t>
      </w:r>
    </w:p>
  </w:footnote>
  <w:footnote w:id="3">
    <w:p w:rsidR="00B64EDB" w:rsidRPr="00626719" w:rsidRDefault="00B64EDB" w:rsidP="00B64EDB">
      <w:pPr>
        <w:pStyle w:val="FootnoteText"/>
      </w:pPr>
      <w:r>
        <w:tab/>
      </w:r>
      <w:r w:rsidRPr="003150D5">
        <w:rPr>
          <w:rStyle w:val="FootnoteReference"/>
        </w:rPr>
        <w:footnoteRef/>
      </w:r>
      <w:r>
        <w:tab/>
        <w:t>Утвержденное резюме было распространено среди членов Комитета по</w:t>
      </w:r>
      <w:r w:rsidR="001B124C">
        <w:t xml:space="preserve"> электронной почте во вторник, 2</w:t>
      </w:r>
      <w:r>
        <w:t xml:space="preserve">1 ноября 2017 года, а также размещено на веб-сайте ЕЭК. Настоящий доклад был подготовлен на основе утвержденного резюме. После утверждения текст был подвергнут официальному редактированию. Любые изменения носят исключительно редакционный характер и не влияют на существо решений.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2FF" w:rsidRPr="00997316" w:rsidRDefault="0080412A">
    <w:pPr>
      <w:pStyle w:val="Header"/>
    </w:pPr>
    <w:r>
      <w:fldChar w:fldCharType="begin"/>
    </w:r>
    <w:r>
      <w:instrText xml:space="preserve"> TITLE  \* MERG</w:instrText>
    </w:r>
    <w:r>
      <w:instrText xml:space="preserve">EFORMAT </w:instrText>
    </w:r>
    <w:r>
      <w:fldChar w:fldCharType="separate"/>
    </w:r>
    <w:r w:rsidR="00FA778B">
      <w:t>ECE/CEP/2017/5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2FF" w:rsidRPr="00997316" w:rsidRDefault="0080412A" w:rsidP="00997316">
    <w:pPr>
      <w:pStyle w:val="Header"/>
      <w:jc w:val="right"/>
    </w:pPr>
    <w:r>
      <w:fldChar w:fldCharType="begin"/>
    </w:r>
    <w:r>
      <w:instrText xml:space="preserve"> TITLE  \* MERGEFORMAT </w:instrText>
    </w:r>
    <w:r>
      <w:fldChar w:fldCharType="separate"/>
    </w:r>
    <w:r w:rsidR="00FA778B">
      <w:t>ECE/CEP/2017/5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BBF"/>
    <w:rsid w:val="00033EE1"/>
    <w:rsid w:val="00042B72"/>
    <w:rsid w:val="000558BD"/>
    <w:rsid w:val="000A178A"/>
    <w:rsid w:val="000B4508"/>
    <w:rsid w:val="000B57E7"/>
    <w:rsid w:val="000B6373"/>
    <w:rsid w:val="000E4E5B"/>
    <w:rsid w:val="000F09DF"/>
    <w:rsid w:val="000F61B2"/>
    <w:rsid w:val="001075E9"/>
    <w:rsid w:val="0014152F"/>
    <w:rsid w:val="00180183"/>
    <w:rsid w:val="0018024D"/>
    <w:rsid w:val="0018649F"/>
    <w:rsid w:val="00186C18"/>
    <w:rsid w:val="00196389"/>
    <w:rsid w:val="001B124C"/>
    <w:rsid w:val="001B3EF6"/>
    <w:rsid w:val="001C7A89"/>
    <w:rsid w:val="001E33C8"/>
    <w:rsid w:val="001F22AE"/>
    <w:rsid w:val="002240FB"/>
    <w:rsid w:val="00255343"/>
    <w:rsid w:val="0027151D"/>
    <w:rsid w:val="0027704F"/>
    <w:rsid w:val="00280E3F"/>
    <w:rsid w:val="002A2EFC"/>
    <w:rsid w:val="002B0106"/>
    <w:rsid w:val="002B74B1"/>
    <w:rsid w:val="002C0E18"/>
    <w:rsid w:val="002D5AAC"/>
    <w:rsid w:val="002E5067"/>
    <w:rsid w:val="002F405F"/>
    <w:rsid w:val="002F7EEC"/>
    <w:rsid w:val="0030082A"/>
    <w:rsid w:val="00301299"/>
    <w:rsid w:val="00305C08"/>
    <w:rsid w:val="00307FB6"/>
    <w:rsid w:val="003150D5"/>
    <w:rsid w:val="00317339"/>
    <w:rsid w:val="00322004"/>
    <w:rsid w:val="003402C2"/>
    <w:rsid w:val="00381C24"/>
    <w:rsid w:val="00387CD4"/>
    <w:rsid w:val="003958D0"/>
    <w:rsid w:val="00397477"/>
    <w:rsid w:val="003A0D43"/>
    <w:rsid w:val="003A48CE"/>
    <w:rsid w:val="003B00E5"/>
    <w:rsid w:val="003D3999"/>
    <w:rsid w:val="003E0B46"/>
    <w:rsid w:val="003E3F23"/>
    <w:rsid w:val="00407B78"/>
    <w:rsid w:val="00424203"/>
    <w:rsid w:val="004408BE"/>
    <w:rsid w:val="00452493"/>
    <w:rsid w:val="00453318"/>
    <w:rsid w:val="00454AF2"/>
    <w:rsid w:val="00454E07"/>
    <w:rsid w:val="00472C5C"/>
    <w:rsid w:val="004944BF"/>
    <w:rsid w:val="004E05B7"/>
    <w:rsid w:val="004E242B"/>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82864"/>
    <w:rsid w:val="006A1ED8"/>
    <w:rsid w:val="006B47DB"/>
    <w:rsid w:val="006C2031"/>
    <w:rsid w:val="006D373F"/>
    <w:rsid w:val="006D461A"/>
    <w:rsid w:val="006F35EE"/>
    <w:rsid w:val="007021FF"/>
    <w:rsid w:val="00712895"/>
    <w:rsid w:val="00734ACB"/>
    <w:rsid w:val="00757357"/>
    <w:rsid w:val="00776E31"/>
    <w:rsid w:val="00792497"/>
    <w:rsid w:val="0080412A"/>
    <w:rsid w:val="00806737"/>
    <w:rsid w:val="00825F8D"/>
    <w:rsid w:val="00834B71"/>
    <w:rsid w:val="0086445C"/>
    <w:rsid w:val="00894693"/>
    <w:rsid w:val="008A08D7"/>
    <w:rsid w:val="008A37C8"/>
    <w:rsid w:val="008B6909"/>
    <w:rsid w:val="008C1BBF"/>
    <w:rsid w:val="008D53B6"/>
    <w:rsid w:val="008F7609"/>
    <w:rsid w:val="00906890"/>
    <w:rsid w:val="00911BE4"/>
    <w:rsid w:val="00951972"/>
    <w:rsid w:val="009608F3"/>
    <w:rsid w:val="00997316"/>
    <w:rsid w:val="009A24AC"/>
    <w:rsid w:val="009C59D7"/>
    <w:rsid w:val="009C6FE6"/>
    <w:rsid w:val="009D7E7D"/>
    <w:rsid w:val="00A14DA8"/>
    <w:rsid w:val="00A312BC"/>
    <w:rsid w:val="00A84021"/>
    <w:rsid w:val="00A84D35"/>
    <w:rsid w:val="00A917B3"/>
    <w:rsid w:val="00AB4B51"/>
    <w:rsid w:val="00AC389F"/>
    <w:rsid w:val="00AE6412"/>
    <w:rsid w:val="00B10CC7"/>
    <w:rsid w:val="00B36DF7"/>
    <w:rsid w:val="00B539E7"/>
    <w:rsid w:val="00B62458"/>
    <w:rsid w:val="00B64A3D"/>
    <w:rsid w:val="00B64EDB"/>
    <w:rsid w:val="00BA651F"/>
    <w:rsid w:val="00BC18B2"/>
    <w:rsid w:val="00BD33EE"/>
    <w:rsid w:val="00BE1CC7"/>
    <w:rsid w:val="00C106D6"/>
    <w:rsid w:val="00C119AE"/>
    <w:rsid w:val="00C34185"/>
    <w:rsid w:val="00C43F14"/>
    <w:rsid w:val="00C60F0C"/>
    <w:rsid w:val="00C71E84"/>
    <w:rsid w:val="00C805C9"/>
    <w:rsid w:val="00C92939"/>
    <w:rsid w:val="00CA1679"/>
    <w:rsid w:val="00CB151C"/>
    <w:rsid w:val="00CE5A1A"/>
    <w:rsid w:val="00CF55F6"/>
    <w:rsid w:val="00D2221A"/>
    <w:rsid w:val="00D33D63"/>
    <w:rsid w:val="00D5253A"/>
    <w:rsid w:val="00D529F4"/>
    <w:rsid w:val="00D873A8"/>
    <w:rsid w:val="00D90028"/>
    <w:rsid w:val="00D90138"/>
    <w:rsid w:val="00D9145B"/>
    <w:rsid w:val="00DB17CE"/>
    <w:rsid w:val="00DD78D1"/>
    <w:rsid w:val="00DE32CD"/>
    <w:rsid w:val="00DF5767"/>
    <w:rsid w:val="00DF71B9"/>
    <w:rsid w:val="00E022FF"/>
    <w:rsid w:val="00E12C5F"/>
    <w:rsid w:val="00E16BA6"/>
    <w:rsid w:val="00E73F76"/>
    <w:rsid w:val="00E90ECD"/>
    <w:rsid w:val="00EA2C9F"/>
    <w:rsid w:val="00EA420E"/>
    <w:rsid w:val="00EC4FF0"/>
    <w:rsid w:val="00ED0BDA"/>
    <w:rsid w:val="00ED3864"/>
    <w:rsid w:val="00EE142A"/>
    <w:rsid w:val="00EF1360"/>
    <w:rsid w:val="00EF3220"/>
    <w:rsid w:val="00F00015"/>
    <w:rsid w:val="00F02593"/>
    <w:rsid w:val="00F2523A"/>
    <w:rsid w:val="00F40200"/>
    <w:rsid w:val="00F43903"/>
    <w:rsid w:val="00F94155"/>
    <w:rsid w:val="00F96E41"/>
    <w:rsid w:val="00F9783F"/>
    <w:rsid w:val="00FA778B"/>
    <w:rsid w:val="00FC2F93"/>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32E2861-17B7-4821-972A-F8194282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17) EPR Header,17 EPR Heade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17) EPR Header Char,17 EPR Header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Fußnote,Footnote Text Char Char,single space,footnote text"/>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Fußnote Char,Footnote Text Char Char Char,single space Char,footnote text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rsid w:val="00997316"/>
    <w:rPr>
      <w:lang w:val="ru-RU" w:eastAsia="en-US"/>
    </w:rPr>
  </w:style>
  <w:style w:type="character" w:customStyle="1" w:styleId="HChGChar">
    <w:name w:val="_ H _Ch_G Char"/>
    <w:link w:val="HChG"/>
    <w:rsid w:val="00997316"/>
    <w:rPr>
      <w:b/>
      <w:sz w:val="28"/>
      <w:lang w:val="ru-RU" w:eastAsia="ru-RU"/>
    </w:rPr>
  </w:style>
  <w:style w:type="character" w:customStyle="1" w:styleId="H1GChar">
    <w:name w:val="_ H_1_G Char"/>
    <w:link w:val="H1G"/>
    <w:rsid w:val="00997316"/>
    <w:rPr>
      <w:b/>
      <w:sz w:val="24"/>
      <w:lang w:val="ru-RU" w:eastAsia="ru-RU"/>
    </w:rPr>
  </w:style>
  <w:style w:type="paragraph" w:customStyle="1" w:styleId="SingleTxtGR">
    <w:name w:val="_ Single Txt_GR"/>
    <w:basedOn w:val="Normal"/>
    <w:qFormat/>
    <w:rsid w:val="00997316"/>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thepep.unece.org/events/15th-session-pep-steering-committee" TargetMode="External"/><Relationship Id="rId1" Type="http://schemas.openxmlformats.org/officeDocument/2006/relationships/hyperlink" Target="http://www.unece.org/index.php?id=4561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12011</Words>
  <Characters>68469</Characters>
  <Application>Microsoft Office Word</Application>
  <DocSecurity>4</DocSecurity>
  <Lines>570</Lines>
  <Paragraphs>160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ECE/CEP/2017/5</vt:lpstr>
      <vt:lpstr>ECE/CEP/2017/5</vt:lpstr>
      <vt:lpstr>A/</vt:lpstr>
    </vt:vector>
  </TitlesOfParts>
  <Company>DCM</Company>
  <LinksUpToDate>false</LinksUpToDate>
  <CharactersWithSpaces>80320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ECE/CEP/2017/5</dc:title>
  <dc:subject/>
  <dc:creator>Elena IZOTOVA</dc:creator>
  <cp:keywords/>
  <cp:lastModifiedBy>Maricar De La Cruz</cp:lastModifiedBy>
  <cp:revision>2</cp:revision>
  <cp:lastPrinted>2018-11-16T11:51:00Z</cp:lastPrinted>
  <dcterms:created xsi:type="dcterms:W3CDTF">2018-11-26T10:28:00Z</dcterms:created>
  <dcterms:modified xsi:type="dcterms:W3CDTF">2018-11-26T10:28:00Z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