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06660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066607" w:rsidP="00066607">
            <w:pPr>
              <w:jc w:val="right"/>
            </w:pPr>
            <w:r w:rsidRPr="00066607">
              <w:rPr>
                <w:sz w:val="40"/>
              </w:rPr>
              <w:t>ECE</w:t>
            </w:r>
            <w:r>
              <w:t>/CEP/2017/19</w:t>
            </w:r>
          </w:p>
        </w:tc>
      </w:tr>
      <w:tr w:rsidR="002D5AAC" w:rsidRPr="0006660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06660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066607" w:rsidRDefault="00066607" w:rsidP="0006660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9 August 2017</w:t>
            </w:r>
          </w:p>
          <w:p w:rsidR="00066607" w:rsidRDefault="00066607" w:rsidP="0006660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066607" w:rsidRPr="008D53B6" w:rsidRDefault="00066607" w:rsidP="0006660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273021" w:rsidRPr="00273021" w:rsidRDefault="00273021" w:rsidP="00273021">
      <w:pPr>
        <w:spacing w:before="120" w:after="120"/>
        <w:rPr>
          <w:bCs/>
          <w:sz w:val="28"/>
          <w:szCs w:val="28"/>
        </w:rPr>
      </w:pPr>
      <w:r w:rsidRPr="00273021">
        <w:rPr>
          <w:sz w:val="28"/>
          <w:szCs w:val="28"/>
        </w:rPr>
        <w:t>Комитет по экологической политике</w:t>
      </w:r>
    </w:p>
    <w:p w:rsidR="00273021" w:rsidRPr="00273021" w:rsidRDefault="00273021" w:rsidP="00273021">
      <w:pPr>
        <w:rPr>
          <w:b/>
        </w:rPr>
      </w:pPr>
      <w:r w:rsidRPr="00273021">
        <w:rPr>
          <w:b/>
        </w:rPr>
        <w:t>Двадцать третья сессия</w:t>
      </w:r>
    </w:p>
    <w:p w:rsidR="00273021" w:rsidRPr="00273021" w:rsidRDefault="00273021" w:rsidP="00273021">
      <w:r w:rsidRPr="00273021">
        <w:t>Женева, 14–17 ноября 2017 года</w:t>
      </w:r>
    </w:p>
    <w:p w:rsidR="00273021" w:rsidRPr="00273021" w:rsidRDefault="00273021" w:rsidP="00273021">
      <w:r w:rsidRPr="00273021">
        <w:t>Пункт 11 предварительной повестки дня</w:t>
      </w:r>
    </w:p>
    <w:p w:rsidR="00E12C5F" w:rsidRPr="00273021" w:rsidRDefault="00273021" w:rsidP="00273021">
      <w:pPr>
        <w:rPr>
          <w:b/>
        </w:rPr>
      </w:pPr>
      <w:r w:rsidRPr="00273021">
        <w:rPr>
          <w:b/>
        </w:rPr>
        <w:t>Круг ведения</w:t>
      </w:r>
    </w:p>
    <w:p w:rsidR="00273021" w:rsidRPr="00273021" w:rsidRDefault="00273021" w:rsidP="00273021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273021">
        <w:t xml:space="preserve">Проект круга ведения Комитета по экологической политике </w:t>
      </w:r>
    </w:p>
    <w:p w:rsidR="00273021" w:rsidRPr="00273021" w:rsidRDefault="00273021" w:rsidP="00273021">
      <w:pPr>
        <w:pStyle w:val="H1GR"/>
      </w:pPr>
      <w:r w:rsidRPr="00273021">
        <w:tab/>
      </w:r>
      <w:r w:rsidRPr="00273021">
        <w:tab/>
        <w:t xml:space="preserve">Записка Председателя, </w:t>
      </w:r>
      <w:r w:rsidR="008356EF">
        <w:t>подготовленная в консультации с</w:t>
      </w:r>
      <w:r w:rsidR="008356EF">
        <w:rPr>
          <w:lang w:val="en-US"/>
        </w:rPr>
        <w:t> </w:t>
      </w:r>
      <w:r w:rsidRPr="00273021">
        <w:t>Президиумом Комитета по экологической политике</w:t>
      </w:r>
    </w:p>
    <w:tbl>
      <w:tblPr>
        <w:tblStyle w:val="ac"/>
        <w:tblW w:w="0" w:type="auto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37"/>
      </w:tblGrid>
      <w:tr w:rsidR="00273021" w:rsidRPr="00273021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:rsidR="00273021" w:rsidRPr="00273021" w:rsidRDefault="00273021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273021">
              <w:rPr>
                <w:rFonts w:cs="Times New Roman"/>
              </w:rPr>
              <w:tab/>
            </w:r>
            <w:r w:rsidRPr="00273021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273021" w:rsidRPr="00273021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273021" w:rsidRPr="00273021" w:rsidRDefault="008356EF" w:rsidP="008356EF">
            <w:pPr>
              <w:pStyle w:val="SingleTxtGR"/>
            </w:pPr>
            <w:r>
              <w:rPr>
                <w:lang w:val="en-US"/>
              </w:rPr>
              <w:tab/>
            </w:r>
            <w:r w:rsidR="00273021" w:rsidRPr="00273021">
              <w:t>На своей двадцать второй сессии (Женева, 25</w:t>
            </w:r>
            <w:r w:rsidRPr="008356EF">
              <w:t>–</w:t>
            </w:r>
            <w:r w:rsidR="00273021" w:rsidRPr="00273021">
              <w:t>27 января 2017 года) Ком</w:t>
            </w:r>
            <w:r w:rsidR="00273021" w:rsidRPr="00273021">
              <w:t>и</w:t>
            </w:r>
            <w:r w:rsidR="00273021" w:rsidRPr="00273021">
              <w:t>тет по экологической политике Европейской экономической комиссии Орган</w:t>
            </w:r>
            <w:r w:rsidR="00273021" w:rsidRPr="00273021">
              <w:t>и</w:t>
            </w:r>
            <w:r w:rsidR="00273021" w:rsidRPr="00273021">
              <w:t>зации Объединенных Наций (ЕЭК) поручил Президиуму подготовить при с</w:t>
            </w:r>
            <w:r w:rsidR="00273021" w:rsidRPr="00273021">
              <w:t>о</w:t>
            </w:r>
            <w:r w:rsidR="00273021" w:rsidRPr="00273021">
              <w:t>действии секретариата первый проект пересмотренного круга ведения для ра</w:t>
            </w:r>
            <w:r w:rsidR="00273021" w:rsidRPr="00273021">
              <w:t>с</w:t>
            </w:r>
            <w:r w:rsidR="00273021" w:rsidRPr="00273021">
              <w:t xml:space="preserve">смотрения Комитетом на его текущей сессии. В этой связи Комитет поручил секретариату распространить нынешний круг ведения среди членов Комитета и наблюдателей, с </w:t>
            </w:r>
            <w:proofErr w:type="gramStart"/>
            <w:r w:rsidR="00273021" w:rsidRPr="00273021">
              <w:t>тем</w:t>
            </w:r>
            <w:proofErr w:type="gramEnd"/>
            <w:r w:rsidR="00273021" w:rsidRPr="00273021">
              <w:t xml:space="preserve"> чтобы они представили с</w:t>
            </w:r>
            <w:r>
              <w:t>вои замечания к 28 февраля 2017</w:t>
            </w:r>
            <w:r>
              <w:rPr>
                <w:lang w:val="en-US"/>
              </w:rPr>
              <w:t> </w:t>
            </w:r>
            <w:r w:rsidR="00273021" w:rsidRPr="00273021">
              <w:t>года, и скомпилировать полученные замечания для рассмотрения През</w:t>
            </w:r>
            <w:r w:rsidR="00273021" w:rsidRPr="00273021">
              <w:t>и</w:t>
            </w:r>
            <w:r w:rsidR="00273021" w:rsidRPr="00273021">
              <w:t>диумом (ECE/CEP/2017/2, пункт 83).</w:t>
            </w:r>
          </w:p>
        </w:tc>
      </w:tr>
      <w:tr w:rsidR="00273021" w:rsidRPr="00273021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273021" w:rsidRPr="00273021" w:rsidRDefault="008356EF" w:rsidP="00B5429B">
            <w:pPr>
              <w:pStyle w:val="SingleTxtGR"/>
            </w:pPr>
            <w:r>
              <w:rPr>
                <w:lang w:val="en-US"/>
              </w:rPr>
              <w:tab/>
            </w:r>
            <w:r w:rsidR="00273021" w:rsidRPr="00273021">
              <w:t>В соответствии с этим поручением в приложении к настоящему докуме</w:t>
            </w:r>
            <w:r w:rsidR="00273021" w:rsidRPr="00273021">
              <w:t>н</w:t>
            </w:r>
            <w:r w:rsidR="00273021" w:rsidRPr="00273021">
              <w:t>ту представлен первый проект обновленного круга ведения, который был пер</w:t>
            </w:r>
            <w:r w:rsidR="00273021" w:rsidRPr="00273021">
              <w:t>е</w:t>
            </w:r>
            <w:r w:rsidR="00273021" w:rsidRPr="00273021">
              <w:t>смотрен в свете полученных замечаний и с учетом соответствующих измен</w:t>
            </w:r>
            <w:r w:rsidR="00273021" w:rsidRPr="00273021">
              <w:t>е</w:t>
            </w:r>
            <w:r w:rsidR="00273021" w:rsidRPr="00273021">
              <w:t>ний, произошедших с 2007 года. Настоящий документ был подготовлен Пре</w:t>
            </w:r>
            <w:r w:rsidR="00273021" w:rsidRPr="00273021">
              <w:t>д</w:t>
            </w:r>
            <w:r w:rsidR="00273021" w:rsidRPr="00273021">
              <w:t>седателем в консультации с Президиумом для рассмотрения Комитетом.</w:t>
            </w:r>
          </w:p>
        </w:tc>
      </w:tr>
      <w:tr w:rsidR="00273021" w:rsidRPr="00273021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273021" w:rsidRPr="00273021" w:rsidRDefault="008356EF" w:rsidP="00B5429B">
            <w:pPr>
              <w:pStyle w:val="SingleTxtGR"/>
            </w:pPr>
            <w:r>
              <w:rPr>
                <w:lang w:val="en-US"/>
              </w:rPr>
              <w:tab/>
            </w:r>
            <w:r w:rsidR="00273021" w:rsidRPr="00273021">
              <w:t xml:space="preserve">Комитету предлагается рассмотреть проект, содержащийся в настоящей записке, с </w:t>
            </w:r>
            <w:proofErr w:type="gramStart"/>
            <w:r w:rsidR="00273021" w:rsidRPr="00273021">
              <w:t>тем</w:t>
            </w:r>
            <w:proofErr w:type="gramEnd"/>
            <w:r w:rsidR="00273021" w:rsidRPr="00273021">
              <w:t xml:space="preserve"> чтобы облегчить обсуждение по вопросу о пересмотре круга в</w:t>
            </w:r>
            <w:r w:rsidR="00273021" w:rsidRPr="00273021">
              <w:t>е</w:t>
            </w:r>
            <w:r w:rsidR="00273021" w:rsidRPr="00273021">
              <w:t>дения Комитета с целью его представления для возможного принятия ЕЭК на ее шестьдесят восьмой сессии в 2019 году.</w:t>
            </w:r>
          </w:p>
        </w:tc>
      </w:tr>
      <w:tr w:rsidR="00273021" w:rsidRPr="00273021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:rsidR="00273021" w:rsidRPr="00273021" w:rsidRDefault="00273021" w:rsidP="00850215">
            <w:pPr>
              <w:rPr>
                <w:rFonts w:cs="Times New Roman"/>
              </w:rPr>
            </w:pPr>
          </w:p>
        </w:tc>
      </w:tr>
    </w:tbl>
    <w:p w:rsidR="008356EF" w:rsidRPr="008356EF" w:rsidRDefault="008356EF" w:rsidP="008356EF">
      <w:pPr>
        <w:pStyle w:val="SingleTxtGR"/>
      </w:pPr>
    </w:p>
    <w:p w:rsidR="00273021" w:rsidRPr="00273021" w:rsidRDefault="008356EF" w:rsidP="00273021">
      <w:pPr>
        <w:pStyle w:val="HChGR"/>
      </w:pPr>
      <w:r w:rsidRPr="008356EF">
        <w:br w:type="page"/>
      </w:r>
      <w:r w:rsidRPr="008356EF">
        <w:lastRenderedPageBreak/>
        <w:tab/>
      </w:r>
      <w:r w:rsidRPr="008356EF">
        <w:tab/>
      </w:r>
      <w:r w:rsidR="00273021" w:rsidRPr="00273021">
        <w:t>Введение</w:t>
      </w:r>
    </w:p>
    <w:p w:rsidR="00273021" w:rsidRPr="00273021" w:rsidRDefault="00273021" w:rsidP="00273021">
      <w:pPr>
        <w:pStyle w:val="SingleTxtGR"/>
      </w:pPr>
      <w:r w:rsidRPr="00273021">
        <w:t>1.</w:t>
      </w:r>
      <w:r w:rsidRPr="00273021">
        <w:tab/>
        <w:t>На своей двадцать второй сессии (Женева, 25</w:t>
      </w:r>
      <w:r w:rsidR="008356EF" w:rsidRPr="008356EF">
        <w:t>–</w:t>
      </w:r>
      <w:r w:rsidRPr="00273021">
        <w:t>27 января 2017 года) Ком</w:t>
      </w:r>
      <w:r w:rsidRPr="00273021">
        <w:t>и</w:t>
      </w:r>
      <w:r w:rsidRPr="00273021">
        <w:t>тет по экологической политике Европейской экономической комиссии Орган</w:t>
      </w:r>
      <w:r w:rsidRPr="00273021">
        <w:t>и</w:t>
      </w:r>
      <w:r w:rsidRPr="00273021">
        <w:t>зации Объединенных Наций (ЕЭК) поручил Президиуму подготовить при с</w:t>
      </w:r>
      <w:r w:rsidRPr="00273021">
        <w:t>о</w:t>
      </w:r>
      <w:r w:rsidRPr="00273021">
        <w:t>действии секретариата первый проект пересмотренного круга ведения для ра</w:t>
      </w:r>
      <w:r w:rsidRPr="00273021">
        <w:t>с</w:t>
      </w:r>
      <w:r w:rsidRPr="00273021">
        <w:t xml:space="preserve">смотрения Комитетом на его текущей сессии. В этой связи Комитет поручил секретариату распространить нынешний круг ведения среди членов Комитета и наблюдателей, с </w:t>
      </w:r>
      <w:proofErr w:type="gramStart"/>
      <w:r w:rsidRPr="00273021">
        <w:t>тем</w:t>
      </w:r>
      <w:proofErr w:type="gramEnd"/>
      <w:r w:rsidRPr="00273021">
        <w:t xml:space="preserve"> чтобы они представили с</w:t>
      </w:r>
      <w:r w:rsidR="008356EF">
        <w:t>вои замечания к 28 февраля 2017</w:t>
      </w:r>
      <w:r w:rsidR="008356EF">
        <w:rPr>
          <w:lang w:val="en-US"/>
        </w:rPr>
        <w:t> </w:t>
      </w:r>
      <w:r w:rsidRPr="00273021">
        <w:t>года, и скомпилировать полученные замечания для рассмотрения През</w:t>
      </w:r>
      <w:r w:rsidRPr="00273021">
        <w:t>и</w:t>
      </w:r>
      <w:r w:rsidRPr="00273021">
        <w:t>диумом (ECE/CEP/2017/2, пункт 83).</w:t>
      </w:r>
    </w:p>
    <w:p w:rsidR="00273021" w:rsidRPr="00273021" w:rsidRDefault="00273021" w:rsidP="00273021">
      <w:pPr>
        <w:pStyle w:val="SingleTxtGR"/>
      </w:pPr>
      <w:r w:rsidRPr="00273021">
        <w:t>2.</w:t>
      </w:r>
      <w:r w:rsidRPr="00273021">
        <w:tab/>
        <w:t>8 февраля 2017 года секретариат распространил среди членов Комитета и наблюдателей документ с изложением круга ведения, который был принят ЕЭК в марте 2007 года (E/ECE/1447/Add.1). Свои замечания в секретариат направили следующие члены и наблюдатели: Грузия, Мальта, от имени Европейского со</w:t>
      </w:r>
      <w:r w:rsidRPr="00273021">
        <w:t>ю</w:t>
      </w:r>
      <w:r w:rsidRPr="00273021">
        <w:t>за и его государств-членов, Российская Федерация, Румыния, Швейцария, Пр</w:t>
      </w:r>
      <w:r w:rsidRPr="00273021">
        <w:t>о</w:t>
      </w:r>
      <w:r w:rsidRPr="00273021">
        <w:t>грамма Организации Объединенных Наций по окружающей среде.</w:t>
      </w:r>
    </w:p>
    <w:p w:rsidR="00273021" w:rsidRPr="00273021" w:rsidRDefault="00273021" w:rsidP="00273021">
      <w:pPr>
        <w:pStyle w:val="SingleTxtGR"/>
      </w:pPr>
      <w:r w:rsidRPr="00273021">
        <w:t>3.</w:t>
      </w:r>
      <w:r w:rsidRPr="00273021">
        <w:tab/>
        <w:t>В одном из замечаний секретариату было предложено подтвердить, мо</w:t>
      </w:r>
      <w:r w:rsidRPr="00273021">
        <w:t>ж</w:t>
      </w:r>
      <w:r w:rsidRPr="00273021">
        <w:t>но ли считать, что в решении Комиссии по воп</w:t>
      </w:r>
      <w:r w:rsidR="008356EF">
        <w:t>росу о реформе, принятом в 2013</w:t>
      </w:r>
      <w:r w:rsidR="008356EF">
        <w:rPr>
          <w:lang w:val="en-US"/>
        </w:rPr>
        <w:t> </w:t>
      </w:r>
      <w:r w:rsidRPr="00273021">
        <w:t>году, содержится юридическое требование к Комитету по экологической политике изменить свой нынешний круг ведения. В своем решении A(65) (E/2013/37-E/ECE/1464, пункт 34) Комиссия утвердила итоги обзора реформы ЕЭК 2005 года (там же, приложение III). Это решение не содержит конкретных положений, касающихся внесения поправок в круг ведения секторальных ком</w:t>
      </w:r>
      <w:r w:rsidRPr="00273021">
        <w:t>и</w:t>
      </w:r>
      <w:r w:rsidRPr="00273021">
        <w:t>тетов.</w:t>
      </w:r>
    </w:p>
    <w:p w:rsidR="00273021" w:rsidRPr="00273021" w:rsidRDefault="00273021" w:rsidP="00273021">
      <w:pPr>
        <w:pStyle w:val="SingleTxtGR"/>
      </w:pPr>
      <w:r w:rsidRPr="00273021">
        <w:t>4.</w:t>
      </w:r>
      <w:r w:rsidRPr="00273021">
        <w:tab/>
        <w:t xml:space="preserve">В то же время, пункт 5 доклада об итогах обзора 2005 года, который был принят согласно решению A(65), гласит следующее: </w:t>
      </w:r>
    </w:p>
    <w:p w:rsidR="00273021" w:rsidRPr="00273021" w:rsidRDefault="00273021" w:rsidP="008356EF">
      <w:pPr>
        <w:pStyle w:val="SingleTxtGR"/>
        <w:ind w:left="1701" w:hanging="567"/>
      </w:pPr>
      <w:r w:rsidRPr="00273021">
        <w:tab/>
      </w:r>
      <w:proofErr w:type="gramStart"/>
      <w:r w:rsidRPr="00273021">
        <w:t>Ввиду важности соответствующих глобальных конференций и иници</w:t>
      </w:r>
      <w:r w:rsidRPr="00273021">
        <w:t>а</w:t>
      </w:r>
      <w:r w:rsidRPr="00273021">
        <w:t>тив, включая [Конференцию Организации Объединенных Наций по устойчивому развитию и] ини</w:t>
      </w:r>
      <w:r w:rsidR="008356EF">
        <w:t>циативу Генерального секретаря «</w:t>
      </w:r>
      <w:r w:rsidRPr="00273021">
        <w:t>Устойч</w:t>
      </w:r>
      <w:r w:rsidRPr="00273021">
        <w:t>и</w:t>
      </w:r>
      <w:r w:rsidRPr="00273021">
        <w:t>вая энергетика для всех</w:t>
      </w:r>
      <w:r w:rsidR="008356EF">
        <w:t>»</w:t>
      </w:r>
      <w:r w:rsidRPr="00273021">
        <w:t>, а также их потенциальных последствий для ЕЭК, Комиссия заявляет о своей приверженности, в рамках ее текущего мандата и существующих ресурсов, активной роли по надлежащему ос</w:t>
      </w:r>
      <w:r w:rsidRPr="00273021">
        <w:t>у</w:t>
      </w:r>
      <w:r w:rsidRPr="00273021">
        <w:t>ществлению их итогов на региональном и глобальном уровне и призыв</w:t>
      </w:r>
      <w:r w:rsidRPr="00273021">
        <w:t>а</w:t>
      </w:r>
      <w:r w:rsidRPr="00273021">
        <w:t>ет свои вспомогательные органы</w:t>
      </w:r>
      <w:proofErr w:type="gramEnd"/>
      <w:r w:rsidRPr="00273021">
        <w:t xml:space="preserve"> и секретариат предлагать [Исполн</w:t>
      </w:r>
      <w:r w:rsidRPr="00273021">
        <w:t>и</w:t>
      </w:r>
      <w:r w:rsidRPr="00273021">
        <w:t>тельному комитету] возможные пути укрепления их вклада в осущест</w:t>
      </w:r>
      <w:r w:rsidRPr="00273021">
        <w:t>в</w:t>
      </w:r>
      <w:r w:rsidRPr="00273021">
        <w:t>ление этих итогов.</w:t>
      </w:r>
    </w:p>
    <w:p w:rsidR="00273021" w:rsidRPr="00273021" w:rsidRDefault="00273021" w:rsidP="00273021">
      <w:pPr>
        <w:pStyle w:val="SingleTxtGR"/>
      </w:pPr>
      <w:r w:rsidRPr="00273021">
        <w:t>5.</w:t>
      </w:r>
      <w:r w:rsidRPr="00273021">
        <w:tab/>
      </w:r>
      <w:proofErr w:type="gramStart"/>
      <w:r w:rsidRPr="00273021">
        <w:t>С учетом вышеупомянутого предложения Исполнительного комитета ЕЭК в адрес вспомогательных органов и секретариата ЕЭК предлагать ему во</w:t>
      </w:r>
      <w:r w:rsidRPr="00273021">
        <w:t>з</w:t>
      </w:r>
      <w:r w:rsidRPr="00273021">
        <w:t>можные пути увеличения их вклада в осуществление решений соответству</w:t>
      </w:r>
      <w:r w:rsidRPr="00273021">
        <w:t>ю</w:t>
      </w:r>
      <w:r w:rsidRPr="00273021">
        <w:t>щих глобальных конференций и инициатив, того, что круг ведения Комитета по экологической политике, принятый ЕЭК в 2007 году, содержит ссылки на орг</w:t>
      </w:r>
      <w:r w:rsidRPr="00273021">
        <w:t>а</w:t>
      </w:r>
      <w:r w:rsidRPr="00273021">
        <w:t>ны и процессы, мандаты которых были выполнены, такие как Комиссия по устойчивому развитию и цели</w:t>
      </w:r>
      <w:proofErr w:type="gramEnd"/>
      <w:r w:rsidRPr="00273021">
        <w:t xml:space="preserve"> в области развития, сформулированные в Декл</w:t>
      </w:r>
      <w:r w:rsidRPr="00273021">
        <w:t>а</w:t>
      </w:r>
      <w:r w:rsidRPr="00273021">
        <w:t>рации тысячелетия, а также с учетом того, что в 2009 году Комитету было п</w:t>
      </w:r>
      <w:r w:rsidRPr="00273021">
        <w:t>о</w:t>
      </w:r>
      <w:r w:rsidRPr="00273021">
        <w:t>ручено выступать в качестве организатора по</w:t>
      </w:r>
      <w:r w:rsidR="008356EF">
        <w:t>дготовки конференций министров «</w:t>
      </w:r>
      <w:r w:rsidRPr="00273021">
        <w:t>Окружающая среда для Европы</w:t>
      </w:r>
      <w:r w:rsidR="008356EF">
        <w:t>»</w:t>
      </w:r>
      <w:r w:rsidRPr="00273021">
        <w:t>, возможно, что в описание круга ведения К</w:t>
      </w:r>
      <w:r w:rsidRPr="00273021">
        <w:t>о</w:t>
      </w:r>
      <w:r w:rsidRPr="00273021">
        <w:t>митета по экологической политике потребуется внести незначительные измен</w:t>
      </w:r>
      <w:r w:rsidRPr="00273021">
        <w:t>е</w:t>
      </w:r>
      <w:r w:rsidRPr="00273021">
        <w:t>ния.</w:t>
      </w:r>
    </w:p>
    <w:p w:rsidR="00273021" w:rsidRPr="00273021" w:rsidRDefault="00273021" w:rsidP="00273021">
      <w:pPr>
        <w:pStyle w:val="SingleTxtGR"/>
      </w:pPr>
      <w:r w:rsidRPr="00273021">
        <w:t>6.</w:t>
      </w:r>
      <w:r w:rsidRPr="00273021">
        <w:tab/>
        <w:t>В соответствии с распоряжением Комитета настоящий документ пре</w:t>
      </w:r>
      <w:r w:rsidRPr="00273021">
        <w:t>д</w:t>
      </w:r>
      <w:r w:rsidRPr="00273021">
        <w:t>ставляет собой первый проект обновленного круга ведения, который был пер</w:t>
      </w:r>
      <w:r w:rsidRPr="00273021">
        <w:t>е</w:t>
      </w:r>
      <w:r w:rsidRPr="00273021">
        <w:t>смотрен с учетом полученных замечаний, а также соответствующих изменений, произошедших с 2007 года</w:t>
      </w:r>
      <w:bookmarkStart w:id="0" w:name="_GoBack"/>
      <w:bookmarkEnd w:id="0"/>
      <w:r w:rsidRPr="00273021">
        <w:t>, таких как одобрение ЕЭК в 2009 году плана ре</w:t>
      </w:r>
      <w:r w:rsidR="008356EF">
        <w:t>фо</w:t>
      </w:r>
      <w:r w:rsidR="008356EF">
        <w:t>р</w:t>
      </w:r>
      <w:r w:rsidR="008356EF">
        <w:t>мы процесса «</w:t>
      </w:r>
      <w:r w:rsidRPr="00273021">
        <w:t>Окружающая среда для Европы</w:t>
      </w:r>
      <w:r w:rsidR="008356EF">
        <w:t>»</w:t>
      </w:r>
      <w:r w:rsidRPr="00273021">
        <w:t>. Данный документ был подг</w:t>
      </w:r>
      <w:r w:rsidRPr="00273021">
        <w:t>о</w:t>
      </w:r>
      <w:r w:rsidRPr="00273021">
        <w:lastRenderedPageBreak/>
        <w:t>товлен Председателем Комитета по экологической политике в консультации с Президиумом.</w:t>
      </w:r>
    </w:p>
    <w:p w:rsidR="00273021" w:rsidRPr="00273021" w:rsidRDefault="00273021" w:rsidP="00273021">
      <w:pPr>
        <w:pStyle w:val="SingleTxtGR"/>
      </w:pPr>
      <w:r w:rsidRPr="00273021">
        <w:t>7.</w:t>
      </w:r>
      <w:r w:rsidRPr="00273021">
        <w:tab/>
        <w:t xml:space="preserve">Комитету предлагается рассмотреть этот документ, с </w:t>
      </w:r>
      <w:proofErr w:type="gramStart"/>
      <w:r w:rsidRPr="00273021">
        <w:t>тем</w:t>
      </w:r>
      <w:proofErr w:type="gramEnd"/>
      <w:r w:rsidRPr="00273021">
        <w:t xml:space="preserve"> чтобы облегчить обсуждение по вопросу о пересмотре круга ведения Комитета с целью его представления для возможного принятия ЕЭК на ее шестьдесят восьмой сессии в 2019 году.</w:t>
      </w:r>
    </w:p>
    <w:p w:rsidR="00273021" w:rsidRPr="00273021" w:rsidRDefault="008356EF" w:rsidP="00273021">
      <w:pPr>
        <w:pStyle w:val="HChGR"/>
      </w:pPr>
      <w:r>
        <w:br w:type="page"/>
      </w:r>
      <w:r w:rsidR="00273021" w:rsidRPr="00273021">
        <w:lastRenderedPageBreak/>
        <w:t>Приложение</w:t>
      </w:r>
    </w:p>
    <w:p w:rsidR="00273021" w:rsidRPr="00273021" w:rsidRDefault="00273021" w:rsidP="00273021">
      <w:pPr>
        <w:pStyle w:val="HChGR"/>
      </w:pPr>
      <w:r w:rsidRPr="00273021">
        <w:tab/>
      </w:r>
      <w:r w:rsidRPr="00273021">
        <w:tab/>
        <w:t>Проект пересмотренного круга ведения</w:t>
      </w:r>
    </w:p>
    <w:p w:rsidR="00273021" w:rsidRPr="00273021" w:rsidRDefault="00273021" w:rsidP="00273021">
      <w:pPr>
        <w:pStyle w:val="SingleTxtGR"/>
      </w:pPr>
      <w:r w:rsidRPr="00273021">
        <w:t>1.</w:t>
      </w:r>
      <w:r w:rsidRPr="00273021">
        <w:tab/>
        <w:t>Комитет по экологической политике сосредоточивает свои усилия на пр</w:t>
      </w:r>
      <w:r w:rsidRPr="00273021">
        <w:t>е</w:t>
      </w:r>
      <w:r w:rsidRPr="00273021">
        <w:t>дупреждении экологического ущерба, поощрении устойчивого управления эк</w:t>
      </w:r>
      <w:r w:rsidRPr="00273021">
        <w:t>о</w:t>
      </w:r>
      <w:r w:rsidRPr="00273021">
        <w:t>логическими ресурсами и содействии развитию сотрудничества в области охр</w:t>
      </w:r>
      <w:r w:rsidRPr="00273021">
        <w:t>а</w:t>
      </w:r>
      <w:r w:rsidRPr="00273021">
        <w:t xml:space="preserve">ны окружающей среды между странами региона Европейской экономической комиссии Организации Объединенных Наций (ЕЭК), способствуя тем самым улучшению состояния окружающей среды в регионе. </w:t>
      </w:r>
    </w:p>
    <w:p w:rsidR="00273021" w:rsidRPr="00273021" w:rsidRDefault="00273021" w:rsidP="00273021">
      <w:pPr>
        <w:pStyle w:val="SingleTxtGR"/>
      </w:pPr>
      <w:r w:rsidRPr="00273021">
        <w:t>2.</w:t>
      </w:r>
      <w:r w:rsidRPr="00273021">
        <w:tab/>
        <w:t>В частности, Комитет как многосторонний форум для сотрудничества в области окружающей среды в регионе ЕЭК, будет:</w:t>
      </w:r>
    </w:p>
    <w:p w:rsidR="00273021" w:rsidRPr="00273021" w:rsidRDefault="00273021" w:rsidP="00273021">
      <w:pPr>
        <w:pStyle w:val="SingleTxtGR"/>
      </w:pPr>
      <w:r>
        <w:rPr>
          <w:lang w:val="en-US"/>
        </w:rPr>
        <w:tab/>
      </w:r>
      <w:r w:rsidRPr="00273021">
        <w:t>а)</w:t>
      </w:r>
      <w:r w:rsidRPr="00273021">
        <w:tab/>
        <w:t>служить для государств</w:t>
      </w:r>
      <w:r w:rsidR="00102FEF">
        <w:t xml:space="preserve"> – </w:t>
      </w:r>
      <w:r w:rsidRPr="00273021">
        <w:t>членов ЕЭК инструментом стратегич</w:t>
      </w:r>
      <w:r w:rsidRPr="00273021">
        <w:t>е</w:t>
      </w:r>
      <w:r w:rsidRPr="00273021">
        <w:t>ского руководства в регионе и развертывания международных инициатив, включая подготовку совещаний министров стран региона для рассмотрения экологических приоритетов и утверждения стратегических направлений экол</w:t>
      </w:r>
      <w:r w:rsidRPr="00273021">
        <w:t>о</w:t>
      </w:r>
      <w:r w:rsidRPr="00273021">
        <w:t>гической политики;</w:t>
      </w:r>
    </w:p>
    <w:p w:rsidR="00273021" w:rsidRPr="00273021" w:rsidRDefault="00273021" w:rsidP="00273021">
      <w:pPr>
        <w:pStyle w:val="SingleTxtGR"/>
      </w:pPr>
      <w:r w:rsidRPr="00273021">
        <w:tab/>
        <w:t>b)</w:t>
      </w:r>
      <w:r w:rsidRPr="00273021">
        <w:tab/>
        <w:t>действовать в качестве органа, отвечающего за организацию подг</w:t>
      </w:r>
      <w:r w:rsidRPr="00273021">
        <w:t>о</w:t>
      </w:r>
      <w:r w:rsidRPr="00273021">
        <w:t>товительного проц</w:t>
      </w:r>
      <w:r w:rsidR="00102FEF">
        <w:t>есса для конференций министров «</w:t>
      </w:r>
      <w:r w:rsidRPr="00273021">
        <w:t>Окружающая среда для Европы</w:t>
      </w:r>
      <w:r w:rsidR="00102FEF">
        <w:t>»</w:t>
      </w:r>
      <w:r w:rsidRPr="00273021">
        <w:t xml:space="preserve"> и осуществлять соответствующие решения конференций министров;</w:t>
      </w:r>
    </w:p>
    <w:p w:rsidR="00273021" w:rsidRPr="00273021" w:rsidRDefault="00273021" w:rsidP="00273021">
      <w:pPr>
        <w:pStyle w:val="SingleTxtGR"/>
      </w:pPr>
      <w:r w:rsidRPr="00273021">
        <w:tab/>
        <w:t>с)</w:t>
      </w:r>
      <w:r w:rsidRPr="00273021">
        <w:tab/>
        <w:t>проводить обзоры результативности экологической деятельности в заинтересованных странах, используя подход, ориентированный на потребн</w:t>
      </w:r>
      <w:r w:rsidRPr="00273021">
        <w:t>о</w:t>
      </w:r>
      <w:r w:rsidRPr="00273021">
        <w:t>сти конкретной страны, и оказывать помощь государствам-членам в выполн</w:t>
      </w:r>
      <w:r w:rsidRPr="00273021">
        <w:t>е</w:t>
      </w:r>
      <w:r w:rsidRPr="00273021">
        <w:t>нии рекомендаций по результатам таких обзоров;</w:t>
      </w:r>
    </w:p>
    <w:p w:rsidR="00273021" w:rsidRPr="00273021" w:rsidRDefault="00273021" w:rsidP="00273021">
      <w:pPr>
        <w:pStyle w:val="SingleTxtGR"/>
      </w:pPr>
      <w:r w:rsidRPr="00273021">
        <w:tab/>
        <w:t>d)</w:t>
      </w:r>
      <w:r w:rsidRPr="00273021">
        <w:tab/>
        <w:t>контролировать разработку и внедрение Общей системы эколог</w:t>
      </w:r>
      <w:r w:rsidRPr="00273021">
        <w:t>и</w:t>
      </w:r>
      <w:r w:rsidRPr="00273021">
        <w:t>ческой информации в поддержку регулярного процесса экологической оценки в рег</w:t>
      </w:r>
      <w:r w:rsidRPr="00273021">
        <w:t>и</w:t>
      </w:r>
      <w:r w:rsidRPr="00273021">
        <w:t>оне;</w:t>
      </w:r>
    </w:p>
    <w:p w:rsidR="00273021" w:rsidRPr="00273021" w:rsidRDefault="00273021" w:rsidP="00273021">
      <w:pPr>
        <w:pStyle w:val="SingleTxtGR"/>
      </w:pPr>
      <w:r w:rsidRPr="00273021">
        <w:tab/>
      </w:r>
      <w:proofErr w:type="gramStart"/>
      <w:r w:rsidRPr="00273021">
        <w:t>e)</w:t>
      </w:r>
      <w:r w:rsidRPr="00273021">
        <w:tab/>
        <w:t>укреплять информационный и наблюдательный потенциал в обл</w:t>
      </w:r>
      <w:r w:rsidRPr="00273021">
        <w:t>а</w:t>
      </w:r>
      <w:r w:rsidRPr="00273021">
        <w:t>сти охраны окружающей среды и использовать показатели для оценки прогре</w:t>
      </w:r>
      <w:r w:rsidRPr="00273021">
        <w:t>с</w:t>
      </w:r>
      <w:r w:rsidRPr="00273021">
        <w:t>са, по мере необходимости, особенно в странах Восточной и Юго-Восточной Европы, Кавказа и Центральной Азии, для получения надежной и значимой информации о состоянии окружающей среды в качестве основы для соверше</w:t>
      </w:r>
      <w:r w:rsidRPr="00273021">
        <w:t>н</w:t>
      </w:r>
      <w:r w:rsidRPr="00273021">
        <w:t>ствования выработки политики и ведения информационно-просветительской работы среди общественности;</w:t>
      </w:r>
      <w:proofErr w:type="gramEnd"/>
    </w:p>
    <w:p w:rsidR="00273021" w:rsidRPr="00273021" w:rsidRDefault="00273021" w:rsidP="00273021">
      <w:pPr>
        <w:pStyle w:val="SingleTxtGR"/>
      </w:pPr>
      <w:r w:rsidRPr="00273021">
        <w:tab/>
        <w:t>f)</w:t>
      </w:r>
      <w:r w:rsidRPr="00273021">
        <w:tab/>
        <w:t>изучать потребность в имеющих обязательную юридическую силу инструментах, рекомендациях, методологиях и руководствах для улучшения р</w:t>
      </w:r>
      <w:r w:rsidRPr="00273021">
        <w:t>а</w:t>
      </w:r>
      <w:r w:rsidRPr="00273021">
        <w:t>ционального природопользования в странах-членах и разрабатывать их по мере необходимости;</w:t>
      </w:r>
    </w:p>
    <w:p w:rsidR="00273021" w:rsidRPr="00273021" w:rsidRDefault="00273021" w:rsidP="00273021">
      <w:pPr>
        <w:pStyle w:val="SingleTxtGR"/>
      </w:pPr>
      <w:r w:rsidRPr="00273021">
        <w:tab/>
        <w:t>g)</w:t>
      </w:r>
      <w:r w:rsidRPr="00273021">
        <w:tab/>
        <w:t>проводить и поддерживать международные мероприятия, которые:</w:t>
      </w:r>
    </w:p>
    <w:p w:rsidR="00273021" w:rsidRPr="00273021" w:rsidRDefault="00273021" w:rsidP="008356EF">
      <w:pPr>
        <w:pStyle w:val="SingleTxtGR"/>
        <w:ind w:left="1701" w:hanging="567"/>
      </w:pPr>
      <w:r>
        <w:rPr>
          <w:lang w:val="en-US"/>
        </w:rPr>
        <w:tab/>
      </w:r>
      <w:proofErr w:type="gramStart"/>
      <w:r w:rsidRPr="00273021">
        <w:t>i)</w:t>
      </w:r>
      <w:r w:rsidRPr="00273021">
        <w:tab/>
        <w:t>поощряют природоохранную деятельность и устойчивое развитие в рег</w:t>
      </w:r>
      <w:r w:rsidRPr="00273021">
        <w:t>и</w:t>
      </w:r>
      <w:r w:rsidRPr="00273021">
        <w:t>оне на субрегиональном и трансграничном уровнях;</w:t>
      </w:r>
      <w:proofErr w:type="gramEnd"/>
    </w:p>
    <w:p w:rsidR="00273021" w:rsidRPr="00273021" w:rsidRDefault="00273021" w:rsidP="008356EF">
      <w:pPr>
        <w:pStyle w:val="SingleTxtGR"/>
        <w:ind w:left="1701" w:hanging="567"/>
      </w:pPr>
      <w:r>
        <w:rPr>
          <w:lang w:val="en-US"/>
        </w:rPr>
        <w:tab/>
      </w:r>
      <w:proofErr w:type="spellStart"/>
      <w:proofErr w:type="gramStart"/>
      <w:r w:rsidRPr="00273021">
        <w:t>ii</w:t>
      </w:r>
      <w:proofErr w:type="spellEnd"/>
      <w:r w:rsidRPr="00273021">
        <w:t>)</w:t>
      </w:r>
      <w:r w:rsidRPr="00273021">
        <w:tab/>
        <w:t>содействуют вкладу Комитета в работу Ассамблеи Организации Объед</w:t>
      </w:r>
      <w:r w:rsidRPr="00273021">
        <w:t>и</w:t>
      </w:r>
      <w:r w:rsidRPr="00273021">
        <w:t>ненных Наций по окружающей среде на глобальном уровне;</w:t>
      </w:r>
      <w:proofErr w:type="gramEnd"/>
    </w:p>
    <w:p w:rsidR="00273021" w:rsidRPr="00273021" w:rsidRDefault="00273021" w:rsidP="008356EF">
      <w:pPr>
        <w:pStyle w:val="SingleTxtGR"/>
        <w:ind w:left="1701" w:hanging="567"/>
      </w:pPr>
      <w:r>
        <w:rPr>
          <w:lang w:val="en-US"/>
        </w:rPr>
        <w:tab/>
      </w:r>
      <w:proofErr w:type="spellStart"/>
      <w:proofErr w:type="gramStart"/>
      <w:r w:rsidRPr="00273021">
        <w:t>iii</w:t>
      </w:r>
      <w:proofErr w:type="spellEnd"/>
      <w:r w:rsidRPr="00273021">
        <w:t>)</w:t>
      </w:r>
      <w:r w:rsidRPr="00273021">
        <w:tab/>
        <w:t>способствуют развитию сотрудничества между всеми заинтерес</w:t>
      </w:r>
      <w:r w:rsidRPr="00273021">
        <w:t>о</w:t>
      </w:r>
      <w:r w:rsidRPr="00273021">
        <w:t>ванными сторонами в целях обеспечения эффективности и рентабельн</w:t>
      </w:r>
      <w:r w:rsidRPr="00273021">
        <w:t>о</w:t>
      </w:r>
      <w:r w:rsidRPr="00273021">
        <w:t>сти проводимых мероприятий;</w:t>
      </w:r>
      <w:proofErr w:type="gramEnd"/>
    </w:p>
    <w:p w:rsidR="00273021" w:rsidRPr="00273021" w:rsidRDefault="00273021" w:rsidP="008356EF">
      <w:pPr>
        <w:pStyle w:val="SingleTxtGR"/>
        <w:ind w:left="1701" w:hanging="567"/>
      </w:pPr>
      <w:r>
        <w:rPr>
          <w:lang w:val="en-US"/>
        </w:rPr>
        <w:tab/>
      </w:r>
      <w:proofErr w:type="spellStart"/>
      <w:proofErr w:type="gramStart"/>
      <w:r w:rsidRPr="00273021">
        <w:t>iv</w:t>
      </w:r>
      <w:proofErr w:type="spellEnd"/>
      <w:r w:rsidRPr="00273021">
        <w:t>)</w:t>
      </w:r>
      <w:r w:rsidRPr="00273021">
        <w:tab/>
        <w:t>поощряют общественность к участию в процессе принятия реш</w:t>
      </w:r>
      <w:r w:rsidRPr="00273021">
        <w:t>е</w:t>
      </w:r>
      <w:r w:rsidRPr="00273021">
        <w:t>ний в области окружающей среды с привлечением организаций гражда</w:t>
      </w:r>
      <w:r w:rsidRPr="00273021">
        <w:t>н</w:t>
      </w:r>
      <w:r w:rsidRPr="00273021">
        <w:t>ского общества, в том числе частного сектора, в соответствии с процед</w:t>
      </w:r>
      <w:r w:rsidRPr="00273021">
        <w:t>у</w:t>
      </w:r>
      <w:r w:rsidRPr="00273021">
        <w:t xml:space="preserve">рами Организации Объединенных Наций и национальной практикой </w:t>
      </w:r>
      <w:r w:rsidR="00102FEF">
        <w:br/>
      </w:r>
      <w:r w:rsidRPr="00273021">
        <w:t>го</w:t>
      </w:r>
      <w:r w:rsidRPr="00273021">
        <w:t>с</w:t>
      </w:r>
      <w:r w:rsidRPr="00273021">
        <w:t>ударств</w:t>
      </w:r>
      <w:r w:rsidR="00102FEF">
        <w:t xml:space="preserve"> – </w:t>
      </w:r>
      <w:r w:rsidRPr="00273021">
        <w:t>членов ЕЭК;</w:t>
      </w:r>
      <w:proofErr w:type="gramEnd"/>
    </w:p>
    <w:p w:rsidR="00273021" w:rsidRPr="00273021" w:rsidRDefault="00273021" w:rsidP="00273021">
      <w:pPr>
        <w:pStyle w:val="SingleTxtGR"/>
      </w:pPr>
      <w:r w:rsidRPr="00273021">
        <w:lastRenderedPageBreak/>
        <w:tab/>
        <w:t>h)</w:t>
      </w:r>
      <w:r w:rsidRPr="00273021">
        <w:tab/>
        <w:t>развивать сотрудничество и обмен опытом между природоохра</w:t>
      </w:r>
      <w:r w:rsidRPr="00273021">
        <w:t>н</w:t>
      </w:r>
      <w:r w:rsidRPr="00273021">
        <w:t>ными конвенциями ЕЭК путем содействия их эффективному осуществлению;</w:t>
      </w:r>
    </w:p>
    <w:p w:rsidR="00273021" w:rsidRPr="00273021" w:rsidRDefault="00273021" w:rsidP="00273021">
      <w:pPr>
        <w:pStyle w:val="SingleTxtGR"/>
      </w:pPr>
      <w:r w:rsidRPr="00273021">
        <w:tab/>
        <w:t>i)</w:t>
      </w:r>
      <w:r w:rsidRPr="00273021">
        <w:tab/>
        <w:t>содействовать внедрению механизмов и инструментов политики и имеющих обязательную юридическую силу инструментов ЕЭК для расширения возможностей стран Восточной и Юго-Восточной Европы, Кавказа и Це</w:t>
      </w:r>
      <w:r w:rsidRPr="00273021">
        <w:t>н</w:t>
      </w:r>
      <w:r w:rsidRPr="00273021">
        <w:t>тральной Азии путем оказания им технической помощи, организации консул</w:t>
      </w:r>
      <w:r w:rsidRPr="00273021">
        <w:t>ь</w:t>
      </w:r>
      <w:r w:rsidRPr="00273021">
        <w:t>тативных миссий и укрепления их потенциала в целях предупреждения и обр</w:t>
      </w:r>
      <w:r w:rsidRPr="00273021">
        <w:t>а</w:t>
      </w:r>
      <w:r w:rsidRPr="00273021">
        <w:t>щения вспять деградации окружающей среды;</w:t>
      </w:r>
    </w:p>
    <w:p w:rsidR="00273021" w:rsidRPr="00273021" w:rsidRDefault="00273021" w:rsidP="00273021">
      <w:pPr>
        <w:pStyle w:val="SingleTxtGR"/>
      </w:pPr>
      <w:r w:rsidRPr="00273021">
        <w:tab/>
        <w:t>j)</w:t>
      </w:r>
      <w:r w:rsidRPr="00273021">
        <w:tab/>
        <w:t>по мере необходимости оказывать содействие государствам-членам в обеспечении всестороннего учета экологических соображений в рамках др</w:t>
      </w:r>
      <w:r w:rsidRPr="00273021">
        <w:t>у</w:t>
      </w:r>
      <w:r w:rsidRPr="00273021">
        <w:t>гих направлений политики и в соответствующем использовании показателей для оценки достигнутого прогресса;</w:t>
      </w:r>
    </w:p>
    <w:p w:rsidR="00273021" w:rsidRPr="00273021" w:rsidRDefault="00273021" w:rsidP="00273021">
      <w:pPr>
        <w:pStyle w:val="SingleTxtGR"/>
      </w:pPr>
      <w:r w:rsidRPr="00273021">
        <w:tab/>
        <w:t>k)</w:t>
      </w:r>
      <w:r w:rsidRPr="00273021">
        <w:tab/>
        <w:t>способствовать реализации в регионе ЕЭК экологического комп</w:t>
      </w:r>
      <w:r w:rsidRPr="00273021">
        <w:t>о</w:t>
      </w:r>
      <w:r w:rsidRPr="00273021">
        <w:t>нента Повестки дня в области устойчивого развития на период до 2030 года и оказывать поддержку региональным совещаниям, таким как Региональный ф</w:t>
      </w:r>
      <w:r w:rsidRPr="00273021">
        <w:t>о</w:t>
      </w:r>
      <w:r w:rsidRPr="00273021">
        <w:t>рум по устойчивому развитию для региона ЕЭК, организуемым в рамках подг</w:t>
      </w:r>
      <w:r w:rsidRPr="00273021">
        <w:t>о</w:t>
      </w:r>
      <w:r w:rsidRPr="00273021">
        <w:t>товки совещаний политического форума высокого уровня по устойчивому ра</w:t>
      </w:r>
      <w:r w:rsidRPr="00273021">
        <w:t>з</w:t>
      </w:r>
      <w:r w:rsidRPr="00273021">
        <w:t>витию;</w:t>
      </w:r>
    </w:p>
    <w:p w:rsidR="00273021" w:rsidRPr="00273021" w:rsidRDefault="00273021" w:rsidP="00273021">
      <w:pPr>
        <w:pStyle w:val="SingleTxtGR"/>
      </w:pPr>
      <w:r w:rsidRPr="00273021">
        <w:tab/>
        <w:t>l)</w:t>
      </w:r>
      <w:r w:rsidRPr="00273021">
        <w:tab/>
        <w:t>пересматривать на регулярной основе свою программу работы для обеспечения согласованности своей деятельности с общими целями ЕЭК, ра</w:t>
      </w:r>
      <w:r w:rsidRPr="00273021">
        <w:t>з</w:t>
      </w:r>
      <w:r w:rsidRPr="00273021">
        <w:t>вивать синергизм и предлагать Комиссии ЕЭК варианты сотрудничества с др</w:t>
      </w:r>
      <w:r w:rsidRPr="00273021">
        <w:t>у</w:t>
      </w:r>
      <w:r w:rsidRPr="00273021">
        <w:t>гими секторальными комитетами по вопросам, представляющим общий инт</w:t>
      </w:r>
      <w:r w:rsidRPr="00273021">
        <w:t>е</w:t>
      </w:r>
      <w:r w:rsidRPr="00273021">
        <w:t>рес;</w:t>
      </w:r>
    </w:p>
    <w:p w:rsidR="00273021" w:rsidRPr="00273021" w:rsidRDefault="00273021" w:rsidP="00273021">
      <w:pPr>
        <w:pStyle w:val="SingleTxtGR"/>
      </w:pPr>
      <w:r w:rsidRPr="00273021">
        <w:tab/>
      </w:r>
      <w:proofErr w:type="gramStart"/>
      <w:r w:rsidRPr="00273021">
        <w:t>m)</w:t>
      </w:r>
      <w:r w:rsidRPr="00273021">
        <w:tab/>
        <w:t>содействовать достижению синергизма в деле осуществления рег</w:t>
      </w:r>
      <w:r w:rsidRPr="00273021">
        <w:t>и</w:t>
      </w:r>
      <w:r w:rsidRPr="00273021">
        <w:t>онал</w:t>
      </w:r>
      <w:r w:rsidRPr="00273021">
        <w:t>ь</w:t>
      </w:r>
      <w:r w:rsidRPr="00273021">
        <w:t>ных экологических программ, в том числе тех, которые были разработаны в рамках региональных организаций экономической интеграции, и сотрудн</w:t>
      </w:r>
      <w:r w:rsidRPr="00273021">
        <w:t>и</w:t>
      </w:r>
      <w:r w:rsidRPr="00273021">
        <w:t>чать с другими региональными комиссиями Организации Объединенных Наций, международными организациями и другими соответствующими орг</w:t>
      </w:r>
      <w:r w:rsidRPr="00273021">
        <w:t>а</w:t>
      </w:r>
      <w:r w:rsidRPr="00273021">
        <w:t>нами, в частности с финансовыми учреждениями, во избежание дублирования работы и для развития синергизма;</w:t>
      </w:r>
      <w:proofErr w:type="gramEnd"/>
    </w:p>
    <w:p w:rsidR="00273021" w:rsidRPr="00273021" w:rsidRDefault="00273021" w:rsidP="00273021">
      <w:pPr>
        <w:pStyle w:val="SingleTxtGR"/>
      </w:pPr>
      <w:r w:rsidRPr="00273021">
        <w:tab/>
        <w:t>n)</w:t>
      </w:r>
      <w:r w:rsidRPr="00273021">
        <w:tab/>
        <w:t>поощрять и поддерживать усилия государств-членов, направленные на достижение целей в области устойчивого развития.</w:t>
      </w:r>
    </w:p>
    <w:p w:rsidR="00273021" w:rsidRPr="00273021" w:rsidRDefault="00273021" w:rsidP="00273021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73021" w:rsidRPr="00273021" w:rsidSect="0006660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5D2" w:rsidRPr="00A312BC" w:rsidRDefault="00EF75D2" w:rsidP="00A312BC"/>
  </w:endnote>
  <w:endnote w:type="continuationSeparator" w:id="0">
    <w:p w:rsidR="00EF75D2" w:rsidRPr="00A312BC" w:rsidRDefault="00EF75D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607" w:rsidRPr="00066607" w:rsidRDefault="00066607">
    <w:pPr>
      <w:pStyle w:val="a8"/>
    </w:pPr>
    <w:r w:rsidRPr="00066607">
      <w:rPr>
        <w:b/>
        <w:sz w:val="18"/>
      </w:rPr>
      <w:fldChar w:fldCharType="begin"/>
    </w:r>
    <w:r w:rsidRPr="00066607">
      <w:rPr>
        <w:b/>
        <w:sz w:val="18"/>
      </w:rPr>
      <w:instrText xml:space="preserve"> PAGE  \* MERGEFORMAT </w:instrText>
    </w:r>
    <w:r w:rsidRPr="00066607">
      <w:rPr>
        <w:b/>
        <w:sz w:val="18"/>
      </w:rPr>
      <w:fldChar w:fldCharType="separate"/>
    </w:r>
    <w:r w:rsidR="00F96524">
      <w:rPr>
        <w:b/>
        <w:noProof/>
        <w:sz w:val="18"/>
      </w:rPr>
      <w:t>2</w:t>
    </w:r>
    <w:r w:rsidRPr="00066607">
      <w:rPr>
        <w:b/>
        <w:sz w:val="18"/>
      </w:rPr>
      <w:fldChar w:fldCharType="end"/>
    </w:r>
    <w:r>
      <w:rPr>
        <w:b/>
        <w:sz w:val="18"/>
      </w:rPr>
      <w:tab/>
    </w:r>
    <w:r>
      <w:t>GE.17-13650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607" w:rsidRPr="00066607" w:rsidRDefault="00066607" w:rsidP="00066607">
    <w:pPr>
      <w:pStyle w:val="a8"/>
      <w:tabs>
        <w:tab w:val="clear" w:pos="9639"/>
        <w:tab w:val="right" w:pos="9638"/>
      </w:tabs>
      <w:rPr>
        <w:b/>
        <w:sz w:val="18"/>
      </w:rPr>
    </w:pPr>
    <w:r>
      <w:t>GE.17-13650</w:t>
    </w:r>
    <w:r>
      <w:tab/>
    </w:r>
    <w:r w:rsidRPr="00066607">
      <w:rPr>
        <w:b/>
        <w:sz w:val="18"/>
      </w:rPr>
      <w:fldChar w:fldCharType="begin"/>
    </w:r>
    <w:r w:rsidRPr="00066607">
      <w:rPr>
        <w:b/>
        <w:sz w:val="18"/>
      </w:rPr>
      <w:instrText xml:space="preserve"> PAGE  \* MERGEFORMAT </w:instrText>
    </w:r>
    <w:r w:rsidRPr="00066607">
      <w:rPr>
        <w:b/>
        <w:sz w:val="18"/>
      </w:rPr>
      <w:fldChar w:fldCharType="separate"/>
    </w:r>
    <w:r w:rsidR="00F96524">
      <w:rPr>
        <w:b/>
        <w:noProof/>
        <w:sz w:val="18"/>
      </w:rPr>
      <w:t>3</w:t>
    </w:r>
    <w:r w:rsidRPr="0006660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066607" w:rsidRDefault="00066607" w:rsidP="00066607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211883FC" wp14:editId="448C2B0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17-13650  (R)</w:t>
    </w:r>
    <w:r w:rsidR="00273021">
      <w:rPr>
        <w:lang w:val="en-US"/>
      </w:rPr>
      <w:t xml:space="preserve">  120917  140917</w:t>
    </w:r>
    <w:r>
      <w:br/>
    </w:r>
    <w:r w:rsidRPr="00066607">
      <w:rPr>
        <w:rFonts w:ascii="C39T30Lfz" w:hAnsi="C39T30Lfz"/>
        <w:spacing w:val="0"/>
        <w:w w:val="100"/>
        <w:sz w:val="56"/>
      </w:rPr>
      <w:t></w:t>
    </w:r>
    <w:r w:rsidRPr="00066607">
      <w:rPr>
        <w:rFonts w:ascii="C39T30Lfz" w:hAnsi="C39T30Lfz"/>
        <w:spacing w:val="0"/>
        <w:w w:val="100"/>
        <w:sz w:val="56"/>
      </w:rPr>
      <w:t></w:t>
    </w:r>
    <w:r w:rsidRPr="00066607">
      <w:rPr>
        <w:rFonts w:ascii="C39T30Lfz" w:hAnsi="C39T30Lfz"/>
        <w:spacing w:val="0"/>
        <w:w w:val="100"/>
        <w:sz w:val="56"/>
      </w:rPr>
      <w:t></w:t>
    </w:r>
    <w:r w:rsidRPr="00066607">
      <w:rPr>
        <w:rFonts w:ascii="C39T30Lfz" w:hAnsi="C39T30Lfz"/>
        <w:spacing w:val="0"/>
        <w:w w:val="100"/>
        <w:sz w:val="56"/>
      </w:rPr>
      <w:t></w:t>
    </w:r>
    <w:r w:rsidRPr="00066607">
      <w:rPr>
        <w:rFonts w:ascii="C39T30Lfz" w:hAnsi="C39T30Lfz"/>
        <w:spacing w:val="0"/>
        <w:w w:val="100"/>
        <w:sz w:val="56"/>
      </w:rPr>
      <w:t></w:t>
    </w:r>
    <w:r w:rsidRPr="00066607">
      <w:rPr>
        <w:rFonts w:ascii="C39T30Lfz" w:hAnsi="C39T30Lfz"/>
        <w:spacing w:val="0"/>
        <w:w w:val="100"/>
        <w:sz w:val="56"/>
      </w:rPr>
      <w:t></w:t>
    </w:r>
    <w:r w:rsidRPr="00066607">
      <w:rPr>
        <w:rFonts w:ascii="C39T30Lfz" w:hAnsi="C39T30Lfz"/>
        <w:spacing w:val="0"/>
        <w:w w:val="100"/>
        <w:sz w:val="56"/>
      </w:rPr>
      <w:t></w:t>
    </w:r>
    <w:r w:rsidRPr="00066607">
      <w:rPr>
        <w:rFonts w:ascii="C39T30Lfz" w:hAnsi="C39T30Lfz"/>
        <w:spacing w:val="0"/>
        <w:w w:val="100"/>
        <w:sz w:val="56"/>
      </w:rPr>
      <w:t></w:t>
    </w:r>
    <w:r w:rsidRPr="00066607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7564" cy="637564"/>
          <wp:effectExtent l="0" t="0" r="0" b="0"/>
          <wp:wrapNone/>
          <wp:docPr id="1" name="Рисунок 1" descr="https://undocs.org/m2/QRCode.ashx?DS=ECE/CEP/2017/19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CEP/2017/19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64" cy="637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5D2" w:rsidRPr="001075E9" w:rsidRDefault="00EF75D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F75D2" w:rsidRDefault="00EF75D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607" w:rsidRPr="00066607" w:rsidRDefault="00066607">
    <w:pPr>
      <w:pStyle w:val="a5"/>
    </w:pPr>
    <w:fldSimple w:instr=" TITLE  \* MERGEFORMAT ">
      <w:r w:rsidR="00F96524">
        <w:t>ECE/CEP/2017/19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607" w:rsidRPr="00066607" w:rsidRDefault="00066607" w:rsidP="00066607">
    <w:pPr>
      <w:pStyle w:val="a5"/>
      <w:jc w:val="right"/>
    </w:pPr>
    <w:fldSimple w:instr=" TITLE  \* MERGEFORMAT ">
      <w:r w:rsidR="00F96524">
        <w:t>ECE/CEP/2017/19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D2"/>
    <w:rsid w:val="00033EE1"/>
    <w:rsid w:val="00042B72"/>
    <w:rsid w:val="000558BD"/>
    <w:rsid w:val="00066607"/>
    <w:rsid w:val="000B57E7"/>
    <w:rsid w:val="000B6373"/>
    <w:rsid w:val="000E4E5B"/>
    <w:rsid w:val="000F09DF"/>
    <w:rsid w:val="000F61B2"/>
    <w:rsid w:val="00102FEF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73021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47854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50E4D"/>
    <w:rsid w:val="00680D03"/>
    <w:rsid w:val="00681A10"/>
    <w:rsid w:val="006A1ED8"/>
    <w:rsid w:val="006C2031"/>
    <w:rsid w:val="006D461A"/>
    <w:rsid w:val="006F35EE"/>
    <w:rsid w:val="007021FF"/>
    <w:rsid w:val="00712895"/>
    <w:rsid w:val="007140A2"/>
    <w:rsid w:val="00734ACB"/>
    <w:rsid w:val="00757357"/>
    <w:rsid w:val="00792497"/>
    <w:rsid w:val="00806737"/>
    <w:rsid w:val="00825F8D"/>
    <w:rsid w:val="00834B71"/>
    <w:rsid w:val="008356EF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30F90"/>
    <w:rsid w:val="00951972"/>
    <w:rsid w:val="009608F3"/>
    <w:rsid w:val="009A24AC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0A61"/>
    <w:rsid w:val="00EA2C9F"/>
    <w:rsid w:val="00EA420E"/>
    <w:rsid w:val="00ED0BDA"/>
    <w:rsid w:val="00EE142A"/>
    <w:rsid w:val="00EF1360"/>
    <w:rsid w:val="00EF3220"/>
    <w:rsid w:val="00EF75D2"/>
    <w:rsid w:val="00F2523A"/>
    <w:rsid w:val="00F43903"/>
    <w:rsid w:val="00F94155"/>
    <w:rsid w:val="00F96524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1">
    <w:name w:val="heading 1"/>
    <w:aliases w:val="Table_GR"/>
    <w:basedOn w:val="a"/>
    <w:next w:val="a"/>
    <w:link w:val="10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9C6FE6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9C6FE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9C6FE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9C6FE6"/>
  </w:style>
  <w:style w:type="character" w:customStyle="1" w:styleId="af0">
    <w:name w:val="Текст концевой сноски Знак"/>
    <w:aliases w:val="2_GR Знак"/>
    <w:basedOn w:val="a0"/>
    <w:link w:val="af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9C6FE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9C6FE6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1">
    <w:name w:val="heading 1"/>
    <w:aliases w:val="Table_GR"/>
    <w:basedOn w:val="a"/>
    <w:next w:val="a"/>
    <w:link w:val="10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9C6FE6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9C6FE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9C6FE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9C6FE6"/>
  </w:style>
  <w:style w:type="character" w:customStyle="1" w:styleId="af0">
    <w:name w:val="Текст концевой сноски Знак"/>
    <w:aliases w:val="2_GR Знак"/>
    <w:basedOn w:val="a0"/>
    <w:link w:val="af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9C6FE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5</Pages>
  <Words>1284</Words>
  <Characters>9031</Characters>
  <Application>Microsoft Office Word</Application>
  <DocSecurity>0</DocSecurity>
  <Lines>188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ECE/CEP/2017/19</vt:lpstr>
      <vt:lpstr>A/</vt:lpstr>
    </vt:vector>
  </TitlesOfParts>
  <Company>DCM</Company>
  <LinksUpToDate>false</LinksUpToDate>
  <CharactersWithSpaces>10258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ECE/CEP/2017/19</dc:title>
  <dc:subject/>
  <dc:creator>Marina Korotkova</dc:creator>
  <cp:keywords/>
  <cp:lastModifiedBy>Marina Korotkova</cp:lastModifiedBy>
  <cp:revision>3</cp:revision>
  <cp:lastPrinted>2017-09-14T08:02:00Z</cp:lastPrinted>
  <dcterms:created xsi:type="dcterms:W3CDTF">2017-09-14T08:02:00Z</dcterms:created>
  <dcterms:modified xsi:type="dcterms:W3CDTF">2017-09-14T08:03:00Z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