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30590E">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0590E" w:rsidP="0030590E">
            <w:pPr>
              <w:jc w:val="right"/>
            </w:pPr>
            <w:r w:rsidRPr="0030590E">
              <w:rPr>
                <w:sz w:val="40"/>
              </w:rPr>
              <w:t>ECE</w:t>
            </w:r>
            <w:r>
              <w:t>/</w:t>
            </w:r>
            <w:proofErr w:type="spellStart"/>
            <w:r>
              <w:t>CEP</w:t>
            </w:r>
            <w:proofErr w:type="spellEnd"/>
            <w:r>
              <w:t>/2017/18</w:t>
            </w:r>
          </w:p>
        </w:tc>
      </w:tr>
      <w:tr w:rsidR="002D5AAC" w:rsidRPr="0030590E"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30590E" w:rsidP="00387CD4">
            <w:pPr>
              <w:spacing w:before="240"/>
              <w:rPr>
                <w:lang w:val="en-US"/>
              </w:rPr>
            </w:pPr>
            <w:r>
              <w:rPr>
                <w:lang w:val="en-US"/>
              </w:rPr>
              <w:t>Distr.: General</w:t>
            </w:r>
          </w:p>
          <w:p w:rsidR="0030590E" w:rsidRDefault="0030590E" w:rsidP="0030590E">
            <w:pPr>
              <w:spacing w:line="240" w:lineRule="exact"/>
              <w:rPr>
                <w:lang w:val="en-US"/>
              </w:rPr>
            </w:pPr>
            <w:r>
              <w:rPr>
                <w:lang w:val="en-US"/>
              </w:rPr>
              <w:t>17 August 2017</w:t>
            </w:r>
          </w:p>
          <w:p w:rsidR="0030590E" w:rsidRDefault="0030590E" w:rsidP="0030590E">
            <w:pPr>
              <w:spacing w:line="240" w:lineRule="exact"/>
              <w:rPr>
                <w:lang w:val="en-US"/>
              </w:rPr>
            </w:pPr>
            <w:r>
              <w:rPr>
                <w:lang w:val="en-US"/>
              </w:rPr>
              <w:t>Russian</w:t>
            </w:r>
          </w:p>
          <w:p w:rsidR="0030590E" w:rsidRPr="008D53B6" w:rsidRDefault="0030590E" w:rsidP="0030590E">
            <w:pPr>
              <w:spacing w:line="240" w:lineRule="exact"/>
              <w:rPr>
                <w:lang w:val="en-US"/>
              </w:rPr>
            </w:pPr>
            <w:r>
              <w:rPr>
                <w:lang w:val="en-US"/>
              </w:rPr>
              <w:t>Original: English</w:t>
            </w:r>
          </w:p>
        </w:tc>
      </w:tr>
    </w:tbl>
    <w:p w:rsidR="008A37C8" w:rsidRDefault="008A37C8" w:rsidP="00E16EF6">
      <w:pPr>
        <w:spacing w:before="120" w:after="120"/>
        <w:rPr>
          <w:b/>
          <w:sz w:val="28"/>
          <w:szCs w:val="28"/>
        </w:rPr>
      </w:pPr>
      <w:r w:rsidRPr="00245892">
        <w:rPr>
          <w:b/>
          <w:sz w:val="28"/>
          <w:szCs w:val="28"/>
        </w:rPr>
        <w:t>Европейская экономическая комиссия</w:t>
      </w:r>
    </w:p>
    <w:p w:rsidR="0030590E" w:rsidRPr="00E16EF6" w:rsidRDefault="0030590E" w:rsidP="00E16EF6">
      <w:pPr>
        <w:spacing w:after="120"/>
        <w:rPr>
          <w:sz w:val="28"/>
          <w:szCs w:val="28"/>
        </w:rPr>
      </w:pPr>
      <w:r w:rsidRPr="00E16EF6">
        <w:rPr>
          <w:sz w:val="28"/>
          <w:szCs w:val="28"/>
        </w:rPr>
        <w:t>Комитет по экологической политике</w:t>
      </w:r>
    </w:p>
    <w:p w:rsidR="0030590E" w:rsidRPr="00E16EF6" w:rsidRDefault="0030590E" w:rsidP="00FA1B17">
      <w:pPr>
        <w:rPr>
          <w:b/>
          <w:bCs/>
        </w:rPr>
      </w:pPr>
      <w:r w:rsidRPr="00E16EF6">
        <w:rPr>
          <w:b/>
          <w:bCs/>
        </w:rPr>
        <w:t>Двадцать третья сессия</w:t>
      </w:r>
    </w:p>
    <w:p w:rsidR="0030590E" w:rsidRPr="00FA1B17" w:rsidRDefault="0098579C" w:rsidP="00FA1B17">
      <w:r>
        <w:t>Женева, 14</w:t>
      </w:r>
      <w:r>
        <w:rPr>
          <w:lang w:val="en-US"/>
        </w:rPr>
        <w:t>–</w:t>
      </w:r>
      <w:r w:rsidR="0030590E" w:rsidRPr="00FA1B17">
        <w:t>17</w:t>
      </w:r>
      <w:r w:rsidR="00FA1B17">
        <w:t xml:space="preserve"> </w:t>
      </w:r>
      <w:r w:rsidR="0030590E" w:rsidRPr="00FA1B17">
        <w:t>ноября 2017 года</w:t>
      </w:r>
    </w:p>
    <w:p w:rsidR="0030590E" w:rsidRPr="00FA1B17" w:rsidRDefault="0030590E" w:rsidP="00FA1B17">
      <w:r w:rsidRPr="00FA1B17">
        <w:t xml:space="preserve">Пункт 8 c) предварительной повестки дня </w:t>
      </w:r>
    </w:p>
    <w:p w:rsidR="0030590E" w:rsidRPr="0098579C" w:rsidRDefault="0030590E" w:rsidP="00F1686A">
      <w:pPr>
        <w:rPr>
          <w:b/>
          <w:bCs/>
        </w:rPr>
      </w:pPr>
      <w:proofErr w:type="spellStart"/>
      <w:r w:rsidRPr="0098579C">
        <w:rPr>
          <w:b/>
          <w:bCs/>
        </w:rPr>
        <w:t>Межсекторальная</w:t>
      </w:r>
      <w:proofErr w:type="spellEnd"/>
      <w:r w:rsidRPr="0098579C">
        <w:rPr>
          <w:b/>
          <w:bCs/>
        </w:rPr>
        <w:t xml:space="preserve"> деятельность: европейский </w:t>
      </w:r>
      <w:r w:rsidR="00F1686A" w:rsidRPr="006E4C21">
        <w:rPr>
          <w:b/>
          <w:bCs/>
        </w:rPr>
        <w:br/>
      </w:r>
      <w:r w:rsidRPr="0098579C">
        <w:rPr>
          <w:b/>
          <w:bCs/>
        </w:rPr>
        <w:t xml:space="preserve">процесс «Окружающая среда и здоровье» </w:t>
      </w:r>
    </w:p>
    <w:p w:rsidR="0030590E" w:rsidRPr="0030590E" w:rsidRDefault="0030590E" w:rsidP="00FA1B17">
      <w:pPr>
        <w:pStyle w:val="HChGR"/>
      </w:pPr>
      <w:r w:rsidRPr="0030590E">
        <w:tab/>
      </w:r>
      <w:r w:rsidRPr="0030590E">
        <w:tab/>
        <w:t xml:space="preserve">Возможные варианты создания совместного секретариата для обслуживания европейского процесса «Окружающая среда и здоровье» </w:t>
      </w:r>
    </w:p>
    <w:p w:rsidR="0030590E" w:rsidRDefault="0030590E" w:rsidP="00FA1B17">
      <w:pPr>
        <w:pStyle w:val="H1GR"/>
        <w:rPr>
          <w:lang w:val="en-US"/>
        </w:rPr>
      </w:pPr>
      <w:r w:rsidRPr="0030590E">
        <w:tab/>
      </w:r>
      <w:r w:rsidRPr="0030590E">
        <w:tab/>
        <w:t xml:space="preserve">Записка секретариата </w:t>
      </w:r>
    </w:p>
    <w:tbl>
      <w:tblPr>
        <w:tblStyle w:val="ac"/>
        <w:tblW w:w="0" w:type="auto"/>
        <w:jc w:val="center"/>
        <w:tblCellMar>
          <w:left w:w="0" w:type="dxa"/>
          <w:right w:w="0" w:type="dxa"/>
        </w:tblCellMar>
        <w:tblLook w:val="05E0" w:firstRow="1" w:lastRow="1" w:firstColumn="1" w:lastColumn="1" w:noHBand="0" w:noVBand="1"/>
      </w:tblPr>
      <w:tblGrid>
        <w:gridCol w:w="9637"/>
      </w:tblGrid>
      <w:tr w:rsidR="00FA1B17" w:rsidRPr="00FA1B17" w:rsidTr="001B6359">
        <w:trPr>
          <w:jc w:val="center"/>
        </w:trPr>
        <w:tc>
          <w:tcPr>
            <w:tcW w:w="9637" w:type="dxa"/>
            <w:tcBorders>
              <w:bottom w:val="nil"/>
            </w:tcBorders>
          </w:tcPr>
          <w:p w:rsidR="00FA1B17" w:rsidRPr="00FA1B17" w:rsidRDefault="00FA1B17" w:rsidP="001B6359">
            <w:pPr>
              <w:tabs>
                <w:tab w:val="left" w:pos="255"/>
              </w:tabs>
              <w:spacing w:before="240" w:after="120"/>
              <w:rPr>
                <w:rFonts w:cs="Times New Roman"/>
                <w:sz w:val="24"/>
              </w:rPr>
            </w:pPr>
            <w:r w:rsidRPr="00FA1B17">
              <w:rPr>
                <w:rFonts w:cs="Times New Roman"/>
              </w:rPr>
              <w:tab/>
            </w:r>
            <w:r w:rsidRPr="00FA1B17">
              <w:rPr>
                <w:rFonts w:cs="Times New Roman"/>
                <w:i/>
                <w:sz w:val="24"/>
              </w:rPr>
              <w:t>Резюме</w:t>
            </w:r>
          </w:p>
        </w:tc>
      </w:tr>
      <w:tr w:rsidR="00FA1B17" w:rsidRPr="00FA1B17" w:rsidTr="001B6359">
        <w:trPr>
          <w:jc w:val="center"/>
        </w:trPr>
        <w:tc>
          <w:tcPr>
            <w:tcW w:w="9637" w:type="dxa"/>
            <w:tcBorders>
              <w:top w:val="nil"/>
              <w:bottom w:val="nil"/>
            </w:tcBorders>
            <w:shd w:val="clear" w:color="auto" w:fill="auto"/>
          </w:tcPr>
          <w:p w:rsidR="00FA1B17" w:rsidRPr="00FA1B17" w:rsidRDefault="00FA1B17" w:rsidP="001B6359">
            <w:pPr>
              <w:pStyle w:val="SingleTxtGR"/>
              <w:rPr>
                <w:lang w:val="en-US"/>
              </w:rPr>
            </w:pPr>
            <w:r>
              <w:rPr>
                <w:lang w:val="en-US"/>
              </w:rPr>
              <w:tab/>
            </w:r>
            <w:r w:rsidRPr="0030590E">
              <w:t>Обслуживание европейского процесса «Окружающая среда и здоровье» обеспечивается Европейским региональным отделением Всемирной организ</w:t>
            </w:r>
            <w:r w:rsidRPr="0030590E">
              <w:t>а</w:t>
            </w:r>
            <w:r w:rsidRPr="0030590E">
              <w:t>ции здравоохранения (ВОЗ). Государства-члены, участвующие в этом пр</w:t>
            </w:r>
            <w:r w:rsidRPr="0030590E">
              <w:t>о</w:t>
            </w:r>
            <w:r w:rsidRPr="0030590E">
              <w:t>цессе, предложили Европейской экономической комиссии (ЕЭК) Организации Об</w:t>
            </w:r>
            <w:r w:rsidRPr="0030590E">
              <w:t>ъ</w:t>
            </w:r>
            <w:r w:rsidRPr="0030590E">
              <w:t>единенных Наций создать совместный секретариат в сотрудничестве с Евр</w:t>
            </w:r>
            <w:r w:rsidRPr="0030590E">
              <w:t>о</w:t>
            </w:r>
            <w:r w:rsidRPr="0030590E">
              <w:t>пейским региональным бюро ВОЗ.</w:t>
            </w:r>
          </w:p>
        </w:tc>
      </w:tr>
      <w:tr w:rsidR="00FA1B17" w:rsidRPr="00FA1B17" w:rsidTr="001B6359">
        <w:trPr>
          <w:jc w:val="center"/>
        </w:trPr>
        <w:tc>
          <w:tcPr>
            <w:tcW w:w="9637" w:type="dxa"/>
            <w:tcBorders>
              <w:top w:val="nil"/>
              <w:bottom w:val="nil"/>
            </w:tcBorders>
            <w:shd w:val="clear" w:color="auto" w:fill="auto"/>
          </w:tcPr>
          <w:p w:rsidR="00FA1B17" w:rsidRPr="00FA1B17" w:rsidRDefault="00FA1B17" w:rsidP="0098579C">
            <w:pPr>
              <w:pStyle w:val="SingleTxtGR"/>
            </w:pPr>
            <w:r>
              <w:rPr>
                <w:lang w:val="en-US"/>
              </w:rPr>
              <w:tab/>
            </w:r>
            <w:r w:rsidRPr="0030590E">
              <w:t>На своей двадцать второй сессии (Женева, 25</w:t>
            </w:r>
            <w:r w:rsidR="0098579C" w:rsidRPr="0098579C">
              <w:t>–</w:t>
            </w:r>
            <w:r w:rsidRPr="0030590E">
              <w:t>27 января 2017 года) Ком</w:t>
            </w:r>
            <w:r w:rsidRPr="0030590E">
              <w:t>и</w:t>
            </w:r>
            <w:r w:rsidRPr="0030590E">
              <w:t>тет ЕЭК по экологической политике просил секретариат оценить в консульт</w:t>
            </w:r>
            <w:r w:rsidRPr="0030590E">
              <w:t>а</w:t>
            </w:r>
            <w:r w:rsidRPr="0030590E">
              <w:t>ции с Бюро Комитета последствия создания совместного секретариата для о</w:t>
            </w:r>
            <w:r w:rsidRPr="0030590E">
              <w:t>б</w:t>
            </w:r>
            <w:r w:rsidRPr="0030590E">
              <w:t>служивания европейского процесса «Окружающая среда и здоровье» и подг</w:t>
            </w:r>
            <w:r w:rsidRPr="0030590E">
              <w:t>о</w:t>
            </w:r>
            <w:r w:rsidRPr="0030590E">
              <w:t>товить короткую информационную записку для рассмотрения Комитетом на его следующей сессии.</w:t>
            </w:r>
          </w:p>
        </w:tc>
      </w:tr>
      <w:tr w:rsidR="00FA1B17" w:rsidRPr="00FA1B17" w:rsidTr="001B6359">
        <w:trPr>
          <w:jc w:val="center"/>
        </w:trPr>
        <w:tc>
          <w:tcPr>
            <w:tcW w:w="9637" w:type="dxa"/>
            <w:tcBorders>
              <w:top w:val="nil"/>
              <w:bottom w:val="nil"/>
            </w:tcBorders>
            <w:shd w:val="clear" w:color="auto" w:fill="auto"/>
          </w:tcPr>
          <w:p w:rsidR="00FA1B17" w:rsidRPr="00FA1B17" w:rsidRDefault="00FA1B17" w:rsidP="001B6359">
            <w:pPr>
              <w:pStyle w:val="SingleTxtGR"/>
            </w:pPr>
            <w:r w:rsidRPr="0098579C">
              <w:tab/>
            </w:r>
            <w:r w:rsidRPr="0030590E">
              <w:t>По просьбе Комитета в настоящем документе описано участие ЕЭК в процессе «Окружающая среда и здоровье», приведены примеры вариантов со</w:t>
            </w:r>
            <w:r w:rsidRPr="0030590E">
              <w:t>в</w:t>
            </w:r>
            <w:r w:rsidRPr="0030590E">
              <w:t>местного</w:t>
            </w:r>
            <w:r>
              <w:t xml:space="preserve"> </w:t>
            </w:r>
            <w:r w:rsidRPr="0030590E">
              <w:t>секретариата с участием ЕЭК и изложены три сценария, которые предлагаются в качестве основы для обсуждения в Комитете.</w:t>
            </w:r>
          </w:p>
        </w:tc>
      </w:tr>
      <w:tr w:rsidR="00FA1B17" w:rsidRPr="00FA1B17" w:rsidTr="001B6359">
        <w:trPr>
          <w:jc w:val="center"/>
        </w:trPr>
        <w:tc>
          <w:tcPr>
            <w:tcW w:w="9637" w:type="dxa"/>
            <w:tcBorders>
              <w:top w:val="nil"/>
              <w:bottom w:val="nil"/>
            </w:tcBorders>
            <w:shd w:val="clear" w:color="auto" w:fill="auto"/>
          </w:tcPr>
          <w:p w:rsidR="00FA1B17" w:rsidRPr="0093160F" w:rsidRDefault="00FA1B17" w:rsidP="001B6359">
            <w:pPr>
              <w:pStyle w:val="SingleTxtGR"/>
            </w:pPr>
            <w:r>
              <w:rPr>
                <w:lang w:val="en-US"/>
              </w:rPr>
              <w:tab/>
            </w:r>
            <w:r w:rsidR="0093160F" w:rsidRPr="0030590E">
              <w:t>Комитету будет предложено рассматривать настоящий документ в кач</w:t>
            </w:r>
            <w:r w:rsidR="0093160F" w:rsidRPr="0030590E">
              <w:t>е</w:t>
            </w:r>
            <w:r w:rsidR="0093160F" w:rsidRPr="0030590E">
              <w:t>стве основы для обсуждения возможных вариантов создания совместного се</w:t>
            </w:r>
            <w:r w:rsidR="0093160F" w:rsidRPr="0030590E">
              <w:t>к</w:t>
            </w:r>
            <w:r w:rsidR="0093160F" w:rsidRPr="0030590E">
              <w:t>ретариата с целью достижения согласия по этому вопросу.</w:t>
            </w:r>
          </w:p>
        </w:tc>
      </w:tr>
      <w:tr w:rsidR="00FA1B17" w:rsidRPr="00FA1B17" w:rsidTr="001B6359">
        <w:trPr>
          <w:jc w:val="center"/>
        </w:trPr>
        <w:tc>
          <w:tcPr>
            <w:tcW w:w="9637" w:type="dxa"/>
            <w:tcBorders>
              <w:top w:val="nil"/>
            </w:tcBorders>
          </w:tcPr>
          <w:p w:rsidR="00FA1B17" w:rsidRPr="00FA1B17" w:rsidRDefault="00FA1B17" w:rsidP="001B6359">
            <w:pPr>
              <w:rPr>
                <w:rFonts w:cs="Times New Roman"/>
              </w:rPr>
            </w:pPr>
          </w:p>
        </w:tc>
      </w:tr>
    </w:tbl>
    <w:p w:rsidR="00B30E0F" w:rsidRDefault="00B30E0F" w:rsidP="00FA1B17">
      <w:pPr>
        <w:rPr>
          <w:lang w:eastAsia="ru-RU"/>
        </w:rPr>
      </w:pPr>
    </w:p>
    <w:p w:rsidR="0030590E" w:rsidRPr="0030590E" w:rsidRDefault="0093160F" w:rsidP="0093160F">
      <w:pPr>
        <w:pStyle w:val="HChGR"/>
      </w:pPr>
      <w:r>
        <w:br w:type="page"/>
      </w:r>
      <w:r w:rsidR="0030590E" w:rsidRPr="0030590E">
        <w:lastRenderedPageBreak/>
        <w:tab/>
        <w:t>I.</w:t>
      </w:r>
      <w:r w:rsidR="0030590E" w:rsidRPr="0030590E">
        <w:tab/>
        <w:t>Введение</w:t>
      </w:r>
    </w:p>
    <w:p w:rsidR="0030590E" w:rsidRPr="0030590E" w:rsidRDefault="0030590E" w:rsidP="0093160F">
      <w:pPr>
        <w:pStyle w:val="SingleTxtGR"/>
      </w:pPr>
      <w:r w:rsidRPr="0030590E">
        <w:t>1.</w:t>
      </w:r>
      <w:r w:rsidRPr="0030590E">
        <w:tab/>
        <w:t>В ходе подготовки шестой Конференции министров по окружающей ср</w:t>
      </w:r>
      <w:r w:rsidRPr="0030590E">
        <w:t>е</w:t>
      </w:r>
      <w:r w:rsidRPr="0030590E">
        <w:t>де и здоровью (</w:t>
      </w:r>
      <w:proofErr w:type="spellStart"/>
      <w:proofErr w:type="gramStart"/>
      <w:r w:rsidRPr="0030590E">
        <w:t>O</w:t>
      </w:r>
      <w:proofErr w:type="gramEnd"/>
      <w:r w:rsidRPr="0030590E">
        <w:t>страва</w:t>
      </w:r>
      <w:proofErr w:type="spellEnd"/>
      <w:r w:rsidRPr="0030590E">
        <w:t>, Чехия, 13</w:t>
      </w:r>
      <w:r w:rsidR="0093160F" w:rsidRPr="0093160F">
        <w:t>–</w:t>
      </w:r>
      <w:r w:rsidRPr="0030590E">
        <w:t>15 июня 2017 года) европейская Целевая группа по окружающей среде и здоровью предложила создать совместный се</w:t>
      </w:r>
      <w:r w:rsidRPr="0030590E">
        <w:t>к</w:t>
      </w:r>
      <w:r w:rsidRPr="0030590E">
        <w:t>ретариат в составе представителей Европейской экономической комиссии (ЕЭК) Организации Объединенных Наций и Европейского регионального бюро Всемирной организации здравоохранения (ВОЗ) для обслуживания европейск</w:t>
      </w:r>
      <w:r w:rsidRPr="0030590E">
        <w:t>о</w:t>
      </w:r>
      <w:r w:rsidRPr="0030590E">
        <w:t>го процесса «Окружающая среда и здоровье». Комитет по экологической пол</w:t>
      </w:r>
      <w:r w:rsidRPr="0030590E">
        <w:t>и</w:t>
      </w:r>
      <w:r w:rsidRPr="0030590E">
        <w:t xml:space="preserve">тике обсудил это предложение на своей двадцать второй сессии (Женева, </w:t>
      </w:r>
      <w:r w:rsidR="0093160F" w:rsidRPr="0093160F">
        <w:br/>
      </w:r>
      <w:r w:rsidRPr="0030590E">
        <w:t>25</w:t>
      </w:r>
      <w:r w:rsidR="0093160F" w:rsidRPr="0093160F">
        <w:t>–</w:t>
      </w:r>
      <w:r w:rsidRPr="0030590E">
        <w:t>27 января 2017 года).</w:t>
      </w:r>
    </w:p>
    <w:p w:rsidR="0030590E" w:rsidRPr="0030590E" w:rsidRDefault="0030590E" w:rsidP="0030590E">
      <w:pPr>
        <w:pStyle w:val="SingleTxtGR"/>
      </w:pPr>
      <w:r w:rsidRPr="0030590E">
        <w:t>2.</w:t>
      </w:r>
      <w:r w:rsidRPr="0030590E">
        <w:tab/>
        <w:t>Комитет просил секретариат ЕЭК оценить в консультации с Бюро п</w:t>
      </w:r>
      <w:r w:rsidRPr="0030590E">
        <w:t>о</w:t>
      </w:r>
      <w:r w:rsidRPr="0030590E">
        <w:t>следствия создания совместного секретариата ЕЭК и Европейского регионал</w:t>
      </w:r>
      <w:r w:rsidRPr="0030590E">
        <w:t>ь</w:t>
      </w:r>
      <w:r w:rsidRPr="0030590E">
        <w:t>ного бюро ВОЗ для обслуживания европейского процесса «Окружающая среда и здоровье» и подготовить короткую информационную записку для рассмотр</w:t>
      </w:r>
      <w:r w:rsidRPr="0030590E">
        <w:t>е</w:t>
      </w:r>
      <w:r w:rsidRPr="0030590E">
        <w:t>ния Комитетом на его следующей сессии (ECE/</w:t>
      </w:r>
      <w:proofErr w:type="spellStart"/>
      <w:r w:rsidRPr="0030590E">
        <w:t>CEP</w:t>
      </w:r>
      <w:proofErr w:type="spellEnd"/>
      <w:r w:rsidRPr="0030590E">
        <w:t>/2017/2, пункт 70 b)).</w:t>
      </w:r>
    </w:p>
    <w:p w:rsidR="0030590E" w:rsidRPr="0030590E" w:rsidRDefault="0030590E" w:rsidP="0030590E">
      <w:pPr>
        <w:pStyle w:val="SingleTxtGR"/>
      </w:pPr>
      <w:r w:rsidRPr="0030590E">
        <w:t>3.</w:t>
      </w:r>
      <w:r w:rsidRPr="0030590E">
        <w:tab/>
        <w:t>В настоящем документе рассматриваются различные сценарии участия ЕЭК в европейском процессе «Окружающая среда и здоровье», каждый из к</w:t>
      </w:r>
      <w:r w:rsidRPr="0030590E">
        <w:t>о</w:t>
      </w:r>
      <w:r w:rsidRPr="0030590E">
        <w:t>торых будет иметь финансовые последствия, за исключением последнего сц</w:t>
      </w:r>
      <w:r w:rsidRPr="0030590E">
        <w:t>е</w:t>
      </w:r>
      <w:r w:rsidRPr="0030590E">
        <w:t>нария, предполагающего сохранение статус-кво. Как показано в первом сцен</w:t>
      </w:r>
      <w:r w:rsidRPr="0030590E">
        <w:t>а</w:t>
      </w:r>
      <w:r w:rsidRPr="0030590E">
        <w:t>рии, на данном этапе ЕЭК не располагает ресурсами для обеспечения своего всестороннего участия в работе совместного секретариата. Даже в случае огр</w:t>
      </w:r>
      <w:r w:rsidRPr="0030590E">
        <w:t>а</w:t>
      </w:r>
      <w:r w:rsidRPr="0030590E">
        <w:t>ниченного расширения участия ЕЭК в Процессе, как показано во втором сцен</w:t>
      </w:r>
      <w:r w:rsidRPr="0030590E">
        <w:t>а</w:t>
      </w:r>
      <w:r w:rsidRPr="0030590E">
        <w:t>рии, ЕЭК потребуется обеспечить ресурсы для постоянного привлечения д</w:t>
      </w:r>
      <w:r w:rsidRPr="0030590E">
        <w:t>о</w:t>
      </w:r>
      <w:r w:rsidRPr="0030590E">
        <w:t xml:space="preserve">полнительного специального персонала. </w:t>
      </w:r>
    </w:p>
    <w:p w:rsidR="0030590E" w:rsidRPr="0030590E" w:rsidRDefault="0030590E" w:rsidP="0030590E">
      <w:pPr>
        <w:pStyle w:val="SingleTxtGR"/>
      </w:pPr>
      <w:r w:rsidRPr="0030590E">
        <w:t>4.</w:t>
      </w:r>
      <w:r w:rsidRPr="0030590E">
        <w:tab/>
        <w:t>Кроме того, в настоящем документе отмечается, что с оперативной точки зрения ЕЭК выполняет функции секретариата не так, как это делает Европе</w:t>
      </w:r>
      <w:r w:rsidRPr="0030590E">
        <w:t>й</w:t>
      </w:r>
      <w:r w:rsidRPr="0030590E">
        <w:t>ское региональное бюро ВОЗ. Поэтому в случае участия ЕЭК в составе со</w:t>
      </w:r>
      <w:r w:rsidRPr="0030590E">
        <w:t>в</w:t>
      </w:r>
      <w:r w:rsidRPr="0030590E">
        <w:t>местного секретариата ей потребуется скорректировать свои управленческие механизмы для процесса «Окружающая среда и здоровье», чтобы обеспечить их совместимость с практикой ЕЭК (см. пункт 26 ниже).</w:t>
      </w:r>
    </w:p>
    <w:p w:rsidR="0030590E" w:rsidRPr="0030590E" w:rsidRDefault="0030590E" w:rsidP="0030590E">
      <w:pPr>
        <w:pStyle w:val="SingleTxtGR"/>
      </w:pPr>
      <w:r w:rsidRPr="0030590E">
        <w:t>5.</w:t>
      </w:r>
      <w:r w:rsidRPr="0030590E">
        <w:tab/>
        <w:t>Комитету будет предложено рассматривать настоящий документ в кач</w:t>
      </w:r>
      <w:r w:rsidRPr="0030590E">
        <w:t>е</w:t>
      </w:r>
      <w:r w:rsidRPr="0030590E">
        <w:t>стве основы для обсуждения возможных вариантов создания совместного се</w:t>
      </w:r>
      <w:r w:rsidRPr="0030590E">
        <w:t>к</w:t>
      </w:r>
      <w:r w:rsidRPr="0030590E">
        <w:t>ретариата с целью достижения согласия по этому вопросу.</w:t>
      </w:r>
    </w:p>
    <w:p w:rsidR="0030590E" w:rsidRPr="0030590E" w:rsidRDefault="0030590E" w:rsidP="0030590E">
      <w:pPr>
        <w:pStyle w:val="SingleTxtGR"/>
      </w:pPr>
      <w:r w:rsidRPr="0030590E">
        <w:t>6.</w:t>
      </w:r>
      <w:r w:rsidRPr="0030590E">
        <w:tab/>
        <w:t>Сроки проведения мероприятий по вопросам о будущей роли ЕЭК в Пр</w:t>
      </w:r>
      <w:r w:rsidRPr="0030590E">
        <w:t>о</w:t>
      </w:r>
      <w:r w:rsidRPr="0030590E">
        <w:t>цессе являются следующими:</w:t>
      </w:r>
    </w:p>
    <w:p w:rsidR="0030590E" w:rsidRPr="0030590E" w:rsidRDefault="0093160F" w:rsidP="0093160F">
      <w:pPr>
        <w:pStyle w:val="SingleTxtGR"/>
      </w:pPr>
      <w:r>
        <w:rPr>
          <w:lang w:val="en-US"/>
        </w:rPr>
        <w:tab/>
      </w:r>
      <w:r w:rsidR="0030590E" w:rsidRPr="0030590E">
        <w:t>a)</w:t>
      </w:r>
      <w:r w:rsidR="0030590E" w:rsidRPr="0030590E">
        <w:tab/>
      </w:r>
      <w:r w:rsidR="0030590E" w:rsidRPr="0030590E">
        <w:rPr>
          <w:b/>
        </w:rPr>
        <w:t>13</w:t>
      </w:r>
      <w:r w:rsidRPr="0093160F">
        <w:rPr>
          <w:b/>
        </w:rPr>
        <w:t>–</w:t>
      </w:r>
      <w:r w:rsidR="0030590E" w:rsidRPr="0030590E">
        <w:rPr>
          <w:b/>
        </w:rPr>
        <w:t xml:space="preserve">15 июня 2017 года: шестая Конференция министров по окружающей среде и здоровью в </w:t>
      </w:r>
      <w:proofErr w:type="spellStart"/>
      <w:r w:rsidR="0030590E" w:rsidRPr="0030590E">
        <w:rPr>
          <w:b/>
        </w:rPr>
        <w:t>Остраве</w:t>
      </w:r>
      <w:proofErr w:type="spellEnd"/>
      <w:r w:rsidR="0030590E" w:rsidRPr="0030590E">
        <w:rPr>
          <w:b/>
        </w:rPr>
        <w:t xml:space="preserve">. </w:t>
      </w:r>
      <w:r w:rsidR="0030590E" w:rsidRPr="0030590E">
        <w:t xml:space="preserve">В </w:t>
      </w:r>
      <w:r w:rsidRPr="0030590E">
        <w:t xml:space="preserve">приложении </w:t>
      </w:r>
      <w:r w:rsidR="0030590E" w:rsidRPr="0030590E">
        <w:t>2</w:t>
      </w:r>
      <w:r w:rsidR="0030590E" w:rsidRPr="00FA1B17">
        <w:rPr>
          <w:rStyle w:val="aa"/>
        </w:rPr>
        <w:footnoteReference w:id="1"/>
      </w:r>
      <w:r w:rsidR="0030590E" w:rsidRPr="0030590E">
        <w:t xml:space="preserve"> к </w:t>
      </w:r>
      <w:proofErr w:type="spellStart"/>
      <w:r w:rsidR="0030590E" w:rsidRPr="0030590E">
        <w:t>Остравской</w:t>
      </w:r>
      <w:proofErr w:type="spellEnd"/>
      <w:r w:rsidR="0030590E" w:rsidRPr="0030590E">
        <w:t xml:space="preserve"> д</w:t>
      </w:r>
      <w:r w:rsidR="0030590E" w:rsidRPr="0030590E">
        <w:t>е</w:t>
      </w:r>
      <w:r w:rsidR="0030590E" w:rsidRPr="0030590E">
        <w:t>кларации</w:t>
      </w:r>
      <w:r w:rsidR="0030590E" w:rsidRPr="00FA1B17">
        <w:rPr>
          <w:rStyle w:val="aa"/>
        </w:rPr>
        <w:footnoteReference w:id="2"/>
      </w:r>
      <w:r w:rsidR="0030590E" w:rsidRPr="0030590E">
        <w:t>, которое посвящено институциональным механизмам европейского процесса «Окружающая среда и здоровье», в частности, предусмотрено:</w:t>
      </w:r>
    </w:p>
    <w:p w:rsidR="00FA1B17" w:rsidRDefault="006E4C21" w:rsidP="006E4C21">
      <w:pPr>
        <w:pStyle w:val="SingleTxtGR"/>
        <w:ind w:left="2268" w:hanging="1134"/>
      </w:pPr>
      <w:r>
        <w:rPr>
          <w:lang w:val="en-US"/>
        </w:rPr>
        <w:tab/>
      </w:r>
      <w:r>
        <w:rPr>
          <w:lang w:val="en-US"/>
        </w:rPr>
        <w:tab/>
      </w:r>
      <w:r w:rsidR="0030590E" w:rsidRPr="0030590E">
        <w:t>28.</w:t>
      </w:r>
      <w:r w:rsidR="0030590E" w:rsidRPr="0030590E">
        <w:tab/>
        <w:t>Государства-члены предлагают Европейскому региональному бюро ВОЗ продолжать выполнять функции секретариата для [евр</w:t>
      </w:r>
      <w:r w:rsidR="0030590E" w:rsidRPr="0030590E">
        <w:t>о</w:t>
      </w:r>
      <w:r w:rsidR="0030590E" w:rsidRPr="0030590E">
        <w:t>пейского процесса «Окружающая среда и здоровье»]. Они также предлагают Европейскому региональному комитету ВОЗ и Испо</w:t>
      </w:r>
      <w:r w:rsidR="0030590E" w:rsidRPr="0030590E">
        <w:t>л</w:t>
      </w:r>
      <w:r w:rsidR="0030590E" w:rsidRPr="0030590E">
        <w:t>нительному комитету [</w:t>
      </w:r>
      <w:proofErr w:type="spellStart"/>
      <w:proofErr w:type="gramStart"/>
      <w:r w:rsidR="0030590E" w:rsidRPr="0030590E">
        <w:t>E</w:t>
      </w:r>
      <w:proofErr w:type="gramEnd"/>
      <w:r w:rsidR="0030590E" w:rsidRPr="0030590E">
        <w:t>ЭК</w:t>
      </w:r>
      <w:proofErr w:type="spellEnd"/>
      <w:r w:rsidR="0030590E" w:rsidRPr="0030590E">
        <w:t>] через Комитет по экологической пол</w:t>
      </w:r>
      <w:r w:rsidR="0030590E" w:rsidRPr="0030590E">
        <w:t>и</w:t>
      </w:r>
      <w:r w:rsidR="0030590E" w:rsidRPr="0030590E">
        <w:lastRenderedPageBreak/>
        <w:t>тике рассмотреть вопрос о создании совместного секретариата [е</w:t>
      </w:r>
      <w:r w:rsidR="0030590E" w:rsidRPr="0030590E">
        <w:t>в</w:t>
      </w:r>
      <w:r w:rsidR="0030590E" w:rsidRPr="0030590E">
        <w:t>ропейского процесса «Окружающая среда и здоровье»], который будет обеспечен достаточными кадровыми и финансовыми ресу</w:t>
      </w:r>
      <w:r w:rsidR="0030590E" w:rsidRPr="0030590E">
        <w:t>р</w:t>
      </w:r>
      <w:r w:rsidR="0030590E" w:rsidRPr="0030590E">
        <w:t xml:space="preserve">сами. Секретариат будет тесно сотрудничать с </w:t>
      </w:r>
      <w:proofErr w:type="spellStart"/>
      <w:r w:rsidR="0030590E" w:rsidRPr="0030590E">
        <w:t>ЮНЕП</w:t>
      </w:r>
      <w:proofErr w:type="spellEnd"/>
      <w:r w:rsidR="0030590E" w:rsidRPr="0030590E">
        <w:t xml:space="preserve"> через ее Е</w:t>
      </w:r>
      <w:r w:rsidR="0030590E" w:rsidRPr="0030590E">
        <w:t>в</w:t>
      </w:r>
      <w:r w:rsidR="0030590E" w:rsidRPr="0030590E">
        <w:t>ропейское бюро;</w:t>
      </w:r>
    </w:p>
    <w:p w:rsidR="0030590E" w:rsidRPr="0030590E" w:rsidRDefault="0093160F" w:rsidP="0030590E">
      <w:pPr>
        <w:pStyle w:val="SingleTxtGR"/>
      </w:pPr>
      <w:r>
        <w:rPr>
          <w:lang w:val="en-US"/>
        </w:rPr>
        <w:tab/>
      </w:r>
      <w:r w:rsidR="0030590E" w:rsidRPr="0030590E">
        <w:t>b)</w:t>
      </w:r>
      <w:r w:rsidR="0030590E" w:rsidRPr="0030590E">
        <w:tab/>
      </w:r>
      <w:r>
        <w:rPr>
          <w:b/>
        </w:rPr>
        <w:t>28</w:t>
      </w:r>
      <w:r w:rsidRPr="0093160F">
        <w:rPr>
          <w:b/>
        </w:rPr>
        <w:t>–</w:t>
      </w:r>
      <w:r w:rsidR="0030590E" w:rsidRPr="0030590E">
        <w:rPr>
          <w:b/>
        </w:rPr>
        <w:t>29 июня 2017 года: совещание Бюро Комитета по экологич</w:t>
      </w:r>
      <w:r w:rsidR="0030590E" w:rsidRPr="0030590E">
        <w:rPr>
          <w:b/>
        </w:rPr>
        <w:t>е</w:t>
      </w:r>
      <w:r w:rsidR="0030590E" w:rsidRPr="0030590E">
        <w:rPr>
          <w:b/>
        </w:rPr>
        <w:t>ской политике</w:t>
      </w:r>
      <w:r w:rsidR="0030590E" w:rsidRPr="0093160F">
        <w:rPr>
          <w:b/>
          <w:bCs/>
        </w:rPr>
        <w:t>.</w:t>
      </w:r>
      <w:r w:rsidR="0030590E" w:rsidRPr="0030590E">
        <w:t xml:space="preserve"> Бюро рассмотрело настоящий документ и согласилось предст</w:t>
      </w:r>
      <w:r w:rsidR="0030590E" w:rsidRPr="0030590E">
        <w:t>а</w:t>
      </w:r>
      <w:r w:rsidR="0030590E" w:rsidRPr="0030590E">
        <w:t>вить его Комитету по экологической политике;</w:t>
      </w:r>
    </w:p>
    <w:p w:rsidR="0030590E" w:rsidRPr="0030590E" w:rsidRDefault="0093160F" w:rsidP="0030590E">
      <w:pPr>
        <w:pStyle w:val="SingleTxtGR"/>
      </w:pPr>
      <w:r>
        <w:rPr>
          <w:lang w:val="en-US"/>
        </w:rPr>
        <w:tab/>
      </w:r>
      <w:r w:rsidR="0030590E" w:rsidRPr="0030590E">
        <w:t>c)</w:t>
      </w:r>
      <w:r w:rsidR="0030590E" w:rsidRPr="0030590E">
        <w:tab/>
      </w:r>
      <w:r>
        <w:rPr>
          <w:b/>
        </w:rPr>
        <w:t>11</w:t>
      </w:r>
      <w:r w:rsidRPr="0093160F">
        <w:rPr>
          <w:b/>
        </w:rPr>
        <w:t>–</w:t>
      </w:r>
      <w:r w:rsidR="0030590E" w:rsidRPr="0030590E">
        <w:rPr>
          <w:b/>
        </w:rPr>
        <w:t>14 сентября 2017 года: шестьдесят седьмая сессия Реги</w:t>
      </w:r>
      <w:r w:rsidR="0030590E" w:rsidRPr="0030590E">
        <w:rPr>
          <w:b/>
        </w:rPr>
        <w:t>о</w:t>
      </w:r>
      <w:r w:rsidR="0030590E" w:rsidRPr="0030590E">
        <w:rPr>
          <w:b/>
        </w:rPr>
        <w:t>нального</w:t>
      </w:r>
      <w:r w:rsidR="00FA1B17">
        <w:rPr>
          <w:b/>
        </w:rPr>
        <w:t xml:space="preserve"> </w:t>
      </w:r>
      <w:r w:rsidR="0030590E" w:rsidRPr="0030590E">
        <w:rPr>
          <w:b/>
        </w:rPr>
        <w:t>комитета ВОЗ для Европы</w:t>
      </w:r>
      <w:r w:rsidR="0030590E" w:rsidRPr="0093160F">
        <w:rPr>
          <w:b/>
          <w:bCs/>
        </w:rPr>
        <w:t>.</w:t>
      </w:r>
      <w:r w:rsidR="0030590E" w:rsidRPr="0030590E">
        <w:t xml:space="preserve"> Региональный комитет обсудит итоги </w:t>
      </w:r>
      <w:proofErr w:type="spellStart"/>
      <w:r w:rsidR="0030590E" w:rsidRPr="0030590E">
        <w:t>Остравской</w:t>
      </w:r>
      <w:proofErr w:type="spellEnd"/>
      <w:r w:rsidR="0030590E" w:rsidRPr="0030590E">
        <w:t xml:space="preserve"> конференции и, как ожидается, предоставит Европейскому реги</w:t>
      </w:r>
      <w:r w:rsidR="0030590E" w:rsidRPr="0030590E">
        <w:t>о</w:t>
      </w:r>
      <w:r w:rsidR="0030590E" w:rsidRPr="0030590E">
        <w:t>нальному б</w:t>
      </w:r>
      <w:r w:rsidR="0030590E" w:rsidRPr="0030590E">
        <w:t>ю</w:t>
      </w:r>
      <w:r w:rsidR="0030590E" w:rsidRPr="0030590E">
        <w:t>ро ВОЗ соответствующий мандат;</w:t>
      </w:r>
    </w:p>
    <w:p w:rsidR="0030590E" w:rsidRPr="0030590E" w:rsidRDefault="0093160F" w:rsidP="0030590E">
      <w:pPr>
        <w:pStyle w:val="SingleTxtGR"/>
      </w:pPr>
      <w:r>
        <w:rPr>
          <w:lang w:val="en-US"/>
        </w:rPr>
        <w:tab/>
      </w:r>
      <w:r w:rsidR="0030590E" w:rsidRPr="0030590E">
        <w:t>d)</w:t>
      </w:r>
      <w:r w:rsidR="0030590E" w:rsidRPr="0030590E">
        <w:tab/>
      </w:r>
      <w:r>
        <w:rPr>
          <w:b/>
        </w:rPr>
        <w:t>14</w:t>
      </w:r>
      <w:r w:rsidRPr="0093160F">
        <w:rPr>
          <w:b/>
        </w:rPr>
        <w:t>–</w:t>
      </w:r>
      <w:r w:rsidR="0030590E" w:rsidRPr="0030590E">
        <w:rPr>
          <w:b/>
        </w:rPr>
        <w:t>17 ноября 2017 года: двадцать третья сессия Комитета по экологической политике</w:t>
      </w:r>
      <w:r w:rsidR="0030590E" w:rsidRPr="0093160F">
        <w:rPr>
          <w:b/>
          <w:bCs/>
        </w:rPr>
        <w:t>.</w:t>
      </w:r>
      <w:r w:rsidR="0030590E" w:rsidRPr="0030590E">
        <w:t xml:space="preserve"> Ожидается, что Комитет вынесет решение по пре</w:t>
      </w:r>
      <w:r w:rsidR="0030590E" w:rsidRPr="0030590E">
        <w:t>д</w:t>
      </w:r>
      <w:r w:rsidR="0030590E" w:rsidRPr="0030590E">
        <w:t>ложению о создании совместного секретариата. Если Комитет решит, что в этой связи необходим новый мандат, он проинформирует Исполнительный комитет ЕЭК;</w:t>
      </w:r>
    </w:p>
    <w:p w:rsidR="0030590E" w:rsidRPr="0030590E" w:rsidRDefault="00AF1F9A" w:rsidP="0030590E">
      <w:pPr>
        <w:pStyle w:val="SingleTxtGR"/>
      </w:pPr>
      <w:r>
        <w:tab/>
      </w:r>
      <w:r w:rsidR="0030590E" w:rsidRPr="0030590E">
        <w:t>e)</w:t>
      </w:r>
      <w:r w:rsidR="0030590E" w:rsidRPr="0030590E">
        <w:tab/>
      </w:r>
      <w:r w:rsidR="0030590E" w:rsidRPr="0030590E">
        <w:rPr>
          <w:b/>
        </w:rPr>
        <w:t>начало 2018 года: совещание Исполнительного комитета ЕЭК, включая доклад Председателя Комитета по экологической политике И</w:t>
      </w:r>
      <w:r w:rsidR="0030590E" w:rsidRPr="0030590E">
        <w:rPr>
          <w:b/>
        </w:rPr>
        <w:t>с</w:t>
      </w:r>
      <w:r w:rsidR="0030590E" w:rsidRPr="0030590E">
        <w:rPr>
          <w:b/>
        </w:rPr>
        <w:t>полнительному комитет</w:t>
      </w:r>
      <w:r w:rsidR="0030590E" w:rsidRPr="001B6359">
        <w:rPr>
          <w:b/>
        </w:rPr>
        <w:t>у.</w:t>
      </w:r>
      <w:r w:rsidR="0030590E" w:rsidRPr="0030590E">
        <w:t xml:space="preserve"> </w:t>
      </w:r>
      <w:proofErr w:type="gramStart"/>
      <w:r w:rsidR="0030590E" w:rsidRPr="0030590E">
        <w:t>Опираясь на решение Комитета по экологической политике и в зависимости от наличия необходимых ресурсов Исполнительный комитет ЕЭК может вынести решение</w:t>
      </w:r>
      <w:proofErr w:type="gramEnd"/>
      <w:r w:rsidR="0030590E" w:rsidRPr="0030590E">
        <w:t xml:space="preserve"> по мандату ЕЭК в отношении европе</w:t>
      </w:r>
      <w:r w:rsidR="0030590E" w:rsidRPr="0030590E">
        <w:t>й</w:t>
      </w:r>
      <w:r w:rsidR="0030590E" w:rsidRPr="0030590E">
        <w:t>ского пр</w:t>
      </w:r>
      <w:r w:rsidR="0030590E" w:rsidRPr="0030590E">
        <w:t>о</w:t>
      </w:r>
      <w:r w:rsidR="0030590E" w:rsidRPr="0030590E">
        <w:t>цесса «Окружающая среда и здоровье».</w:t>
      </w:r>
    </w:p>
    <w:p w:rsidR="0030590E" w:rsidRPr="0030590E" w:rsidRDefault="0030590E" w:rsidP="0093160F">
      <w:pPr>
        <w:pStyle w:val="HChGR"/>
      </w:pPr>
      <w:r w:rsidRPr="0030590E">
        <w:tab/>
      </w:r>
      <w:proofErr w:type="spellStart"/>
      <w:r w:rsidRPr="0030590E">
        <w:t>II</w:t>
      </w:r>
      <w:proofErr w:type="spellEnd"/>
      <w:r w:rsidRPr="0030590E">
        <w:t>.</w:t>
      </w:r>
      <w:r w:rsidRPr="0030590E">
        <w:tab/>
        <w:t>Европейский процесс «Окружающая среда и</w:t>
      </w:r>
      <w:r w:rsidR="0093160F">
        <w:rPr>
          <w:lang w:val="en-US"/>
        </w:rPr>
        <w:t> </w:t>
      </w:r>
      <w:r w:rsidRPr="0030590E">
        <w:t>здоровье»</w:t>
      </w:r>
      <w:r w:rsidR="00FA1B17">
        <w:t xml:space="preserve"> </w:t>
      </w:r>
    </w:p>
    <w:p w:rsidR="0030590E" w:rsidRPr="0030590E" w:rsidRDefault="0030590E" w:rsidP="0030590E">
      <w:pPr>
        <w:pStyle w:val="SingleTxtGR"/>
      </w:pPr>
      <w:r w:rsidRPr="0030590E">
        <w:t>4.</w:t>
      </w:r>
      <w:r w:rsidRPr="0030590E">
        <w:tab/>
        <w:t>В конце 1980-х годов страны Европы инициировали европейский процесс «Окружающая среда и здоровье» с целью устранения наиболее серьезных эк</w:t>
      </w:r>
      <w:r w:rsidRPr="0030590E">
        <w:t>о</w:t>
      </w:r>
      <w:r w:rsidRPr="0030590E">
        <w:t xml:space="preserve">логических угроз здоровью человека. Прогресс на пути достижения этой цели обеспечивается с помощью </w:t>
      </w:r>
      <w:proofErr w:type="gramStart"/>
      <w:r w:rsidRPr="0030590E">
        <w:t>конференций министров, проводимых примерно один раз в пять</w:t>
      </w:r>
      <w:proofErr w:type="gramEnd"/>
      <w:r w:rsidRPr="0030590E">
        <w:t xml:space="preserve"> лет. В этих конференциях принимают участие различные суб</w:t>
      </w:r>
      <w:r w:rsidRPr="0030590E">
        <w:t>ъ</w:t>
      </w:r>
      <w:r w:rsidRPr="0030590E">
        <w:t>екты, представляющие главным образом секторы охраны окружающей среды и здравоохранения. Первая Конференция министров по окружающей среде и зд</w:t>
      </w:r>
      <w:r w:rsidRPr="0030590E">
        <w:t>о</w:t>
      </w:r>
      <w:r w:rsidRPr="0030590E">
        <w:t>ровью состоялась во Франкфурте, Германия, в 1989 году. Последующие конф</w:t>
      </w:r>
      <w:r w:rsidRPr="0030590E">
        <w:t>е</w:t>
      </w:r>
      <w:r w:rsidRPr="0030590E">
        <w:t>ренции проводились в Хельсинки в 1994 году; в Лондоне в 1999 году; в Буд</w:t>
      </w:r>
      <w:r w:rsidRPr="0030590E">
        <w:t>а</w:t>
      </w:r>
      <w:r w:rsidRPr="0030590E">
        <w:t xml:space="preserve">пеште в 2004 году; и в Парме, Италия, в 2010 году. Шестая Конференция была проведена в июне 2017 года в </w:t>
      </w:r>
      <w:proofErr w:type="spellStart"/>
      <w:r w:rsidRPr="0030590E">
        <w:t>Остраве</w:t>
      </w:r>
      <w:proofErr w:type="spellEnd"/>
      <w:r w:rsidRPr="0030590E">
        <w:t>, Чехия.</w:t>
      </w:r>
    </w:p>
    <w:p w:rsidR="0030590E" w:rsidRPr="0030590E" w:rsidRDefault="0030590E" w:rsidP="0030590E">
      <w:pPr>
        <w:pStyle w:val="SingleTxtGR"/>
      </w:pPr>
      <w:r w:rsidRPr="0030590E">
        <w:t>5.</w:t>
      </w:r>
      <w:r w:rsidRPr="0030590E">
        <w:tab/>
      </w:r>
      <w:proofErr w:type="spellStart"/>
      <w:proofErr w:type="gramStart"/>
      <w:r w:rsidRPr="0030590E">
        <w:t>E</w:t>
      </w:r>
      <w:proofErr w:type="gramEnd"/>
      <w:r w:rsidRPr="0030590E">
        <w:t>ЭК</w:t>
      </w:r>
      <w:proofErr w:type="spellEnd"/>
      <w:r w:rsidRPr="0030590E">
        <w:t xml:space="preserve"> подключилась к формированию институциональной основы евр</w:t>
      </w:r>
      <w:r w:rsidRPr="0030590E">
        <w:t>о</w:t>
      </w:r>
      <w:r w:rsidRPr="0030590E">
        <w:t>пейского процесса «Окружающая среда и здоровье» со второй Конференции министров, после которой Комитет по экологической политике был уполном</w:t>
      </w:r>
      <w:r w:rsidRPr="0030590E">
        <w:t>о</w:t>
      </w:r>
      <w:r w:rsidRPr="0030590E">
        <w:t>чен назначить четырех представителей в состав бывшего Европейского комит</w:t>
      </w:r>
      <w:r w:rsidRPr="0030590E">
        <w:t>е</w:t>
      </w:r>
      <w:r w:rsidRPr="0030590E">
        <w:t>та по охране окружающей среды и здоровья; в 2010 году на Конференции м</w:t>
      </w:r>
      <w:r w:rsidRPr="0030590E">
        <w:t>и</w:t>
      </w:r>
      <w:r w:rsidRPr="0030590E">
        <w:t>нистров в Парме этот комитет бы упразднен. Комитету по экологической пол</w:t>
      </w:r>
      <w:r w:rsidRPr="0030590E">
        <w:t>и</w:t>
      </w:r>
      <w:r w:rsidRPr="0030590E">
        <w:t>тике было поручено получать ежегодный доклад об осуществлении Процесса.</w:t>
      </w:r>
    </w:p>
    <w:p w:rsidR="0030590E" w:rsidRPr="0030590E" w:rsidRDefault="0030590E" w:rsidP="0030590E">
      <w:pPr>
        <w:pStyle w:val="SingleTxtGR"/>
      </w:pPr>
      <w:r w:rsidRPr="0030590E">
        <w:t>6.</w:t>
      </w:r>
      <w:r w:rsidRPr="0030590E">
        <w:tab/>
        <w:t>На Конференции министров в Хельсинки в 1994 году государства-члены просили «Европейское региональное бюро ВОЗ самостоятельно или совместно с одной или несколькими другими участвующими организациями»</w:t>
      </w:r>
      <w:r w:rsidRPr="00FA1B17">
        <w:rPr>
          <w:rStyle w:val="aa"/>
        </w:rPr>
        <w:footnoteReference w:id="3"/>
      </w:r>
      <w:r w:rsidRPr="0030590E">
        <w:t xml:space="preserve"> обеспеч</w:t>
      </w:r>
      <w:r w:rsidRPr="0030590E">
        <w:t>и</w:t>
      </w:r>
      <w:r w:rsidRPr="0030590E">
        <w:t xml:space="preserve">вать </w:t>
      </w:r>
      <w:proofErr w:type="spellStart"/>
      <w:r w:rsidRPr="0030590E">
        <w:t>секретариатское</w:t>
      </w:r>
      <w:proofErr w:type="spellEnd"/>
      <w:r w:rsidRPr="0030590E">
        <w:t xml:space="preserve"> обслуживание Процесса.</w:t>
      </w:r>
    </w:p>
    <w:p w:rsidR="0030590E" w:rsidRPr="0030590E" w:rsidRDefault="0093160F" w:rsidP="0030590E">
      <w:pPr>
        <w:pStyle w:val="SingleTxtGR"/>
      </w:pPr>
      <w:r>
        <w:br w:type="page"/>
      </w:r>
      <w:r w:rsidR="0030590E" w:rsidRPr="0030590E">
        <w:lastRenderedPageBreak/>
        <w:t>7.</w:t>
      </w:r>
      <w:r w:rsidR="0030590E" w:rsidRPr="0030590E">
        <w:tab/>
        <w:t>На третьей Конференции министров в 1999 году связи между Процессом и ЕЭК упрочились, поскольку в ходе этой конференции государствами-членами был принят Протокол по проблемам воды и здоровья к Конвенции ЕЭК по охране и использованию трансграничных водотоков и международных озер (Конвенция по водам). Секретариат Протокола обеспечивается совместными усилиями ЕЭК и Европейского регионального бюро ВОЗ.</w:t>
      </w:r>
    </w:p>
    <w:p w:rsidR="0030590E" w:rsidRPr="0030590E" w:rsidRDefault="0030590E" w:rsidP="0030590E">
      <w:pPr>
        <w:pStyle w:val="SingleTxtGR"/>
      </w:pPr>
      <w:r w:rsidRPr="0030590E">
        <w:t>8.</w:t>
      </w:r>
      <w:r w:rsidRPr="0030590E">
        <w:tab/>
        <w:t>Кроме того, в ходе третьей Конференции министров был принята Ло</w:t>
      </w:r>
      <w:r w:rsidRPr="0030590E">
        <w:t>н</w:t>
      </w:r>
      <w:r w:rsidRPr="0030590E">
        <w:t>донская хартия по транспорту, окружающей среде и охране здоровья. В основу этой хартии была заложена Венская декларация по транспорту и окружающей среде (1997 года), принятая под эгидой ЕЭК. Эта хартия послужила фундаме</w:t>
      </w:r>
      <w:r w:rsidRPr="0030590E">
        <w:t>н</w:t>
      </w:r>
      <w:r w:rsidRPr="0030590E">
        <w:t>том для учреждения Общеевропейской программы по транспорту, окружающей среде и охране здоровья (</w:t>
      </w:r>
      <w:proofErr w:type="spellStart"/>
      <w:r w:rsidRPr="0030590E">
        <w:t>ОПТОСОЗ</w:t>
      </w:r>
      <w:proofErr w:type="spellEnd"/>
      <w:r w:rsidRPr="0030590E">
        <w:t>), которая обслуживается трехсторонним секретариатом, представленным Европейским региональным бюро ВОЗ и отд</w:t>
      </w:r>
      <w:r w:rsidRPr="0030590E">
        <w:t>е</w:t>
      </w:r>
      <w:r w:rsidRPr="0030590E">
        <w:t>лами ЕЭК по окружающей среде и устойчивому транспорту. В этом документе была также сформулирована рекомендация относительно сотрудничества ме</w:t>
      </w:r>
      <w:r w:rsidRPr="0030590E">
        <w:t>ж</w:t>
      </w:r>
      <w:r w:rsidRPr="0030590E">
        <w:t>ду европейским процессом «Окружающая среда и здоровье»</w:t>
      </w:r>
      <w:r w:rsidR="00FA1B17">
        <w:t xml:space="preserve"> </w:t>
      </w:r>
      <w:r w:rsidRPr="0030590E">
        <w:t>и министерским процессом «Окружающая среда для Европы».</w:t>
      </w:r>
    </w:p>
    <w:p w:rsidR="0030590E" w:rsidRPr="0030590E" w:rsidRDefault="0030590E" w:rsidP="0030590E">
      <w:pPr>
        <w:pStyle w:val="SingleTxtGR"/>
      </w:pPr>
      <w:r w:rsidRPr="0030590E">
        <w:t>9.</w:t>
      </w:r>
      <w:r w:rsidRPr="0030590E">
        <w:tab/>
        <w:t>Участники пятой Конференции министров по окружающей среде и зд</w:t>
      </w:r>
      <w:r w:rsidRPr="0030590E">
        <w:t>о</w:t>
      </w:r>
      <w:r w:rsidRPr="0030590E">
        <w:t>ровью в 2010 году одобрили структуру управления на период до следующей конференции министров и учредили Европейский совет министров по окруж</w:t>
      </w:r>
      <w:r w:rsidRPr="0030590E">
        <w:t>а</w:t>
      </w:r>
      <w:r w:rsidRPr="0030590E">
        <w:t xml:space="preserve">ющей среде и охране здоровья и Целевую группу по европейскому процессу «Окружающая среда и здоровье». На шестой Конференции министров в </w:t>
      </w:r>
      <w:proofErr w:type="spellStart"/>
      <w:r w:rsidRPr="0030590E">
        <w:t>Остр</w:t>
      </w:r>
      <w:r w:rsidRPr="0030590E">
        <w:t>а</w:t>
      </w:r>
      <w:r w:rsidRPr="0030590E">
        <w:t>ве</w:t>
      </w:r>
      <w:proofErr w:type="spellEnd"/>
      <w:r w:rsidRPr="0030590E">
        <w:t xml:space="preserve"> была утверждена новая управленческая структура – без участия Европейск</w:t>
      </w:r>
      <w:r w:rsidRPr="0030590E">
        <w:t>о</w:t>
      </w:r>
      <w:r w:rsidRPr="0030590E">
        <w:t>го совета министров по окружающей среде и охране здоровья.</w:t>
      </w:r>
    </w:p>
    <w:p w:rsidR="0030590E" w:rsidRPr="0030590E" w:rsidRDefault="0030590E" w:rsidP="0093160F">
      <w:pPr>
        <w:pStyle w:val="HChGR"/>
      </w:pPr>
      <w:r w:rsidRPr="0030590E">
        <w:tab/>
      </w:r>
      <w:proofErr w:type="spellStart"/>
      <w:r w:rsidRPr="0030590E">
        <w:t>III</w:t>
      </w:r>
      <w:proofErr w:type="spellEnd"/>
      <w:r w:rsidRPr="0030590E">
        <w:t>.</w:t>
      </w:r>
      <w:r w:rsidRPr="0030590E">
        <w:tab/>
        <w:t>Нынешнее участие Европейской экономической комиссии Ор</w:t>
      </w:r>
      <w:r w:rsidR="0093160F">
        <w:t>ганизации Объединенных Наций в</w:t>
      </w:r>
      <w:r w:rsidR="0093160F">
        <w:rPr>
          <w:lang w:val="en-US"/>
        </w:rPr>
        <w:t> </w:t>
      </w:r>
      <w:r w:rsidRPr="0030590E">
        <w:t>европейск</w:t>
      </w:r>
      <w:r w:rsidR="0093160F">
        <w:t>ом процессе «Окружающая среда и</w:t>
      </w:r>
      <w:r w:rsidR="0093160F">
        <w:rPr>
          <w:lang w:val="en-US"/>
        </w:rPr>
        <w:t> </w:t>
      </w:r>
      <w:r w:rsidRPr="0030590E">
        <w:t>здоровье»</w:t>
      </w:r>
    </w:p>
    <w:p w:rsidR="0030590E" w:rsidRPr="0030590E" w:rsidRDefault="0030590E" w:rsidP="0030590E">
      <w:pPr>
        <w:pStyle w:val="SingleTxtGR"/>
      </w:pPr>
      <w:r w:rsidRPr="0030590E">
        <w:t>10.</w:t>
      </w:r>
      <w:r w:rsidRPr="0030590E">
        <w:tab/>
        <w:t>Европейский совет министров по окружающей среде и охране здоровья был учрежден в качестве политической движущей силы европейского процесса «Окружающая среда и здоровье». В состав Совета входили восемь министров или их представители высокого уровня; четверо из них назначались Европе</w:t>
      </w:r>
      <w:r w:rsidRPr="0030590E">
        <w:t>й</w:t>
      </w:r>
      <w:r w:rsidRPr="0030590E">
        <w:t>ским региональным комитетом ВОЗ от сектора здравоохранения, а другие че</w:t>
      </w:r>
      <w:r w:rsidRPr="0030590E">
        <w:t>т</w:t>
      </w:r>
      <w:r w:rsidRPr="0030590E">
        <w:t>веро – Комитетом ЕЭК по экологической политике от природоохранного сект</w:t>
      </w:r>
      <w:r w:rsidRPr="0030590E">
        <w:t>о</w:t>
      </w:r>
      <w:r w:rsidRPr="0030590E">
        <w:t>ра,</w:t>
      </w:r>
      <w:r w:rsidR="00FA1B17">
        <w:t xml:space="preserve"> </w:t>
      </w:r>
      <w:r w:rsidRPr="0030590E">
        <w:t>чтобы обеспечивать сбалансированное секторальное и географическое представительство. Совет был подотчетен Европейскому региональному ком</w:t>
      </w:r>
      <w:r w:rsidRPr="0030590E">
        <w:t>и</w:t>
      </w:r>
      <w:r w:rsidRPr="0030590E">
        <w:t xml:space="preserve">тету ВОЗ и Комитету ЕЭК по экологической политике. </w:t>
      </w:r>
      <w:proofErr w:type="spellStart"/>
      <w:r w:rsidRPr="0030590E">
        <w:t>Секретариатское</w:t>
      </w:r>
      <w:proofErr w:type="spellEnd"/>
      <w:r w:rsidRPr="0030590E">
        <w:t xml:space="preserve"> обсл</w:t>
      </w:r>
      <w:r w:rsidRPr="0030590E">
        <w:t>у</w:t>
      </w:r>
      <w:r w:rsidRPr="0030590E">
        <w:t>живание Совета предоставлялось Европейским региональным бюро ВОЗ. Совет осуществлял свою деятельность в период между пятой и шестой конференци</w:t>
      </w:r>
      <w:r w:rsidRPr="0030590E">
        <w:t>я</w:t>
      </w:r>
      <w:r w:rsidRPr="0030590E">
        <w:t>ми министров.</w:t>
      </w:r>
    </w:p>
    <w:p w:rsidR="0030590E" w:rsidRPr="0030590E" w:rsidRDefault="0030590E" w:rsidP="0030590E">
      <w:pPr>
        <w:pStyle w:val="SingleTxtGR"/>
      </w:pPr>
      <w:r w:rsidRPr="0030590E">
        <w:t>11.</w:t>
      </w:r>
      <w:r w:rsidRPr="0030590E">
        <w:tab/>
        <w:t>Целевая группа по европейскому процессу «Окружающая среда и здор</w:t>
      </w:r>
      <w:r w:rsidRPr="0030590E">
        <w:t>о</w:t>
      </w:r>
      <w:r w:rsidRPr="0030590E">
        <w:t>вье» является ведущим международным органом по осуществлению и монит</w:t>
      </w:r>
      <w:r w:rsidRPr="0030590E">
        <w:t>о</w:t>
      </w:r>
      <w:r w:rsidRPr="0030590E">
        <w:t>рингу Процесса. Она выполняет функции форума для обмена опытом, анализа научных данных и развития отдельных инициатив. В соответствии со своими правилами процедуры Целевая группа вправе учреждать вспомогательные сп</w:t>
      </w:r>
      <w:r w:rsidRPr="0030590E">
        <w:t>е</w:t>
      </w:r>
      <w:r w:rsidRPr="0030590E">
        <w:t>циальные рабочие группы и другие органы для рассмотрения определенных в</w:t>
      </w:r>
      <w:r w:rsidRPr="0030590E">
        <w:t>о</w:t>
      </w:r>
      <w:r w:rsidRPr="0030590E">
        <w:t>просов (правило 20.2), и в прошлом был учрежден как минимум один такой о</w:t>
      </w:r>
      <w:r w:rsidRPr="0030590E">
        <w:t>р</w:t>
      </w:r>
      <w:r w:rsidRPr="0030590E">
        <w:t xml:space="preserve">ган. </w:t>
      </w:r>
    </w:p>
    <w:p w:rsidR="0030590E" w:rsidRPr="0030590E" w:rsidRDefault="0030590E" w:rsidP="00814E86">
      <w:pPr>
        <w:pStyle w:val="SingleTxtGR"/>
      </w:pPr>
      <w:r w:rsidRPr="0030590E">
        <w:t>12.</w:t>
      </w:r>
      <w:r w:rsidRPr="0030590E">
        <w:tab/>
        <w:t>Следуя рекомендациям государств-членов, Европейское региональное бюро ВОЗ со временем стало более активно привлекать ЕЭК и Программу О</w:t>
      </w:r>
      <w:r w:rsidRPr="0030590E">
        <w:t>р</w:t>
      </w:r>
      <w:r w:rsidRPr="0030590E">
        <w:t>ганизации Объединенных Наций по окружающей среде (</w:t>
      </w:r>
      <w:proofErr w:type="spellStart"/>
      <w:r w:rsidRPr="0030590E">
        <w:t>ЮНЕП</w:t>
      </w:r>
      <w:proofErr w:type="spellEnd"/>
      <w:r w:rsidRPr="0030590E">
        <w:t>) к участию в своей работе, например по составлению документов для проведения средн</w:t>
      </w:r>
      <w:r w:rsidRPr="0030590E">
        <w:t>е</w:t>
      </w:r>
      <w:r w:rsidRPr="0030590E">
        <w:t>срочного обзора (Хайфа, Израиль, 2015 год) и по подготовке шестой Конфере</w:t>
      </w:r>
      <w:r w:rsidRPr="0030590E">
        <w:t>н</w:t>
      </w:r>
      <w:r w:rsidRPr="0030590E">
        <w:t>ции министров.</w:t>
      </w:r>
    </w:p>
    <w:p w:rsidR="0030590E" w:rsidRPr="0030590E" w:rsidRDefault="0030590E" w:rsidP="0030590E">
      <w:pPr>
        <w:pStyle w:val="SingleTxtGR"/>
      </w:pPr>
      <w:r w:rsidRPr="0030590E">
        <w:lastRenderedPageBreak/>
        <w:t>13.</w:t>
      </w:r>
      <w:r w:rsidRPr="0030590E">
        <w:tab/>
        <w:t xml:space="preserve">В ходе подготовки шестой Конференции </w:t>
      </w:r>
      <w:proofErr w:type="gramStart"/>
      <w:r w:rsidRPr="0030590E">
        <w:t>министров</w:t>
      </w:r>
      <w:proofErr w:type="gramEnd"/>
      <w:r w:rsidRPr="0030590E">
        <w:t xml:space="preserve"> участвовавшие в Процессе государства-члены обратились к ЕЭК и Европейскому региональному бюро ВОЗ с просьбой создать совместный секретариат для обслуживания Пр</w:t>
      </w:r>
      <w:r w:rsidRPr="0030590E">
        <w:t>о</w:t>
      </w:r>
      <w:r w:rsidRPr="0030590E">
        <w:t xml:space="preserve">цесса. На самой конференции эта просьба была закреплена в </w:t>
      </w:r>
      <w:proofErr w:type="spellStart"/>
      <w:r w:rsidRPr="0030590E">
        <w:t>Остравской</w:t>
      </w:r>
      <w:proofErr w:type="spellEnd"/>
      <w:r w:rsidRPr="0030590E">
        <w:t xml:space="preserve"> д</w:t>
      </w:r>
      <w:r w:rsidRPr="0030590E">
        <w:t>е</w:t>
      </w:r>
      <w:r w:rsidRPr="0030590E">
        <w:t>кларации.</w:t>
      </w:r>
    </w:p>
    <w:p w:rsidR="0030590E" w:rsidRPr="0030590E" w:rsidRDefault="0030590E" w:rsidP="0093160F">
      <w:pPr>
        <w:pStyle w:val="HChGR"/>
      </w:pPr>
      <w:r w:rsidRPr="0030590E">
        <w:tab/>
      </w:r>
      <w:proofErr w:type="spellStart"/>
      <w:r w:rsidRPr="0030590E">
        <w:t>IV</w:t>
      </w:r>
      <w:proofErr w:type="spellEnd"/>
      <w:r w:rsidRPr="0030590E">
        <w:t>.</w:t>
      </w:r>
      <w:r w:rsidRPr="0030590E">
        <w:tab/>
        <w:t>Примеры создания совместного секретариата с</w:t>
      </w:r>
      <w:r w:rsidR="0093160F">
        <w:rPr>
          <w:lang w:val="en-US"/>
        </w:rPr>
        <w:t> </w:t>
      </w:r>
      <w:r w:rsidRPr="0030590E">
        <w:t>участием Европейской экономической комиссии Организации Объединенных Наций</w:t>
      </w:r>
    </w:p>
    <w:p w:rsidR="0030590E" w:rsidRPr="0030590E" w:rsidRDefault="0030590E" w:rsidP="00BE58F7">
      <w:pPr>
        <w:pStyle w:val="SingleTxtGR"/>
      </w:pPr>
      <w:r w:rsidRPr="0030590E">
        <w:t>14.</w:t>
      </w:r>
      <w:r w:rsidRPr="0030590E">
        <w:tab/>
      </w:r>
      <w:proofErr w:type="spellStart"/>
      <w:proofErr w:type="gramStart"/>
      <w:r w:rsidRPr="0030590E">
        <w:t>E</w:t>
      </w:r>
      <w:proofErr w:type="gramEnd"/>
      <w:r w:rsidRPr="0030590E">
        <w:t>ЭК</w:t>
      </w:r>
      <w:proofErr w:type="spellEnd"/>
      <w:r w:rsidRPr="0030590E">
        <w:t xml:space="preserve"> участвует в работе совместных секретариатов в рамках различных процессов. Одним из примеров тому является совместный секретариат ЕЭК и Продовольственной и сельскохозяйственной организации Объединенных Наций (</w:t>
      </w:r>
      <w:proofErr w:type="spellStart"/>
      <w:r w:rsidRPr="0030590E">
        <w:t>ФАО</w:t>
      </w:r>
      <w:proofErr w:type="spellEnd"/>
      <w:r w:rsidRPr="0030590E">
        <w:t>)</w:t>
      </w:r>
      <w:r w:rsidR="00FA1B17">
        <w:t xml:space="preserve"> </w:t>
      </w:r>
      <w:r w:rsidRPr="0030590E">
        <w:t>по лесному хозяйству и лесоматериалам, впервые созданный в 1947 г</w:t>
      </w:r>
      <w:r w:rsidRPr="0030590E">
        <w:t>о</w:t>
      </w:r>
      <w:r w:rsidRPr="0030590E">
        <w:t>ду. В 2012 году две эти организации официально закрепили свое сотруднич</w:t>
      </w:r>
      <w:r w:rsidRPr="0030590E">
        <w:t>е</w:t>
      </w:r>
      <w:r w:rsidRPr="0030590E">
        <w:t>ство в соглашении о партнерстве для содействия осуществлению совместной пр</w:t>
      </w:r>
      <w:r w:rsidRPr="0030590E">
        <w:t>о</w:t>
      </w:r>
      <w:r w:rsidRPr="0030590E">
        <w:t>граммы работы ЕЭК</w:t>
      </w:r>
      <w:r w:rsidR="00BE58F7">
        <w:t>–</w:t>
      </w:r>
      <w:proofErr w:type="spellStart"/>
      <w:r w:rsidRPr="0030590E">
        <w:t>ФАО</w:t>
      </w:r>
      <w:proofErr w:type="spellEnd"/>
      <w:r w:rsidRPr="0030590E">
        <w:t xml:space="preserve"> в сфере лесного хозяйства и лесоматериалов. </w:t>
      </w:r>
    </w:p>
    <w:p w:rsidR="0030590E" w:rsidRPr="0030590E" w:rsidRDefault="0030590E" w:rsidP="0030590E">
      <w:pPr>
        <w:pStyle w:val="SingleTxtGR"/>
      </w:pPr>
      <w:r w:rsidRPr="0030590E">
        <w:t>15.</w:t>
      </w:r>
      <w:r w:rsidRPr="0030590E">
        <w:tab/>
        <w:t xml:space="preserve">В тексте этого соглашения между ЕЭК и </w:t>
      </w:r>
      <w:proofErr w:type="spellStart"/>
      <w:r w:rsidRPr="0030590E">
        <w:t>ФАО</w:t>
      </w:r>
      <w:proofErr w:type="spellEnd"/>
      <w:r w:rsidRPr="0030590E">
        <w:t xml:space="preserve"> отражены следующие эл</w:t>
      </w:r>
      <w:r w:rsidRPr="0030590E">
        <w:t>е</w:t>
      </w:r>
      <w:r w:rsidRPr="0030590E">
        <w:t>менты:</w:t>
      </w:r>
    </w:p>
    <w:p w:rsidR="0030590E" w:rsidRPr="0030590E" w:rsidRDefault="0093160F" w:rsidP="0030590E">
      <w:pPr>
        <w:pStyle w:val="SingleTxtGR"/>
      </w:pPr>
      <w:r>
        <w:rPr>
          <w:lang w:val="en-US"/>
        </w:rPr>
        <w:tab/>
      </w:r>
      <w:r w:rsidR="0030590E" w:rsidRPr="0030590E">
        <w:t>a)</w:t>
      </w:r>
      <w:r w:rsidR="0030590E" w:rsidRPr="0030590E">
        <w:tab/>
        <w:t>цель, которая заключается в выявлении областей для сотруднич</w:t>
      </w:r>
      <w:r w:rsidR="0030590E" w:rsidRPr="0030590E">
        <w:t>е</w:t>
      </w:r>
      <w:r w:rsidR="0030590E" w:rsidRPr="0030590E">
        <w:t>ства и путей его осуществления;</w:t>
      </w:r>
    </w:p>
    <w:p w:rsidR="0030590E" w:rsidRPr="0030590E" w:rsidRDefault="0093160F" w:rsidP="0030590E">
      <w:pPr>
        <w:pStyle w:val="SingleTxtGR"/>
      </w:pPr>
      <w:r>
        <w:rPr>
          <w:lang w:val="en-US"/>
        </w:rPr>
        <w:tab/>
      </w:r>
      <w:r w:rsidR="0030590E" w:rsidRPr="0030590E">
        <w:t>b)</w:t>
      </w:r>
      <w:r w:rsidR="0030590E" w:rsidRPr="0030590E">
        <w:tab/>
        <w:t>обязанности, включающие обслуживание главных органов (Евр</w:t>
      </w:r>
      <w:r w:rsidR="0030590E" w:rsidRPr="0030590E">
        <w:t>о</w:t>
      </w:r>
      <w:r w:rsidR="0030590E" w:rsidRPr="0030590E">
        <w:t xml:space="preserve">пейской комиссии </w:t>
      </w:r>
      <w:proofErr w:type="spellStart"/>
      <w:r w:rsidR="0030590E" w:rsidRPr="0030590E">
        <w:t>ФАО</w:t>
      </w:r>
      <w:proofErr w:type="spellEnd"/>
      <w:r w:rsidR="0030590E" w:rsidRPr="0030590E">
        <w:t xml:space="preserve"> по лесному хозяйству и Комитета ЕЭК по лесоматери</w:t>
      </w:r>
      <w:r w:rsidR="0030590E" w:rsidRPr="0030590E">
        <w:t>а</w:t>
      </w:r>
      <w:r w:rsidR="0030590E" w:rsidRPr="0030590E">
        <w:t>лам), планирование, разработку программ и осуществление совместных видов деятельности;</w:t>
      </w:r>
    </w:p>
    <w:p w:rsidR="0030590E" w:rsidRPr="0030590E" w:rsidRDefault="0093160F" w:rsidP="0030590E">
      <w:pPr>
        <w:pStyle w:val="SingleTxtGR"/>
      </w:pPr>
      <w:r>
        <w:rPr>
          <w:lang w:val="en-US"/>
        </w:rPr>
        <w:tab/>
      </w:r>
      <w:r w:rsidR="0030590E" w:rsidRPr="0030590E">
        <w:t>c)</w:t>
      </w:r>
      <w:r w:rsidR="0030590E" w:rsidRPr="0030590E">
        <w:tab/>
        <w:t>неисчерпывающий список возможных совместных видов деятел</w:t>
      </w:r>
      <w:r w:rsidR="0030590E" w:rsidRPr="0030590E">
        <w:t>ь</w:t>
      </w:r>
      <w:r w:rsidR="0030590E" w:rsidRPr="0030590E">
        <w:t>ности;</w:t>
      </w:r>
    </w:p>
    <w:p w:rsidR="0030590E" w:rsidRPr="0030590E" w:rsidRDefault="0093160F" w:rsidP="0093160F">
      <w:pPr>
        <w:pStyle w:val="SingleTxtGR"/>
      </w:pPr>
      <w:r>
        <w:rPr>
          <w:lang w:val="en-US"/>
        </w:rPr>
        <w:tab/>
      </w:r>
      <w:r w:rsidR="0030590E" w:rsidRPr="0030590E">
        <w:t>d)</w:t>
      </w:r>
      <w:r w:rsidR="0030590E" w:rsidRPr="0030590E">
        <w:tab/>
        <w:t>создание органа</w:t>
      </w:r>
      <w:r w:rsidRPr="0093160F">
        <w:t xml:space="preserve"> –</w:t>
      </w:r>
      <w:r w:rsidR="0030590E" w:rsidRPr="0030590E">
        <w:t xml:space="preserve"> Руководящего комитета </w:t>
      </w:r>
      <w:r w:rsidRPr="0093160F">
        <w:t>–</w:t>
      </w:r>
      <w:r w:rsidR="0030590E" w:rsidRPr="0030590E">
        <w:t xml:space="preserve"> для надзора и руково</w:t>
      </w:r>
      <w:r w:rsidR="0030590E" w:rsidRPr="0030590E">
        <w:t>д</w:t>
      </w:r>
      <w:r w:rsidR="0030590E" w:rsidRPr="0030590E">
        <w:t>ства осуществлением совместных видов деятельности. В Руководящий к</w:t>
      </w:r>
      <w:r w:rsidR="0030590E" w:rsidRPr="0030590E">
        <w:t>о</w:t>
      </w:r>
      <w:r w:rsidR="0030590E" w:rsidRPr="0030590E">
        <w:t>митет входят по</w:t>
      </w:r>
      <w:r w:rsidR="00FA1B17">
        <w:t xml:space="preserve"> </w:t>
      </w:r>
      <w:r w:rsidR="0030590E" w:rsidRPr="0030590E">
        <w:t>два представителя от каждой организации. На этот комитет возлож</w:t>
      </w:r>
      <w:r w:rsidR="0030590E" w:rsidRPr="0030590E">
        <w:t>е</w:t>
      </w:r>
      <w:r w:rsidR="0030590E" w:rsidRPr="0030590E">
        <w:t>ны следующие функции:</w:t>
      </w:r>
    </w:p>
    <w:p w:rsidR="0030590E" w:rsidRPr="0030590E" w:rsidRDefault="0093160F" w:rsidP="0093160F">
      <w:pPr>
        <w:pStyle w:val="SingleTxtGR"/>
        <w:ind w:left="1701" w:hanging="567"/>
      </w:pPr>
      <w:r>
        <w:rPr>
          <w:lang w:val="en-US"/>
        </w:rPr>
        <w:tab/>
      </w:r>
      <w:r w:rsidR="0030590E" w:rsidRPr="0030590E">
        <w:t>i)</w:t>
      </w:r>
      <w:r w:rsidR="0030590E" w:rsidRPr="0030590E">
        <w:tab/>
        <w:t xml:space="preserve">согласование соответствующих финансовых взносов ЕЭК и </w:t>
      </w:r>
      <w:proofErr w:type="spellStart"/>
      <w:r w:rsidR="0030590E" w:rsidRPr="0030590E">
        <w:t>ФАО</w:t>
      </w:r>
      <w:proofErr w:type="spellEnd"/>
      <w:r w:rsidR="0030590E" w:rsidRPr="0030590E">
        <w:t xml:space="preserve"> на</w:t>
      </w:r>
      <w:r w:rsidR="00FA1B17">
        <w:t xml:space="preserve"> </w:t>
      </w:r>
      <w:r w:rsidR="0030590E" w:rsidRPr="0030590E">
        <w:t>ос</w:t>
      </w:r>
      <w:r w:rsidR="0030590E" w:rsidRPr="0030590E">
        <w:t>у</w:t>
      </w:r>
      <w:r w:rsidR="0030590E" w:rsidRPr="0030590E">
        <w:t>ществление совместных видов деятельности;</w:t>
      </w:r>
    </w:p>
    <w:p w:rsidR="0030590E" w:rsidRPr="0030590E" w:rsidRDefault="0093160F" w:rsidP="0093160F">
      <w:pPr>
        <w:pStyle w:val="SingleTxtGR"/>
        <w:ind w:left="1701" w:hanging="567"/>
      </w:pPr>
      <w:r>
        <w:rPr>
          <w:lang w:val="en-US"/>
        </w:rPr>
        <w:tab/>
      </w:r>
      <w:proofErr w:type="spellStart"/>
      <w:proofErr w:type="gramStart"/>
      <w:r w:rsidR="0030590E" w:rsidRPr="0030590E">
        <w:t>ii</w:t>
      </w:r>
      <w:proofErr w:type="spellEnd"/>
      <w:r w:rsidR="0030590E" w:rsidRPr="0030590E">
        <w:t>)</w:t>
      </w:r>
      <w:r w:rsidR="0030590E" w:rsidRPr="0030590E">
        <w:tab/>
        <w:t xml:space="preserve">подготовка рекомендаций для Генерального директора </w:t>
      </w:r>
      <w:proofErr w:type="spellStart"/>
      <w:r w:rsidR="0030590E" w:rsidRPr="0030590E">
        <w:t>ФАО</w:t>
      </w:r>
      <w:proofErr w:type="spellEnd"/>
      <w:r w:rsidR="0030590E" w:rsidRPr="0030590E">
        <w:t xml:space="preserve"> отн</w:t>
      </w:r>
      <w:r w:rsidR="0030590E" w:rsidRPr="0030590E">
        <w:t>о</w:t>
      </w:r>
      <w:r w:rsidR="0030590E" w:rsidRPr="0030590E">
        <w:t>сительно назначения секретаря Европейской комиссии по лесному хозя</w:t>
      </w:r>
      <w:r w:rsidR="0030590E" w:rsidRPr="0030590E">
        <w:t>й</w:t>
      </w:r>
      <w:r w:rsidR="0030590E" w:rsidRPr="0030590E">
        <w:t>ству, а для Исполнительного секретаря ЕЭК – относительно назначения секретаря К</w:t>
      </w:r>
      <w:r w:rsidR="0030590E" w:rsidRPr="0030590E">
        <w:t>о</w:t>
      </w:r>
      <w:r w:rsidR="0030590E" w:rsidRPr="0030590E">
        <w:t>митета ЕЭК по лесоматериалам;</w:t>
      </w:r>
      <w:proofErr w:type="gramEnd"/>
    </w:p>
    <w:p w:rsidR="0030590E" w:rsidRPr="0030590E" w:rsidRDefault="0093160F" w:rsidP="0093160F">
      <w:pPr>
        <w:pStyle w:val="SingleTxtGR"/>
        <w:ind w:left="1701" w:hanging="567"/>
      </w:pPr>
      <w:r>
        <w:rPr>
          <w:lang w:val="en-US"/>
        </w:rPr>
        <w:tab/>
      </w:r>
      <w:proofErr w:type="spellStart"/>
      <w:proofErr w:type="gramStart"/>
      <w:r w:rsidR="0030590E" w:rsidRPr="0030590E">
        <w:t>iii</w:t>
      </w:r>
      <w:proofErr w:type="spellEnd"/>
      <w:r w:rsidR="0030590E" w:rsidRPr="0030590E">
        <w:t>)</w:t>
      </w:r>
      <w:r w:rsidR="0030590E" w:rsidRPr="0030590E">
        <w:tab/>
        <w:t>обзор и мониторинг осуществления совместных видов деятельн</w:t>
      </w:r>
      <w:r w:rsidR="0030590E" w:rsidRPr="0030590E">
        <w:t>о</w:t>
      </w:r>
      <w:r w:rsidR="0030590E" w:rsidRPr="0030590E">
        <w:t>сти;</w:t>
      </w:r>
      <w:proofErr w:type="gramEnd"/>
    </w:p>
    <w:p w:rsidR="0030590E" w:rsidRPr="0030590E" w:rsidRDefault="001F596B" w:rsidP="0030590E">
      <w:pPr>
        <w:pStyle w:val="SingleTxtGR"/>
      </w:pPr>
      <w:r>
        <w:rPr>
          <w:lang w:val="en-US"/>
        </w:rPr>
        <w:tab/>
      </w:r>
      <w:r w:rsidR="0030590E" w:rsidRPr="0030590E">
        <w:t>e)</w:t>
      </w:r>
      <w:r w:rsidR="0030590E" w:rsidRPr="0030590E">
        <w:tab/>
        <w:t xml:space="preserve">укомплектование кадрового состава сотрудниками ЕЭК и </w:t>
      </w:r>
      <w:proofErr w:type="spellStart"/>
      <w:r w:rsidR="0030590E" w:rsidRPr="0030590E">
        <w:t>ФАО</w:t>
      </w:r>
      <w:proofErr w:type="spellEnd"/>
      <w:r w:rsidR="0030590E" w:rsidRPr="0030590E">
        <w:t>, р</w:t>
      </w:r>
      <w:r w:rsidR="0030590E" w:rsidRPr="0030590E">
        <w:t>а</w:t>
      </w:r>
      <w:r w:rsidR="0030590E" w:rsidRPr="0030590E">
        <w:t>бота</w:t>
      </w:r>
      <w:r w:rsidR="0030590E" w:rsidRPr="0030590E">
        <w:t>ю</w:t>
      </w:r>
      <w:r w:rsidR="0030590E" w:rsidRPr="0030590E">
        <w:t>щими в том же учреждении;</w:t>
      </w:r>
    </w:p>
    <w:p w:rsidR="0030590E" w:rsidRPr="0030590E" w:rsidRDefault="001F596B" w:rsidP="0030590E">
      <w:pPr>
        <w:pStyle w:val="SingleTxtGR"/>
      </w:pPr>
      <w:r>
        <w:rPr>
          <w:lang w:val="en-US"/>
        </w:rPr>
        <w:tab/>
      </w:r>
      <w:r w:rsidR="0030590E" w:rsidRPr="0030590E">
        <w:t>f)</w:t>
      </w:r>
      <w:r w:rsidR="0030590E" w:rsidRPr="0030590E">
        <w:tab/>
        <w:t>выполнение организационных и административных функций, включая назначение начальника и заместителя начальника учреждения, а также пре</w:t>
      </w:r>
      <w:r w:rsidR="0030590E" w:rsidRPr="0030590E">
        <w:t>д</w:t>
      </w:r>
      <w:r w:rsidR="0030590E" w:rsidRPr="0030590E">
        <w:t>ставление докладов;</w:t>
      </w:r>
    </w:p>
    <w:p w:rsidR="0030590E" w:rsidRPr="0030590E" w:rsidRDefault="001F596B" w:rsidP="0030590E">
      <w:pPr>
        <w:pStyle w:val="SingleTxtGR"/>
      </w:pPr>
      <w:r>
        <w:rPr>
          <w:lang w:val="en-US"/>
        </w:rPr>
        <w:tab/>
      </w:r>
      <w:r w:rsidR="0030590E" w:rsidRPr="0030590E">
        <w:t>g)</w:t>
      </w:r>
      <w:r w:rsidR="0030590E" w:rsidRPr="0030590E">
        <w:tab/>
        <w:t>местопребывание: офис совместного секретариата должен нах</w:t>
      </w:r>
      <w:r w:rsidR="0030590E" w:rsidRPr="0030590E">
        <w:t>о</w:t>
      </w:r>
      <w:r w:rsidR="0030590E" w:rsidRPr="0030590E">
        <w:t>диться в Женеве, где ЕЭК должна обеспечить его помещением, оборудованием и друг</w:t>
      </w:r>
      <w:r w:rsidR="0030590E" w:rsidRPr="0030590E">
        <w:t>и</w:t>
      </w:r>
      <w:r w:rsidR="0030590E" w:rsidRPr="0030590E">
        <w:t>ми элементами инфраструктуры;</w:t>
      </w:r>
    </w:p>
    <w:p w:rsidR="0030590E" w:rsidRPr="0030590E" w:rsidRDefault="001F596B" w:rsidP="0030590E">
      <w:pPr>
        <w:pStyle w:val="SingleTxtGR"/>
      </w:pPr>
      <w:r>
        <w:rPr>
          <w:lang w:val="en-US"/>
        </w:rPr>
        <w:tab/>
      </w:r>
      <w:r w:rsidR="0030590E" w:rsidRPr="0030590E">
        <w:t>h)</w:t>
      </w:r>
      <w:r w:rsidR="0030590E" w:rsidRPr="0030590E">
        <w:tab/>
        <w:t>источники поддержки (например, бюджет, утверждаемый соотве</w:t>
      </w:r>
      <w:r w:rsidR="0030590E" w:rsidRPr="0030590E">
        <w:t>т</w:t>
      </w:r>
      <w:r w:rsidR="0030590E" w:rsidRPr="0030590E">
        <w:t>ствующими органами, добровольные взносы, предоставление сотрудников тр</w:t>
      </w:r>
      <w:r w:rsidR="0030590E" w:rsidRPr="0030590E">
        <w:t>е</w:t>
      </w:r>
      <w:r w:rsidR="0030590E" w:rsidRPr="0030590E">
        <w:t>тьими сторонами и т.д.);</w:t>
      </w:r>
    </w:p>
    <w:p w:rsidR="0030590E" w:rsidRPr="0030590E" w:rsidRDefault="001F596B" w:rsidP="0030590E">
      <w:pPr>
        <w:pStyle w:val="SingleTxtGR"/>
      </w:pPr>
      <w:r>
        <w:rPr>
          <w:lang w:val="en-US"/>
        </w:rPr>
        <w:lastRenderedPageBreak/>
        <w:tab/>
      </w:r>
      <w:r w:rsidR="0030590E" w:rsidRPr="0030590E">
        <w:t>i)</w:t>
      </w:r>
      <w:r w:rsidR="0030590E" w:rsidRPr="0030590E">
        <w:tab/>
        <w:t>заключительные положения, в которых освещены такие аспекты, как урегулирование споров, периодический обзор соглашения (раз в четыре г</w:t>
      </w:r>
      <w:r w:rsidR="0030590E" w:rsidRPr="0030590E">
        <w:t>о</w:t>
      </w:r>
      <w:r w:rsidR="0030590E" w:rsidRPr="0030590E">
        <w:t>да или по запросу), поправки и прекращение действия соглашения.</w:t>
      </w:r>
    </w:p>
    <w:p w:rsidR="0030590E" w:rsidRPr="0030590E" w:rsidRDefault="0030590E" w:rsidP="0030590E">
      <w:pPr>
        <w:pStyle w:val="SingleTxtGR"/>
      </w:pPr>
      <w:r w:rsidRPr="0030590E">
        <w:t>16.</w:t>
      </w:r>
      <w:r w:rsidRPr="0030590E">
        <w:tab/>
        <w:t>Два примера создан</w:t>
      </w:r>
      <w:r w:rsidR="00D15597">
        <w:t>ия совместного секретариата ЕЭК</w:t>
      </w:r>
      <w:r w:rsidR="00D15597" w:rsidRPr="00D15597">
        <w:t>–</w:t>
      </w:r>
      <w:r w:rsidRPr="0030590E">
        <w:t>Европейского р</w:t>
      </w:r>
      <w:r w:rsidRPr="0030590E">
        <w:t>е</w:t>
      </w:r>
      <w:r w:rsidRPr="0030590E">
        <w:t>гионального бюро ВОЗ имеются в Отделе окружающей среды: совместный се</w:t>
      </w:r>
      <w:r w:rsidRPr="0030590E">
        <w:t>к</w:t>
      </w:r>
      <w:r w:rsidRPr="0030590E">
        <w:t>ретариат для Протокола по проблемам воды и здоровья и совместный секрет</w:t>
      </w:r>
      <w:r w:rsidRPr="0030590E">
        <w:t>а</w:t>
      </w:r>
      <w:r w:rsidRPr="0030590E">
        <w:t xml:space="preserve">риат для </w:t>
      </w:r>
      <w:proofErr w:type="spellStart"/>
      <w:r w:rsidRPr="0030590E">
        <w:t>ОПТОСОЗ</w:t>
      </w:r>
      <w:proofErr w:type="spellEnd"/>
      <w:r w:rsidRPr="0030590E">
        <w:t>.</w:t>
      </w:r>
    </w:p>
    <w:p w:rsidR="0030590E" w:rsidRPr="0030590E" w:rsidRDefault="0030590E" w:rsidP="0030590E">
      <w:pPr>
        <w:pStyle w:val="SingleTxtGR"/>
      </w:pPr>
      <w:r w:rsidRPr="0030590E">
        <w:t>17.</w:t>
      </w:r>
      <w:r w:rsidRPr="0030590E">
        <w:tab/>
      </w:r>
      <w:proofErr w:type="gramStart"/>
      <w:r w:rsidRPr="0030590E">
        <w:t>В совместном секретариате для Протокола секре</w:t>
      </w:r>
      <w:r w:rsidR="00D15597">
        <w:t xml:space="preserve">тарь ЕЭК по Конвенции по водам </w:t>
      </w:r>
      <w:r w:rsidR="00D15597" w:rsidRPr="00D15597">
        <w:t>–</w:t>
      </w:r>
      <w:r w:rsidRPr="0030590E">
        <w:t xml:space="preserve"> кадровая сотрудница, финанси</w:t>
      </w:r>
      <w:r w:rsidR="00D15597">
        <w:t xml:space="preserve">руемая из регулярного бюджета, </w:t>
      </w:r>
      <w:r w:rsidR="00D15597" w:rsidRPr="00D15597">
        <w:t>–</w:t>
      </w:r>
      <w:r w:rsidR="00FA1B17">
        <w:t xml:space="preserve"> </w:t>
      </w:r>
      <w:r w:rsidRPr="0030590E">
        <w:t>о</w:t>
      </w:r>
      <w:r w:rsidRPr="0030590E">
        <w:t>д</w:t>
      </w:r>
      <w:r w:rsidRPr="0030590E">
        <w:t xml:space="preserve">новременно выступает в качестве </w:t>
      </w:r>
      <w:proofErr w:type="spellStart"/>
      <w:r w:rsidRPr="0030590E">
        <w:t>сосекретаря</w:t>
      </w:r>
      <w:proofErr w:type="spellEnd"/>
      <w:r w:rsidRPr="0030590E">
        <w:t xml:space="preserve"> для Протокола вместе с ее колл</w:t>
      </w:r>
      <w:r w:rsidRPr="0030590E">
        <w:t>е</w:t>
      </w:r>
      <w:r w:rsidRPr="0030590E">
        <w:t>гой из Европейского регионального бюро ВОЗ, тогда как повседневная работа ЕЭК выполняется в основном двумя сотрудниками С-3 и частично – одним п</w:t>
      </w:r>
      <w:r w:rsidRPr="0030590E">
        <w:t>о</w:t>
      </w:r>
      <w:r w:rsidRPr="0030590E">
        <w:t>мощником по программе, которые финансируются за счет внебюджетных до</w:t>
      </w:r>
      <w:r w:rsidRPr="0030590E">
        <w:t>б</w:t>
      </w:r>
      <w:r w:rsidRPr="0030590E">
        <w:t>ровольных взносов.</w:t>
      </w:r>
      <w:proofErr w:type="gramEnd"/>
      <w:r w:rsidR="001F596B">
        <w:t xml:space="preserve"> В периоды повышенной нагрузки </w:t>
      </w:r>
      <w:r w:rsidR="001F596B" w:rsidRPr="001F596B">
        <w:t>–</w:t>
      </w:r>
      <w:r w:rsidR="00896727">
        <w:t xml:space="preserve"> такие</w:t>
      </w:r>
      <w:r w:rsidRPr="0030590E">
        <w:t xml:space="preserve"> как </w:t>
      </w:r>
      <w:proofErr w:type="gramStart"/>
      <w:r w:rsidRPr="0030590E">
        <w:t>подготовка</w:t>
      </w:r>
      <w:proofErr w:type="gramEnd"/>
      <w:r w:rsidRPr="0030590E">
        <w:t xml:space="preserve"> к трехгодично</w:t>
      </w:r>
      <w:r w:rsidR="00896727">
        <w:t>му Совещанию Сторон Протокола</w:t>
      </w:r>
      <w:r w:rsidR="001F596B">
        <w:t xml:space="preserve"> </w:t>
      </w:r>
      <w:r w:rsidR="001F596B" w:rsidRPr="001F596B">
        <w:t>–</w:t>
      </w:r>
      <w:r w:rsidRPr="0030590E">
        <w:t xml:space="preserve"> для содействия привлекаются дополнительные сотрудники ЕЭК, финансируемые из регулярного бюджета и из внебюджетных средств. Европейское региональное бюро ВОЗ предоставляет аналогичные кадровые ресурсы в своем офисе в Бонне. Согласно положениям Протокола (статья 17) совместный секретариат разработал меморандум о вза</w:t>
      </w:r>
      <w:r w:rsidRPr="0030590E">
        <w:t>и</w:t>
      </w:r>
      <w:r w:rsidRPr="0030590E">
        <w:t>мопонимании, чтобы обеспечивать регулирование своей работы и осуществлять деятельность в соответствии с годовым планом работы.</w:t>
      </w:r>
      <w:r w:rsidR="00FA1B17">
        <w:t xml:space="preserve"> </w:t>
      </w:r>
    </w:p>
    <w:p w:rsidR="0030590E" w:rsidRPr="0030590E" w:rsidRDefault="0030590E" w:rsidP="0030590E">
      <w:pPr>
        <w:pStyle w:val="SingleTxtGR"/>
      </w:pPr>
      <w:r w:rsidRPr="0030590E">
        <w:t>18.</w:t>
      </w:r>
      <w:r w:rsidRPr="0030590E">
        <w:tab/>
        <w:t>Статья 17 (Секретариат) Протокола по проблемам воды и здоровья гл</w:t>
      </w:r>
      <w:r w:rsidRPr="0030590E">
        <w:t>а</w:t>
      </w:r>
      <w:r w:rsidRPr="0030590E">
        <w:t>сит:</w:t>
      </w:r>
    </w:p>
    <w:p w:rsidR="0030590E" w:rsidRPr="0030590E" w:rsidRDefault="00D15597" w:rsidP="00D15597">
      <w:pPr>
        <w:pStyle w:val="SingleTxtGR"/>
        <w:ind w:left="1701" w:hanging="567"/>
      </w:pPr>
      <w:r>
        <w:rPr>
          <w:lang w:val="en-US"/>
        </w:rPr>
        <w:tab/>
      </w:r>
      <w:r w:rsidR="0030590E" w:rsidRPr="0030590E">
        <w:t>1.</w:t>
      </w:r>
      <w:r w:rsidR="0030590E" w:rsidRPr="0030590E">
        <w:tab/>
        <w:t>Исполнительный секретарь ЕЭК и Региональный</w:t>
      </w:r>
      <w:r w:rsidR="00FA1B17">
        <w:t xml:space="preserve"> </w:t>
      </w:r>
      <w:r w:rsidR="0030590E" w:rsidRPr="0030590E">
        <w:t>директор Евр</w:t>
      </w:r>
      <w:r w:rsidR="0030590E" w:rsidRPr="0030590E">
        <w:t>о</w:t>
      </w:r>
      <w:r w:rsidR="0030590E" w:rsidRPr="0030590E">
        <w:t>пейского регионального бюро ВОЗ</w:t>
      </w:r>
      <w:r w:rsidR="00FA1B17">
        <w:t xml:space="preserve"> </w:t>
      </w:r>
      <w:r w:rsidR="0030590E" w:rsidRPr="0030590E">
        <w:t>выполняют в связи с настоящим Пр</w:t>
      </w:r>
      <w:r w:rsidR="0030590E" w:rsidRPr="0030590E">
        <w:t>о</w:t>
      </w:r>
      <w:r w:rsidR="0030590E" w:rsidRPr="0030590E">
        <w:t>токолом след</w:t>
      </w:r>
      <w:r w:rsidR="0030590E" w:rsidRPr="0030590E">
        <w:t>у</w:t>
      </w:r>
      <w:r w:rsidR="0030590E" w:rsidRPr="0030590E">
        <w:t xml:space="preserve">ющие </w:t>
      </w:r>
      <w:proofErr w:type="spellStart"/>
      <w:r w:rsidR="0030590E" w:rsidRPr="0030590E">
        <w:t>секретариатские</w:t>
      </w:r>
      <w:proofErr w:type="spellEnd"/>
      <w:r w:rsidR="0030590E" w:rsidRPr="0030590E">
        <w:t xml:space="preserve"> функции:</w:t>
      </w:r>
    </w:p>
    <w:p w:rsidR="0030590E" w:rsidRPr="0030590E" w:rsidRDefault="0030590E" w:rsidP="0030590E">
      <w:pPr>
        <w:pStyle w:val="SingleTxtGR"/>
      </w:pPr>
      <w:r w:rsidRPr="0030590E">
        <w:tab/>
      </w:r>
      <w:r w:rsidR="00D15597">
        <w:rPr>
          <w:lang w:val="en-US"/>
        </w:rPr>
        <w:tab/>
      </w:r>
      <w:r w:rsidRPr="0030590E">
        <w:t>a)</w:t>
      </w:r>
      <w:r w:rsidRPr="0030590E">
        <w:tab/>
        <w:t>созывают и подготавливают совещания Сторон;</w:t>
      </w:r>
    </w:p>
    <w:p w:rsidR="0030590E" w:rsidRPr="0030590E" w:rsidRDefault="00D15597" w:rsidP="00605838">
      <w:pPr>
        <w:pStyle w:val="SingleTxtGR"/>
        <w:ind w:left="1701" w:hanging="567"/>
      </w:pPr>
      <w:r>
        <w:rPr>
          <w:lang w:val="en-US"/>
        </w:rPr>
        <w:tab/>
      </w:r>
      <w:r>
        <w:rPr>
          <w:lang w:val="en-US"/>
        </w:rPr>
        <w:tab/>
      </w:r>
      <w:r w:rsidR="0030590E" w:rsidRPr="0030590E">
        <w:t>b)</w:t>
      </w:r>
      <w:r w:rsidR="0030590E" w:rsidRPr="0030590E">
        <w:tab/>
        <w:t>передают Сторонам доклады и другую информацию, пол</w:t>
      </w:r>
      <w:r w:rsidR="0030590E" w:rsidRPr="0030590E">
        <w:t>у</w:t>
      </w:r>
      <w:r w:rsidR="0030590E" w:rsidRPr="0030590E">
        <w:t>ченную в</w:t>
      </w:r>
      <w:r w:rsidR="00FA1B17">
        <w:t xml:space="preserve"> </w:t>
      </w:r>
      <w:r w:rsidR="0030590E" w:rsidRPr="0030590E">
        <w:t>соо</w:t>
      </w:r>
      <w:r w:rsidR="0030590E" w:rsidRPr="0030590E">
        <w:t>т</w:t>
      </w:r>
      <w:r w:rsidR="0030590E" w:rsidRPr="0030590E">
        <w:t>ветствии с положениями настоящего Протокола;</w:t>
      </w:r>
    </w:p>
    <w:p w:rsidR="0030590E" w:rsidRPr="0030590E" w:rsidRDefault="00D15597" w:rsidP="00605838">
      <w:pPr>
        <w:pStyle w:val="SingleTxtGR"/>
        <w:ind w:left="1701" w:hanging="567"/>
      </w:pPr>
      <w:r>
        <w:rPr>
          <w:lang w:val="en-US"/>
        </w:rPr>
        <w:tab/>
      </w:r>
      <w:r>
        <w:rPr>
          <w:lang w:val="en-US"/>
        </w:rPr>
        <w:tab/>
      </w:r>
      <w:r w:rsidR="0030590E" w:rsidRPr="0030590E">
        <w:t>c)</w:t>
      </w:r>
      <w:r w:rsidR="0030590E" w:rsidRPr="0030590E">
        <w:tab/>
        <w:t>осуществляют такие иные функции, которые могут быть определены</w:t>
      </w:r>
      <w:r w:rsidR="00FA1B17">
        <w:t xml:space="preserve"> </w:t>
      </w:r>
      <w:r w:rsidR="0030590E" w:rsidRPr="0030590E">
        <w:t>С</w:t>
      </w:r>
      <w:r w:rsidR="0030590E" w:rsidRPr="0030590E">
        <w:t>о</w:t>
      </w:r>
      <w:r w:rsidR="0030590E" w:rsidRPr="0030590E">
        <w:t>вещанием Сторон на основе имеющихся ресурсов.</w:t>
      </w:r>
    </w:p>
    <w:p w:rsidR="0030590E" w:rsidRPr="0030590E" w:rsidRDefault="00605838" w:rsidP="00605838">
      <w:pPr>
        <w:pStyle w:val="SingleTxtGR"/>
        <w:ind w:left="1701" w:hanging="567"/>
      </w:pPr>
      <w:r>
        <w:rPr>
          <w:lang w:val="en-US"/>
        </w:rPr>
        <w:tab/>
      </w:r>
      <w:r w:rsidR="0030590E" w:rsidRPr="0030590E">
        <w:t>2.</w:t>
      </w:r>
      <w:r w:rsidR="0030590E" w:rsidRPr="0030590E">
        <w:tab/>
        <w:t>Исполнительный секретарь ЕЭК и Региональный</w:t>
      </w:r>
      <w:r w:rsidR="00FA1B17">
        <w:t xml:space="preserve"> </w:t>
      </w:r>
      <w:r w:rsidR="0030590E" w:rsidRPr="0030590E">
        <w:t>директор Евр</w:t>
      </w:r>
      <w:r w:rsidR="0030590E" w:rsidRPr="0030590E">
        <w:t>о</w:t>
      </w:r>
      <w:r w:rsidR="0030590E" w:rsidRPr="0030590E">
        <w:t xml:space="preserve">пейского регионального бюро ВОЗ: </w:t>
      </w:r>
    </w:p>
    <w:p w:rsidR="0030590E" w:rsidRPr="0030590E" w:rsidRDefault="00605838" w:rsidP="00605838">
      <w:pPr>
        <w:pStyle w:val="SingleTxtGR"/>
        <w:ind w:left="1701" w:hanging="567"/>
      </w:pPr>
      <w:r>
        <w:rPr>
          <w:lang w:val="en-US"/>
        </w:rPr>
        <w:tab/>
      </w:r>
      <w:r>
        <w:rPr>
          <w:lang w:val="en-US"/>
        </w:rPr>
        <w:tab/>
      </w:r>
      <w:r w:rsidR="0030590E" w:rsidRPr="0030590E">
        <w:t>a)</w:t>
      </w:r>
      <w:r w:rsidR="0030590E" w:rsidRPr="0030590E">
        <w:tab/>
        <w:t>детально определяют механизмы разграничения своих фун</w:t>
      </w:r>
      <w:r w:rsidR="0030590E" w:rsidRPr="0030590E">
        <w:t>к</w:t>
      </w:r>
      <w:r w:rsidR="0030590E" w:rsidRPr="0030590E">
        <w:t>ций в</w:t>
      </w:r>
      <w:r w:rsidR="00FA1B17">
        <w:t xml:space="preserve"> </w:t>
      </w:r>
      <w:r w:rsidR="0030590E" w:rsidRPr="0030590E">
        <w:t>меморандуме о взаимопонимании и соответственно информируют об этом Совещание</w:t>
      </w:r>
      <w:r w:rsidR="00FA1B17">
        <w:t xml:space="preserve"> </w:t>
      </w:r>
      <w:r w:rsidR="0030590E" w:rsidRPr="0030590E">
        <w:t>Сторон;</w:t>
      </w:r>
    </w:p>
    <w:p w:rsidR="0030590E" w:rsidRPr="0030590E" w:rsidRDefault="00605838" w:rsidP="00605838">
      <w:pPr>
        <w:pStyle w:val="SingleTxtGR"/>
        <w:ind w:left="1701" w:hanging="567"/>
      </w:pPr>
      <w:r>
        <w:rPr>
          <w:lang w:val="en-US"/>
        </w:rPr>
        <w:tab/>
      </w:r>
      <w:r>
        <w:rPr>
          <w:lang w:val="en-US"/>
        </w:rPr>
        <w:tab/>
      </w:r>
      <w:r w:rsidR="0030590E" w:rsidRPr="0030590E">
        <w:t>b)</w:t>
      </w:r>
      <w:r w:rsidR="0030590E" w:rsidRPr="0030590E">
        <w:tab/>
        <w:t>сообщают Сторонам об элементах и условиях выполнения программы работы,</w:t>
      </w:r>
      <w:r w:rsidR="00FA1B17">
        <w:t xml:space="preserve"> </w:t>
      </w:r>
      <w:r w:rsidR="0030590E" w:rsidRPr="0030590E">
        <w:t>упомянутой в пункте 3 статьи 16.</w:t>
      </w:r>
    </w:p>
    <w:p w:rsidR="0030590E" w:rsidRPr="0030590E" w:rsidRDefault="0030590E" w:rsidP="0030590E">
      <w:pPr>
        <w:pStyle w:val="SingleTxtGR"/>
      </w:pPr>
      <w:r w:rsidRPr="0030590E">
        <w:t>19.</w:t>
      </w:r>
      <w:r w:rsidRPr="0030590E">
        <w:tab/>
        <w:t>В меморандуме о взаимопонимании между ЕЭК и Европейским реги</w:t>
      </w:r>
      <w:r w:rsidRPr="0030590E">
        <w:t>о</w:t>
      </w:r>
      <w:r w:rsidRPr="0030590E">
        <w:t>нальным бюро ВОЗ</w:t>
      </w:r>
      <w:r w:rsidRPr="00FA1B17">
        <w:rPr>
          <w:rStyle w:val="aa"/>
        </w:rPr>
        <w:footnoteReference w:id="4"/>
      </w:r>
      <w:r w:rsidRPr="0030590E">
        <w:t xml:space="preserve"> рассмотрены следующие аспекты:</w:t>
      </w:r>
    </w:p>
    <w:p w:rsidR="0030590E" w:rsidRPr="0030590E" w:rsidRDefault="0030590E" w:rsidP="0030590E">
      <w:pPr>
        <w:pStyle w:val="SingleTxtGR"/>
      </w:pPr>
      <w:r w:rsidRPr="0030590E">
        <w:tab/>
        <w:t>a)</w:t>
      </w:r>
      <w:r w:rsidRPr="0030590E">
        <w:tab/>
        <w:t>охват и цели меморандума;</w:t>
      </w:r>
    </w:p>
    <w:p w:rsidR="0030590E" w:rsidRPr="0030590E" w:rsidRDefault="0030590E" w:rsidP="0030590E">
      <w:pPr>
        <w:pStyle w:val="SingleTxtGR"/>
      </w:pPr>
      <w:r w:rsidRPr="0030590E">
        <w:tab/>
        <w:t>b)</w:t>
      </w:r>
      <w:r w:rsidRPr="0030590E">
        <w:tab/>
        <w:t>назначение ответственных сотрудников;</w:t>
      </w:r>
    </w:p>
    <w:p w:rsidR="0030590E" w:rsidRPr="0030590E" w:rsidRDefault="0030590E" w:rsidP="0030590E">
      <w:pPr>
        <w:pStyle w:val="SingleTxtGR"/>
      </w:pPr>
      <w:r w:rsidRPr="0030590E">
        <w:tab/>
        <w:t>c)</w:t>
      </w:r>
      <w:r w:rsidRPr="0030590E">
        <w:tab/>
        <w:t>обязанности совместного секретариата;</w:t>
      </w:r>
    </w:p>
    <w:p w:rsidR="0030590E" w:rsidRPr="0030590E" w:rsidRDefault="0030590E" w:rsidP="0030590E">
      <w:pPr>
        <w:pStyle w:val="SingleTxtGR"/>
      </w:pPr>
      <w:r w:rsidRPr="0030590E">
        <w:tab/>
        <w:t>d)</w:t>
      </w:r>
      <w:r w:rsidRPr="0030590E">
        <w:tab/>
        <w:t>механизмы разграничения функций, которые охватывают:</w:t>
      </w:r>
    </w:p>
    <w:p w:rsidR="0030590E" w:rsidRPr="0030590E" w:rsidRDefault="00605838" w:rsidP="0030590E">
      <w:pPr>
        <w:pStyle w:val="SingleTxtGR"/>
      </w:pPr>
      <w:r>
        <w:rPr>
          <w:lang w:val="en-US"/>
        </w:rPr>
        <w:tab/>
      </w:r>
      <w:r w:rsidR="0030590E" w:rsidRPr="0030590E">
        <w:t>i)</w:t>
      </w:r>
      <w:r w:rsidR="0030590E" w:rsidRPr="0030590E">
        <w:tab/>
        <w:t xml:space="preserve">кадровые и финансовые ресурсы; </w:t>
      </w:r>
    </w:p>
    <w:p w:rsidR="0030590E" w:rsidRPr="0030590E" w:rsidRDefault="00605838" w:rsidP="0030590E">
      <w:pPr>
        <w:pStyle w:val="SingleTxtGR"/>
      </w:pPr>
      <w:r>
        <w:rPr>
          <w:lang w:val="en-US"/>
        </w:rPr>
        <w:tab/>
      </w:r>
      <w:proofErr w:type="spellStart"/>
      <w:proofErr w:type="gramStart"/>
      <w:r w:rsidR="0030590E" w:rsidRPr="0030590E">
        <w:t>ii</w:t>
      </w:r>
      <w:proofErr w:type="spellEnd"/>
      <w:r w:rsidR="0030590E" w:rsidRPr="0030590E">
        <w:t>)</w:t>
      </w:r>
      <w:r w:rsidR="0030590E" w:rsidRPr="0030590E">
        <w:tab/>
        <w:t xml:space="preserve">годовой план работы по выполнению </w:t>
      </w:r>
      <w:proofErr w:type="spellStart"/>
      <w:r w:rsidR="0030590E" w:rsidRPr="0030590E">
        <w:t>секретариатских</w:t>
      </w:r>
      <w:proofErr w:type="spellEnd"/>
      <w:r w:rsidR="0030590E" w:rsidRPr="0030590E">
        <w:t xml:space="preserve"> функций; </w:t>
      </w:r>
      <w:proofErr w:type="gramEnd"/>
    </w:p>
    <w:p w:rsidR="0030590E" w:rsidRPr="0030590E" w:rsidRDefault="00605838" w:rsidP="00605838">
      <w:pPr>
        <w:pStyle w:val="SingleTxtGR"/>
        <w:ind w:left="1701" w:hanging="567"/>
      </w:pPr>
      <w:r>
        <w:rPr>
          <w:lang w:val="en-US"/>
        </w:rPr>
        <w:lastRenderedPageBreak/>
        <w:tab/>
      </w:r>
      <w:proofErr w:type="spellStart"/>
      <w:r w:rsidR="0030590E" w:rsidRPr="0030590E">
        <w:t>iii</w:t>
      </w:r>
      <w:proofErr w:type="spellEnd"/>
      <w:r w:rsidR="0030590E" w:rsidRPr="0030590E">
        <w:t>)</w:t>
      </w:r>
      <w:r w:rsidR="0030590E" w:rsidRPr="0030590E">
        <w:tab/>
        <w:t xml:space="preserve">составление, редактирование и перевод документов для </w:t>
      </w:r>
      <w:proofErr w:type="gramStart"/>
      <w:r w:rsidR="0030590E" w:rsidRPr="0030590E">
        <w:t>совещаний</w:t>
      </w:r>
      <w:proofErr w:type="gramEnd"/>
      <w:r w:rsidR="0030590E" w:rsidRPr="0030590E">
        <w:t xml:space="preserve"> и обеспечение синхронного перевода;</w:t>
      </w:r>
    </w:p>
    <w:p w:rsidR="0030590E" w:rsidRPr="0030590E" w:rsidRDefault="00605838" w:rsidP="00605838">
      <w:pPr>
        <w:pStyle w:val="SingleTxtGR"/>
        <w:ind w:left="1701" w:hanging="567"/>
      </w:pPr>
      <w:r>
        <w:rPr>
          <w:lang w:val="en-US"/>
        </w:rPr>
        <w:tab/>
      </w:r>
      <w:proofErr w:type="spellStart"/>
      <w:proofErr w:type="gramStart"/>
      <w:r w:rsidR="0030590E" w:rsidRPr="0030590E">
        <w:t>iv</w:t>
      </w:r>
      <w:proofErr w:type="spellEnd"/>
      <w:r w:rsidR="0030590E" w:rsidRPr="0030590E">
        <w:t>)</w:t>
      </w:r>
      <w:r w:rsidR="0030590E" w:rsidRPr="0030590E">
        <w:tab/>
        <w:t>отдельные механизмы для проведения совещаний, организуемых за пр</w:t>
      </w:r>
      <w:r w:rsidR="0030590E" w:rsidRPr="0030590E">
        <w:t>е</w:t>
      </w:r>
      <w:r w:rsidR="0030590E" w:rsidRPr="0030590E">
        <w:t>делами Женевы и Бонна;</w:t>
      </w:r>
      <w:proofErr w:type="gramEnd"/>
    </w:p>
    <w:p w:rsidR="0030590E" w:rsidRPr="0030590E" w:rsidRDefault="0030590E" w:rsidP="0030590E">
      <w:pPr>
        <w:pStyle w:val="SingleTxtGR"/>
      </w:pPr>
      <w:r w:rsidRPr="0030590E">
        <w:tab/>
        <w:t>e)</w:t>
      </w:r>
      <w:r w:rsidRPr="0030590E">
        <w:tab/>
        <w:t>механизм передачи информации;</w:t>
      </w:r>
    </w:p>
    <w:p w:rsidR="0030590E" w:rsidRPr="0030590E" w:rsidRDefault="0030590E" w:rsidP="0030590E">
      <w:pPr>
        <w:pStyle w:val="SingleTxtGR"/>
      </w:pPr>
      <w:r w:rsidRPr="0030590E">
        <w:tab/>
        <w:t>f)</w:t>
      </w:r>
      <w:r w:rsidRPr="0030590E">
        <w:tab/>
        <w:t>публикации;</w:t>
      </w:r>
    </w:p>
    <w:p w:rsidR="0030590E" w:rsidRPr="0030590E" w:rsidRDefault="0030590E" w:rsidP="0030590E">
      <w:pPr>
        <w:pStyle w:val="SingleTxtGR"/>
      </w:pPr>
      <w:r w:rsidRPr="0030590E">
        <w:tab/>
        <w:t>g)</w:t>
      </w:r>
      <w:r w:rsidRPr="0030590E">
        <w:tab/>
        <w:t>консультации высокого уровня между ЕЭК и Европейским реги</w:t>
      </w:r>
      <w:r w:rsidRPr="0030590E">
        <w:t>о</w:t>
      </w:r>
      <w:r w:rsidRPr="0030590E">
        <w:t>нальным бюро ВОЗ;</w:t>
      </w:r>
    </w:p>
    <w:p w:rsidR="0030590E" w:rsidRPr="0030590E" w:rsidRDefault="0030590E" w:rsidP="0030590E">
      <w:pPr>
        <w:pStyle w:val="SingleTxtGR"/>
      </w:pPr>
      <w:r w:rsidRPr="0030590E">
        <w:tab/>
        <w:t>h)</w:t>
      </w:r>
      <w:r w:rsidRPr="0030590E">
        <w:tab/>
        <w:t>заключительные положения, касающиеся урегулирования споров, вступления в силу и прекращения действия меморандума.</w:t>
      </w:r>
    </w:p>
    <w:p w:rsidR="0030590E" w:rsidRPr="0030590E" w:rsidRDefault="0030590E" w:rsidP="0030590E">
      <w:pPr>
        <w:pStyle w:val="SingleTxtGR"/>
      </w:pPr>
      <w:r w:rsidRPr="0030590E">
        <w:t>20.</w:t>
      </w:r>
      <w:r w:rsidRPr="0030590E">
        <w:tab/>
        <w:t>Европейское региональное бюро ВОЗ и ЕЭК обеспечивают управление отдельными целевыми фондами, средства которых используются для покрытия оперативных расходов, включая расходы на участие в совещаниях представит</w:t>
      </w:r>
      <w:r w:rsidRPr="0030590E">
        <w:t>е</w:t>
      </w:r>
      <w:r w:rsidRPr="0030590E">
        <w:t xml:space="preserve">лей тех стран, которые имеют соответствующие льготы. </w:t>
      </w:r>
    </w:p>
    <w:p w:rsidR="0030590E" w:rsidRPr="0030590E" w:rsidRDefault="0030590E" w:rsidP="0030590E">
      <w:pPr>
        <w:pStyle w:val="SingleTxtGR"/>
      </w:pPr>
      <w:r w:rsidRPr="0030590E">
        <w:t>21.</w:t>
      </w:r>
      <w:r w:rsidRPr="0030590E">
        <w:tab/>
        <w:t xml:space="preserve">В структуре совместного секретариата </w:t>
      </w:r>
      <w:proofErr w:type="spellStart"/>
      <w:r w:rsidRPr="0030590E">
        <w:t>ОПТОСОЗ</w:t>
      </w:r>
      <w:proofErr w:type="spellEnd"/>
      <w:r w:rsidRPr="0030590E">
        <w:t xml:space="preserve"> отделы ЕЭК по окр</w:t>
      </w:r>
      <w:r w:rsidRPr="0030590E">
        <w:t>у</w:t>
      </w:r>
      <w:r w:rsidRPr="0030590E">
        <w:t>жающей среде и устойчивому транспорту предоставляют сотрудников, фина</w:t>
      </w:r>
      <w:r w:rsidRPr="0030590E">
        <w:t>н</w:t>
      </w:r>
      <w:r w:rsidRPr="0030590E">
        <w:t xml:space="preserve">сируемых из регулярного бюджета. В подразделение секретариата для </w:t>
      </w:r>
      <w:proofErr w:type="spellStart"/>
      <w:r w:rsidRPr="0030590E">
        <w:t>ОПТОСОЗ</w:t>
      </w:r>
      <w:proofErr w:type="spellEnd"/>
      <w:r w:rsidRPr="0030590E">
        <w:t>, занимающееся вопросами окружающей среды, входят один сотру</w:t>
      </w:r>
      <w:r w:rsidRPr="0030590E">
        <w:t>д</w:t>
      </w:r>
      <w:r w:rsidRPr="0030590E">
        <w:t xml:space="preserve">ник С-3 (65% рабочего времени), один сотрудник С-5 (15% рабочего времени) и один помощник по программе на неполной ставке. Учитывая прошлый опыт, члены секретариата от обоих отделов ЕЭК и Европейского регионального бюро ВОЗ распределяют служебные обязанности между собой. Согласно нынешней практике руководящий орган </w:t>
      </w:r>
      <w:proofErr w:type="spellStart"/>
      <w:r w:rsidRPr="0030590E">
        <w:t>ОПТОСОЗ</w:t>
      </w:r>
      <w:proofErr w:type="spellEnd"/>
      <w:r w:rsidRPr="0030590E">
        <w:t xml:space="preserve"> проводит свои ежегодные совещания поочередно в штаб-квартире ЕЭК и в штаб-квартире ВОЗ в Женеве. Европе</w:t>
      </w:r>
      <w:r w:rsidRPr="0030590E">
        <w:t>й</w:t>
      </w:r>
      <w:r w:rsidRPr="0030590E">
        <w:t>ское региональное бюро ВОЗ и ЕЭК обеспечивают управление отдельными ц</w:t>
      </w:r>
      <w:r w:rsidRPr="0030590E">
        <w:t>е</w:t>
      </w:r>
      <w:r w:rsidRPr="0030590E">
        <w:t>левыми фондами, используемыми для покрытия оперативных расходов, кот</w:t>
      </w:r>
      <w:r w:rsidRPr="0030590E">
        <w:t>о</w:t>
      </w:r>
      <w:r w:rsidRPr="0030590E">
        <w:t>рые и в этом случае включают расходы на участие в совещаниях и мероприят</w:t>
      </w:r>
      <w:r w:rsidRPr="0030590E">
        <w:t>и</w:t>
      </w:r>
      <w:r w:rsidRPr="0030590E">
        <w:t>ях представителей стран, имеющих соответствующие льготы. Письменного с</w:t>
      </w:r>
      <w:r w:rsidRPr="0030590E">
        <w:t>о</w:t>
      </w:r>
      <w:r w:rsidRPr="0030590E">
        <w:t xml:space="preserve">глашения между этими организациями относительно их сотрудничества не имеется. </w:t>
      </w:r>
    </w:p>
    <w:p w:rsidR="0030590E" w:rsidRPr="0030590E" w:rsidRDefault="0030590E" w:rsidP="00C62F3D">
      <w:pPr>
        <w:pStyle w:val="HChGR"/>
      </w:pPr>
      <w:r w:rsidRPr="0030590E">
        <w:tab/>
        <w:t>V.</w:t>
      </w:r>
      <w:r w:rsidRPr="0030590E">
        <w:tab/>
        <w:t>Сценарии</w:t>
      </w:r>
    </w:p>
    <w:p w:rsidR="0030590E" w:rsidRPr="0030590E" w:rsidRDefault="0030590E" w:rsidP="0030590E">
      <w:pPr>
        <w:pStyle w:val="SingleTxtGR"/>
      </w:pPr>
      <w:r w:rsidRPr="0030590E">
        <w:t>22.</w:t>
      </w:r>
      <w:r w:rsidRPr="0030590E">
        <w:tab/>
        <w:t>После обсуждения, состоявшегося на двадцать второй сессии Комитета по экологической политике, секретариат определил возможные сценарии буд</w:t>
      </w:r>
      <w:r w:rsidRPr="0030590E">
        <w:t>у</w:t>
      </w:r>
      <w:r w:rsidRPr="0030590E">
        <w:t xml:space="preserve">щего участия ЕЭК в европейском процессе «Окружающая среда и здоровье». </w:t>
      </w:r>
    </w:p>
    <w:p w:rsidR="0030590E" w:rsidRPr="0030590E" w:rsidRDefault="0030590E" w:rsidP="0030590E">
      <w:pPr>
        <w:pStyle w:val="SingleTxtGR"/>
      </w:pPr>
      <w:r w:rsidRPr="0030590E">
        <w:t>23.</w:t>
      </w:r>
      <w:r w:rsidRPr="0030590E">
        <w:tab/>
        <w:t>В связи с любым из представленных сценариев Комитет, вероятно, ра</w:t>
      </w:r>
      <w:r w:rsidRPr="0030590E">
        <w:t>с</w:t>
      </w:r>
      <w:r w:rsidRPr="0030590E">
        <w:t>смотрит возможность проведения одной за другой конференций министров по процессам «Окружающая среда для Европы» и «Окружающая среда и здор</w:t>
      </w:r>
      <w:r w:rsidRPr="0030590E">
        <w:t>о</w:t>
      </w:r>
      <w:r w:rsidRPr="0030590E">
        <w:t>вье» при наличии совместного сегмента, призванного обозначить тесную вза</w:t>
      </w:r>
      <w:r w:rsidRPr="0030590E">
        <w:t>и</w:t>
      </w:r>
      <w:r w:rsidRPr="0030590E">
        <w:t>мосвязь между окружающей средой и здоровьем и между этими двумя проце</w:t>
      </w:r>
      <w:r w:rsidRPr="0030590E">
        <w:t>с</w:t>
      </w:r>
      <w:r w:rsidRPr="0030590E">
        <w:t>сами.</w:t>
      </w:r>
    </w:p>
    <w:p w:rsidR="0030590E" w:rsidRPr="0030590E" w:rsidRDefault="0030590E" w:rsidP="00C62F3D">
      <w:pPr>
        <w:pStyle w:val="H1GR"/>
      </w:pPr>
      <w:r w:rsidRPr="0030590E">
        <w:tab/>
        <w:t>A.</w:t>
      </w:r>
      <w:r w:rsidRPr="0030590E">
        <w:tab/>
        <w:t xml:space="preserve">Сценарий 1: совместный секретариат </w:t>
      </w:r>
    </w:p>
    <w:p w:rsidR="0030590E" w:rsidRPr="0030590E" w:rsidRDefault="0030590E" w:rsidP="0006300B">
      <w:pPr>
        <w:pStyle w:val="SingleTxtGR"/>
      </w:pPr>
      <w:r w:rsidRPr="0030590E">
        <w:t>24.</w:t>
      </w:r>
      <w:r w:rsidRPr="0030590E">
        <w:tab/>
        <w:t>В зависимости от планируемого уровня участия ЕЭК в работе совместн</w:t>
      </w:r>
      <w:r w:rsidRPr="0030590E">
        <w:t>о</w:t>
      </w:r>
      <w:r w:rsidRPr="0030590E">
        <w:t>го секретариата сценарий 1 подразделяется на «большой» сценарий 1 a) и «м</w:t>
      </w:r>
      <w:r w:rsidRPr="0030590E">
        <w:t>а</w:t>
      </w:r>
      <w:r w:rsidRPr="0030590E">
        <w:t xml:space="preserve">лый» сценарий 1 b). При реализации сценария 1 a) ЕЭК будет являться частью совместного секретариата и обслуживать политическую сферу европейского процесса «Окружающая среда и здоровье» и деятельность по осуществлению деклараций министров, тогда как по сценарию 1 b) участие </w:t>
      </w:r>
      <w:proofErr w:type="spellStart"/>
      <w:proofErr w:type="gramStart"/>
      <w:r w:rsidRPr="0030590E">
        <w:t>E</w:t>
      </w:r>
      <w:proofErr w:type="gramEnd"/>
      <w:r w:rsidRPr="0030590E">
        <w:t>ЭК</w:t>
      </w:r>
      <w:proofErr w:type="spellEnd"/>
      <w:r w:rsidRPr="0030590E">
        <w:t xml:space="preserve"> будет огран</w:t>
      </w:r>
      <w:r w:rsidRPr="0030590E">
        <w:t>и</w:t>
      </w:r>
      <w:r w:rsidRPr="0030590E">
        <w:t>чиваться обслуживанием только политической сферы Процесса. В любом из этих случаев при нынешних кадровых ограничениях в ЕЭК выполнение ожид</w:t>
      </w:r>
      <w:r w:rsidRPr="0030590E">
        <w:t>а</w:t>
      </w:r>
      <w:r w:rsidRPr="0030590E">
        <w:t xml:space="preserve">емых задач в рамках совместного секретариата было бы невозможным. Кроме </w:t>
      </w:r>
      <w:r w:rsidRPr="0030590E">
        <w:lastRenderedPageBreak/>
        <w:t>того, поскольку не все государства</w:t>
      </w:r>
      <w:r w:rsidR="0006300B">
        <w:t xml:space="preserve"> – </w:t>
      </w:r>
      <w:r w:rsidRPr="0030590E">
        <w:t>члены ЕЭК являются членами Европейск</w:t>
      </w:r>
      <w:r w:rsidRPr="0030590E">
        <w:t>о</w:t>
      </w:r>
      <w:r w:rsidRPr="0030590E">
        <w:t>го регионального бюро ВОЗ, вряд ли для обслуживания Процесса удастся з</w:t>
      </w:r>
      <w:r w:rsidRPr="0030590E">
        <w:t>а</w:t>
      </w:r>
      <w:r w:rsidRPr="0030590E">
        <w:t>действовать ресурсы регулярного бюджета.</w:t>
      </w:r>
    </w:p>
    <w:p w:rsidR="0030590E" w:rsidRPr="0030590E" w:rsidRDefault="0030590E" w:rsidP="0030590E">
      <w:pPr>
        <w:pStyle w:val="SingleTxtGR"/>
      </w:pPr>
      <w:r w:rsidRPr="0030590E">
        <w:t>25.</w:t>
      </w:r>
      <w:r w:rsidR="00C62F3D" w:rsidRPr="00C62F3D">
        <w:tab/>
      </w:r>
      <w:r w:rsidRPr="0030590E">
        <w:t>Чтобы облегчить работу совместного секретариата, ЕЭК и Европейскому региональному бюро ВОЗ нужно будет договориться о конкретной сфере его компетенции, включая совместные задачи (например, проведение совещаний и по</w:t>
      </w:r>
      <w:r w:rsidRPr="0030590E">
        <w:t>д</w:t>
      </w:r>
      <w:r w:rsidRPr="0030590E">
        <w:t>готовку документов), о том, какие органы они будут обслуживать совместно, а также о возможных дополнительных задачах, которые потребуется принять во внимание. Вероятно, было бы целесообразно последовать примеру, касающем</w:t>
      </w:r>
      <w:r w:rsidRPr="0030590E">
        <w:t>у</w:t>
      </w:r>
      <w:r w:rsidRPr="0030590E">
        <w:t>ся</w:t>
      </w:r>
      <w:r w:rsidR="00FA1B17">
        <w:t xml:space="preserve"> </w:t>
      </w:r>
      <w:r w:rsidRPr="0030590E">
        <w:t>Протокола по проблемам воды и здоровья, и заключить меморандум о вза</w:t>
      </w:r>
      <w:r w:rsidRPr="0030590E">
        <w:t>и</w:t>
      </w:r>
      <w:r w:rsidRPr="0030590E">
        <w:t>мопонимании наряду с составлением годовых планов работы, а также рабочих планов на период между конференциями министров.</w:t>
      </w:r>
    </w:p>
    <w:p w:rsidR="0030590E" w:rsidRPr="0030590E" w:rsidRDefault="0030590E" w:rsidP="0030590E">
      <w:pPr>
        <w:pStyle w:val="SingleTxtGR"/>
      </w:pPr>
      <w:r w:rsidRPr="0030590E">
        <w:t>26.</w:t>
      </w:r>
      <w:r w:rsidRPr="0030590E">
        <w:tab/>
        <w:t>Нынешние механизмы управления для европейского процесса «Окруж</w:t>
      </w:r>
      <w:r w:rsidRPr="0030590E">
        <w:t>а</w:t>
      </w:r>
      <w:r w:rsidRPr="0030590E">
        <w:t>ющая среда и здоровье» значительно отличаются, например, от соответству</w:t>
      </w:r>
      <w:r w:rsidRPr="0030590E">
        <w:t>ю</w:t>
      </w:r>
      <w:r w:rsidRPr="0030590E">
        <w:t>щих механизмов для Протокола; поэтому может потребоваться их корректиро</w:t>
      </w:r>
      <w:r w:rsidRPr="0030590E">
        <w:t>в</w:t>
      </w:r>
      <w:r w:rsidRPr="0030590E">
        <w:t>ка с целью</w:t>
      </w:r>
      <w:r w:rsidR="00FA1B17">
        <w:t xml:space="preserve"> </w:t>
      </w:r>
      <w:r w:rsidRPr="0030590E">
        <w:t xml:space="preserve">приведения структуры ЕЭК в соответствие с форматом совместного секретариата. Например, секретариат Европейского регионального бюро ВОЗ не только занимается </w:t>
      </w:r>
      <w:proofErr w:type="spellStart"/>
      <w:r w:rsidRPr="0030590E">
        <w:t>секретариатским</w:t>
      </w:r>
      <w:proofErr w:type="spellEnd"/>
      <w:r w:rsidRPr="0030590E">
        <w:t xml:space="preserve"> обслуживанием, но и выступает как з</w:t>
      </w:r>
      <w:r w:rsidRPr="0030590E">
        <w:t>а</w:t>
      </w:r>
      <w:r w:rsidRPr="0030590E">
        <w:t>интересованная сторона. В этом качестве он является членом органов европе</w:t>
      </w:r>
      <w:r w:rsidRPr="0030590E">
        <w:t>й</w:t>
      </w:r>
      <w:r w:rsidRPr="0030590E">
        <w:t>ского процесса «Окружающая среда и здоровье» и членом Бюро, что идет вра</w:t>
      </w:r>
      <w:r w:rsidRPr="0030590E">
        <w:t>з</w:t>
      </w:r>
      <w:r w:rsidRPr="0030590E">
        <w:t>рез с практикой ЕЭК. Обслуживая какой-либо многосторонний процесс или с</w:t>
      </w:r>
      <w:r w:rsidRPr="0030590E">
        <w:t>о</w:t>
      </w:r>
      <w:r w:rsidRPr="0030590E">
        <w:t>глашение, секретариат ЕЭК не является членом его органов и действует как нейтральный орган, предоставляющий услуги сторонам и государствам-членам. Создание совместного секретариата может привести к пересмотру сложивши</w:t>
      </w:r>
      <w:r w:rsidRPr="0030590E">
        <w:t>х</w:t>
      </w:r>
      <w:r w:rsidRPr="0030590E">
        <w:t>ся управленческих механизмов.</w:t>
      </w:r>
      <w:r w:rsidR="00FA1B17">
        <w:t xml:space="preserve"> </w:t>
      </w:r>
    </w:p>
    <w:p w:rsidR="0030590E" w:rsidRPr="0030590E" w:rsidRDefault="0030590E" w:rsidP="00C62F3D">
      <w:pPr>
        <w:pStyle w:val="H23GR"/>
      </w:pPr>
      <w:r w:rsidRPr="0030590E">
        <w:tab/>
      </w:r>
      <w:r w:rsidRPr="0030590E">
        <w:tab/>
        <w:t xml:space="preserve">Сценарий 1 a): «большой» совместный секретариат для политической платформы и осуществления деятельности </w:t>
      </w:r>
    </w:p>
    <w:p w:rsidR="0030590E" w:rsidRPr="0030590E" w:rsidRDefault="0030590E" w:rsidP="0006300B">
      <w:pPr>
        <w:pStyle w:val="SingleTxtGR"/>
      </w:pPr>
      <w:r w:rsidRPr="0030590E">
        <w:t>30.</w:t>
      </w:r>
      <w:r w:rsidRPr="0030590E">
        <w:tab/>
        <w:t xml:space="preserve">По сценарию 1 a) эти две организации будут совместно обеспечивать </w:t>
      </w:r>
      <w:proofErr w:type="spellStart"/>
      <w:r w:rsidRPr="0030590E">
        <w:t>секретариатское</w:t>
      </w:r>
      <w:proofErr w:type="spellEnd"/>
      <w:r w:rsidRPr="0030590E">
        <w:t xml:space="preserve"> обслуживание всего процесса: как политической сферы, так и деятельности по осуществлению деклараций министров. Такой совместный секретариат будет функционировать в том же ключе, что и совместный секрет</w:t>
      </w:r>
      <w:r w:rsidRPr="0030590E">
        <w:t>а</w:t>
      </w:r>
      <w:r w:rsidRPr="0030590E">
        <w:t xml:space="preserve">риат для </w:t>
      </w:r>
      <w:proofErr w:type="spellStart"/>
      <w:r w:rsidRPr="0030590E">
        <w:t>ОПТОСОЗ</w:t>
      </w:r>
      <w:proofErr w:type="spellEnd"/>
      <w:r w:rsidRPr="0030590E">
        <w:t xml:space="preserve"> или для Протокола по проблемам воды и здоровья, т</w:t>
      </w:r>
      <w:r w:rsidR="0006300B">
        <w:t>.е.</w:t>
      </w:r>
      <w:r w:rsidRPr="0030590E">
        <w:t xml:space="preserve"> обе организации будут нести равный объем обязанностей по осуществлению Пр</w:t>
      </w:r>
      <w:r w:rsidRPr="0030590E">
        <w:t>о</w:t>
      </w:r>
      <w:r w:rsidRPr="0030590E">
        <w:t>цесса и подготовке совещаний и мероприятий.</w:t>
      </w:r>
    </w:p>
    <w:p w:rsidR="0030590E" w:rsidRPr="0030590E" w:rsidRDefault="0030590E" w:rsidP="0030590E">
      <w:pPr>
        <w:pStyle w:val="SingleTxtGR"/>
      </w:pPr>
      <w:r w:rsidRPr="0030590E">
        <w:t>31.</w:t>
      </w:r>
      <w:r w:rsidRPr="0030590E">
        <w:tab/>
        <w:t>Согласно предварительной оценке, потребности ЕЭК в кадровых ресу</w:t>
      </w:r>
      <w:r w:rsidRPr="0030590E">
        <w:t>р</w:t>
      </w:r>
      <w:r w:rsidRPr="0030590E">
        <w:t>сах составят одного сотрудника С-4, двух сотрудников С-3 и одного помощника по программе. Четыре указанных новых сотрудника будут обеспечивать:</w:t>
      </w:r>
    </w:p>
    <w:p w:rsidR="0030590E" w:rsidRPr="0030590E" w:rsidRDefault="0030590E" w:rsidP="0030590E">
      <w:pPr>
        <w:pStyle w:val="SingleTxtGR"/>
      </w:pPr>
      <w:r w:rsidRPr="0030590E">
        <w:tab/>
        <w:t>a)</w:t>
      </w:r>
      <w:r w:rsidRPr="0030590E">
        <w:tab/>
        <w:t>обслуживание европейского процесса «Окружающая среда и зд</w:t>
      </w:r>
      <w:r w:rsidRPr="0030590E">
        <w:t>о</w:t>
      </w:r>
      <w:r w:rsidRPr="0030590E">
        <w:t xml:space="preserve">ровье», включая: </w:t>
      </w:r>
    </w:p>
    <w:p w:rsidR="0030590E" w:rsidRPr="0030590E" w:rsidRDefault="0030590E" w:rsidP="00C62F3D">
      <w:pPr>
        <w:pStyle w:val="SingleTxtGR"/>
        <w:ind w:left="1701" w:hanging="567"/>
      </w:pPr>
      <w:r w:rsidRPr="0030590E">
        <w:tab/>
        <w:t>i)</w:t>
      </w:r>
      <w:r w:rsidRPr="0030590E">
        <w:tab/>
        <w:t>совместную организацию и совместное обслуживание ежегодных совещаний Целевой группы и ее Бюро (подготовку официальных и н</w:t>
      </w:r>
      <w:r w:rsidRPr="0030590E">
        <w:t>е</w:t>
      </w:r>
      <w:r w:rsidRPr="0030590E">
        <w:t>официальных документов и других материалов, а также материально-техническое обеспечение, в том числе покрытие путевых расходов тех членов Целевой группы и Бюро, которые имеют соответствующие льг</w:t>
      </w:r>
      <w:r w:rsidRPr="0030590E">
        <w:t>о</w:t>
      </w:r>
      <w:r w:rsidRPr="0030590E">
        <w:t>ты, и т.п.);</w:t>
      </w:r>
    </w:p>
    <w:p w:rsidR="0030590E" w:rsidRPr="0030590E" w:rsidRDefault="0030590E" w:rsidP="00C62F3D">
      <w:pPr>
        <w:pStyle w:val="SingleTxtGR"/>
        <w:ind w:left="1701" w:hanging="567"/>
      </w:pPr>
      <w:r w:rsidRPr="0030590E">
        <w:tab/>
      </w:r>
      <w:proofErr w:type="spellStart"/>
      <w:proofErr w:type="gramStart"/>
      <w:r w:rsidRPr="0030590E">
        <w:t>ii</w:t>
      </w:r>
      <w:proofErr w:type="spellEnd"/>
      <w:r w:rsidRPr="0030590E">
        <w:t>)</w:t>
      </w:r>
      <w:r w:rsidRPr="0030590E">
        <w:tab/>
        <w:t xml:space="preserve">совместное обслуживание ежегодных совещаний максимум двух специальных рабочих групп; </w:t>
      </w:r>
      <w:proofErr w:type="gramEnd"/>
    </w:p>
    <w:p w:rsidR="0030590E" w:rsidRPr="0030590E" w:rsidRDefault="0030590E" w:rsidP="00C62F3D">
      <w:pPr>
        <w:pStyle w:val="SingleTxtGR"/>
        <w:ind w:left="1701" w:hanging="567"/>
      </w:pPr>
      <w:r w:rsidRPr="0030590E">
        <w:tab/>
      </w:r>
      <w:proofErr w:type="spellStart"/>
      <w:proofErr w:type="gramStart"/>
      <w:r w:rsidRPr="0030590E">
        <w:t>iii</w:t>
      </w:r>
      <w:proofErr w:type="spellEnd"/>
      <w:r w:rsidRPr="0030590E">
        <w:t>)</w:t>
      </w:r>
      <w:r w:rsidRPr="0030590E">
        <w:tab/>
        <w:t>подготовку и совместное обслуживание совещаний Целевой гру</w:t>
      </w:r>
      <w:r w:rsidRPr="0030590E">
        <w:t>п</w:t>
      </w:r>
      <w:r w:rsidRPr="0030590E">
        <w:t>пы, когда речь идет о совещаниях на высоком уровне с участием высок</w:t>
      </w:r>
      <w:r w:rsidRPr="0030590E">
        <w:t>о</w:t>
      </w:r>
      <w:r w:rsidRPr="0030590E">
        <w:t>поста</w:t>
      </w:r>
      <w:r w:rsidRPr="0030590E">
        <w:t>в</w:t>
      </w:r>
      <w:r w:rsidRPr="0030590E">
        <w:t xml:space="preserve">ленных представителей правительств. </w:t>
      </w:r>
      <w:proofErr w:type="gramEnd"/>
    </w:p>
    <w:p w:rsidR="0030590E" w:rsidRPr="0030590E" w:rsidRDefault="0030590E" w:rsidP="0030590E">
      <w:pPr>
        <w:pStyle w:val="SingleTxtGR"/>
      </w:pPr>
      <w:r w:rsidRPr="0030590E">
        <w:t>По оценочным данным, выполнение этого объема работы будут обеспечивать один сотрудник С-4 (50% рабочего времени), один сотрудник С-3 (100% рабоч</w:t>
      </w:r>
      <w:r w:rsidRPr="0030590E">
        <w:t>е</w:t>
      </w:r>
      <w:r w:rsidRPr="0030590E">
        <w:t>го времени) и один помощник по программе (50% рабочего времени);</w:t>
      </w:r>
    </w:p>
    <w:p w:rsidR="0030590E" w:rsidRPr="0030590E" w:rsidRDefault="0030590E" w:rsidP="0030590E">
      <w:pPr>
        <w:pStyle w:val="SingleTxtGR"/>
      </w:pPr>
      <w:r w:rsidRPr="0030590E">
        <w:lastRenderedPageBreak/>
        <w:tab/>
        <w:t>b)</w:t>
      </w:r>
      <w:r w:rsidRPr="0030590E">
        <w:tab/>
        <w:t xml:space="preserve">осуществление или мониторинг осуществления деятельности (включая меры по оказанию содействия) по претворению в жизнь решений Конференции министров в </w:t>
      </w:r>
      <w:proofErr w:type="spellStart"/>
      <w:r w:rsidRPr="0030590E">
        <w:t>Остраве</w:t>
      </w:r>
      <w:proofErr w:type="spellEnd"/>
      <w:r w:rsidRPr="0030590E">
        <w:t xml:space="preserve"> и последующих конференций министров (оказание Бюро содействия в выявлении потребностей в мероприятиях и всп</w:t>
      </w:r>
      <w:r w:rsidRPr="0030590E">
        <w:t>о</w:t>
      </w:r>
      <w:r w:rsidRPr="0030590E">
        <w:t>могательных мероприятиях, подготовка программ и материалов, поддержание контактов с экспертами, организация материально-технического обеспечения). Ожидается, что этот объем работы будут обеспечивать один сотрудник С-4 (30% рабочего времени), один сотрудник С-3 (100% рабочего времени) и один помощник по программе (50% рабочего времени);</w:t>
      </w:r>
    </w:p>
    <w:p w:rsidR="0030590E" w:rsidRPr="0030590E" w:rsidRDefault="0030590E" w:rsidP="0030590E">
      <w:pPr>
        <w:pStyle w:val="SingleTxtGR"/>
      </w:pPr>
      <w:r w:rsidRPr="0030590E">
        <w:tab/>
        <w:t>c)</w:t>
      </w:r>
      <w:r w:rsidRPr="0030590E">
        <w:tab/>
        <w:t>координацию в ЕЭК аспектов, связанных с европейским процессом «Окружающая среда и здоровье», в том числе работы, выполняемой другими отделами. Согласно оценкам, для выполнения этих функций потребуется один сотрудник С-4 (20% рабочего времени).</w:t>
      </w:r>
    </w:p>
    <w:p w:rsidR="0030590E" w:rsidRPr="0030590E" w:rsidRDefault="0030590E" w:rsidP="001A307A">
      <w:pPr>
        <w:pStyle w:val="SingleTxtGR"/>
      </w:pPr>
      <w:r w:rsidRPr="0030590E">
        <w:t>32.</w:t>
      </w:r>
      <w:r w:rsidRPr="0030590E">
        <w:tab/>
        <w:t xml:space="preserve">Расходы на персонал будут составлять порядка 670 000 долл. США в год. Дополнительные затраты на обслуживание </w:t>
      </w:r>
      <w:r w:rsidR="001A307A" w:rsidRPr="001A307A">
        <w:t>–</w:t>
      </w:r>
      <w:r w:rsidR="001A307A">
        <w:t xml:space="preserve"> такие</w:t>
      </w:r>
      <w:r w:rsidRPr="0030590E">
        <w:t xml:space="preserve"> как использование офи</w:t>
      </w:r>
      <w:r w:rsidRPr="0030590E">
        <w:t>с</w:t>
      </w:r>
      <w:r w:rsidRPr="0030590E">
        <w:t>ных помещений и залов для заседаний, обеспечение синхронного перевода и реда</w:t>
      </w:r>
      <w:r w:rsidRPr="0030590E">
        <w:t>к</w:t>
      </w:r>
      <w:r w:rsidRPr="0030590E">
        <w:t xml:space="preserve">тирования, письменного </w:t>
      </w:r>
      <w:r w:rsidR="00B604FB">
        <w:t>перевода и обработки документов</w:t>
      </w:r>
      <w:r w:rsidRPr="0030590E">
        <w:t xml:space="preserve"> </w:t>
      </w:r>
      <w:r w:rsidR="001A307A" w:rsidRPr="001A307A">
        <w:t>–</w:t>
      </w:r>
      <w:r w:rsidRPr="0030590E">
        <w:t xml:space="preserve"> могут стать по</w:t>
      </w:r>
      <w:r w:rsidRPr="0030590E">
        <w:t>д</w:t>
      </w:r>
      <w:r w:rsidRPr="0030590E">
        <w:t>лежащими покрытию в ближайшие годы в зависимости от эволюции се</w:t>
      </w:r>
      <w:r w:rsidRPr="0030590E">
        <w:t>р</w:t>
      </w:r>
      <w:r w:rsidRPr="0030590E">
        <w:t>висных соглашений в рамках Секретариата Организации Объединенных Наций. Кроме того, потребуются средства для оказания финансовой помощи участникам, имеющим соответствующие права. Вышеупомянутые расходы не включают в себя организацию и совместное обслуживание конференций министров евр</w:t>
      </w:r>
      <w:r w:rsidRPr="0030590E">
        <w:t>о</w:t>
      </w:r>
      <w:r w:rsidRPr="0030590E">
        <w:t>пейского процесса «Окружающая среда и здоровье»; для их покрытия штат секретариата потребуется усилить двумя сотрудниками на краткосрочных ко</w:t>
      </w:r>
      <w:r w:rsidRPr="0030590E">
        <w:t>н</w:t>
      </w:r>
      <w:r w:rsidRPr="0030590E">
        <w:t>трактах, финансируемыми из внебюджетных средств, а также дополнительн</w:t>
      </w:r>
      <w:r w:rsidRPr="0030590E">
        <w:t>ы</w:t>
      </w:r>
      <w:r w:rsidRPr="0030590E">
        <w:t>ми финансовыми ресурсами.</w:t>
      </w:r>
    </w:p>
    <w:p w:rsidR="0030590E" w:rsidRPr="0030590E" w:rsidRDefault="0030590E" w:rsidP="001A307A">
      <w:pPr>
        <w:pStyle w:val="H23GR"/>
      </w:pPr>
      <w:r w:rsidRPr="0030590E">
        <w:tab/>
      </w:r>
      <w:r w:rsidRPr="0030590E">
        <w:tab/>
        <w:t>Сценарий 1 b): «малый» совместный секретариат только для</w:t>
      </w:r>
      <w:r w:rsidR="001A307A">
        <w:rPr>
          <w:lang w:val="en-US"/>
        </w:rPr>
        <w:t> </w:t>
      </w:r>
      <w:r w:rsidRPr="0030590E">
        <w:t>политической платформы</w:t>
      </w:r>
    </w:p>
    <w:p w:rsidR="0030590E" w:rsidRPr="0030590E" w:rsidRDefault="0030590E" w:rsidP="0030590E">
      <w:pPr>
        <w:pStyle w:val="SingleTxtGR"/>
      </w:pPr>
      <w:r w:rsidRPr="0030590E">
        <w:t>27.</w:t>
      </w:r>
      <w:r w:rsidRPr="0030590E">
        <w:tab/>
        <w:t>По сценарию 1 b) предполагается, что ЕЭК будет сотрудничать с Евр</w:t>
      </w:r>
      <w:r w:rsidRPr="0030590E">
        <w:t>о</w:t>
      </w:r>
      <w:r w:rsidRPr="0030590E">
        <w:t xml:space="preserve">пейским региональным бюро ВОЗ по обслуживанию европейского процесса «Окружающая среда и здоровье» на политическом уровне, особенно совещаний Целевой группы и ее Бюро. </w:t>
      </w:r>
    </w:p>
    <w:p w:rsidR="0030590E" w:rsidRPr="0030590E" w:rsidRDefault="0030590E" w:rsidP="0030590E">
      <w:pPr>
        <w:pStyle w:val="SingleTxtGR"/>
      </w:pPr>
      <w:r w:rsidRPr="0030590E">
        <w:t>28.</w:t>
      </w:r>
      <w:r w:rsidRPr="0030590E">
        <w:tab/>
        <w:t>Согласно предварительной оценке, потребности ЕЭК в кадровых ресу</w:t>
      </w:r>
      <w:r w:rsidRPr="0030590E">
        <w:t>р</w:t>
      </w:r>
      <w:r w:rsidRPr="0030590E">
        <w:t>сах составят одного сотрудника С-3 и одного помощ</w:t>
      </w:r>
      <w:r w:rsidR="001A307A">
        <w:t>ника по программе (50%</w:t>
      </w:r>
      <w:r w:rsidR="001A307A">
        <w:rPr>
          <w:lang w:val="en-US"/>
        </w:rPr>
        <w:t> </w:t>
      </w:r>
      <w:r w:rsidRPr="0030590E">
        <w:t>рабочего времени). Эти два новых сотрудника будут обеспечивать:</w:t>
      </w:r>
    </w:p>
    <w:p w:rsidR="0030590E" w:rsidRPr="0030590E" w:rsidRDefault="0030590E" w:rsidP="0030590E">
      <w:pPr>
        <w:pStyle w:val="SingleTxtGR"/>
      </w:pPr>
      <w:r w:rsidRPr="0030590E">
        <w:tab/>
        <w:t>a)</w:t>
      </w:r>
      <w:r w:rsidRPr="0030590E">
        <w:tab/>
        <w:t>обслуживание Процесса, включая:</w:t>
      </w:r>
    </w:p>
    <w:p w:rsidR="0030590E" w:rsidRPr="0030590E" w:rsidRDefault="0030590E" w:rsidP="001A307A">
      <w:pPr>
        <w:pStyle w:val="SingleTxtGR"/>
        <w:ind w:left="1701" w:hanging="567"/>
      </w:pPr>
      <w:r w:rsidRPr="0030590E">
        <w:tab/>
        <w:t>i)</w:t>
      </w:r>
      <w:r w:rsidRPr="0030590E">
        <w:tab/>
        <w:t>совместную организацию и совместное обслуживание ежегодных совещаний Целевой группы и ее Бюро (например, подготовку официал</w:t>
      </w:r>
      <w:r w:rsidRPr="0030590E">
        <w:t>ь</w:t>
      </w:r>
      <w:r w:rsidRPr="0030590E">
        <w:t>ных и неофициальных документов и других материалов, а также матер</w:t>
      </w:r>
      <w:r w:rsidRPr="0030590E">
        <w:t>и</w:t>
      </w:r>
      <w:r w:rsidRPr="0030590E">
        <w:t>ально-техническое обеспечение, в том числе покрытие путевых расходов тех членов Целевой группы и Бюро, которые имеют соответствующие льготы);</w:t>
      </w:r>
    </w:p>
    <w:p w:rsidR="0030590E" w:rsidRPr="0030590E" w:rsidRDefault="0030590E" w:rsidP="001A307A">
      <w:pPr>
        <w:pStyle w:val="SingleTxtGR"/>
        <w:ind w:left="1701" w:hanging="567"/>
      </w:pPr>
      <w:r w:rsidRPr="0030590E">
        <w:tab/>
      </w:r>
      <w:proofErr w:type="spellStart"/>
      <w:proofErr w:type="gramStart"/>
      <w:r w:rsidRPr="0030590E">
        <w:t>ii</w:t>
      </w:r>
      <w:proofErr w:type="spellEnd"/>
      <w:r w:rsidRPr="0030590E">
        <w:t>)</w:t>
      </w:r>
      <w:r w:rsidRPr="0030590E">
        <w:tab/>
        <w:t xml:space="preserve">совместное обслуживание совещаний Целевой группы, когда речь идет о совещаниях на высоком уровне с участием высокопоставленных представителей правительств. </w:t>
      </w:r>
      <w:proofErr w:type="gramEnd"/>
    </w:p>
    <w:p w:rsidR="0030590E" w:rsidRPr="0030590E" w:rsidRDefault="0030590E" w:rsidP="0030590E">
      <w:pPr>
        <w:pStyle w:val="SingleTxtGR"/>
      </w:pPr>
      <w:r w:rsidRPr="0030590E">
        <w:t>По оценочным данным, выполнение этого объема работы будут обеспечивать один сотрудник С-3 (90% рабочего времени) и один помощник по программе (50% рабочего времени);</w:t>
      </w:r>
    </w:p>
    <w:p w:rsidR="0030590E" w:rsidRPr="0030590E" w:rsidRDefault="0030590E" w:rsidP="001A307A">
      <w:pPr>
        <w:pStyle w:val="SingleTxtGR"/>
      </w:pPr>
      <w:r w:rsidRPr="0030590E">
        <w:tab/>
        <w:t>b)</w:t>
      </w:r>
      <w:r w:rsidRPr="0030590E">
        <w:tab/>
        <w:t>координацию в ЕЭК аспектов, связанных с Процессом. Согласно оценкам, для выполнения этих функций потребуется один сотрудник С-3 (10%</w:t>
      </w:r>
      <w:r w:rsidR="001A307A">
        <w:rPr>
          <w:lang w:val="en-US"/>
        </w:rPr>
        <w:t> </w:t>
      </w:r>
      <w:r w:rsidRPr="0030590E">
        <w:t>рабочего времени).</w:t>
      </w:r>
    </w:p>
    <w:p w:rsidR="0030590E" w:rsidRPr="0030590E" w:rsidRDefault="001A307A" w:rsidP="0030590E">
      <w:pPr>
        <w:pStyle w:val="SingleTxtGR"/>
      </w:pPr>
      <w:r>
        <w:br w:type="page"/>
      </w:r>
      <w:r w:rsidR="0030590E" w:rsidRPr="0030590E">
        <w:lastRenderedPageBreak/>
        <w:t>29.</w:t>
      </w:r>
      <w:r w:rsidR="0030590E" w:rsidRPr="0030590E">
        <w:tab/>
        <w:t>Расходы на персонал будут составлять порядка 240 000 долл. США в год. Как отмечалось в связи со сценарием 1 а), дополнительные затраты на обсл</w:t>
      </w:r>
      <w:r w:rsidR="0030590E" w:rsidRPr="0030590E">
        <w:t>у</w:t>
      </w:r>
      <w:r w:rsidR="0030590E" w:rsidRPr="0030590E">
        <w:t>живание могут стать подлежащими покрытию в ближайшие годы. Потребуются средства для оказания финансовой помощи участникам, имеющим соотве</w:t>
      </w:r>
      <w:r w:rsidR="0030590E" w:rsidRPr="0030590E">
        <w:t>т</w:t>
      </w:r>
      <w:r w:rsidR="0030590E" w:rsidRPr="0030590E">
        <w:t>ствующие льготы. Вышеупомянутые расходы не включают в себя организацию и совместное обслуживание конференций министров европейского процесса «Окружающая среда и здоровье»; для их покрытия штат секретариата потреб</w:t>
      </w:r>
      <w:r w:rsidR="0030590E" w:rsidRPr="0030590E">
        <w:t>у</w:t>
      </w:r>
      <w:r w:rsidR="0030590E" w:rsidRPr="0030590E">
        <w:t>ется усилить двумя сотрудниками на краткосрочных контрактах, финансиру</w:t>
      </w:r>
      <w:r w:rsidR="0030590E" w:rsidRPr="0030590E">
        <w:t>е</w:t>
      </w:r>
      <w:r w:rsidR="0030590E" w:rsidRPr="0030590E">
        <w:t>мыми из внебюджетных средств, а также дополнительными финансовыми р</w:t>
      </w:r>
      <w:r w:rsidR="0030590E" w:rsidRPr="0030590E">
        <w:t>е</w:t>
      </w:r>
      <w:r w:rsidR="0030590E" w:rsidRPr="0030590E">
        <w:t>сурсами.</w:t>
      </w:r>
    </w:p>
    <w:p w:rsidR="0030590E" w:rsidRPr="0030590E" w:rsidRDefault="0030590E" w:rsidP="001A307A">
      <w:pPr>
        <w:pStyle w:val="H23GR"/>
      </w:pPr>
      <w:r w:rsidRPr="0030590E">
        <w:tab/>
      </w:r>
      <w:r w:rsidRPr="0030590E">
        <w:tab/>
        <w:t>Дополнительные соображения относительно сцен</w:t>
      </w:r>
      <w:r w:rsidRPr="0030590E">
        <w:t>а</w:t>
      </w:r>
      <w:r w:rsidRPr="0030590E">
        <w:t>рия 1</w:t>
      </w:r>
    </w:p>
    <w:p w:rsidR="0030590E" w:rsidRPr="0030590E" w:rsidRDefault="0030590E" w:rsidP="0030590E">
      <w:pPr>
        <w:pStyle w:val="SingleTxtGR"/>
      </w:pPr>
      <w:r w:rsidRPr="0030590E">
        <w:t>33.</w:t>
      </w:r>
      <w:r w:rsidRPr="0030590E">
        <w:tab/>
        <w:t>Для осуществления обоих вариантов сценария 1 нужно учесть следу</w:t>
      </w:r>
      <w:r w:rsidRPr="0030590E">
        <w:t>ю</w:t>
      </w:r>
      <w:r w:rsidRPr="0030590E">
        <w:t xml:space="preserve">щие дополнительные элементы: </w:t>
      </w:r>
    </w:p>
    <w:p w:rsidR="0030590E" w:rsidRPr="0030590E" w:rsidRDefault="001A307A" w:rsidP="0030590E">
      <w:pPr>
        <w:pStyle w:val="SingleTxtGR"/>
      </w:pPr>
      <w:r>
        <w:rPr>
          <w:lang w:val="en-US"/>
        </w:rPr>
        <w:tab/>
      </w:r>
      <w:r w:rsidR="0030590E" w:rsidRPr="0030590E">
        <w:t>a)</w:t>
      </w:r>
      <w:r w:rsidR="0030590E" w:rsidRPr="0030590E">
        <w:tab/>
        <w:t>для предоставления сотрудников потребуется обеспечивать долг</w:t>
      </w:r>
      <w:r w:rsidR="0030590E" w:rsidRPr="0030590E">
        <w:t>о</w:t>
      </w:r>
      <w:r w:rsidR="0030590E" w:rsidRPr="0030590E">
        <w:t>срочное, стабильное и прогнозируемое финансирование;</w:t>
      </w:r>
    </w:p>
    <w:p w:rsidR="0030590E" w:rsidRPr="0030590E" w:rsidRDefault="001A307A" w:rsidP="0030590E">
      <w:pPr>
        <w:pStyle w:val="SingleTxtGR"/>
      </w:pPr>
      <w:r>
        <w:rPr>
          <w:lang w:val="en-US"/>
        </w:rPr>
        <w:tab/>
      </w:r>
      <w:r w:rsidR="0030590E" w:rsidRPr="0030590E">
        <w:t>b)</w:t>
      </w:r>
      <w:r w:rsidR="0030590E" w:rsidRPr="0030590E">
        <w:tab/>
        <w:t>чтобы ЕЭК могла участвовать в работе совместного секретариата, потребуется пересмотреть нынешнюю структуру управления европейским пр</w:t>
      </w:r>
      <w:r w:rsidR="0030590E" w:rsidRPr="0030590E">
        <w:t>о</w:t>
      </w:r>
      <w:r w:rsidR="0030590E" w:rsidRPr="0030590E">
        <w:t>цессом «Окружающая среда и здоровье» для обеспечения ее совместимости с мандатом ЕЭК;</w:t>
      </w:r>
    </w:p>
    <w:p w:rsidR="0030590E" w:rsidRPr="0030590E" w:rsidRDefault="001A307A" w:rsidP="0030590E">
      <w:pPr>
        <w:pStyle w:val="SingleTxtGR"/>
      </w:pPr>
      <w:r>
        <w:rPr>
          <w:lang w:val="en-US"/>
        </w:rPr>
        <w:tab/>
      </w:r>
      <w:r w:rsidR="0030590E" w:rsidRPr="0030590E">
        <w:t>c)</w:t>
      </w:r>
      <w:r w:rsidR="0030590E" w:rsidRPr="0030590E">
        <w:tab/>
        <w:t>по каждому из вариантов сценария 1 как ЕЭК, так и Европейскому региональному бюро ВОЗ потребуется провести пересмотр своих мандатов и методов функционирования. Комитет по экологической политике и Исполн</w:t>
      </w:r>
      <w:r w:rsidR="0030590E" w:rsidRPr="0030590E">
        <w:t>и</w:t>
      </w:r>
      <w:r w:rsidR="0030590E" w:rsidRPr="0030590E">
        <w:t>тельный к</w:t>
      </w:r>
      <w:r w:rsidR="0030590E" w:rsidRPr="0030590E">
        <w:t>о</w:t>
      </w:r>
      <w:r w:rsidR="0030590E" w:rsidRPr="0030590E">
        <w:t>митет ЕЭК могут принять решение о том, чтобы включить в мандат ЕЭК о</w:t>
      </w:r>
      <w:r w:rsidR="0030590E" w:rsidRPr="0030590E">
        <w:t>б</w:t>
      </w:r>
      <w:r w:rsidR="0030590E" w:rsidRPr="0030590E">
        <w:t>служивание</w:t>
      </w:r>
      <w:r w:rsidR="00FA1B17">
        <w:t xml:space="preserve"> </w:t>
      </w:r>
      <w:r w:rsidR="0030590E" w:rsidRPr="0030590E">
        <w:t>Процесса в рамках совместного секретариата;</w:t>
      </w:r>
    </w:p>
    <w:p w:rsidR="0030590E" w:rsidRPr="0030590E" w:rsidRDefault="001A307A" w:rsidP="0030590E">
      <w:pPr>
        <w:pStyle w:val="SingleTxtGR"/>
      </w:pPr>
      <w:r>
        <w:rPr>
          <w:lang w:val="en-US"/>
        </w:rPr>
        <w:tab/>
      </w:r>
      <w:r w:rsidR="0030590E" w:rsidRPr="0030590E">
        <w:t>d)</w:t>
      </w:r>
      <w:r w:rsidR="0030590E" w:rsidRPr="0030590E">
        <w:tab/>
        <w:t xml:space="preserve">осуществление сценария 1 </w:t>
      </w:r>
      <w:proofErr w:type="gramStart"/>
      <w:r w:rsidR="0030590E" w:rsidRPr="0030590E">
        <w:t>потребует определенного времени и не</w:t>
      </w:r>
      <w:proofErr w:type="gramEnd"/>
      <w:r w:rsidR="0030590E" w:rsidRPr="0030590E">
        <w:t xml:space="preserve"> будет включать в себя краткосрочное выполнение решений Конференции мин</w:t>
      </w:r>
      <w:r w:rsidR="0030590E" w:rsidRPr="0030590E">
        <w:t>и</w:t>
      </w:r>
      <w:r w:rsidR="0030590E" w:rsidRPr="0030590E">
        <w:t xml:space="preserve">стров в </w:t>
      </w:r>
      <w:proofErr w:type="spellStart"/>
      <w:r w:rsidR="0030590E" w:rsidRPr="0030590E">
        <w:t>Остраве</w:t>
      </w:r>
      <w:proofErr w:type="spellEnd"/>
      <w:r w:rsidR="0030590E" w:rsidRPr="0030590E">
        <w:t>.</w:t>
      </w:r>
    </w:p>
    <w:p w:rsidR="0030590E" w:rsidRPr="0030590E" w:rsidRDefault="0030590E" w:rsidP="0030590E">
      <w:pPr>
        <w:pStyle w:val="SingleTxtGR"/>
      </w:pPr>
      <w:r w:rsidRPr="0030590E">
        <w:t>34.</w:t>
      </w:r>
      <w:r w:rsidRPr="0030590E">
        <w:tab/>
        <w:t>Несмотря на значительные расходы, участие ЕЭК в секретариате евр</w:t>
      </w:r>
      <w:r w:rsidRPr="0030590E">
        <w:t>о</w:t>
      </w:r>
      <w:r w:rsidRPr="0030590E">
        <w:t>пейского процесса «Окружающая среда и здоровье» может обеспечивать выг</w:t>
      </w:r>
      <w:r w:rsidRPr="0030590E">
        <w:t>о</w:t>
      </w:r>
      <w:r w:rsidRPr="0030590E">
        <w:t>ды, например:</w:t>
      </w:r>
    </w:p>
    <w:p w:rsidR="0030590E" w:rsidRPr="0030590E" w:rsidRDefault="001A307A" w:rsidP="0030590E">
      <w:pPr>
        <w:pStyle w:val="SingleTxtGR"/>
      </w:pPr>
      <w:r>
        <w:rPr>
          <w:lang w:val="en-US"/>
        </w:rPr>
        <w:tab/>
      </w:r>
      <w:r w:rsidR="0030590E" w:rsidRPr="0030590E">
        <w:t>a)</w:t>
      </w:r>
      <w:r w:rsidRPr="001A307A">
        <w:tab/>
      </w:r>
      <w:r w:rsidR="0030590E" w:rsidRPr="0030590E">
        <w:rPr>
          <w:b/>
        </w:rPr>
        <w:t>совместное использование опыта ЕЭК в области охраны окр</w:t>
      </w:r>
      <w:r w:rsidR="0030590E" w:rsidRPr="0030590E">
        <w:rPr>
          <w:b/>
        </w:rPr>
        <w:t>у</w:t>
      </w:r>
      <w:r w:rsidR="0030590E" w:rsidRPr="0030590E">
        <w:rPr>
          <w:b/>
        </w:rPr>
        <w:t>жающей среды</w:t>
      </w:r>
      <w:r w:rsidR="0030590E" w:rsidRPr="004C291C">
        <w:rPr>
          <w:b/>
          <w:bCs/>
        </w:rPr>
        <w:t>.</w:t>
      </w:r>
      <w:r w:rsidR="0030590E" w:rsidRPr="0030590E">
        <w:t xml:space="preserve"> Если Отдел окружающей среды ЕЭК будет являться частью совместного секретариата, это откроет более широкие возможности для пр</w:t>
      </w:r>
      <w:r w:rsidR="0030590E" w:rsidRPr="0030590E">
        <w:t>и</w:t>
      </w:r>
      <w:r w:rsidR="0030590E" w:rsidRPr="0030590E">
        <w:t>внесения в Процесс ее экологического опыта и для более последовательной п</w:t>
      </w:r>
      <w:r w:rsidR="0030590E" w:rsidRPr="0030590E">
        <w:t>о</w:t>
      </w:r>
      <w:r w:rsidR="0030590E" w:rsidRPr="0030590E">
        <w:t>пуляризации д</w:t>
      </w:r>
      <w:r w:rsidR="0030590E" w:rsidRPr="0030590E">
        <w:t>о</w:t>
      </w:r>
      <w:r w:rsidR="0030590E" w:rsidRPr="0030590E">
        <w:t>кументов ЕЭК по окружающей среде;</w:t>
      </w:r>
    </w:p>
    <w:p w:rsidR="0030590E" w:rsidRPr="0030590E" w:rsidRDefault="004C291C" w:rsidP="0030590E">
      <w:pPr>
        <w:pStyle w:val="SingleTxtGR"/>
      </w:pPr>
      <w:r>
        <w:rPr>
          <w:lang w:val="en-US"/>
        </w:rPr>
        <w:tab/>
      </w:r>
      <w:r w:rsidR="0030590E" w:rsidRPr="0030590E">
        <w:t>b)</w:t>
      </w:r>
      <w:r w:rsidR="0030590E" w:rsidRPr="0030590E">
        <w:tab/>
      </w:r>
      <w:r w:rsidR="0030590E" w:rsidRPr="0030590E">
        <w:rPr>
          <w:b/>
        </w:rPr>
        <w:t xml:space="preserve">совместное использование </w:t>
      </w:r>
      <w:proofErr w:type="spellStart"/>
      <w:r w:rsidR="0030590E" w:rsidRPr="0030590E">
        <w:rPr>
          <w:b/>
        </w:rPr>
        <w:t>секретариатских</w:t>
      </w:r>
      <w:proofErr w:type="spellEnd"/>
      <w:r w:rsidR="0030590E" w:rsidRPr="0030590E">
        <w:rPr>
          <w:b/>
        </w:rPr>
        <w:t xml:space="preserve"> услуг ЕЭК</w:t>
      </w:r>
      <w:r w:rsidR="0030590E" w:rsidRPr="004C291C">
        <w:rPr>
          <w:b/>
          <w:bCs/>
        </w:rPr>
        <w:t>.</w:t>
      </w:r>
      <w:r w:rsidR="0030590E" w:rsidRPr="0030590E">
        <w:t xml:space="preserve"> Порядок функционирования сек</w:t>
      </w:r>
      <w:r w:rsidR="00523829">
        <w:t xml:space="preserve">ретариата ЕЭК, </w:t>
      </w:r>
      <w:proofErr w:type="gramStart"/>
      <w:r w:rsidR="00523829">
        <w:t>например</w:t>
      </w:r>
      <w:proofErr w:type="gramEnd"/>
      <w:r w:rsidR="0030590E" w:rsidRPr="0030590E">
        <w:t xml:space="preserve"> при обслуживании Протокола по проблемам воды и здоровья, соответствует функционированию Секретариата Организации Объединенных Наций. Это позволит обеспечить более высокий уровень согласованности между европейским процессом «Окружающая среда и здоровье»</w:t>
      </w:r>
      <w:r w:rsidR="00FA1B17">
        <w:t xml:space="preserve"> </w:t>
      </w:r>
      <w:r w:rsidR="0030590E" w:rsidRPr="0030590E">
        <w:t>и другими международными процессами, такими как процесс на уровне министров «Окружающая среда для Европы»;</w:t>
      </w:r>
    </w:p>
    <w:p w:rsidR="0030590E" w:rsidRPr="0030590E" w:rsidRDefault="004C291C" w:rsidP="0030590E">
      <w:pPr>
        <w:pStyle w:val="SingleTxtGR"/>
      </w:pPr>
      <w:r>
        <w:rPr>
          <w:lang w:val="en-US"/>
        </w:rPr>
        <w:tab/>
      </w:r>
      <w:r w:rsidR="0030590E" w:rsidRPr="0030590E">
        <w:t>c)</w:t>
      </w:r>
      <w:r w:rsidR="0030590E" w:rsidRPr="0030590E">
        <w:tab/>
      </w:r>
      <w:r w:rsidR="0030590E" w:rsidRPr="0030590E">
        <w:rPr>
          <w:b/>
        </w:rPr>
        <w:t>организационный потенциал ЕЭК</w:t>
      </w:r>
      <w:r w:rsidR="0030590E" w:rsidRPr="004C291C">
        <w:rPr>
          <w:b/>
          <w:bCs/>
        </w:rPr>
        <w:t>.</w:t>
      </w:r>
      <w:r w:rsidR="0030590E" w:rsidRPr="0030590E">
        <w:t xml:space="preserve"> Если ЕЭК войдет в состав совместного секретариата, это даст возможность в полной мере использовать при ос</w:t>
      </w:r>
      <w:r w:rsidR="0030590E" w:rsidRPr="0030590E">
        <w:t>у</w:t>
      </w:r>
      <w:r w:rsidR="0030590E" w:rsidRPr="0030590E">
        <w:t>ществлении Процесса организационный потенциал ЕЭК в регионе.</w:t>
      </w:r>
    </w:p>
    <w:p w:rsidR="0030590E" w:rsidRPr="0030590E" w:rsidRDefault="0030590E" w:rsidP="004C291C">
      <w:pPr>
        <w:pStyle w:val="H1GR"/>
      </w:pPr>
      <w:r w:rsidRPr="0030590E">
        <w:tab/>
        <w:t>B.</w:t>
      </w:r>
      <w:r w:rsidRPr="0030590E">
        <w:tab/>
        <w:t xml:space="preserve">Сценарий 2: укрепление сотрудничества между двумя организациями </w:t>
      </w:r>
    </w:p>
    <w:p w:rsidR="0030590E" w:rsidRPr="0030590E" w:rsidRDefault="0030590E" w:rsidP="0030590E">
      <w:pPr>
        <w:pStyle w:val="SingleTxtGR"/>
      </w:pPr>
      <w:r w:rsidRPr="0030590E">
        <w:t>35.</w:t>
      </w:r>
      <w:r w:rsidRPr="0030590E">
        <w:tab/>
        <w:t>По сценарию 2 Европейское региональное бюро ВОЗ продолжит выпо</w:t>
      </w:r>
      <w:r w:rsidRPr="0030590E">
        <w:t>л</w:t>
      </w:r>
      <w:r w:rsidRPr="0030590E">
        <w:t>нение</w:t>
      </w:r>
      <w:r w:rsidR="00FA1B17">
        <w:t xml:space="preserve"> </w:t>
      </w:r>
      <w:r w:rsidRPr="0030590E">
        <w:t>функций секретариата, а на ЕЭК будут возложены дополнительные зад</w:t>
      </w:r>
      <w:r w:rsidRPr="0030590E">
        <w:t>а</w:t>
      </w:r>
      <w:r w:rsidRPr="0030590E">
        <w:t>чи. Распределение задач может производиться ежегодно в формате плана раб</w:t>
      </w:r>
      <w:r w:rsidRPr="0030590E">
        <w:t>о</w:t>
      </w:r>
      <w:r w:rsidRPr="0030590E">
        <w:lastRenderedPageBreak/>
        <w:t>ты, утверждаемого меморандумом, как это происходит в случае с Протоколом по проблемам воды и здоровья.</w:t>
      </w:r>
    </w:p>
    <w:p w:rsidR="0030590E" w:rsidRPr="0030590E" w:rsidRDefault="0030590E" w:rsidP="00D53AAF">
      <w:pPr>
        <w:pStyle w:val="SingleTxtGR"/>
      </w:pPr>
      <w:r w:rsidRPr="0030590E">
        <w:t>36.</w:t>
      </w:r>
      <w:r w:rsidRPr="0030590E">
        <w:tab/>
        <w:t xml:space="preserve">Хотя при таком варианте основной объем задач по </w:t>
      </w:r>
      <w:proofErr w:type="spellStart"/>
      <w:r w:rsidRPr="0030590E">
        <w:t>секретариатскому</w:t>
      </w:r>
      <w:proofErr w:type="spellEnd"/>
      <w:r w:rsidRPr="0030590E">
        <w:t xml:space="preserve"> о</w:t>
      </w:r>
      <w:r w:rsidRPr="0030590E">
        <w:t>б</w:t>
      </w:r>
      <w:r w:rsidRPr="0030590E">
        <w:t>служиванию возлагается на Европейское региональное бюро ВОЗ, это спосо</w:t>
      </w:r>
      <w:r w:rsidRPr="0030590E">
        <w:t>б</w:t>
      </w:r>
      <w:r w:rsidRPr="0030590E">
        <w:t xml:space="preserve">ствовало бы укреплению взаимосвязи между двумя организациями и роли ЕЭК как партнера Процесса. В таком качестве ЕЭК может играть координирующую роль в сфере мониторинга и поддержки </w:t>
      </w:r>
      <w:proofErr w:type="gramStart"/>
      <w:r w:rsidRPr="0030590E">
        <w:t>выполнения</w:t>
      </w:r>
      <w:proofErr w:type="gramEnd"/>
      <w:r w:rsidRPr="0030590E">
        <w:t xml:space="preserve"> принятых в </w:t>
      </w:r>
      <w:proofErr w:type="spellStart"/>
      <w:r w:rsidR="00D53AAF" w:rsidRPr="0030590E">
        <w:t>Остраве</w:t>
      </w:r>
      <w:proofErr w:type="spellEnd"/>
      <w:r w:rsidR="00D53AAF" w:rsidRPr="0030590E">
        <w:t xml:space="preserve"> </w:t>
      </w:r>
      <w:r w:rsidRPr="0030590E">
        <w:t>обяз</w:t>
      </w:r>
      <w:r w:rsidRPr="0030590E">
        <w:t>а</w:t>
      </w:r>
      <w:r w:rsidRPr="0030590E">
        <w:t xml:space="preserve">тельств (например, по многосторонним природоохранным соглашениям ЕЭК). </w:t>
      </w:r>
    </w:p>
    <w:p w:rsidR="0030590E" w:rsidRPr="0030590E" w:rsidRDefault="0030590E" w:rsidP="0030590E">
      <w:pPr>
        <w:pStyle w:val="SingleTxtGR"/>
      </w:pPr>
      <w:r w:rsidRPr="0030590E">
        <w:t>37.</w:t>
      </w:r>
      <w:r w:rsidRPr="0030590E">
        <w:tab/>
        <w:t>Выполняя такие функции, ЕЭК могла бы обеспечивать организацию и поддержку мероприятий и рабочих совещаний в областях, связанных с ее н</w:t>
      </w:r>
      <w:r w:rsidRPr="0030590E">
        <w:t>ы</w:t>
      </w:r>
      <w:r w:rsidRPr="0030590E">
        <w:t>нешними программами и видами деятельности. С другой стороны, такие мер</w:t>
      </w:r>
      <w:r w:rsidRPr="0030590E">
        <w:t>о</w:t>
      </w:r>
      <w:r w:rsidRPr="0030590E">
        <w:t>приятия могли бы распространяться на появляющиеся аспекты, еще не охв</w:t>
      </w:r>
      <w:r w:rsidRPr="0030590E">
        <w:t>а</w:t>
      </w:r>
      <w:r w:rsidRPr="0030590E">
        <w:t>ченные ЕЭК, такие как окружающая среда и здоровье в городах. Это станет возможным лишь при условии стабильного поступления финансовых ресурсов в межсессионный период.</w:t>
      </w:r>
    </w:p>
    <w:p w:rsidR="0030590E" w:rsidRPr="0030590E" w:rsidRDefault="0030590E" w:rsidP="0030590E">
      <w:pPr>
        <w:pStyle w:val="SingleTxtGR"/>
      </w:pPr>
      <w:r w:rsidRPr="0030590E">
        <w:t>38.</w:t>
      </w:r>
      <w:r w:rsidRPr="0030590E">
        <w:tab/>
        <w:t>В то же время на ВОЗ будет по-прежнему возлагаться большинство задач по обслуживанию Процесса (например, созыв совещаний Целевой группы и Бюро и подготовка документации). ЕЭК могла бы играть ведущую роль в по</w:t>
      </w:r>
      <w:r w:rsidRPr="0030590E">
        <w:t>д</w:t>
      </w:r>
      <w:r w:rsidRPr="0030590E">
        <w:t>готовке конкретных природоохранных документов или в организации спец</w:t>
      </w:r>
      <w:r w:rsidRPr="0030590E">
        <w:t>и</w:t>
      </w:r>
      <w:r w:rsidRPr="0030590E">
        <w:t>альных совещаний в связи с выполнением вышеуказанных задач, если соотве</w:t>
      </w:r>
      <w:r w:rsidRPr="0030590E">
        <w:t>т</w:t>
      </w:r>
      <w:r w:rsidRPr="0030590E">
        <w:t>ствующее распределение обязанностей будет согласовано в ежегодном плане работы.</w:t>
      </w:r>
    </w:p>
    <w:p w:rsidR="0030590E" w:rsidRPr="0030590E" w:rsidRDefault="0030590E" w:rsidP="0030590E">
      <w:pPr>
        <w:pStyle w:val="SingleTxtGR"/>
      </w:pPr>
      <w:r w:rsidRPr="0030590E">
        <w:t>39.</w:t>
      </w:r>
      <w:r w:rsidRPr="0030590E">
        <w:tab/>
        <w:t>Чтобы обеспечить выполнение этого сценария, на следующей конфере</w:t>
      </w:r>
      <w:r w:rsidRPr="0030590E">
        <w:t>н</w:t>
      </w:r>
      <w:r w:rsidRPr="0030590E">
        <w:t>ции министров нужно предложить ЕЭК играть в Процессе более масштабную роль. Кроме того, Комитет по экологической политике и Исполнительный ком</w:t>
      </w:r>
      <w:r w:rsidRPr="0030590E">
        <w:t>и</w:t>
      </w:r>
      <w:r w:rsidRPr="0030590E">
        <w:t>тет ЕЭК должны будут предоставить мандат, включающий в себя эти новые функции.</w:t>
      </w:r>
    </w:p>
    <w:p w:rsidR="0030590E" w:rsidRPr="0030590E" w:rsidRDefault="0030590E" w:rsidP="0030590E">
      <w:pPr>
        <w:pStyle w:val="SingleTxtGR"/>
      </w:pPr>
      <w:r w:rsidRPr="0030590E">
        <w:t>40.</w:t>
      </w:r>
      <w:r w:rsidRPr="0030590E">
        <w:tab/>
        <w:t>С другой стороны, предпосылками для успешного функционирования этого сценария являются следующие аспекты:</w:t>
      </w:r>
    </w:p>
    <w:p w:rsidR="0030590E" w:rsidRPr="0030590E" w:rsidRDefault="004C291C" w:rsidP="0030590E">
      <w:pPr>
        <w:pStyle w:val="SingleTxtGR"/>
      </w:pPr>
      <w:r>
        <w:rPr>
          <w:lang w:val="en-US"/>
        </w:rPr>
        <w:tab/>
      </w:r>
      <w:r w:rsidR="0030590E" w:rsidRPr="0030590E">
        <w:t>a)</w:t>
      </w:r>
      <w:r w:rsidR="0030590E" w:rsidRPr="0030590E">
        <w:tab/>
        <w:t>если секретариат ЕЭК получит мандат, предусматривающий акт</w:t>
      </w:r>
      <w:r w:rsidR="0030590E" w:rsidRPr="0030590E">
        <w:t>и</w:t>
      </w:r>
      <w:r w:rsidR="0030590E" w:rsidRPr="0030590E">
        <w:t>визацию его участия в Процессе, то секретариату потребуются дополнительные кадровые ресурсы, составляющие как минимум одну должность С-3 и одного помощника по программе (50% рабочего времени). Сметные расходы на ресу</w:t>
      </w:r>
      <w:r w:rsidR="0030590E" w:rsidRPr="0030590E">
        <w:t>р</w:t>
      </w:r>
      <w:r w:rsidR="0030590E" w:rsidRPr="0030590E">
        <w:t xml:space="preserve">сы будут составлять 240 000 долл. США в год. Дополнительные ресурсы будут также необходимы для финансирования деятельности и участия экспертов из стран, имеющих соответствующие льготы; </w:t>
      </w:r>
    </w:p>
    <w:p w:rsidR="0030590E" w:rsidRPr="0030590E" w:rsidRDefault="004C291C" w:rsidP="0030590E">
      <w:pPr>
        <w:pStyle w:val="SingleTxtGR"/>
      </w:pPr>
      <w:r>
        <w:rPr>
          <w:lang w:val="en-US"/>
        </w:rPr>
        <w:tab/>
      </w:r>
      <w:r w:rsidR="0030590E" w:rsidRPr="0030590E">
        <w:t>b)</w:t>
      </w:r>
      <w:r w:rsidR="0030590E" w:rsidRPr="0030590E">
        <w:tab/>
        <w:t>непрерывное участие ЕЭК в Процессе будет возможным только при условии надежного, долгосрочного, стабильного и прогнозируемого поступл</w:t>
      </w:r>
      <w:r w:rsidR="0030590E" w:rsidRPr="0030590E">
        <w:t>е</w:t>
      </w:r>
      <w:r w:rsidR="0030590E" w:rsidRPr="0030590E">
        <w:t>ния ресурсов для покрытия расходов на новые задачи и на персонал, занима</w:t>
      </w:r>
      <w:r w:rsidR="0030590E" w:rsidRPr="0030590E">
        <w:t>ю</w:t>
      </w:r>
      <w:r w:rsidR="0030590E" w:rsidRPr="0030590E">
        <w:t xml:space="preserve">щийся их выполнением. </w:t>
      </w:r>
    </w:p>
    <w:p w:rsidR="0030590E" w:rsidRPr="0030590E" w:rsidRDefault="0030590E" w:rsidP="004C291C">
      <w:pPr>
        <w:pStyle w:val="H23GR"/>
      </w:pPr>
      <w:r w:rsidRPr="0030590E">
        <w:tab/>
      </w:r>
      <w:r w:rsidRPr="0030590E">
        <w:tab/>
        <w:t>Дополнительные соображения относительно сцен</w:t>
      </w:r>
      <w:r w:rsidRPr="0030590E">
        <w:t>а</w:t>
      </w:r>
      <w:r w:rsidRPr="0030590E">
        <w:t>риев 1 и 2</w:t>
      </w:r>
    </w:p>
    <w:p w:rsidR="0030590E" w:rsidRPr="0030590E" w:rsidRDefault="0030590E" w:rsidP="0030590E">
      <w:pPr>
        <w:pStyle w:val="SingleTxtGR"/>
      </w:pPr>
      <w:r w:rsidRPr="0030590E">
        <w:t>41.</w:t>
      </w:r>
      <w:r w:rsidRPr="0030590E">
        <w:tab/>
      </w:r>
      <w:proofErr w:type="gramStart"/>
      <w:r w:rsidRPr="0030590E">
        <w:t>Даже если ресурсы для участия ЕЭК в совместном секретариате будут поступать из внебюджетных источников, при реализации любого из этих двух сценариев ЕЭК также потребуется расходовать часть рабочего времени своих сотрудников, финансируемых из регулярного бюджета (эта часть может варь</w:t>
      </w:r>
      <w:r w:rsidRPr="0030590E">
        <w:t>и</w:t>
      </w:r>
      <w:r w:rsidRPr="0030590E">
        <w:t xml:space="preserve">роваться от 10% до 20% в зависимости от сценария и от необходимой степени координации), на осуществление надзора за </w:t>
      </w:r>
      <w:proofErr w:type="spellStart"/>
      <w:r w:rsidRPr="0030590E">
        <w:t>секретариатскими</w:t>
      </w:r>
      <w:proofErr w:type="spellEnd"/>
      <w:r w:rsidRPr="0030590E">
        <w:t xml:space="preserve"> услугами ЕЭК.</w:t>
      </w:r>
      <w:proofErr w:type="gramEnd"/>
    </w:p>
    <w:p w:rsidR="0030590E" w:rsidRPr="0030590E" w:rsidRDefault="0030590E" w:rsidP="0030590E">
      <w:pPr>
        <w:pStyle w:val="SingleTxtGR"/>
      </w:pPr>
      <w:r w:rsidRPr="0030590E">
        <w:t>42.</w:t>
      </w:r>
      <w:r w:rsidRPr="0030590E">
        <w:tab/>
        <w:t>Чтобы обеспечить выполнение этих новых видов деятельности и дать ЕЭК возможность вести работу согласно ее вероятному новому мандату, Ком</w:t>
      </w:r>
      <w:r w:rsidRPr="0030590E">
        <w:t>и</w:t>
      </w:r>
      <w:r w:rsidRPr="0030590E">
        <w:t>тет по экологической политике, возможно, пожелает учредить специальный ц</w:t>
      </w:r>
      <w:r w:rsidRPr="0030590E">
        <w:t>е</w:t>
      </w:r>
      <w:r w:rsidRPr="0030590E">
        <w:t xml:space="preserve">левой фонд для секретариата европейского процесса «Окружающая среда и здоровье». </w:t>
      </w:r>
      <w:proofErr w:type="gramStart"/>
      <w:r w:rsidRPr="0030590E">
        <w:t xml:space="preserve">Средства этого целевого фонда могут использоваться для оказания представителям природоохранного сектора помощи в связи с совещаниями, проводимыми в рамках Процесса, и для проведения конкретных специальных </w:t>
      </w:r>
      <w:r w:rsidRPr="0030590E">
        <w:lastRenderedPageBreak/>
        <w:t>мероприятий, посвященных документам и процедурам ЕЭК (например, ее об</w:t>
      </w:r>
      <w:r w:rsidRPr="0030590E">
        <w:t>я</w:t>
      </w:r>
      <w:r w:rsidRPr="0030590E">
        <w:t xml:space="preserve">зательствам в рамках Батумской инициативы по борьбе за чистый воздух), a также для покрытия расходов на внештатный персонал. </w:t>
      </w:r>
      <w:proofErr w:type="gramEnd"/>
    </w:p>
    <w:p w:rsidR="0030590E" w:rsidRPr="0030590E" w:rsidRDefault="0030590E" w:rsidP="004C291C">
      <w:pPr>
        <w:pStyle w:val="H1GR"/>
      </w:pPr>
      <w:r w:rsidRPr="0030590E">
        <w:tab/>
        <w:t>C.</w:t>
      </w:r>
      <w:r w:rsidRPr="0030590E">
        <w:tab/>
        <w:t>Сценарий 3: статус-кво</w:t>
      </w:r>
    </w:p>
    <w:p w:rsidR="0030590E" w:rsidRPr="0030590E" w:rsidRDefault="0030590E" w:rsidP="0030590E">
      <w:pPr>
        <w:pStyle w:val="SingleTxtGR"/>
      </w:pPr>
      <w:r w:rsidRPr="0030590E">
        <w:t>43.</w:t>
      </w:r>
      <w:r w:rsidRPr="0030590E">
        <w:tab/>
        <w:t>Сценарий 3 не предусматривает каких-либо изменений по сравнению с нынешней ситуацией: ЕЭК останется важным партнером в европейском пр</w:t>
      </w:r>
      <w:r w:rsidRPr="0030590E">
        <w:t>о</w:t>
      </w:r>
      <w:r w:rsidRPr="0030590E">
        <w:t>цессе «Окружающая среда и здоровье» и продолжит играть существенную роль в его осуществлении. Являясь членом Целевой группы и ее Бюро, ЕЭК будет иметь возможность участвовать в принятии решений, касающихся последу</w:t>
      </w:r>
      <w:r w:rsidRPr="0030590E">
        <w:t>ю</w:t>
      </w:r>
      <w:r w:rsidRPr="0030590E">
        <w:t xml:space="preserve">щих действий в связи шестой Конференцией министров и их выполнения, а также в подготовке последующих конференций. </w:t>
      </w:r>
    </w:p>
    <w:p w:rsidR="0030590E" w:rsidRPr="0030590E" w:rsidRDefault="0030590E" w:rsidP="0030590E">
      <w:pPr>
        <w:pStyle w:val="SingleTxtGR"/>
      </w:pPr>
      <w:r w:rsidRPr="0030590E">
        <w:t>44.</w:t>
      </w:r>
      <w:r w:rsidRPr="0030590E">
        <w:tab/>
        <w:t>Со сценарием 3 связаны следующие выгоды и проблемы:</w:t>
      </w:r>
    </w:p>
    <w:p w:rsidR="0030590E" w:rsidRPr="0030590E" w:rsidRDefault="004C291C" w:rsidP="0030590E">
      <w:pPr>
        <w:pStyle w:val="SingleTxtGR"/>
      </w:pPr>
      <w:r>
        <w:rPr>
          <w:lang w:val="en-US"/>
        </w:rPr>
        <w:tab/>
      </w:r>
      <w:r w:rsidR="0030590E" w:rsidRPr="0030590E">
        <w:t>a)</w:t>
      </w:r>
      <w:r w:rsidR="0030590E" w:rsidRPr="0030590E">
        <w:tab/>
      </w:r>
      <w:proofErr w:type="spellStart"/>
      <w:proofErr w:type="gramStart"/>
      <w:r w:rsidR="0030590E" w:rsidRPr="0030590E">
        <w:t>E</w:t>
      </w:r>
      <w:proofErr w:type="gramEnd"/>
      <w:r w:rsidR="0030590E" w:rsidRPr="0030590E">
        <w:t>ЭК</w:t>
      </w:r>
      <w:proofErr w:type="spellEnd"/>
      <w:r w:rsidR="0030590E" w:rsidRPr="0030590E">
        <w:t xml:space="preserve"> не потребуется привлекать финансовые ресурсы для покрытия ра</w:t>
      </w:r>
      <w:r w:rsidR="0030590E" w:rsidRPr="0030590E">
        <w:t>с</w:t>
      </w:r>
      <w:r w:rsidR="0030590E" w:rsidRPr="0030590E">
        <w:t>ходов на персонал и на планируемые мероприятия;</w:t>
      </w:r>
    </w:p>
    <w:p w:rsidR="0030590E" w:rsidRPr="0030590E" w:rsidRDefault="004C291C" w:rsidP="0030590E">
      <w:pPr>
        <w:pStyle w:val="SingleTxtGR"/>
      </w:pPr>
      <w:r>
        <w:rPr>
          <w:lang w:val="en-US"/>
        </w:rPr>
        <w:tab/>
      </w:r>
      <w:r w:rsidR="0030590E" w:rsidRPr="0030590E">
        <w:t>b)</w:t>
      </w:r>
      <w:r w:rsidR="0030590E" w:rsidRPr="0030590E">
        <w:tab/>
        <w:t>поскольку деятельность ЕЭК будет продолжаться в нынешнем р</w:t>
      </w:r>
      <w:r w:rsidR="0030590E" w:rsidRPr="0030590E">
        <w:t>е</w:t>
      </w:r>
      <w:r w:rsidR="0030590E" w:rsidRPr="0030590E">
        <w:t>жиме, Комитету по экологической политике и Исполнительному комитету не потреб</w:t>
      </w:r>
      <w:r w:rsidR="0030590E" w:rsidRPr="0030590E">
        <w:t>у</w:t>
      </w:r>
      <w:r w:rsidR="0030590E" w:rsidRPr="0030590E">
        <w:t>ется предоставлять ей мандат на дополнительные виды деятельности, а затем осуществлять их мониторинг;</w:t>
      </w:r>
    </w:p>
    <w:p w:rsidR="00E12C5F" w:rsidRDefault="004C291C" w:rsidP="0030590E">
      <w:pPr>
        <w:pStyle w:val="SingleTxtGR"/>
        <w:rPr>
          <w:lang w:val="en-US"/>
        </w:rPr>
      </w:pPr>
      <w:r>
        <w:rPr>
          <w:lang w:val="en-US"/>
        </w:rPr>
        <w:tab/>
      </w:r>
      <w:r w:rsidR="0030590E" w:rsidRPr="0030590E">
        <w:t>c)</w:t>
      </w:r>
      <w:r w:rsidR="0030590E" w:rsidRPr="0030590E">
        <w:tab/>
      </w:r>
      <w:proofErr w:type="spellStart"/>
      <w:proofErr w:type="gramStart"/>
      <w:r w:rsidR="0030590E" w:rsidRPr="0030590E">
        <w:t>E</w:t>
      </w:r>
      <w:proofErr w:type="gramEnd"/>
      <w:r w:rsidR="0030590E" w:rsidRPr="0030590E">
        <w:t>ЭК</w:t>
      </w:r>
      <w:proofErr w:type="spellEnd"/>
      <w:r w:rsidR="0030590E" w:rsidRPr="0030590E">
        <w:t xml:space="preserve"> может лишиться возможности использовать дополнительные здравоохранительные рычаги воздействия на процесс популяризации природ</w:t>
      </w:r>
      <w:r w:rsidR="0030590E" w:rsidRPr="0030590E">
        <w:t>о</w:t>
      </w:r>
      <w:r w:rsidR="0030590E" w:rsidRPr="0030590E">
        <w:t>охранной политики.</w:t>
      </w:r>
    </w:p>
    <w:p w:rsidR="005D14ED" w:rsidRDefault="005D14ED" w:rsidP="0030590E">
      <w:pPr>
        <w:pStyle w:val="SingleTxtGR"/>
        <w:rPr>
          <w:lang w:val="en-US"/>
        </w:rPr>
        <w:sectPr w:rsidR="005D14ED" w:rsidSect="0030590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rsidR="00063867" w:rsidRPr="001B48EE" w:rsidRDefault="00913D34" w:rsidP="00913D34">
      <w:pPr>
        <w:pStyle w:val="H23GR"/>
      </w:pPr>
      <w:r>
        <w:lastRenderedPageBreak/>
        <w:tab/>
      </w:r>
      <w:r w:rsidR="00063867">
        <w:t>Резюме сценариев</w:t>
      </w:r>
    </w:p>
    <w:tbl>
      <w:tblPr>
        <w:tblW w:w="13760" w:type="dxa"/>
        <w:tblLayout w:type="fixed"/>
        <w:tblLook w:val="0000" w:firstRow="0" w:lastRow="0" w:firstColumn="0" w:lastColumn="0" w:noHBand="0" w:noVBand="0"/>
      </w:tblPr>
      <w:tblGrid>
        <w:gridCol w:w="2552"/>
        <w:gridCol w:w="3736"/>
        <w:gridCol w:w="3736"/>
        <w:gridCol w:w="3736"/>
      </w:tblGrid>
      <w:tr w:rsidR="00913D34" w:rsidRPr="00A91DBD" w:rsidTr="009B1617">
        <w:trPr>
          <w:trHeight w:val="260"/>
          <w:tblHeader/>
        </w:trPr>
        <w:tc>
          <w:tcPr>
            <w:tcW w:w="2552" w:type="dxa"/>
            <w:tcBorders>
              <w:top w:val="single" w:sz="4" w:space="0" w:color="auto"/>
              <w:bottom w:val="single" w:sz="12" w:space="0" w:color="auto"/>
            </w:tcBorders>
            <w:shd w:val="clear" w:color="auto" w:fill="auto"/>
            <w:tcMar>
              <w:left w:w="0" w:type="dxa"/>
              <w:right w:w="0" w:type="dxa"/>
            </w:tcMar>
            <w:vAlign w:val="bottom"/>
          </w:tcPr>
          <w:p w:rsidR="00063867" w:rsidRPr="00A91DBD" w:rsidRDefault="00063867" w:rsidP="00A91DBD">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80" w:after="80" w:line="200" w:lineRule="exact"/>
              <w:rPr>
                <w:i/>
                <w:sz w:val="16"/>
              </w:rPr>
            </w:pPr>
            <w:r w:rsidRPr="00A91DBD">
              <w:rPr>
                <w:i/>
                <w:sz w:val="16"/>
                <w:szCs w:val="16"/>
              </w:rPr>
              <w:t xml:space="preserve">Сценарии </w:t>
            </w:r>
          </w:p>
        </w:tc>
        <w:tc>
          <w:tcPr>
            <w:tcW w:w="3736" w:type="dxa"/>
            <w:tcBorders>
              <w:top w:val="single" w:sz="4" w:space="0" w:color="auto"/>
              <w:bottom w:val="single" w:sz="12" w:space="0" w:color="auto"/>
            </w:tcBorders>
            <w:shd w:val="clear" w:color="auto" w:fill="auto"/>
            <w:tcMar>
              <w:left w:w="0" w:type="dxa"/>
              <w:right w:w="0" w:type="dxa"/>
            </w:tcMar>
            <w:vAlign w:val="bottom"/>
          </w:tcPr>
          <w:p w:rsidR="00063867" w:rsidRPr="00A91DBD" w:rsidRDefault="00063867" w:rsidP="00A91DBD">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80" w:after="80" w:line="200" w:lineRule="exact"/>
              <w:rPr>
                <w:i/>
                <w:sz w:val="16"/>
              </w:rPr>
            </w:pPr>
            <w:r w:rsidRPr="00A91DBD">
              <w:rPr>
                <w:i/>
                <w:sz w:val="16"/>
                <w:szCs w:val="16"/>
              </w:rPr>
              <w:t xml:space="preserve">Условия и потребности </w:t>
            </w:r>
          </w:p>
        </w:tc>
        <w:tc>
          <w:tcPr>
            <w:tcW w:w="3736" w:type="dxa"/>
            <w:tcBorders>
              <w:top w:val="single" w:sz="4" w:space="0" w:color="auto"/>
              <w:bottom w:val="single" w:sz="12" w:space="0" w:color="auto"/>
            </w:tcBorders>
            <w:shd w:val="clear" w:color="auto" w:fill="auto"/>
            <w:tcMar>
              <w:left w:w="0" w:type="dxa"/>
              <w:right w:w="0" w:type="dxa"/>
            </w:tcMar>
            <w:vAlign w:val="bottom"/>
          </w:tcPr>
          <w:p w:rsidR="00063867" w:rsidRPr="00A91DBD" w:rsidRDefault="00063867" w:rsidP="00A91D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before="80" w:after="80" w:line="200" w:lineRule="exact"/>
              <w:rPr>
                <w:i/>
                <w:sz w:val="16"/>
              </w:rPr>
            </w:pPr>
            <w:proofErr w:type="spellStart"/>
            <w:proofErr w:type="gramStart"/>
            <w:r w:rsidRPr="00A91DBD">
              <w:rPr>
                <w:i/>
                <w:sz w:val="16"/>
                <w:szCs w:val="16"/>
              </w:rPr>
              <w:t>B</w:t>
            </w:r>
            <w:proofErr w:type="gramEnd"/>
            <w:r w:rsidRPr="00A91DBD">
              <w:rPr>
                <w:i/>
                <w:sz w:val="16"/>
                <w:szCs w:val="16"/>
              </w:rPr>
              <w:t>ыгоды</w:t>
            </w:r>
            <w:proofErr w:type="spellEnd"/>
            <w:r w:rsidRPr="00A91DBD">
              <w:rPr>
                <w:i/>
                <w:sz w:val="16"/>
                <w:szCs w:val="16"/>
              </w:rPr>
              <w:t xml:space="preserve"> </w:t>
            </w:r>
          </w:p>
        </w:tc>
        <w:tc>
          <w:tcPr>
            <w:tcW w:w="3736" w:type="dxa"/>
            <w:tcBorders>
              <w:top w:val="single" w:sz="4" w:space="0" w:color="auto"/>
              <w:bottom w:val="single" w:sz="12" w:space="0" w:color="auto"/>
            </w:tcBorders>
            <w:shd w:val="clear" w:color="auto" w:fill="auto"/>
            <w:vAlign w:val="bottom"/>
          </w:tcPr>
          <w:p w:rsidR="00063867" w:rsidRPr="00A91DBD" w:rsidRDefault="00063867" w:rsidP="00A91D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before="80" w:after="80" w:line="200" w:lineRule="exact"/>
              <w:rPr>
                <w:i/>
                <w:sz w:val="16"/>
                <w:szCs w:val="16"/>
              </w:rPr>
            </w:pPr>
            <w:r w:rsidRPr="00A91DBD">
              <w:rPr>
                <w:i/>
                <w:sz w:val="16"/>
                <w:szCs w:val="16"/>
              </w:rPr>
              <w:t xml:space="preserve">Проблемы и замечания </w:t>
            </w:r>
          </w:p>
        </w:tc>
      </w:tr>
      <w:tr w:rsidR="00063867" w:rsidRPr="001A3966" w:rsidTr="009B1617">
        <w:trPr>
          <w:trHeight w:val="1897"/>
        </w:trPr>
        <w:tc>
          <w:tcPr>
            <w:tcW w:w="2552" w:type="dxa"/>
            <w:tcBorders>
              <w:top w:val="single" w:sz="12" w:space="0" w:color="auto"/>
            </w:tcBorders>
            <w:tcMar>
              <w:left w:w="0" w:type="dxa"/>
              <w:right w:w="0" w:type="dxa"/>
            </w:tcMar>
          </w:tcPr>
          <w:p w:rsidR="00063867" w:rsidRPr="009769CA" w:rsidRDefault="00063867" w:rsidP="009B1617">
            <w:pPr>
              <w:spacing w:before="40" w:after="80"/>
              <w:ind w:right="170"/>
            </w:pPr>
            <w:r>
              <w:rPr>
                <w:b/>
              </w:rPr>
              <w:t>Сценарий</w:t>
            </w:r>
            <w:r w:rsidRPr="009769CA">
              <w:rPr>
                <w:b/>
              </w:rPr>
              <w:t xml:space="preserve"> 1 a)</w:t>
            </w:r>
            <w:r>
              <w:br/>
              <w:t>«Большой» совместный секретариат для полит</w:t>
            </w:r>
            <w:r>
              <w:t>и</w:t>
            </w:r>
            <w:r>
              <w:t xml:space="preserve">ческой сферы </w:t>
            </w:r>
            <w:r w:rsidR="00B30E0F">
              <w:br/>
            </w:r>
            <w:r>
              <w:t xml:space="preserve">и осуществления </w:t>
            </w:r>
            <w:r w:rsidR="00B30E0F">
              <w:br/>
            </w:r>
            <w:r>
              <w:t>де</w:t>
            </w:r>
            <w:r>
              <w:t>я</w:t>
            </w:r>
            <w:r>
              <w:t xml:space="preserve">тельности </w:t>
            </w:r>
          </w:p>
        </w:tc>
        <w:tc>
          <w:tcPr>
            <w:tcW w:w="3736" w:type="dxa"/>
            <w:tcBorders>
              <w:top w:val="single" w:sz="12" w:space="0" w:color="auto"/>
            </w:tcBorders>
            <w:tcMar>
              <w:left w:w="0" w:type="dxa"/>
              <w:right w:w="0" w:type="dxa"/>
            </w:tcMar>
          </w:tcPr>
          <w:p w:rsidR="00063867" w:rsidRPr="009769CA" w:rsidRDefault="00063867" w:rsidP="009B1617">
            <w:pPr>
              <w:spacing w:before="40" w:after="80"/>
              <w:ind w:right="170"/>
            </w:pPr>
            <w:proofErr w:type="spellStart"/>
            <w:proofErr w:type="gramStart"/>
            <w:r>
              <w:t>Ma</w:t>
            </w:r>
            <w:proofErr w:type="gramEnd"/>
            <w:r>
              <w:t>ндат</w:t>
            </w:r>
            <w:proofErr w:type="spellEnd"/>
            <w:r>
              <w:t xml:space="preserve"> от Комитета ЕЭК по эколог</w:t>
            </w:r>
            <w:r>
              <w:t>и</w:t>
            </w:r>
            <w:r>
              <w:t>ческой политике и Исполнител</w:t>
            </w:r>
            <w:r>
              <w:t>ь</w:t>
            </w:r>
            <w:r>
              <w:t xml:space="preserve">ного комитета </w:t>
            </w:r>
          </w:p>
          <w:p w:rsidR="00063867" w:rsidRPr="009769CA" w:rsidRDefault="00063867" w:rsidP="009B1617">
            <w:pPr>
              <w:spacing w:before="40" w:after="80"/>
              <w:ind w:right="170"/>
            </w:pPr>
            <w:r>
              <w:t>Соглашение о конкретной сфере ко</w:t>
            </w:r>
            <w:r>
              <w:t>м</w:t>
            </w:r>
            <w:r>
              <w:t>петенции совместного секрет</w:t>
            </w:r>
            <w:r>
              <w:t>а</w:t>
            </w:r>
            <w:r>
              <w:t>риата</w:t>
            </w:r>
          </w:p>
          <w:p w:rsidR="00063867" w:rsidRPr="009769CA" w:rsidRDefault="00063867" w:rsidP="009B1617">
            <w:pPr>
              <w:spacing w:before="40" w:after="80"/>
              <w:ind w:right="170"/>
            </w:pPr>
            <w:r>
              <w:t>Стабильное поступление внебюдже</w:t>
            </w:r>
            <w:r>
              <w:t>т</w:t>
            </w:r>
            <w:r>
              <w:t>ных ресурсов</w:t>
            </w:r>
            <w:r w:rsidRPr="009769CA">
              <w:t xml:space="preserve"> </w:t>
            </w:r>
          </w:p>
          <w:p w:rsidR="00063867" w:rsidRPr="009769CA" w:rsidRDefault="00063867" w:rsidP="009B1617">
            <w:pPr>
              <w:spacing w:before="40" w:after="80"/>
              <w:ind w:right="170"/>
            </w:pPr>
            <w:r>
              <w:t>Прояснение структуры управл</w:t>
            </w:r>
            <w:r>
              <w:t>е</w:t>
            </w:r>
            <w:r>
              <w:t xml:space="preserve">ния </w:t>
            </w:r>
          </w:p>
        </w:tc>
        <w:tc>
          <w:tcPr>
            <w:tcW w:w="3736" w:type="dxa"/>
            <w:tcBorders>
              <w:top w:val="single" w:sz="12" w:space="0" w:color="auto"/>
            </w:tcBorders>
            <w:tcMar>
              <w:left w:w="0" w:type="dxa"/>
              <w:right w:w="0" w:type="dxa"/>
            </w:tcMar>
          </w:tcPr>
          <w:p w:rsidR="00063867" w:rsidRPr="009769CA" w:rsidRDefault="00063867" w:rsidP="009B1617">
            <w:pPr>
              <w:spacing w:before="40" w:after="80"/>
              <w:ind w:right="170"/>
            </w:pPr>
            <w:r>
              <w:t>Совместное использование оп</w:t>
            </w:r>
            <w:r>
              <w:t>ы</w:t>
            </w:r>
            <w:r>
              <w:t>та ЕЭК в области окружающей среды и поп</w:t>
            </w:r>
            <w:r>
              <w:t>у</w:t>
            </w:r>
            <w:r>
              <w:t>ляризация докуме</w:t>
            </w:r>
            <w:r>
              <w:t>н</w:t>
            </w:r>
            <w:r>
              <w:t xml:space="preserve">тов ЕЭК </w:t>
            </w:r>
          </w:p>
          <w:p w:rsidR="00063867" w:rsidRPr="009769CA" w:rsidRDefault="00063867" w:rsidP="009B1617">
            <w:pPr>
              <w:spacing w:before="40" w:after="80"/>
              <w:ind w:right="170"/>
            </w:pPr>
            <w:r>
              <w:t xml:space="preserve">Совместное использование </w:t>
            </w:r>
            <w:proofErr w:type="spellStart"/>
            <w:r>
              <w:t>секретар</w:t>
            </w:r>
            <w:r>
              <w:t>и</w:t>
            </w:r>
            <w:r>
              <w:t>атских</w:t>
            </w:r>
            <w:proofErr w:type="spellEnd"/>
            <w:r>
              <w:t xml:space="preserve"> услуг ЕЭК </w:t>
            </w:r>
          </w:p>
          <w:p w:rsidR="00063867" w:rsidRPr="00A8403E" w:rsidRDefault="00063867" w:rsidP="009B1617">
            <w:pPr>
              <w:spacing w:before="40" w:after="80"/>
              <w:ind w:right="170"/>
            </w:pPr>
            <w:r>
              <w:t>Организационный потенциал ЕЭК</w:t>
            </w:r>
          </w:p>
        </w:tc>
        <w:tc>
          <w:tcPr>
            <w:tcW w:w="3736" w:type="dxa"/>
            <w:tcBorders>
              <w:top w:val="single" w:sz="12" w:space="0" w:color="auto"/>
            </w:tcBorders>
          </w:tcPr>
          <w:p w:rsidR="00063867" w:rsidRPr="009769CA" w:rsidRDefault="00063867" w:rsidP="009B1617">
            <w:pPr>
              <w:spacing w:before="40" w:after="80"/>
            </w:pPr>
            <w:r>
              <w:t>Потребность в стабильном и прогн</w:t>
            </w:r>
            <w:r>
              <w:t>о</w:t>
            </w:r>
            <w:r>
              <w:t>зируемом поступлении фина</w:t>
            </w:r>
            <w:r>
              <w:t>н</w:t>
            </w:r>
            <w:r>
              <w:t>совых ресурсов</w:t>
            </w:r>
            <w:r w:rsidR="00B30E0F">
              <w:t xml:space="preserve"> </w:t>
            </w:r>
          </w:p>
          <w:p w:rsidR="00063867" w:rsidRPr="009769CA" w:rsidRDefault="00063867" w:rsidP="009B1617">
            <w:pPr>
              <w:spacing w:before="40" w:after="80"/>
            </w:pPr>
            <w:r>
              <w:t>Помимо внебюджетных средств</w:t>
            </w:r>
            <w:r w:rsidRPr="009769CA">
              <w:t xml:space="preserve">, </w:t>
            </w:r>
            <w:r>
              <w:t>п</w:t>
            </w:r>
            <w:r>
              <w:t>о</w:t>
            </w:r>
            <w:r>
              <w:t xml:space="preserve">требуется выделить </w:t>
            </w:r>
            <w:r w:rsidRPr="009769CA">
              <w:t>20</w:t>
            </w:r>
            <w:r>
              <w:t>% рабочего времени штатных сотрудников на осуществление надзора</w:t>
            </w:r>
          </w:p>
        </w:tc>
      </w:tr>
      <w:tr w:rsidR="00063867" w:rsidRPr="001A3966" w:rsidTr="009B1617">
        <w:trPr>
          <w:trHeight w:val="440"/>
        </w:trPr>
        <w:tc>
          <w:tcPr>
            <w:tcW w:w="2552" w:type="dxa"/>
            <w:tcMar>
              <w:left w:w="0" w:type="dxa"/>
              <w:right w:w="0" w:type="dxa"/>
            </w:tcMar>
          </w:tcPr>
          <w:p w:rsidR="00063867" w:rsidRPr="009769CA" w:rsidRDefault="00063867" w:rsidP="009B1617">
            <w:pPr>
              <w:spacing w:before="40" w:after="80"/>
              <w:ind w:right="170"/>
            </w:pPr>
            <w:r>
              <w:rPr>
                <w:b/>
              </w:rPr>
              <w:t>Сценарий</w:t>
            </w:r>
            <w:r w:rsidRPr="009769CA">
              <w:rPr>
                <w:b/>
              </w:rPr>
              <w:t xml:space="preserve"> 1</w:t>
            </w:r>
            <w:r w:rsidRPr="00C164B5">
              <w:rPr>
                <w:b/>
              </w:rPr>
              <w:t xml:space="preserve"> </w:t>
            </w:r>
            <w:r w:rsidRPr="009769CA">
              <w:rPr>
                <w:b/>
              </w:rPr>
              <w:t>b)</w:t>
            </w:r>
            <w:r>
              <w:br/>
              <w:t>«Малый» совместный се</w:t>
            </w:r>
            <w:r>
              <w:t>к</w:t>
            </w:r>
            <w:r>
              <w:t>ретариат только для пол</w:t>
            </w:r>
            <w:r>
              <w:t>и</w:t>
            </w:r>
            <w:r>
              <w:t>тической сферы</w:t>
            </w:r>
            <w:r w:rsidR="00B30E0F">
              <w:t xml:space="preserve"> </w:t>
            </w:r>
          </w:p>
        </w:tc>
        <w:tc>
          <w:tcPr>
            <w:tcW w:w="3736" w:type="dxa"/>
            <w:tcMar>
              <w:left w:w="0" w:type="dxa"/>
              <w:right w:w="0" w:type="dxa"/>
            </w:tcMar>
          </w:tcPr>
          <w:p w:rsidR="00063867" w:rsidRPr="009769CA" w:rsidRDefault="00063867" w:rsidP="009B1617">
            <w:pPr>
              <w:spacing w:before="40" w:after="80"/>
              <w:ind w:right="170"/>
            </w:pPr>
            <w:proofErr w:type="spellStart"/>
            <w:proofErr w:type="gramStart"/>
            <w:r>
              <w:t>Ma</w:t>
            </w:r>
            <w:proofErr w:type="gramEnd"/>
            <w:r>
              <w:t>ндат</w:t>
            </w:r>
            <w:proofErr w:type="spellEnd"/>
            <w:r>
              <w:t xml:space="preserve"> от Комитета ЕЭК по эколог</w:t>
            </w:r>
            <w:r>
              <w:t>и</w:t>
            </w:r>
            <w:r>
              <w:t>ческой политике и Исполнител</w:t>
            </w:r>
            <w:r>
              <w:t>ь</w:t>
            </w:r>
            <w:r>
              <w:t xml:space="preserve">ного комитета </w:t>
            </w:r>
          </w:p>
          <w:p w:rsidR="00063867" w:rsidRPr="009769CA" w:rsidRDefault="00063867" w:rsidP="009B1617">
            <w:pPr>
              <w:spacing w:before="40" w:after="80"/>
              <w:ind w:right="170"/>
            </w:pPr>
            <w:r>
              <w:t>Соглашение о конкретной сфере ко</w:t>
            </w:r>
            <w:r>
              <w:t>м</w:t>
            </w:r>
            <w:r>
              <w:t>петенции совместного секрет</w:t>
            </w:r>
            <w:r>
              <w:t>а</w:t>
            </w:r>
            <w:r>
              <w:t>риата</w:t>
            </w:r>
          </w:p>
          <w:p w:rsidR="00063867" w:rsidRPr="009769CA" w:rsidRDefault="00063867" w:rsidP="009B1617">
            <w:pPr>
              <w:spacing w:before="40" w:after="80"/>
              <w:ind w:right="170"/>
            </w:pPr>
            <w:r>
              <w:t>Стабильное поступление внебюдже</w:t>
            </w:r>
            <w:r>
              <w:t>т</w:t>
            </w:r>
            <w:r>
              <w:t>ных ресурсов (в меньшем объ</w:t>
            </w:r>
            <w:r>
              <w:t>е</w:t>
            </w:r>
            <w:r>
              <w:t xml:space="preserve">ме, чем в случае </w:t>
            </w:r>
            <w:r w:rsidRPr="009769CA">
              <w:t>1</w:t>
            </w:r>
            <w:r>
              <w:t xml:space="preserve"> </w:t>
            </w:r>
            <w:r w:rsidRPr="009769CA">
              <w:t>a))</w:t>
            </w:r>
          </w:p>
          <w:p w:rsidR="00063867" w:rsidRPr="009769CA" w:rsidRDefault="00063867" w:rsidP="009B1617">
            <w:pPr>
              <w:spacing w:before="40" w:after="80"/>
              <w:ind w:right="170"/>
            </w:pPr>
            <w:r>
              <w:t>Прояснение структуры управл</w:t>
            </w:r>
            <w:r>
              <w:t>е</w:t>
            </w:r>
            <w:r>
              <w:t>ния</w:t>
            </w:r>
          </w:p>
        </w:tc>
        <w:tc>
          <w:tcPr>
            <w:tcW w:w="3736" w:type="dxa"/>
            <w:tcMar>
              <w:left w:w="0" w:type="dxa"/>
              <w:right w:w="0" w:type="dxa"/>
            </w:tcMar>
          </w:tcPr>
          <w:p w:rsidR="00063867" w:rsidRPr="009769CA" w:rsidRDefault="00063867" w:rsidP="009B1617">
            <w:pPr>
              <w:spacing w:before="40" w:after="80"/>
              <w:ind w:right="170"/>
            </w:pPr>
            <w:r>
              <w:t>Совместное использование оп</w:t>
            </w:r>
            <w:r>
              <w:t>ы</w:t>
            </w:r>
            <w:r>
              <w:t>та ЕЭК в области окружающей среды и поп</w:t>
            </w:r>
            <w:r>
              <w:t>у</w:t>
            </w:r>
            <w:r>
              <w:t>ляризация докуме</w:t>
            </w:r>
            <w:r>
              <w:t>н</w:t>
            </w:r>
            <w:r>
              <w:t xml:space="preserve">тов ЕЭК </w:t>
            </w:r>
          </w:p>
          <w:p w:rsidR="00063867" w:rsidRPr="009769CA" w:rsidRDefault="00063867" w:rsidP="009B1617">
            <w:pPr>
              <w:spacing w:before="40" w:after="80"/>
              <w:ind w:right="170"/>
            </w:pPr>
            <w:r>
              <w:t xml:space="preserve">Совместное использование </w:t>
            </w:r>
            <w:proofErr w:type="spellStart"/>
            <w:r>
              <w:t>секретар</w:t>
            </w:r>
            <w:r>
              <w:t>и</w:t>
            </w:r>
            <w:r>
              <w:t>атских</w:t>
            </w:r>
            <w:proofErr w:type="spellEnd"/>
            <w:r>
              <w:t xml:space="preserve"> услуг ЕЭК</w:t>
            </w:r>
          </w:p>
          <w:p w:rsidR="00063867" w:rsidRPr="009769CA" w:rsidRDefault="00063867" w:rsidP="009B1617">
            <w:pPr>
              <w:spacing w:before="40" w:after="80"/>
              <w:ind w:right="170"/>
            </w:pPr>
            <w:r>
              <w:t>Организационный потенциал ЕЭК</w:t>
            </w:r>
          </w:p>
        </w:tc>
        <w:tc>
          <w:tcPr>
            <w:tcW w:w="3736" w:type="dxa"/>
          </w:tcPr>
          <w:p w:rsidR="00063867" w:rsidRPr="009769CA" w:rsidRDefault="00063867" w:rsidP="009B1617">
            <w:pPr>
              <w:spacing w:before="40" w:after="80"/>
            </w:pPr>
            <w:r>
              <w:t>Потребность в стабильном и прогн</w:t>
            </w:r>
            <w:r>
              <w:t>о</w:t>
            </w:r>
            <w:r>
              <w:t>зируемом поступлении фина</w:t>
            </w:r>
            <w:r>
              <w:t>н</w:t>
            </w:r>
            <w:r>
              <w:t>совых ресурсов</w:t>
            </w:r>
            <w:r w:rsidRPr="009769CA">
              <w:t xml:space="preserve"> </w:t>
            </w:r>
          </w:p>
          <w:p w:rsidR="00063867" w:rsidRPr="009769CA" w:rsidRDefault="00063867" w:rsidP="009B1617">
            <w:pPr>
              <w:spacing w:before="40" w:after="80"/>
            </w:pPr>
            <w:r>
              <w:t>Помимо внебюджетных средств</w:t>
            </w:r>
            <w:r w:rsidRPr="009769CA">
              <w:t xml:space="preserve">, </w:t>
            </w:r>
            <w:r>
              <w:t>п</w:t>
            </w:r>
            <w:r>
              <w:t>о</w:t>
            </w:r>
            <w:r>
              <w:t>требуется выделить 1</w:t>
            </w:r>
            <w:r w:rsidRPr="009769CA">
              <w:t>0</w:t>
            </w:r>
            <w:r>
              <w:t>% рабочего времени штатных сотрудников на осуществление надзора</w:t>
            </w:r>
            <w:r w:rsidRPr="009769CA">
              <w:t xml:space="preserve"> </w:t>
            </w:r>
          </w:p>
        </w:tc>
      </w:tr>
      <w:tr w:rsidR="00063867" w:rsidRPr="001A3966" w:rsidTr="009B1617">
        <w:trPr>
          <w:trHeight w:val="360"/>
        </w:trPr>
        <w:tc>
          <w:tcPr>
            <w:tcW w:w="2552" w:type="dxa"/>
            <w:tcMar>
              <w:left w:w="0" w:type="dxa"/>
              <w:right w:w="0" w:type="dxa"/>
            </w:tcMar>
          </w:tcPr>
          <w:p w:rsidR="00063867" w:rsidRPr="009769CA" w:rsidRDefault="00063867" w:rsidP="009B1617">
            <w:pPr>
              <w:spacing w:before="40" w:after="80"/>
              <w:ind w:right="170"/>
            </w:pPr>
            <w:r>
              <w:rPr>
                <w:b/>
              </w:rPr>
              <w:t>Сценарий</w:t>
            </w:r>
            <w:r w:rsidRPr="009769CA">
              <w:rPr>
                <w:b/>
              </w:rPr>
              <w:t xml:space="preserve"> 2</w:t>
            </w:r>
            <w:r w:rsidRPr="009769CA">
              <w:br/>
            </w:r>
            <w:r>
              <w:t xml:space="preserve">Усиленное </w:t>
            </w:r>
            <w:r w:rsidR="00B30E0F">
              <w:br/>
            </w:r>
            <w:r>
              <w:t>сотруднич</w:t>
            </w:r>
            <w:r>
              <w:t>е</w:t>
            </w:r>
            <w:r>
              <w:t>ство</w:t>
            </w:r>
          </w:p>
        </w:tc>
        <w:tc>
          <w:tcPr>
            <w:tcW w:w="3736" w:type="dxa"/>
            <w:tcMar>
              <w:left w:w="0" w:type="dxa"/>
              <w:right w:w="0" w:type="dxa"/>
            </w:tcMar>
          </w:tcPr>
          <w:p w:rsidR="00063867" w:rsidRPr="009769CA" w:rsidRDefault="00063867" w:rsidP="009B1617">
            <w:pPr>
              <w:spacing w:before="40" w:after="80"/>
              <w:ind w:right="170"/>
            </w:pPr>
            <w:proofErr w:type="spellStart"/>
            <w:proofErr w:type="gramStart"/>
            <w:r>
              <w:t>Ma</w:t>
            </w:r>
            <w:proofErr w:type="gramEnd"/>
            <w:r>
              <w:t>ндат</w:t>
            </w:r>
            <w:proofErr w:type="spellEnd"/>
            <w:r>
              <w:t xml:space="preserve"> от Комитета ЕЭК по эколог</w:t>
            </w:r>
            <w:r>
              <w:t>и</w:t>
            </w:r>
            <w:r>
              <w:t>ческой политике и Исполнител</w:t>
            </w:r>
            <w:r>
              <w:t>ь</w:t>
            </w:r>
            <w:r>
              <w:t>ного комитета</w:t>
            </w:r>
          </w:p>
          <w:p w:rsidR="00063867" w:rsidRPr="009769CA" w:rsidRDefault="00063867" w:rsidP="009B1617">
            <w:pPr>
              <w:spacing w:before="40" w:after="80"/>
              <w:ind w:right="170"/>
            </w:pPr>
            <w:r>
              <w:t>Соглашение о конкретных видах де</w:t>
            </w:r>
            <w:r>
              <w:t>я</w:t>
            </w:r>
            <w:r>
              <w:t>тельности совместного секрет</w:t>
            </w:r>
            <w:r>
              <w:t>а</w:t>
            </w:r>
            <w:r>
              <w:t>риата</w:t>
            </w:r>
          </w:p>
          <w:p w:rsidR="00063867" w:rsidRPr="009769CA" w:rsidRDefault="00063867" w:rsidP="009B1617">
            <w:pPr>
              <w:spacing w:before="40" w:after="80"/>
              <w:ind w:right="170"/>
            </w:pPr>
            <w:r>
              <w:t>Стабильное поступление внебюдже</w:t>
            </w:r>
            <w:r>
              <w:t>т</w:t>
            </w:r>
            <w:r>
              <w:t xml:space="preserve">ных ресурсов </w:t>
            </w:r>
            <w:r w:rsidRPr="009769CA">
              <w:t>(</w:t>
            </w:r>
            <w:r>
              <w:t>в том же объ</w:t>
            </w:r>
            <w:r>
              <w:t>е</w:t>
            </w:r>
            <w:r>
              <w:t xml:space="preserve">ме, что и по сценарию </w:t>
            </w:r>
            <w:r w:rsidRPr="009769CA">
              <w:t>1</w:t>
            </w:r>
            <w:r>
              <w:t xml:space="preserve"> </w:t>
            </w:r>
            <w:r w:rsidRPr="009769CA">
              <w:t>b))</w:t>
            </w:r>
          </w:p>
        </w:tc>
        <w:tc>
          <w:tcPr>
            <w:tcW w:w="3736" w:type="dxa"/>
            <w:tcMar>
              <w:left w:w="0" w:type="dxa"/>
              <w:right w:w="0" w:type="dxa"/>
            </w:tcMar>
          </w:tcPr>
          <w:p w:rsidR="00063867" w:rsidRDefault="00063867" w:rsidP="009B1617">
            <w:pPr>
              <w:spacing w:before="40" w:after="80"/>
              <w:ind w:right="170"/>
            </w:pPr>
            <w:r>
              <w:t>Популяризация документов ЕЭК</w:t>
            </w:r>
          </w:p>
          <w:p w:rsidR="00063867" w:rsidRPr="009769CA" w:rsidRDefault="00063867" w:rsidP="009B1617">
            <w:pPr>
              <w:spacing w:before="40" w:after="80"/>
              <w:ind w:right="170"/>
            </w:pPr>
            <w:r>
              <w:t>Организационный потенциал ЕЭК</w:t>
            </w:r>
            <w:r w:rsidRPr="009769CA">
              <w:t xml:space="preserve"> </w:t>
            </w:r>
          </w:p>
        </w:tc>
        <w:tc>
          <w:tcPr>
            <w:tcW w:w="3736" w:type="dxa"/>
          </w:tcPr>
          <w:p w:rsidR="00063867" w:rsidRPr="009769CA" w:rsidRDefault="00063867" w:rsidP="009B1617">
            <w:pPr>
              <w:spacing w:before="40" w:after="80"/>
            </w:pPr>
            <w:r>
              <w:t>Потребность в стабильном и прогн</w:t>
            </w:r>
            <w:r>
              <w:t>о</w:t>
            </w:r>
            <w:r>
              <w:t>зируемом поступлении фина</w:t>
            </w:r>
            <w:r>
              <w:t>н</w:t>
            </w:r>
            <w:r>
              <w:t>совых ресурсов</w:t>
            </w:r>
            <w:r w:rsidRPr="009769CA">
              <w:t xml:space="preserve"> </w:t>
            </w:r>
          </w:p>
          <w:p w:rsidR="00063867" w:rsidRPr="009769CA" w:rsidRDefault="00063867" w:rsidP="009B1617">
            <w:pPr>
              <w:spacing w:before="40" w:after="80"/>
            </w:pPr>
            <w:r>
              <w:t>Помимо внебюджетных средств</w:t>
            </w:r>
            <w:r w:rsidRPr="009769CA">
              <w:t xml:space="preserve">, </w:t>
            </w:r>
            <w:r>
              <w:t>п</w:t>
            </w:r>
            <w:r>
              <w:t>о</w:t>
            </w:r>
            <w:r>
              <w:t>требуется выделить 2</w:t>
            </w:r>
            <w:r w:rsidRPr="009769CA">
              <w:t>0</w:t>
            </w:r>
            <w:r>
              <w:t>% рабочего времени штатных сотрудников на осуществление надзора</w:t>
            </w:r>
            <w:r w:rsidRPr="009769CA">
              <w:t xml:space="preserve"> </w:t>
            </w:r>
          </w:p>
        </w:tc>
      </w:tr>
      <w:tr w:rsidR="00063867" w:rsidRPr="001A3966" w:rsidTr="009B1617">
        <w:trPr>
          <w:trHeight w:val="580"/>
        </w:trPr>
        <w:tc>
          <w:tcPr>
            <w:tcW w:w="2552" w:type="dxa"/>
            <w:tcBorders>
              <w:bottom w:val="single" w:sz="12" w:space="0" w:color="000000"/>
            </w:tcBorders>
            <w:tcMar>
              <w:left w:w="0" w:type="dxa"/>
              <w:right w:w="0" w:type="dxa"/>
            </w:tcMar>
          </w:tcPr>
          <w:p w:rsidR="00063867" w:rsidRPr="009769CA" w:rsidRDefault="00063867" w:rsidP="009B1617">
            <w:pPr>
              <w:spacing w:before="40" w:after="80"/>
              <w:ind w:right="170"/>
            </w:pPr>
            <w:r>
              <w:rPr>
                <w:b/>
              </w:rPr>
              <w:t>Сценарий</w:t>
            </w:r>
            <w:r w:rsidRPr="009769CA">
              <w:rPr>
                <w:b/>
              </w:rPr>
              <w:t xml:space="preserve"> 3</w:t>
            </w:r>
            <w:r w:rsidRPr="009769CA">
              <w:br/>
            </w:r>
            <w:r>
              <w:t>Статус-кво</w:t>
            </w:r>
          </w:p>
        </w:tc>
        <w:tc>
          <w:tcPr>
            <w:tcW w:w="3736" w:type="dxa"/>
            <w:tcBorders>
              <w:bottom w:val="single" w:sz="12" w:space="0" w:color="000000"/>
            </w:tcBorders>
            <w:tcMar>
              <w:left w:w="0" w:type="dxa"/>
              <w:right w:w="0" w:type="dxa"/>
            </w:tcMar>
          </w:tcPr>
          <w:p w:rsidR="00063867" w:rsidRPr="009769CA" w:rsidRDefault="00063867" w:rsidP="009B1617">
            <w:pPr>
              <w:spacing w:before="40" w:after="80"/>
              <w:ind w:right="170"/>
            </w:pPr>
            <w:r>
              <w:t>(рубрика неприменима</w:t>
            </w:r>
            <w:r w:rsidRPr="009769CA">
              <w:t>)</w:t>
            </w:r>
          </w:p>
        </w:tc>
        <w:tc>
          <w:tcPr>
            <w:tcW w:w="3736" w:type="dxa"/>
            <w:tcBorders>
              <w:bottom w:val="single" w:sz="12" w:space="0" w:color="000000"/>
            </w:tcBorders>
            <w:tcMar>
              <w:left w:w="0" w:type="dxa"/>
              <w:right w:w="0" w:type="dxa"/>
            </w:tcMar>
          </w:tcPr>
          <w:p w:rsidR="00063867" w:rsidRPr="009769CA" w:rsidRDefault="00063867" w:rsidP="009B1617">
            <w:pPr>
              <w:spacing w:before="40" w:after="80"/>
              <w:ind w:right="170"/>
            </w:pPr>
            <w:r>
              <w:t>Нет потребности в дополнител</w:t>
            </w:r>
            <w:r>
              <w:t>ь</w:t>
            </w:r>
            <w:r>
              <w:t>ных ресурсах</w:t>
            </w:r>
          </w:p>
          <w:p w:rsidR="00063867" w:rsidRPr="009769CA" w:rsidRDefault="00063867" w:rsidP="009B1617">
            <w:pPr>
              <w:spacing w:before="40" w:after="80"/>
              <w:ind w:right="170"/>
            </w:pPr>
            <w:r>
              <w:t>Нет потребности в процедурах, св</w:t>
            </w:r>
            <w:r>
              <w:t>я</w:t>
            </w:r>
            <w:r>
              <w:t>занных с получением манд</w:t>
            </w:r>
            <w:r>
              <w:t>а</w:t>
            </w:r>
            <w:r>
              <w:t xml:space="preserve">та </w:t>
            </w:r>
          </w:p>
        </w:tc>
        <w:tc>
          <w:tcPr>
            <w:tcW w:w="3736" w:type="dxa"/>
            <w:tcBorders>
              <w:bottom w:val="single" w:sz="12" w:space="0" w:color="000000"/>
            </w:tcBorders>
          </w:tcPr>
          <w:p w:rsidR="00063867" w:rsidRPr="009769CA" w:rsidRDefault="00063867" w:rsidP="009B1617">
            <w:pPr>
              <w:spacing w:before="40" w:after="80"/>
            </w:pPr>
            <w:r>
              <w:t>Вероятность лишиться возможности использовать здравоохран</w:t>
            </w:r>
            <w:r>
              <w:t>и</w:t>
            </w:r>
            <w:r>
              <w:t>тельные аспекты для активизации</w:t>
            </w:r>
            <w:r w:rsidR="00B30E0F">
              <w:t xml:space="preserve"> </w:t>
            </w:r>
            <w:r>
              <w:t>природ</w:t>
            </w:r>
            <w:r>
              <w:t>о</w:t>
            </w:r>
            <w:r>
              <w:t>охранной полит</w:t>
            </w:r>
            <w:r>
              <w:t>и</w:t>
            </w:r>
            <w:r>
              <w:t>ки</w:t>
            </w:r>
            <w:r w:rsidRPr="009769CA">
              <w:t xml:space="preserve"> </w:t>
            </w:r>
          </w:p>
        </w:tc>
      </w:tr>
    </w:tbl>
    <w:p w:rsidR="00EA0061" w:rsidRPr="009B1617" w:rsidRDefault="009B1617" w:rsidP="009B1617">
      <w:pPr>
        <w:pStyle w:val="SingleTxtGR"/>
        <w:spacing w:before="240" w:after="0"/>
        <w:jc w:val="center"/>
        <w:rPr>
          <w:u w:val="single"/>
        </w:rPr>
      </w:pPr>
      <w:r>
        <w:rPr>
          <w:u w:val="single"/>
        </w:rPr>
        <w:tab/>
      </w:r>
      <w:r>
        <w:rPr>
          <w:u w:val="single"/>
        </w:rPr>
        <w:tab/>
      </w:r>
      <w:r>
        <w:rPr>
          <w:u w:val="single"/>
        </w:rPr>
        <w:tab/>
      </w:r>
      <w:bookmarkStart w:id="0" w:name="_GoBack"/>
      <w:bookmarkEnd w:id="0"/>
    </w:p>
    <w:sectPr w:rsidR="00EA0061" w:rsidRPr="009B1617" w:rsidSect="009B1617">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247" w:bottom="1134" w:left="1560"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59" w:rsidRPr="00A312BC" w:rsidRDefault="001B6359" w:rsidP="00A312BC"/>
  </w:endnote>
  <w:endnote w:type="continuationSeparator" w:id="0">
    <w:p w:rsidR="001B6359" w:rsidRPr="00A312BC" w:rsidRDefault="001B635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59" w:rsidRPr="0030590E" w:rsidRDefault="001B6359">
    <w:pPr>
      <w:pStyle w:val="a8"/>
    </w:pPr>
    <w:r w:rsidRPr="0030590E">
      <w:rPr>
        <w:b/>
        <w:sz w:val="18"/>
      </w:rPr>
      <w:fldChar w:fldCharType="begin"/>
    </w:r>
    <w:r w:rsidRPr="0030590E">
      <w:rPr>
        <w:b/>
        <w:sz w:val="18"/>
      </w:rPr>
      <w:instrText xml:space="preserve"> PAGE  \* MERGEFORMAT </w:instrText>
    </w:r>
    <w:r w:rsidRPr="0030590E">
      <w:rPr>
        <w:b/>
        <w:sz w:val="18"/>
      </w:rPr>
      <w:fldChar w:fldCharType="separate"/>
    </w:r>
    <w:r w:rsidR="007341BC">
      <w:rPr>
        <w:b/>
        <w:noProof/>
        <w:sz w:val="18"/>
      </w:rPr>
      <w:t>12</w:t>
    </w:r>
    <w:r w:rsidRPr="0030590E">
      <w:rPr>
        <w:b/>
        <w:sz w:val="18"/>
      </w:rPr>
      <w:fldChar w:fldCharType="end"/>
    </w:r>
    <w:r>
      <w:rPr>
        <w:b/>
        <w:sz w:val="18"/>
      </w:rPr>
      <w:tab/>
    </w:r>
    <w:r>
      <w:t>GE.17-14184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59" w:rsidRPr="0030590E" w:rsidRDefault="001B6359" w:rsidP="0030590E">
    <w:pPr>
      <w:pStyle w:val="a8"/>
      <w:tabs>
        <w:tab w:val="clear" w:pos="9639"/>
        <w:tab w:val="right" w:pos="9638"/>
      </w:tabs>
      <w:rPr>
        <w:b/>
        <w:sz w:val="18"/>
      </w:rPr>
    </w:pPr>
    <w:r>
      <w:t>GE.17-14184</w:t>
    </w:r>
    <w:r>
      <w:tab/>
    </w:r>
    <w:r w:rsidRPr="0030590E">
      <w:rPr>
        <w:b/>
        <w:sz w:val="18"/>
      </w:rPr>
      <w:fldChar w:fldCharType="begin"/>
    </w:r>
    <w:r w:rsidRPr="0030590E">
      <w:rPr>
        <w:b/>
        <w:sz w:val="18"/>
      </w:rPr>
      <w:instrText xml:space="preserve"> PAGE  \* MERGEFORMAT </w:instrText>
    </w:r>
    <w:r w:rsidRPr="0030590E">
      <w:rPr>
        <w:b/>
        <w:sz w:val="18"/>
      </w:rPr>
      <w:fldChar w:fldCharType="separate"/>
    </w:r>
    <w:r w:rsidR="00D77F6C">
      <w:rPr>
        <w:b/>
        <w:noProof/>
        <w:sz w:val="18"/>
      </w:rPr>
      <w:t>11</w:t>
    </w:r>
    <w:r w:rsidRPr="0030590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59" w:rsidRPr="0030590E" w:rsidRDefault="001B6359" w:rsidP="0030590E">
    <w:pPr>
      <w:spacing w:before="120" w:line="240" w:lineRule="auto"/>
    </w:pPr>
    <w:r>
      <w:t>GE.</w:t>
    </w:r>
    <w:r>
      <w:rPr>
        <w:b/>
        <w:noProof/>
      </w:rPr>
      <w:drawing>
        <wp:anchor distT="0" distB="0" distL="114300" distR="114300" simplePos="0" relativeHeight="251658240" behindDoc="0" locked="0" layoutInCell="1" allowOverlap="1" wp14:anchorId="2A04F379" wp14:editId="1AFD363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17-14184  (R)</w:t>
    </w:r>
    <w:r>
      <w:rPr>
        <w:lang w:val="en-US"/>
      </w:rPr>
      <w:t xml:space="preserve">  210917  260917</w:t>
    </w:r>
    <w:r>
      <w:br/>
    </w:r>
    <w:r w:rsidRPr="0030590E">
      <w:rPr>
        <w:rFonts w:ascii="C39T30Lfz" w:hAnsi="C39T30Lfz"/>
        <w:spacing w:val="0"/>
        <w:w w:val="100"/>
        <w:sz w:val="56"/>
      </w:rPr>
      <w:t></w:t>
    </w:r>
    <w:r w:rsidRPr="0030590E">
      <w:rPr>
        <w:rFonts w:ascii="C39T30Lfz" w:hAnsi="C39T30Lfz"/>
        <w:spacing w:val="0"/>
        <w:w w:val="100"/>
        <w:sz w:val="56"/>
      </w:rPr>
      <w:t></w:t>
    </w:r>
    <w:r w:rsidRPr="0030590E">
      <w:rPr>
        <w:rFonts w:ascii="C39T30Lfz" w:hAnsi="C39T30Lfz"/>
        <w:spacing w:val="0"/>
        <w:w w:val="100"/>
        <w:sz w:val="56"/>
      </w:rPr>
      <w:t></w:t>
    </w:r>
    <w:r w:rsidRPr="0030590E">
      <w:rPr>
        <w:rFonts w:ascii="C39T30Lfz" w:hAnsi="C39T30Lfz"/>
        <w:spacing w:val="0"/>
        <w:w w:val="100"/>
        <w:sz w:val="56"/>
      </w:rPr>
      <w:t></w:t>
    </w:r>
    <w:r w:rsidRPr="0030590E">
      <w:rPr>
        <w:rFonts w:ascii="C39T30Lfz" w:hAnsi="C39T30Lfz"/>
        <w:spacing w:val="0"/>
        <w:w w:val="100"/>
        <w:sz w:val="56"/>
      </w:rPr>
      <w:t></w:t>
    </w:r>
    <w:r w:rsidRPr="0030590E">
      <w:rPr>
        <w:rFonts w:ascii="C39T30Lfz" w:hAnsi="C39T30Lfz"/>
        <w:spacing w:val="0"/>
        <w:w w:val="100"/>
        <w:sz w:val="56"/>
      </w:rPr>
      <w:t></w:t>
    </w:r>
    <w:r w:rsidRPr="0030590E">
      <w:rPr>
        <w:rFonts w:ascii="C39T30Lfz" w:hAnsi="C39T30Lfz"/>
        <w:spacing w:val="0"/>
        <w:w w:val="100"/>
        <w:sz w:val="56"/>
      </w:rPr>
      <w:t></w:t>
    </w:r>
    <w:r w:rsidRPr="0030590E">
      <w:rPr>
        <w:rFonts w:ascii="C39T30Lfz" w:hAnsi="C39T30Lfz"/>
        <w:spacing w:val="0"/>
        <w:w w:val="100"/>
        <w:sz w:val="56"/>
      </w:rPr>
      <w:t></w:t>
    </w:r>
    <w:r w:rsidRPr="0030590E">
      <w:rPr>
        <w:rFonts w:ascii="C39T30Lfz" w:hAnsi="C39T30Lfz"/>
        <w:spacing w:val="0"/>
        <w:w w:val="100"/>
        <w:sz w:val="56"/>
      </w:rPr>
      <w:t></w:t>
    </w:r>
    <w:r>
      <w:rPr>
        <w:noProof/>
        <w:w w:val="100"/>
      </w:rPr>
      <w:drawing>
        <wp:anchor distT="0" distB="0" distL="114300" distR="114300" simplePos="0" relativeHeight="251659264" behindDoc="0" locked="0" layoutInCell="1" allowOverlap="1" wp14:anchorId="7F157381" wp14:editId="74FD1D69">
          <wp:simplePos x="0" y="0"/>
          <wp:positionH relativeFrom="margin">
            <wp:posOffset>5489575</wp:posOffset>
          </wp:positionH>
          <wp:positionV relativeFrom="margin">
            <wp:posOffset>8855710</wp:posOffset>
          </wp:positionV>
          <wp:extent cx="641131" cy="641131"/>
          <wp:effectExtent l="0" t="0" r="6985" b="6985"/>
          <wp:wrapNone/>
          <wp:docPr id="1" name="Рисунок 1" descr="https://undocs.org/m2/QRCode.ashx?DS=ECE/CEP/2017/1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1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131" cy="64113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59" w:rsidRPr="00823DFF" w:rsidRDefault="001B6359" w:rsidP="001B6359">
    <w:pPr>
      <w:pStyle w:val="a8"/>
    </w:pPr>
    <w:r>
      <w:rPr>
        <w:noProof/>
        <w:w w:val="100"/>
        <w:lang w:val="ru-RU" w:eastAsia="zh-CN"/>
      </w:rPr>
      <mc:AlternateContent>
        <mc:Choice Requires="wps">
          <w:drawing>
            <wp:anchor distT="0" distB="0" distL="114300" distR="114300" simplePos="0" relativeHeight="251666432" behindDoc="0" locked="0" layoutInCell="1" allowOverlap="1" wp14:anchorId="0AFBEF2F" wp14:editId="7E1385C8">
              <wp:simplePos x="0" y="0"/>
              <wp:positionH relativeFrom="margin">
                <wp:posOffset>-431800</wp:posOffset>
              </wp:positionH>
              <wp:positionV relativeFrom="margin">
                <wp:posOffset>0</wp:posOffset>
              </wp:positionV>
              <wp:extent cx="222885" cy="6120130"/>
              <wp:effectExtent l="0" t="0" r="5715" b="139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1B6359" w:rsidRPr="00823DFF" w:rsidRDefault="001B6359" w:rsidP="001B6359">
                          <w:pPr>
                            <w:pStyle w:val="a8"/>
                            <w:tabs>
                              <w:tab w:val="clear" w:pos="9639"/>
                              <w:tab w:val="right" w:pos="9638"/>
                            </w:tabs>
                            <w:rPr>
                              <w:sz w:val="18"/>
                            </w:rPr>
                          </w:pPr>
                          <w:r w:rsidRPr="00823DFF">
                            <w:rPr>
                              <w:b/>
                              <w:sz w:val="18"/>
                            </w:rPr>
                            <w:fldChar w:fldCharType="begin"/>
                          </w:r>
                          <w:r w:rsidRPr="00823DFF">
                            <w:rPr>
                              <w:b/>
                              <w:sz w:val="18"/>
                            </w:rPr>
                            <w:instrText xml:space="preserve"> PAGE  \* MERGEFORMAT </w:instrText>
                          </w:r>
                          <w:r w:rsidRPr="00823DFF">
                            <w:rPr>
                              <w:b/>
                              <w:sz w:val="18"/>
                            </w:rPr>
                            <w:fldChar w:fldCharType="separate"/>
                          </w:r>
                          <w:r w:rsidR="009B1617">
                            <w:rPr>
                              <w:b/>
                              <w:noProof/>
                              <w:sz w:val="18"/>
                            </w:rPr>
                            <w:t>14</w:t>
                          </w:r>
                          <w:r w:rsidRPr="00823DFF">
                            <w:rPr>
                              <w:b/>
                              <w:sz w:val="18"/>
                            </w:rPr>
                            <w:fldChar w:fldCharType="end"/>
                          </w:r>
                          <w:r>
                            <w:rPr>
                              <w:sz w:val="18"/>
                            </w:rPr>
                            <w:tab/>
                          </w:r>
                        </w:p>
                        <w:p w:rsidR="001B6359" w:rsidRDefault="001B635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8" type="#_x0000_t202" style="position:absolute;margin-left:-34pt;margin-top:0;width:17.55pt;height:481.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" filled="f" stroked="f">
              <v:stroke joinstyle="round"/>
              <v:path arrowok="t"/>
              <v:textbox style="layout-flow:vertical" inset="0,0,0,0">
                <w:txbxContent>
                  <w:p w:rsidR="001B6359" w:rsidRPr="00823DFF" w:rsidRDefault="001B6359" w:rsidP="001B6359">
                    <w:pPr>
                      <w:pStyle w:val="a8"/>
                      <w:tabs>
                        <w:tab w:val="clear" w:pos="9639"/>
                        <w:tab w:val="right" w:pos="9638"/>
                      </w:tabs>
                      <w:rPr>
                        <w:sz w:val="18"/>
                      </w:rPr>
                    </w:pPr>
                    <w:r w:rsidRPr="00823DFF">
                      <w:rPr>
                        <w:b/>
                        <w:sz w:val="18"/>
                      </w:rPr>
                      <w:fldChar w:fldCharType="begin"/>
                    </w:r>
                    <w:r w:rsidRPr="00823DFF">
                      <w:rPr>
                        <w:b/>
                        <w:sz w:val="18"/>
                      </w:rPr>
                      <w:instrText xml:space="preserve"> PAGE  \* MERGEFORMAT </w:instrText>
                    </w:r>
                    <w:r w:rsidRPr="00823DFF">
                      <w:rPr>
                        <w:b/>
                        <w:sz w:val="18"/>
                      </w:rPr>
                      <w:fldChar w:fldCharType="separate"/>
                    </w:r>
                    <w:r w:rsidR="009B1617">
                      <w:rPr>
                        <w:b/>
                        <w:noProof/>
                        <w:sz w:val="18"/>
                      </w:rPr>
                      <w:t>14</w:t>
                    </w:r>
                    <w:r w:rsidRPr="00823DFF">
                      <w:rPr>
                        <w:b/>
                        <w:sz w:val="18"/>
                      </w:rPr>
                      <w:fldChar w:fldCharType="end"/>
                    </w:r>
                    <w:r>
                      <w:rPr>
                        <w:sz w:val="18"/>
                      </w:rPr>
                      <w:tab/>
                    </w:r>
                  </w:p>
                  <w:p w:rsidR="001B6359" w:rsidRDefault="001B6359"/>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59" w:rsidRPr="00823DFF" w:rsidRDefault="001B6359" w:rsidP="001B6359">
    <w:pPr>
      <w:pStyle w:val="a8"/>
    </w:pPr>
    <w:r>
      <w:rPr>
        <w:noProof/>
        <w:w w:val="100"/>
        <w:lang w:val="ru-RU" w:eastAsia="zh-CN"/>
      </w:rPr>
      <mc:AlternateContent>
        <mc:Choice Requires="wps">
          <w:drawing>
            <wp:anchor distT="0" distB="0" distL="114300" distR="114300" simplePos="0" relativeHeight="251667456" behindDoc="0" locked="0" layoutInCell="1" allowOverlap="1" wp14:anchorId="4E005433" wp14:editId="7DAAFCD1">
              <wp:simplePos x="0" y="0"/>
              <wp:positionH relativeFrom="margin">
                <wp:posOffset>-431800</wp:posOffset>
              </wp:positionH>
              <wp:positionV relativeFrom="margin">
                <wp:posOffset>0</wp:posOffset>
              </wp:positionV>
              <wp:extent cx="222885" cy="6120130"/>
              <wp:effectExtent l="0" t="0" r="5715" b="1397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1B6359" w:rsidRPr="00823DFF" w:rsidRDefault="00DE3E3F" w:rsidP="001B6359">
                          <w:pPr>
                            <w:pStyle w:val="a8"/>
                            <w:tabs>
                              <w:tab w:val="clear" w:pos="9639"/>
                              <w:tab w:val="right" w:pos="9638"/>
                            </w:tabs>
                            <w:rPr>
                              <w:b/>
                              <w:sz w:val="18"/>
                            </w:rPr>
                          </w:pPr>
                          <w:r>
                            <w:t>GE.17-14184</w:t>
                          </w:r>
                          <w:r w:rsidR="001B6359">
                            <w:tab/>
                          </w:r>
                          <w:r w:rsidR="001B6359" w:rsidRPr="00823DFF">
                            <w:rPr>
                              <w:b/>
                              <w:sz w:val="18"/>
                            </w:rPr>
                            <w:fldChar w:fldCharType="begin"/>
                          </w:r>
                          <w:r w:rsidR="001B6359" w:rsidRPr="00823DFF">
                            <w:rPr>
                              <w:b/>
                              <w:sz w:val="18"/>
                            </w:rPr>
                            <w:instrText xml:space="preserve"> PAGE  \* MERGEFORMAT </w:instrText>
                          </w:r>
                          <w:r w:rsidR="001B6359" w:rsidRPr="00823DFF">
                            <w:rPr>
                              <w:b/>
                              <w:sz w:val="18"/>
                            </w:rPr>
                            <w:fldChar w:fldCharType="separate"/>
                          </w:r>
                          <w:r w:rsidR="00D77F6C">
                            <w:rPr>
                              <w:b/>
                              <w:noProof/>
                              <w:sz w:val="18"/>
                            </w:rPr>
                            <w:t>13</w:t>
                          </w:r>
                          <w:r w:rsidR="001B6359" w:rsidRPr="00823DFF">
                            <w:rPr>
                              <w:b/>
                              <w:sz w:val="18"/>
                            </w:rPr>
                            <w:fldChar w:fldCharType="end"/>
                          </w:r>
                        </w:p>
                        <w:p w:rsidR="001B6359" w:rsidRDefault="001B635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9" type="#_x0000_t202" style="position:absolute;margin-left:-34pt;margin-top:0;width:17.55pt;height:481.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" filled="f" stroked="f">
              <v:stroke joinstyle="round"/>
              <v:path arrowok="t"/>
              <v:textbox style="layout-flow:vertical" inset="0,0,0,0">
                <w:txbxContent>
                  <w:p w:rsidR="001B6359" w:rsidRPr="00823DFF" w:rsidRDefault="00DE3E3F" w:rsidP="001B6359">
                    <w:pPr>
                      <w:pStyle w:val="a8"/>
                      <w:tabs>
                        <w:tab w:val="clear" w:pos="9639"/>
                        <w:tab w:val="right" w:pos="9638"/>
                      </w:tabs>
                      <w:rPr>
                        <w:b/>
                        <w:sz w:val="18"/>
                      </w:rPr>
                    </w:pPr>
                    <w:r>
                      <w:t>GE.17-14184</w:t>
                    </w:r>
                    <w:r w:rsidR="001B6359">
                      <w:tab/>
                    </w:r>
                    <w:r w:rsidR="001B6359" w:rsidRPr="00823DFF">
                      <w:rPr>
                        <w:b/>
                        <w:sz w:val="18"/>
                      </w:rPr>
                      <w:fldChar w:fldCharType="begin"/>
                    </w:r>
                    <w:r w:rsidR="001B6359" w:rsidRPr="00823DFF">
                      <w:rPr>
                        <w:b/>
                        <w:sz w:val="18"/>
                      </w:rPr>
                      <w:instrText xml:space="preserve"> PAGE  \* MERGEFORMAT </w:instrText>
                    </w:r>
                    <w:r w:rsidR="001B6359" w:rsidRPr="00823DFF">
                      <w:rPr>
                        <w:b/>
                        <w:sz w:val="18"/>
                      </w:rPr>
                      <w:fldChar w:fldCharType="separate"/>
                    </w:r>
                    <w:r w:rsidR="00D77F6C">
                      <w:rPr>
                        <w:b/>
                        <w:noProof/>
                        <w:sz w:val="18"/>
                      </w:rPr>
                      <w:t>13</w:t>
                    </w:r>
                    <w:r w:rsidR="001B6359" w:rsidRPr="00823DFF">
                      <w:rPr>
                        <w:b/>
                        <w:sz w:val="18"/>
                      </w:rPr>
                      <w:fldChar w:fldCharType="end"/>
                    </w:r>
                  </w:p>
                  <w:p w:rsidR="001B6359" w:rsidRDefault="001B6359"/>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59" w:rsidRPr="001075E9" w:rsidRDefault="001B6359" w:rsidP="001075E9">
      <w:pPr>
        <w:tabs>
          <w:tab w:val="right" w:pos="2155"/>
        </w:tabs>
        <w:spacing w:after="80" w:line="240" w:lineRule="auto"/>
        <w:ind w:left="680"/>
        <w:rPr>
          <w:u w:val="single"/>
        </w:rPr>
      </w:pPr>
      <w:r>
        <w:rPr>
          <w:u w:val="single"/>
        </w:rPr>
        <w:tab/>
      </w:r>
    </w:p>
  </w:footnote>
  <w:footnote w:type="continuationSeparator" w:id="0">
    <w:p w:rsidR="001B6359" w:rsidRDefault="001B6359" w:rsidP="00407B78">
      <w:pPr>
        <w:tabs>
          <w:tab w:val="right" w:pos="2155"/>
        </w:tabs>
        <w:spacing w:after="80"/>
        <w:ind w:left="680"/>
        <w:rPr>
          <w:u w:val="single"/>
        </w:rPr>
      </w:pPr>
      <w:r>
        <w:rPr>
          <w:u w:val="single"/>
        </w:rPr>
        <w:tab/>
      </w:r>
    </w:p>
  </w:footnote>
  <w:footnote w:id="1">
    <w:p w:rsidR="001B6359" w:rsidRPr="00E16EF6" w:rsidRDefault="001B6359" w:rsidP="00E16EF6">
      <w:pPr>
        <w:pStyle w:val="ad"/>
        <w:rPr>
          <w:lang w:val="ru-RU"/>
        </w:rPr>
      </w:pPr>
      <w:r>
        <w:tab/>
      </w:r>
      <w:r w:rsidRPr="00FA1B17">
        <w:rPr>
          <w:rStyle w:val="aa"/>
        </w:rPr>
        <w:footnoteRef/>
      </w:r>
      <w:r w:rsidRPr="00E16EF6">
        <w:rPr>
          <w:lang w:val="ru-RU"/>
        </w:rPr>
        <w:tab/>
        <w:t>Европейское региональное бюро Всемирной организации здравоохранения, документ</w:t>
      </w:r>
      <w:r>
        <w:t> </w:t>
      </w:r>
      <w:r w:rsidRPr="008217F5">
        <w:t>EURO</w:t>
      </w:r>
      <w:r w:rsidRPr="00E16EF6">
        <w:rPr>
          <w:lang w:val="ru-RU"/>
        </w:rPr>
        <w:t>/</w:t>
      </w:r>
      <w:r w:rsidRPr="008217F5">
        <w:t>Ostrava</w:t>
      </w:r>
      <w:r w:rsidRPr="00E16EF6">
        <w:rPr>
          <w:lang w:val="ru-RU"/>
        </w:rPr>
        <w:t xml:space="preserve">2017/8. Можно ознакомиться на веб-сайте </w:t>
      </w:r>
      <w:r w:rsidRPr="008217F5">
        <w:t>http</w:t>
      </w:r>
      <w:r w:rsidRPr="00E16EF6">
        <w:rPr>
          <w:lang w:val="ru-RU"/>
        </w:rPr>
        <w:t>://</w:t>
      </w:r>
      <w:r w:rsidRPr="008217F5">
        <w:t>www</w:t>
      </w:r>
      <w:r w:rsidRPr="00E16EF6">
        <w:rPr>
          <w:lang w:val="ru-RU"/>
        </w:rPr>
        <w:t>.</w:t>
      </w:r>
      <w:r w:rsidRPr="008217F5">
        <w:t>euro</w:t>
      </w:r>
      <w:r w:rsidRPr="00E16EF6">
        <w:rPr>
          <w:lang w:val="ru-RU"/>
        </w:rPr>
        <w:t>.</w:t>
      </w:r>
      <w:r w:rsidRPr="008217F5">
        <w:t>who</w:t>
      </w:r>
      <w:r w:rsidRPr="00E16EF6">
        <w:rPr>
          <w:lang w:val="ru-RU"/>
        </w:rPr>
        <w:t>.</w:t>
      </w:r>
      <w:proofErr w:type="spellStart"/>
      <w:r w:rsidRPr="008217F5">
        <w:t>int</w:t>
      </w:r>
      <w:proofErr w:type="spellEnd"/>
      <w:r w:rsidRPr="00E16EF6">
        <w:rPr>
          <w:lang w:val="ru-RU"/>
        </w:rPr>
        <w:t>/</w:t>
      </w:r>
      <w:proofErr w:type="spellStart"/>
      <w:r w:rsidRPr="008217F5">
        <w:t>en</w:t>
      </w:r>
      <w:proofErr w:type="spellEnd"/>
      <w:r w:rsidRPr="00E16EF6">
        <w:rPr>
          <w:lang w:val="ru-RU"/>
        </w:rPr>
        <w:t>/</w:t>
      </w:r>
      <w:r w:rsidRPr="008217F5">
        <w:t>media</w:t>
      </w:r>
      <w:r w:rsidRPr="00E16EF6">
        <w:rPr>
          <w:lang w:val="ru-RU"/>
        </w:rPr>
        <w:t>-</w:t>
      </w:r>
      <w:r w:rsidRPr="008217F5">
        <w:t>centre</w:t>
      </w:r>
      <w:r w:rsidRPr="00E16EF6">
        <w:rPr>
          <w:lang w:val="ru-RU"/>
        </w:rPr>
        <w:t>/</w:t>
      </w:r>
      <w:r w:rsidRPr="008217F5">
        <w:t>events</w:t>
      </w:r>
      <w:r w:rsidRPr="00E16EF6">
        <w:rPr>
          <w:lang w:val="ru-RU"/>
        </w:rPr>
        <w:t>/</w:t>
      </w:r>
      <w:r w:rsidRPr="008217F5">
        <w:t>events</w:t>
      </w:r>
      <w:r w:rsidRPr="00E16EF6">
        <w:rPr>
          <w:lang w:val="ru-RU"/>
        </w:rPr>
        <w:t>/2017/06/</w:t>
      </w:r>
      <w:r w:rsidRPr="008217F5">
        <w:t>sixth</w:t>
      </w:r>
      <w:r w:rsidRPr="00E16EF6">
        <w:rPr>
          <w:lang w:val="ru-RU"/>
        </w:rPr>
        <w:t>-</w:t>
      </w:r>
      <w:r w:rsidRPr="008217F5">
        <w:t>ministerial</w:t>
      </w:r>
      <w:r w:rsidRPr="00E16EF6">
        <w:rPr>
          <w:lang w:val="ru-RU"/>
        </w:rPr>
        <w:t>-</w:t>
      </w:r>
      <w:r w:rsidRPr="008217F5">
        <w:t>conference</w:t>
      </w:r>
      <w:r w:rsidRPr="00E16EF6">
        <w:rPr>
          <w:lang w:val="ru-RU"/>
        </w:rPr>
        <w:t>-</w:t>
      </w:r>
      <w:r w:rsidRPr="008217F5">
        <w:t>on</w:t>
      </w:r>
      <w:r w:rsidRPr="00E16EF6">
        <w:rPr>
          <w:lang w:val="ru-RU"/>
        </w:rPr>
        <w:t>-</w:t>
      </w:r>
      <w:r w:rsidRPr="008217F5">
        <w:t>environment</w:t>
      </w:r>
      <w:r w:rsidRPr="00E16EF6">
        <w:rPr>
          <w:lang w:val="ru-RU"/>
        </w:rPr>
        <w:t>-</w:t>
      </w:r>
      <w:r w:rsidRPr="008217F5">
        <w:t>and</w:t>
      </w:r>
      <w:r w:rsidRPr="00E16EF6">
        <w:rPr>
          <w:lang w:val="ru-RU"/>
        </w:rPr>
        <w:t>-</w:t>
      </w:r>
      <w:r w:rsidRPr="008217F5">
        <w:t>health</w:t>
      </w:r>
      <w:r w:rsidRPr="00E16EF6">
        <w:rPr>
          <w:lang w:val="ru-RU"/>
        </w:rPr>
        <w:t>/</w:t>
      </w:r>
      <w:r w:rsidRPr="008217F5">
        <w:t>documentation</w:t>
      </w:r>
      <w:r w:rsidRPr="00E16EF6">
        <w:rPr>
          <w:lang w:val="ru-RU"/>
        </w:rPr>
        <w:t>#336668.</w:t>
      </w:r>
    </w:p>
  </w:footnote>
  <w:footnote w:id="2">
    <w:p w:rsidR="001B6359" w:rsidRPr="0030590E" w:rsidRDefault="001B6359" w:rsidP="00E16EF6">
      <w:pPr>
        <w:pStyle w:val="ad"/>
      </w:pPr>
      <w:r w:rsidRPr="00E16EF6">
        <w:rPr>
          <w:lang w:val="ru-RU"/>
        </w:rPr>
        <w:tab/>
      </w:r>
      <w:r w:rsidRPr="00FA1B17">
        <w:rPr>
          <w:rStyle w:val="aa"/>
        </w:rPr>
        <w:footnoteRef/>
      </w:r>
      <w:r w:rsidRPr="00E16EF6">
        <w:rPr>
          <w:lang w:val="ru-RU"/>
        </w:rPr>
        <w:tab/>
        <w:t>Европейское региональное бюро Всемирной организации здравоохранения, документ</w:t>
      </w:r>
      <w:r>
        <w:t> </w:t>
      </w:r>
      <w:r w:rsidRPr="00364AC6">
        <w:t>EURO</w:t>
      </w:r>
      <w:r w:rsidRPr="00E16EF6">
        <w:rPr>
          <w:lang w:val="ru-RU"/>
        </w:rPr>
        <w:t>/</w:t>
      </w:r>
      <w:r w:rsidRPr="00364AC6">
        <w:t>Ostrava</w:t>
      </w:r>
      <w:r w:rsidRPr="00E16EF6">
        <w:rPr>
          <w:lang w:val="ru-RU"/>
        </w:rPr>
        <w:t xml:space="preserve">2017/6. </w:t>
      </w:r>
      <w:proofErr w:type="spellStart"/>
      <w:r w:rsidRPr="0030590E">
        <w:t>Можно</w:t>
      </w:r>
      <w:proofErr w:type="spellEnd"/>
      <w:r w:rsidRPr="0030590E">
        <w:t xml:space="preserve"> </w:t>
      </w:r>
      <w:proofErr w:type="spellStart"/>
      <w:r w:rsidRPr="0030590E">
        <w:t>ознакомиться</w:t>
      </w:r>
      <w:proofErr w:type="spellEnd"/>
      <w:r w:rsidRPr="0030590E">
        <w:t xml:space="preserve"> </w:t>
      </w:r>
      <w:proofErr w:type="spellStart"/>
      <w:r w:rsidRPr="0030590E">
        <w:t>на</w:t>
      </w:r>
      <w:proofErr w:type="spellEnd"/>
      <w:r w:rsidRPr="0030590E">
        <w:t xml:space="preserve"> </w:t>
      </w:r>
      <w:proofErr w:type="spellStart"/>
      <w:r w:rsidRPr="0030590E">
        <w:t>веб-сайте</w:t>
      </w:r>
      <w:proofErr w:type="spellEnd"/>
      <w:r w:rsidRPr="0030590E">
        <w:t xml:space="preserve"> </w:t>
      </w:r>
      <w:r w:rsidRPr="00C95306">
        <w:t>http</w:t>
      </w:r>
      <w:r w:rsidRPr="0030590E">
        <w:t>://</w:t>
      </w:r>
      <w:r w:rsidRPr="00C95306">
        <w:t>www</w:t>
      </w:r>
      <w:r w:rsidRPr="0030590E">
        <w:t>.</w:t>
      </w:r>
      <w:r w:rsidRPr="00C95306">
        <w:t>euro</w:t>
      </w:r>
      <w:r w:rsidRPr="0030590E">
        <w:t>.</w:t>
      </w:r>
      <w:r w:rsidRPr="00C95306">
        <w:t>who</w:t>
      </w:r>
      <w:r w:rsidRPr="0030590E">
        <w:t>.</w:t>
      </w:r>
      <w:proofErr w:type="spellStart"/>
      <w:r w:rsidRPr="00C95306">
        <w:t>int</w:t>
      </w:r>
      <w:proofErr w:type="spellEnd"/>
      <w:r w:rsidRPr="0030590E">
        <w:t>/</w:t>
      </w:r>
      <w:proofErr w:type="spellStart"/>
      <w:r w:rsidRPr="00C95306">
        <w:t>en</w:t>
      </w:r>
      <w:proofErr w:type="spellEnd"/>
      <w:r w:rsidRPr="0030590E">
        <w:t>/</w:t>
      </w:r>
      <w:r w:rsidRPr="00C95306">
        <w:t>media</w:t>
      </w:r>
      <w:r w:rsidRPr="0030590E">
        <w:t>-</w:t>
      </w:r>
      <w:r w:rsidRPr="00C95306">
        <w:t>centre</w:t>
      </w:r>
      <w:r w:rsidRPr="0030590E">
        <w:t>/</w:t>
      </w:r>
      <w:r w:rsidRPr="00C95306">
        <w:t>events</w:t>
      </w:r>
      <w:r w:rsidRPr="0030590E">
        <w:t>/</w:t>
      </w:r>
      <w:r w:rsidRPr="00C95306">
        <w:t>events</w:t>
      </w:r>
      <w:r w:rsidRPr="0030590E">
        <w:t>/2017/06/</w:t>
      </w:r>
      <w:r w:rsidRPr="00C95306">
        <w:t>sixth</w:t>
      </w:r>
      <w:r w:rsidRPr="0030590E">
        <w:t>-</w:t>
      </w:r>
      <w:r w:rsidRPr="00C95306">
        <w:t>ministerial</w:t>
      </w:r>
      <w:r w:rsidRPr="0030590E">
        <w:t>-</w:t>
      </w:r>
      <w:r w:rsidRPr="00C95306">
        <w:t>conference</w:t>
      </w:r>
      <w:r w:rsidRPr="0030590E">
        <w:t>-</w:t>
      </w:r>
      <w:r w:rsidRPr="00C95306">
        <w:t>on</w:t>
      </w:r>
      <w:r w:rsidRPr="0030590E">
        <w:t>-</w:t>
      </w:r>
      <w:r w:rsidRPr="00C95306">
        <w:t>environment</w:t>
      </w:r>
      <w:r w:rsidRPr="0030590E">
        <w:t>-</w:t>
      </w:r>
      <w:r w:rsidRPr="00C95306">
        <w:t>and</w:t>
      </w:r>
      <w:r w:rsidRPr="0030590E">
        <w:t>-</w:t>
      </w:r>
      <w:r w:rsidRPr="00C95306">
        <w:t>health</w:t>
      </w:r>
      <w:r w:rsidRPr="0030590E">
        <w:t>/</w:t>
      </w:r>
      <w:r w:rsidRPr="00C95306">
        <w:t>documentation</w:t>
      </w:r>
      <w:r w:rsidRPr="0030590E">
        <w:t>#336668.</w:t>
      </w:r>
    </w:p>
  </w:footnote>
  <w:footnote w:id="3">
    <w:p w:rsidR="001B6359" w:rsidRPr="0030590E" w:rsidRDefault="001B6359" w:rsidP="00FA1B17">
      <w:pPr>
        <w:pStyle w:val="ad"/>
      </w:pPr>
      <w:r w:rsidRPr="0030590E">
        <w:tab/>
      </w:r>
      <w:r w:rsidRPr="00FA1B17">
        <w:rPr>
          <w:rStyle w:val="aa"/>
        </w:rPr>
        <w:footnoteRef/>
      </w:r>
      <w:r w:rsidRPr="001B6359">
        <w:rPr>
          <w:lang w:val="ru-RU"/>
        </w:rPr>
        <w:tab/>
        <w:t>Европейское региональное бюро Всемирной организации здравоохранения, документ</w:t>
      </w:r>
      <w:r>
        <w:rPr>
          <w:lang w:val="ru-RU"/>
        </w:rPr>
        <w:t> </w:t>
      </w:r>
      <w:r w:rsidRPr="00BE7184">
        <w:t>EUR</w:t>
      </w:r>
      <w:r w:rsidRPr="001B6359">
        <w:rPr>
          <w:lang w:val="ru-RU"/>
        </w:rPr>
        <w:t>/</w:t>
      </w:r>
      <w:proofErr w:type="spellStart"/>
      <w:r w:rsidRPr="00BE7184">
        <w:t>ICP</w:t>
      </w:r>
      <w:proofErr w:type="spellEnd"/>
      <w:r w:rsidRPr="001B6359">
        <w:rPr>
          <w:lang w:val="ru-RU"/>
        </w:rPr>
        <w:t>/</w:t>
      </w:r>
      <w:proofErr w:type="spellStart"/>
      <w:r w:rsidRPr="00BE7184">
        <w:t>CEH</w:t>
      </w:r>
      <w:proofErr w:type="spellEnd"/>
      <w:r w:rsidRPr="001B6359">
        <w:rPr>
          <w:lang w:val="ru-RU"/>
        </w:rPr>
        <w:t xml:space="preserve"> 212, пункт 26. </w:t>
      </w:r>
      <w:r w:rsidRPr="0030590E">
        <w:t xml:space="preserve">Можно ознакомиться на веб-сайте </w:t>
      </w:r>
      <w:r w:rsidRPr="00061854">
        <w:t>http</w:t>
      </w:r>
      <w:r w:rsidRPr="0030590E">
        <w:t>://</w:t>
      </w:r>
      <w:r w:rsidRPr="00061854">
        <w:t>www</w:t>
      </w:r>
      <w:r w:rsidRPr="0030590E">
        <w:t>.</w:t>
      </w:r>
      <w:r w:rsidRPr="00061854">
        <w:t>euro</w:t>
      </w:r>
      <w:r w:rsidRPr="0030590E">
        <w:t>.</w:t>
      </w:r>
      <w:r w:rsidRPr="00061854">
        <w:t>who</w:t>
      </w:r>
      <w:r w:rsidRPr="0030590E">
        <w:t>.</w:t>
      </w:r>
      <w:proofErr w:type="spellStart"/>
      <w:r w:rsidRPr="00061854">
        <w:t>int</w:t>
      </w:r>
      <w:proofErr w:type="spellEnd"/>
      <w:r w:rsidRPr="0030590E">
        <w:t>/</w:t>
      </w:r>
      <w:proofErr w:type="spellStart"/>
      <w:r w:rsidRPr="00061854">
        <w:t>en</w:t>
      </w:r>
      <w:proofErr w:type="spellEnd"/>
      <w:r w:rsidRPr="0030590E">
        <w:t>/</w:t>
      </w:r>
      <w:r w:rsidRPr="00061854">
        <w:t>health</w:t>
      </w:r>
      <w:r w:rsidRPr="0030590E">
        <w:t>-</w:t>
      </w:r>
      <w:r w:rsidRPr="00061854">
        <w:t>topics</w:t>
      </w:r>
      <w:r w:rsidRPr="0030590E">
        <w:t>/</w:t>
      </w:r>
      <w:r w:rsidRPr="00061854">
        <w:t>environment</w:t>
      </w:r>
      <w:r w:rsidRPr="0030590E">
        <w:t>-</w:t>
      </w:r>
      <w:r w:rsidRPr="00061854">
        <w:t>and</w:t>
      </w:r>
      <w:r w:rsidRPr="0030590E">
        <w:t>-</w:t>
      </w:r>
      <w:r w:rsidRPr="00061854">
        <w:t>health</w:t>
      </w:r>
      <w:r w:rsidRPr="0030590E">
        <w:t>/</w:t>
      </w:r>
      <w:r w:rsidRPr="00061854">
        <w:t>pages</w:t>
      </w:r>
      <w:r w:rsidRPr="0030590E">
        <w:t>/</w:t>
      </w:r>
      <w:proofErr w:type="spellStart"/>
      <w:r w:rsidRPr="00061854">
        <w:t>european</w:t>
      </w:r>
      <w:proofErr w:type="spellEnd"/>
      <w:r w:rsidRPr="0030590E">
        <w:t>-</w:t>
      </w:r>
      <w:r w:rsidRPr="00061854">
        <w:t>environment</w:t>
      </w:r>
      <w:r w:rsidRPr="0030590E">
        <w:t>-</w:t>
      </w:r>
      <w:r w:rsidRPr="00061854">
        <w:t>and</w:t>
      </w:r>
      <w:r w:rsidRPr="0030590E">
        <w:t>-</w:t>
      </w:r>
      <w:r w:rsidRPr="00061854">
        <w:t>health</w:t>
      </w:r>
      <w:r w:rsidRPr="0030590E">
        <w:t>-</w:t>
      </w:r>
      <w:r w:rsidRPr="00061854">
        <w:t>process</w:t>
      </w:r>
      <w:r w:rsidRPr="0030590E">
        <w:t>-</w:t>
      </w:r>
      <w:proofErr w:type="spellStart"/>
      <w:r w:rsidRPr="00061854">
        <w:t>ehp</w:t>
      </w:r>
      <w:proofErr w:type="spellEnd"/>
      <w:r w:rsidRPr="0030590E">
        <w:t>/</w:t>
      </w:r>
      <w:r w:rsidRPr="00061854">
        <w:t>past</w:t>
      </w:r>
      <w:r w:rsidRPr="0030590E">
        <w:t>-</w:t>
      </w:r>
      <w:r w:rsidRPr="00061854">
        <w:t>conferences</w:t>
      </w:r>
      <w:r w:rsidRPr="0030590E">
        <w:t>-</w:t>
      </w:r>
      <w:r w:rsidRPr="00061854">
        <w:t>on</w:t>
      </w:r>
      <w:r w:rsidRPr="0030590E">
        <w:t>-</w:t>
      </w:r>
      <w:r w:rsidRPr="00061854">
        <w:t>environment</w:t>
      </w:r>
      <w:r w:rsidRPr="0030590E">
        <w:t>-</w:t>
      </w:r>
      <w:r w:rsidRPr="00061854">
        <w:t>and</w:t>
      </w:r>
      <w:r w:rsidRPr="0030590E">
        <w:t>-</w:t>
      </w:r>
      <w:r w:rsidRPr="00061854">
        <w:t>health</w:t>
      </w:r>
      <w:r w:rsidRPr="0030590E">
        <w:t>/</w:t>
      </w:r>
      <w:r w:rsidRPr="00061854">
        <w:t>second</w:t>
      </w:r>
      <w:r w:rsidRPr="0030590E">
        <w:t>-</w:t>
      </w:r>
      <w:r w:rsidRPr="00061854">
        <w:t>ministerial</w:t>
      </w:r>
      <w:r w:rsidRPr="0030590E">
        <w:t>-</w:t>
      </w:r>
      <w:r w:rsidRPr="00061854">
        <w:t>conference</w:t>
      </w:r>
      <w:r w:rsidRPr="0030590E">
        <w:t>-</w:t>
      </w:r>
      <w:r w:rsidRPr="00061854">
        <w:t>on</w:t>
      </w:r>
      <w:r w:rsidRPr="0030590E">
        <w:t>-</w:t>
      </w:r>
      <w:r w:rsidRPr="00061854">
        <w:t>environment</w:t>
      </w:r>
      <w:r w:rsidRPr="0030590E">
        <w:t>-</w:t>
      </w:r>
      <w:r w:rsidRPr="00061854">
        <w:t>and</w:t>
      </w:r>
      <w:r w:rsidRPr="0030590E">
        <w:t>-</w:t>
      </w:r>
      <w:r w:rsidRPr="00061854">
        <w:t>health</w:t>
      </w:r>
      <w:r w:rsidRPr="0030590E">
        <w:t>,-</w:t>
      </w:r>
      <w:proofErr w:type="spellStart"/>
      <w:r w:rsidRPr="00061854">
        <w:t>helsinki</w:t>
      </w:r>
      <w:proofErr w:type="spellEnd"/>
      <w:r w:rsidRPr="0030590E">
        <w:t>,-1994.</w:t>
      </w:r>
    </w:p>
  </w:footnote>
  <w:footnote w:id="4">
    <w:p w:rsidR="001B6359" w:rsidRPr="00605838" w:rsidRDefault="001B6359" w:rsidP="00605838">
      <w:pPr>
        <w:pStyle w:val="ad"/>
        <w:rPr>
          <w:lang w:val="ru-RU"/>
        </w:rPr>
      </w:pPr>
      <w:r w:rsidRPr="0030590E">
        <w:tab/>
      </w:r>
      <w:r w:rsidRPr="00FA1B17">
        <w:rPr>
          <w:rStyle w:val="aa"/>
        </w:rPr>
        <w:footnoteRef/>
      </w:r>
      <w:r w:rsidRPr="00605838">
        <w:rPr>
          <w:lang w:val="ru-RU"/>
        </w:rPr>
        <w:tab/>
        <w:t xml:space="preserve">Можно ознакомиться на веб-сайте ЕЭК, </w:t>
      </w:r>
      <w:proofErr w:type="gramStart"/>
      <w:r w:rsidRPr="00605838">
        <w:rPr>
          <w:lang w:val="ru-RU"/>
        </w:rPr>
        <w:t>касающемся</w:t>
      </w:r>
      <w:proofErr w:type="gramEnd"/>
      <w:r w:rsidRPr="00605838">
        <w:rPr>
          <w:lang w:val="ru-RU"/>
        </w:rPr>
        <w:t xml:space="preserve"> Протокола по проблемам воды и</w:t>
      </w:r>
      <w:r>
        <w:t> </w:t>
      </w:r>
      <w:r w:rsidRPr="00605838">
        <w:rPr>
          <w:lang w:val="ru-RU"/>
        </w:rPr>
        <w:t xml:space="preserve">здоровья, по адресу </w:t>
      </w:r>
      <w:hyperlink r:id="rId1" w:history="1">
        <w:r w:rsidRPr="00605838">
          <w:rPr>
            <w:rStyle w:val="af1"/>
            <w:color w:val="auto"/>
          </w:rPr>
          <w:t>http</w:t>
        </w:r>
        <w:r w:rsidRPr="00605838">
          <w:rPr>
            <w:rStyle w:val="af1"/>
            <w:color w:val="auto"/>
            <w:lang w:val="ru-RU"/>
          </w:rPr>
          <w:t>://</w:t>
        </w:r>
        <w:r w:rsidRPr="00605838">
          <w:rPr>
            <w:rStyle w:val="af1"/>
            <w:color w:val="auto"/>
          </w:rPr>
          <w:t>www</w:t>
        </w:r>
        <w:r w:rsidRPr="00605838">
          <w:rPr>
            <w:rStyle w:val="af1"/>
            <w:color w:val="auto"/>
            <w:lang w:val="ru-RU"/>
          </w:rPr>
          <w:t>.</w:t>
        </w:r>
        <w:proofErr w:type="spellStart"/>
        <w:r w:rsidRPr="00605838">
          <w:rPr>
            <w:rStyle w:val="af1"/>
            <w:color w:val="auto"/>
          </w:rPr>
          <w:t>unece</w:t>
        </w:r>
        <w:proofErr w:type="spellEnd"/>
        <w:r w:rsidRPr="00605838">
          <w:rPr>
            <w:rStyle w:val="af1"/>
            <w:color w:val="auto"/>
            <w:lang w:val="ru-RU"/>
          </w:rPr>
          <w:t>.</w:t>
        </w:r>
        <w:r w:rsidRPr="00605838">
          <w:rPr>
            <w:rStyle w:val="af1"/>
            <w:color w:val="auto"/>
          </w:rPr>
          <w:t>org</w:t>
        </w:r>
        <w:r w:rsidRPr="00605838">
          <w:rPr>
            <w:rStyle w:val="af1"/>
            <w:color w:val="auto"/>
            <w:lang w:val="ru-RU"/>
          </w:rPr>
          <w:t>/</w:t>
        </w:r>
        <w:proofErr w:type="spellStart"/>
        <w:r w:rsidRPr="00605838">
          <w:rPr>
            <w:rStyle w:val="af1"/>
            <w:color w:val="auto"/>
          </w:rPr>
          <w:t>env</w:t>
        </w:r>
        <w:proofErr w:type="spellEnd"/>
        <w:r w:rsidRPr="00605838">
          <w:rPr>
            <w:rStyle w:val="af1"/>
            <w:color w:val="auto"/>
            <w:lang w:val="ru-RU"/>
          </w:rPr>
          <w:t>/</w:t>
        </w:r>
        <w:r w:rsidRPr="00605838">
          <w:rPr>
            <w:rStyle w:val="af1"/>
            <w:color w:val="auto"/>
          </w:rPr>
          <w:t>water</w:t>
        </w:r>
        <w:r w:rsidRPr="00605838">
          <w:rPr>
            <w:rStyle w:val="af1"/>
            <w:color w:val="auto"/>
            <w:lang w:val="ru-RU"/>
          </w:rPr>
          <w:t>/</w:t>
        </w:r>
        <w:proofErr w:type="spellStart"/>
        <w:r w:rsidRPr="00605838">
          <w:rPr>
            <w:rStyle w:val="af1"/>
            <w:color w:val="auto"/>
          </w:rPr>
          <w:t>pwh</w:t>
        </w:r>
        <w:proofErr w:type="spellEnd"/>
        <w:r w:rsidRPr="00605838">
          <w:rPr>
            <w:rStyle w:val="af1"/>
            <w:color w:val="auto"/>
            <w:lang w:val="ru-RU"/>
          </w:rPr>
          <w:t>_</w:t>
        </w:r>
        <w:r w:rsidRPr="00605838">
          <w:rPr>
            <w:rStyle w:val="af1"/>
            <w:color w:val="auto"/>
          </w:rPr>
          <w:t>text</w:t>
        </w:r>
        <w:r w:rsidRPr="00605838">
          <w:rPr>
            <w:rStyle w:val="af1"/>
            <w:color w:val="auto"/>
            <w:lang w:val="ru-RU"/>
          </w:rPr>
          <w:t>/</w:t>
        </w:r>
        <w:r w:rsidRPr="00605838">
          <w:rPr>
            <w:rStyle w:val="af1"/>
            <w:color w:val="auto"/>
          </w:rPr>
          <w:t>text</w:t>
        </w:r>
        <w:r w:rsidRPr="00605838">
          <w:rPr>
            <w:rStyle w:val="af1"/>
            <w:color w:val="auto"/>
            <w:lang w:val="ru-RU"/>
          </w:rPr>
          <w:t>_</w:t>
        </w:r>
        <w:r w:rsidRPr="00605838">
          <w:rPr>
            <w:rStyle w:val="af1"/>
            <w:color w:val="auto"/>
          </w:rPr>
          <w:t>protocol</w:t>
        </w:r>
        <w:r w:rsidRPr="00605838">
          <w:rPr>
            <w:rStyle w:val="af1"/>
            <w:color w:val="auto"/>
            <w:lang w:val="ru-RU"/>
          </w:rPr>
          <w:t>.</w:t>
        </w:r>
        <w:r w:rsidRPr="00605838">
          <w:rPr>
            <w:rStyle w:val="af1"/>
            <w:color w:val="auto"/>
          </w:rPr>
          <w:t>html</w:t>
        </w:r>
      </w:hyperlink>
      <w:r w:rsidRPr="00605838">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59" w:rsidRPr="0030590E" w:rsidRDefault="001B6359">
    <w:pPr>
      <w:pStyle w:val="a5"/>
    </w:pPr>
    <w:fldSimple w:instr=" TITLE  \* MERGEFORMAT ">
      <w:r w:rsidR="00D77F6C">
        <w:t>ECE/CEP/2017/18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59" w:rsidRPr="0030590E" w:rsidRDefault="001B6359" w:rsidP="0030590E">
    <w:pPr>
      <w:pStyle w:val="a5"/>
      <w:jc w:val="right"/>
    </w:pPr>
    <w:fldSimple w:instr=" TITLE  \* MERGEFORMAT ">
      <w:r w:rsidR="00D77F6C">
        <w:t>ECE/CEP/2017/18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59" w:rsidRPr="00823DFF" w:rsidRDefault="001B6359" w:rsidP="001B6359">
    <w:r>
      <w:rPr>
        <w:noProof/>
        <w:w w:val="100"/>
      </w:rPr>
      <mc:AlternateContent>
        <mc:Choice Requires="wps">
          <w:drawing>
            <wp:anchor distT="0" distB="0" distL="114300" distR="114300" simplePos="0" relativeHeight="251668480" behindDoc="0" locked="0" layoutInCell="1" allowOverlap="1" wp14:anchorId="2E5BD0FC" wp14:editId="136D18EF">
              <wp:simplePos x="0" y="0"/>
              <wp:positionH relativeFrom="page">
                <wp:posOffset>9791700</wp:posOffset>
              </wp:positionH>
              <wp:positionV relativeFrom="margin">
                <wp:posOffset>0</wp:posOffset>
              </wp:positionV>
              <wp:extent cx="215900" cy="6120130"/>
              <wp:effectExtent l="0" t="0" r="12700" b="1397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1B6359" w:rsidRPr="00823DFF" w:rsidRDefault="001B6359" w:rsidP="001B6359">
                          <w:pPr>
                            <w:pStyle w:val="a5"/>
                          </w:pPr>
                          <w:r>
                            <w:t>ECE/CEP/2017/18</w:t>
                          </w:r>
                        </w:p>
                        <w:p w:rsidR="001B6359" w:rsidRDefault="001B635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margin-left:771pt;margin-top:0;width:17pt;height:481.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" filled="f" stroked="f">
              <v:stroke joinstyle="round"/>
              <v:path arrowok="t"/>
              <v:textbox style="layout-flow:vertical" inset="0,0,0,0">
                <w:txbxContent>
                  <w:p w:rsidR="001B6359" w:rsidRPr="00823DFF" w:rsidRDefault="001B6359" w:rsidP="001B6359">
                    <w:pPr>
                      <w:pStyle w:val="a5"/>
                    </w:pPr>
                    <w:r>
                      <w:t>ECE/CEP/2017/18</w:t>
                    </w:r>
                  </w:p>
                  <w:p w:rsidR="001B6359" w:rsidRDefault="001B6359"/>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59" w:rsidRPr="00823DFF" w:rsidRDefault="001B6359" w:rsidP="001B6359">
    <w:r>
      <w:rPr>
        <w:noProof/>
        <w:w w:val="100"/>
      </w:rPr>
      <mc:AlternateContent>
        <mc:Choice Requires="wps">
          <w:drawing>
            <wp:anchor distT="0" distB="0" distL="114300" distR="114300" simplePos="0" relativeHeight="251665408" behindDoc="0" locked="0" layoutInCell="1" allowOverlap="1" wp14:anchorId="5B6243F1" wp14:editId="63D55A74">
              <wp:simplePos x="0" y="0"/>
              <wp:positionH relativeFrom="page">
                <wp:posOffset>9791700</wp:posOffset>
              </wp:positionH>
              <wp:positionV relativeFrom="margin">
                <wp:posOffset>0</wp:posOffset>
              </wp:positionV>
              <wp:extent cx="215900" cy="6120130"/>
              <wp:effectExtent l="0" t="0" r="12700" b="139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1B6359" w:rsidRPr="00823DFF" w:rsidRDefault="001B6359" w:rsidP="001B6359">
                          <w:pPr>
                            <w:pStyle w:val="a5"/>
                            <w:jc w:val="right"/>
                          </w:pPr>
                          <w:r>
                            <w:t>ECE/CEP/2017/18</w:t>
                          </w:r>
                        </w:p>
                        <w:p w:rsidR="001B6359" w:rsidRDefault="001B635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7" type="#_x0000_t202" style="position:absolute;margin-left:771pt;margin-top:0;width:17pt;height:48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" filled="f" stroked="f">
              <v:stroke joinstyle="round"/>
              <v:path arrowok="t"/>
              <v:textbox style="layout-flow:vertical" inset="0,0,0,0">
                <w:txbxContent>
                  <w:p w:rsidR="001B6359" w:rsidRPr="00823DFF" w:rsidRDefault="001B6359" w:rsidP="001B6359">
                    <w:pPr>
                      <w:pStyle w:val="a5"/>
                      <w:jc w:val="right"/>
                    </w:pPr>
                    <w:r>
                      <w:t>ECE/CEP/2017/18</w:t>
                    </w:r>
                  </w:p>
                  <w:p w:rsidR="001B6359" w:rsidRDefault="001B6359"/>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59" w:rsidRDefault="001B635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5"/>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4"/>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83"/>
    <w:rsid w:val="00033EE1"/>
    <w:rsid w:val="00042B72"/>
    <w:rsid w:val="000558BD"/>
    <w:rsid w:val="0006300B"/>
    <w:rsid w:val="00063867"/>
    <w:rsid w:val="000B1D76"/>
    <w:rsid w:val="000B57E7"/>
    <w:rsid w:val="000B6373"/>
    <w:rsid w:val="000E4E5B"/>
    <w:rsid w:val="000F09DF"/>
    <w:rsid w:val="000F61B2"/>
    <w:rsid w:val="001075E9"/>
    <w:rsid w:val="0014152F"/>
    <w:rsid w:val="00157C52"/>
    <w:rsid w:val="00180183"/>
    <w:rsid w:val="0018024D"/>
    <w:rsid w:val="0018649F"/>
    <w:rsid w:val="00196389"/>
    <w:rsid w:val="001A307A"/>
    <w:rsid w:val="001B3EF6"/>
    <w:rsid w:val="001B6359"/>
    <w:rsid w:val="001C7A89"/>
    <w:rsid w:val="001F596B"/>
    <w:rsid w:val="00255343"/>
    <w:rsid w:val="0026017D"/>
    <w:rsid w:val="0027151D"/>
    <w:rsid w:val="002A2EFC"/>
    <w:rsid w:val="002B0106"/>
    <w:rsid w:val="002B74B1"/>
    <w:rsid w:val="002C0E18"/>
    <w:rsid w:val="002D5AAC"/>
    <w:rsid w:val="002E5067"/>
    <w:rsid w:val="002F405F"/>
    <w:rsid w:val="002F7EEC"/>
    <w:rsid w:val="00301299"/>
    <w:rsid w:val="0030590E"/>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C291C"/>
    <w:rsid w:val="004E05B7"/>
    <w:rsid w:val="0050108D"/>
    <w:rsid w:val="00513081"/>
    <w:rsid w:val="00517901"/>
    <w:rsid w:val="00523829"/>
    <w:rsid w:val="00526683"/>
    <w:rsid w:val="005639C1"/>
    <w:rsid w:val="005709E0"/>
    <w:rsid w:val="00572E19"/>
    <w:rsid w:val="00573583"/>
    <w:rsid w:val="005961C8"/>
    <w:rsid w:val="005966F1"/>
    <w:rsid w:val="005D14ED"/>
    <w:rsid w:val="005D7914"/>
    <w:rsid w:val="005E2B41"/>
    <w:rsid w:val="005F0B42"/>
    <w:rsid w:val="00605838"/>
    <w:rsid w:val="006345DB"/>
    <w:rsid w:val="00640F49"/>
    <w:rsid w:val="00680D03"/>
    <w:rsid w:val="00681A10"/>
    <w:rsid w:val="006A1ED8"/>
    <w:rsid w:val="006C2031"/>
    <w:rsid w:val="006D461A"/>
    <w:rsid w:val="006E4C21"/>
    <w:rsid w:val="006F35EE"/>
    <w:rsid w:val="007021FF"/>
    <w:rsid w:val="00712895"/>
    <w:rsid w:val="007341BC"/>
    <w:rsid w:val="00734ACB"/>
    <w:rsid w:val="00757357"/>
    <w:rsid w:val="00792497"/>
    <w:rsid w:val="007F6405"/>
    <w:rsid w:val="00806737"/>
    <w:rsid w:val="00814E86"/>
    <w:rsid w:val="00825F8D"/>
    <w:rsid w:val="00834B71"/>
    <w:rsid w:val="00860BE6"/>
    <w:rsid w:val="0086445C"/>
    <w:rsid w:val="00894693"/>
    <w:rsid w:val="00896727"/>
    <w:rsid w:val="008A08D7"/>
    <w:rsid w:val="008A37C8"/>
    <w:rsid w:val="008B6909"/>
    <w:rsid w:val="008D53B6"/>
    <w:rsid w:val="008F7609"/>
    <w:rsid w:val="00906890"/>
    <w:rsid w:val="00911BE4"/>
    <w:rsid w:val="00913D34"/>
    <w:rsid w:val="0093160F"/>
    <w:rsid w:val="00951972"/>
    <w:rsid w:val="009608F3"/>
    <w:rsid w:val="0098579C"/>
    <w:rsid w:val="009A24AC"/>
    <w:rsid w:val="009B1617"/>
    <w:rsid w:val="009C6FE6"/>
    <w:rsid w:val="009D7E7D"/>
    <w:rsid w:val="00A14DA8"/>
    <w:rsid w:val="00A312BC"/>
    <w:rsid w:val="00A84021"/>
    <w:rsid w:val="00A84D35"/>
    <w:rsid w:val="00A917B3"/>
    <w:rsid w:val="00A91DBD"/>
    <w:rsid w:val="00AB4B51"/>
    <w:rsid w:val="00AF1F9A"/>
    <w:rsid w:val="00B10CC7"/>
    <w:rsid w:val="00B30E0F"/>
    <w:rsid w:val="00B36DF7"/>
    <w:rsid w:val="00B539E7"/>
    <w:rsid w:val="00B604FB"/>
    <w:rsid w:val="00B62458"/>
    <w:rsid w:val="00B67639"/>
    <w:rsid w:val="00BC18B2"/>
    <w:rsid w:val="00BD33EE"/>
    <w:rsid w:val="00BE1CC7"/>
    <w:rsid w:val="00BE58F7"/>
    <w:rsid w:val="00C106D6"/>
    <w:rsid w:val="00C119AE"/>
    <w:rsid w:val="00C60F0C"/>
    <w:rsid w:val="00C62F3D"/>
    <w:rsid w:val="00C805C9"/>
    <w:rsid w:val="00C92939"/>
    <w:rsid w:val="00CA1679"/>
    <w:rsid w:val="00CB151C"/>
    <w:rsid w:val="00CE5A1A"/>
    <w:rsid w:val="00CF55F6"/>
    <w:rsid w:val="00D15597"/>
    <w:rsid w:val="00D33D63"/>
    <w:rsid w:val="00D5253A"/>
    <w:rsid w:val="00D53AAF"/>
    <w:rsid w:val="00D77F6C"/>
    <w:rsid w:val="00D90028"/>
    <w:rsid w:val="00D90138"/>
    <w:rsid w:val="00DD78D1"/>
    <w:rsid w:val="00DE32CD"/>
    <w:rsid w:val="00DE3E3F"/>
    <w:rsid w:val="00DF5767"/>
    <w:rsid w:val="00DF71B9"/>
    <w:rsid w:val="00E12C5F"/>
    <w:rsid w:val="00E16EF6"/>
    <w:rsid w:val="00E73F76"/>
    <w:rsid w:val="00E74BD6"/>
    <w:rsid w:val="00EA0061"/>
    <w:rsid w:val="00EA2C9F"/>
    <w:rsid w:val="00EA420E"/>
    <w:rsid w:val="00ED0BDA"/>
    <w:rsid w:val="00EE142A"/>
    <w:rsid w:val="00EF1360"/>
    <w:rsid w:val="00EF3220"/>
    <w:rsid w:val="00F1686A"/>
    <w:rsid w:val="00F2523A"/>
    <w:rsid w:val="00F43903"/>
    <w:rsid w:val="00F94155"/>
    <w:rsid w:val="00F9783F"/>
    <w:rsid w:val="00FA1B17"/>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C6FE6"/>
    <w:pPr>
      <w:spacing w:line="240" w:lineRule="atLeast"/>
    </w:pPr>
    <w:rPr>
      <w:rFonts w:eastAsiaTheme="minorEastAsia" w:cstheme="minorBidi"/>
      <w:spacing w:val="4"/>
      <w:w w:val="103"/>
      <w:kern w:val="14"/>
      <w:szCs w:val="22"/>
      <w:lang w:val="ru-RU" w:eastAsia="zh-CN"/>
    </w:rPr>
  </w:style>
  <w:style w:type="paragraph" w:styleId="1">
    <w:name w:val="heading 1"/>
    <w:aliases w:val="Table_GR"/>
    <w:basedOn w:val="a"/>
    <w:next w:val="a"/>
    <w:link w:val="10"/>
    <w:qFormat/>
    <w:rsid w:val="009C6FE6"/>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6FE6"/>
    <w:pPr>
      <w:spacing w:line="240" w:lineRule="auto"/>
    </w:pPr>
    <w:rPr>
      <w:rFonts w:ascii="Tahoma" w:hAnsi="Tahoma" w:cs="Tahoma"/>
      <w:sz w:val="16"/>
      <w:szCs w:val="16"/>
    </w:rPr>
  </w:style>
  <w:style w:type="character" w:customStyle="1" w:styleId="a4">
    <w:name w:val="Текст выноски Знак"/>
    <w:basedOn w:val="a0"/>
    <w:link w:val="a3"/>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a"/>
    <w:next w:val="a"/>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9C6FE6"/>
    <w:rPr>
      <w:b/>
      <w:spacing w:val="4"/>
      <w:w w:val="103"/>
      <w:kern w:val="14"/>
      <w:sz w:val="18"/>
      <w:lang w:val="en-GB" w:eastAsia="ru-RU"/>
    </w:rPr>
  </w:style>
  <w:style w:type="character" w:styleId="a7">
    <w:name w:val="page number"/>
    <w:aliases w:val="7_GR"/>
    <w:basedOn w:val="a0"/>
    <w:qFormat/>
    <w:rsid w:val="009C6FE6"/>
    <w:rPr>
      <w:rFonts w:ascii="Times New Roman" w:hAnsi="Times New Roman"/>
      <w:b/>
      <w:sz w:val="18"/>
    </w:rPr>
  </w:style>
  <w:style w:type="paragraph" w:styleId="a8">
    <w:name w:val="footer"/>
    <w:aliases w:val="3_GR,3_G"/>
    <w:basedOn w:val="a"/>
    <w:link w:val="a9"/>
    <w:qFormat/>
    <w:rsid w:val="009C6FE6"/>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9C6FE6"/>
    <w:rPr>
      <w:spacing w:val="4"/>
      <w:w w:val="103"/>
      <w:kern w:val="14"/>
      <w:sz w:val="16"/>
      <w:lang w:val="en-GB" w:eastAsia="ru-RU"/>
    </w:rPr>
  </w:style>
  <w:style w:type="character" w:styleId="aa">
    <w:name w:val="footnote reference"/>
    <w:aliases w:val="4_GR"/>
    <w:basedOn w:val="a0"/>
    <w:qFormat/>
    <w:rsid w:val="009C6FE6"/>
    <w:rPr>
      <w:rFonts w:ascii="Times New Roman" w:hAnsi="Times New Roman"/>
      <w:dstrike w:val="0"/>
      <w:sz w:val="18"/>
      <w:vertAlign w:val="superscript"/>
    </w:rPr>
  </w:style>
  <w:style w:type="character" w:styleId="ab">
    <w:name w:val="endnote reference"/>
    <w:aliases w:val="1_GR"/>
    <w:basedOn w:val="aa"/>
    <w:qFormat/>
    <w:rsid w:val="009C6FE6"/>
    <w:rPr>
      <w:rFonts w:ascii="Times New Roman" w:hAnsi="Times New Roman"/>
      <w:dstrike w:val="0"/>
      <w:sz w:val="18"/>
      <w:vertAlign w:val="superscript"/>
    </w:rPr>
  </w:style>
  <w:style w:type="table" w:styleId="ac">
    <w:name w:val="Table Grid"/>
    <w:basedOn w:val="a1"/>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9C6FE6"/>
    <w:rPr>
      <w:spacing w:val="5"/>
      <w:w w:val="104"/>
      <w:kern w:val="14"/>
      <w:sz w:val="18"/>
      <w:lang w:val="en-GB" w:eastAsia="ru-RU"/>
    </w:rPr>
  </w:style>
  <w:style w:type="paragraph" w:styleId="af">
    <w:name w:val="endnote text"/>
    <w:aliases w:val="2_GR"/>
    <w:basedOn w:val="ad"/>
    <w:link w:val="af0"/>
    <w:qFormat/>
    <w:rsid w:val="009C6FE6"/>
  </w:style>
  <w:style w:type="character" w:customStyle="1" w:styleId="af0">
    <w:name w:val="Текст концевой сноски Знак"/>
    <w:aliases w:val="2_GR Знак"/>
    <w:basedOn w:val="a0"/>
    <w:link w:val="af"/>
    <w:rsid w:val="009C6FE6"/>
    <w:rPr>
      <w:spacing w:val="5"/>
      <w:w w:val="104"/>
      <w:kern w:val="14"/>
      <w:sz w:val="18"/>
      <w:lang w:val="en-GB" w:eastAsia="ru-RU"/>
    </w:rPr>
  </w:style>
  <w:style w:type="character" w:customStyle="1" w:styleId="10">
    <w:name w:val="Заголовок 1 Знак"/>
    <w:aliases w:val="Table_GR Знак"/>
    <w:basedOn w:val="a0"/>
    <w:link w:val="1"/>
    <w:rsid w:val="009C6FE6"/>
    <w:rPr>
      <w:rFonts w:cs="Arial"/>
      <w:b/>
      <w:bCs/>
      <w:spacing w:val="4"/>
      <w:w w:val="103"/>
      <w:kern w:val="14"/>
      <w:szCs w:val="32"/>
      <w:lang w:val="ru-RU" w:eastAsia="ru-RU"/>
    </w:rPr>
  </w:style>
  <w:style w:type="character" w:styleId="af1">
    <w:name w:val="Hyperlink"/>
    <w:basedOn w:val="a0"/>
    <w:semiHidden/>
    <w:unhideWhenUsed/>
    <w:rsid w:val="009C6FE6"/>
    <w:rPr>
      <w:color w:val="0000FF" w:themeColor="hyperlink"/>
      <w:u w:val="none"/>
    </w:rPr>
  </w:style>
  <w:style w:type="character" w:styleId="af2">
    <w:name w:val="FollowedHyperlink"/>
    <w:basedOn w:val="a0"/>
    <w:semiHidden/>
    <w:unhideWhenUsed/>
    <w:rsid w:val="009C6FE6"/>
    <w:rPr>
      <w:color w:val="800080" w:themeColor="followedHyperlink"/>
      <w:u w:val="none"/>
    </w:rPr>
  </w:style>
  <w:style w:type="paragraph" w:customStyle="1" w:styleId="Bullet1G">
    <w:name w:val="_Bullet 1_G"/>
    <w:basedOn w:val="a"/>
    <w:rsid w:val="0030590E"/>
    <w:pPr>
      <w:numPr>
        <w:numId w:val="19"/>
      </w:numPr>
      <w:suppressAutoHyphens/>
      <w:spacing w:after="120"/>
      <w:ind w:right="1134"/>
      <w:jc w:val="both"/>
    </w:pPr>
    <w:rPr>
      <w:rFonts w:eastAsia="Times New Roman" w:cs="Times New Roman"/>
      <w:spacing w:val="0"/>
      <w:w w:val="100"/>
      <w:kern w:val="0"/>
      <w:szCs w:val="20"/>
      <w:lang w:eastAsia="en-US"/>
    </w:rPr>
  </w:style>
  <w:style w:type="paragraph" w:customStyle="1" w:styleId="Bullet2G">
    <w:name w:val="_Bullet 2_G"/>
    <w:basedOn w:val="a"/>
    <w:rsid w:val="0030590E"/>
    <w:pPr>
      <w:numPr>
        <w:numId w:val="20"/>
      </w:numPr>
      <w:suppressAutoHyphens/>
      <w:spacing w:after="120"/>
      <w:ind w:right="1134"/>
      <w:jc w:val="both"/>
    </w:pPr>
    <w:rPr>
      <w:rFonts w:eastAsia="Times New Roman" w:cs="Times New Roman"/>
      <w:spacing w:val="0"/>
      <w:w w:val="100"/>
      <w:kern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C6FE6"/>
    <w:pPr>
      <w:spacing w:line="240" w:lineRule="atLeast"/>
    </w:pPr>
    <w:rPr>
      <w:rFonts w:eastAsiaTheme="minorEastAsia" w:cstheme="minorBidi"/>
      <w:spacing w:val="4"/>
      <w:w w:val="103"/>
      <w:kern w:val="14"/>
      <w:szCs w:val="22"/>
      <w:lang w:val="ru-RU" w:eastAsia="zh-CN"/>
    </w:rPr>
  </w:style>
  <w:style w:type="paragraph" w:styleId="1">
    <w:name w:val="heading 1"/>
    <w:aliases w:val="Table_GR"/>
    <w:basedOn w:val="a"/>
    <w:next w:val="a"/>
    <w:link w:val="10"/>
    <w:qFormat/>
    <w:rsid w:val="009C6FE6"/>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6FE6"/>
    <w:pPr>
      <w:spacing w:line="240" w:lineRule="auto"/>
    </w:pPr>
    <w:rPr>
      <w:rFonts w:ascii="Tahoma" w:hAnsi="Tahoma" w:cs="Tahoma"/>
      <w:sz w:val="16"/>
      <w:szCs w:val="16"/>
    </w:rPr>
  </w:style>
  <w:style w:type="character" w:customStyle="1" w:styleId="a4">
    <w:name w:val="Текст выноски Знак"/>
    <w:basedOn w:val="a0"/>
    <w:link w:val="a3"/>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a"/>
    <w:next w:val="a"/>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9C6FE6"/>
    <w:rPr>
      <w:b/>
      <w:spacing w:val="4"/>
      <w:w w:val="103"/>
      <w:kern w:val="14"/>
      <w:sz w:val="18"/>
      <w:lang w:val="en-GB" w:eastAsia="ru-RU"/>
    </w:rPr>
  </w:style>
  <w:style w:type="character" w:styleId="a7">
    <w:name w:val="page number"/>
    <w:aliases w:val="7_GR"/>
    <w:basedOn w:val="a0"/>
    <w:qFormat/>
    <w:rsid w:val="009C6FE6"/>
    <w:rPr>
      <w:rFonts w:ascii="Times New Roman" w:hAnsi="Times New Roman"/>
      <w:b/>
      <w:sz w:val="18"/>
    </w:rPr>
  </w:style>
  <w:style w:type="paragraph" w:styleId="a8">
    <w:name w:val="footer"/>
    <w:aliases w:val="3_GR,3_G"/>
    <w:basedOn w:val="a"/>
    <w:link w:val="a9"/>
    <w:qFormat/>
    <w:rsid w:val="009C6FE6"/>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9C6FE6"/>
    <w:rPr>
      <w:spacing w:val="4"/>
      <w:w w:val="103"/>
      <w:kern w:val="14"/>
      <w:sz w:val="16"/>
      <w:lang w:val="en-GB" w:eastAsia="ru-RU"/>
    </w:rPr>
  </w:style>
  <w:style w:type="character" w:styleId="aa">
    <w:name w:val="footnote reference"/>
    <w:aliases w:val="4_GR"/>
    <w:basedOn w:val="a0"/>
    <w:qFormat/>
    <w:rsid w:val="009C6FE6"/>
    <w:rPr>
      <w:rFonts w:ascii="Times New Roman" w:hAnsi="Times New Roman"/>
      <w:dstrike w:val="0"/>
      <w:sz w:val="18"/>
      <w:vertAlign w:val="superscript"/>
    </w:rPr>
  </w:style>
  <w:style w:type="character" w:styleId="ab">
    <w:name w:val="endnote reference"/>
    <w:aliases w:val="1_GR"/>
    <w:basedOn w:val="aa"/>
    <w:qFormat/>
    <w:rsid w:val="009C6FE6"/>
    <w:rPr>
      <w:rFonts w:ascii="Times New Roman" w:hAnsi="Times New Roman"/>
      <w:dstrike w:val="0"/>
      <w:sz w:val="18"/>
      <w:vertAlign w:val="superscript"/>
    </w:rPr>
  </w:style>
  <w:style w:type="table" w:styleId="ac">
    <w:name w:val="Table Grid"/>
    <w:basedOn w:val="a1"/>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9C6FE6"/>
    <w:rPr>
      <w:spacing w:val="5"/>
      <w:w w:val="104"/>
      <w:kern w:val="14"/>
      <w:sz w:val="18"/>
      <w:lang w:val="en-GB" w:eastAsia="ru-RU"/>
    </w:rPr>
  </w:style>
  <w:style w:type="paragraph" w:styleId="af">
    <w:name w:val="endnote text"/>
    <w:aliases w:val="2_GR"/>
    <w:basedOn w:val="ad"/>
    <w:link w:val="af0"/>
    <w:qFormat/>
    <w:rsid w:val="009C6FE6"/>
  </w:style>
  <w:style w:type="character" w:customStyle="1" w:styleId="af0">
    <w:name w:val="Текст концевой сноски Знак"/>
    <w:aliases w:val="2_GR Знак"/>
    <w:basedOn w:val="a0"/>
    <w:link w:val="af"/>
    <w:rsid w:val="009C6FE6"/>
    <w:rPr>
      <w:spacing w:val="5"/>
      <w:w w:val="104"/>
      <w:kern w:val="14"/>
      <w:sz w:val="18"/>
      <w:lang w:val="en-GB" w:eastAsia="ru-RU"/>
    </w:rPr>
  </w:style>
  <w:style w:type="character" w:customStyle="1" w:styleId="10">
    <w:name w:val="Заголовок 1 Знак"/>
    <w:aliases w:val="Table_GR Знак"/>
    <w:basedOn w:val="a0"/>
    <w:link w:val="1"/>
    <w:rsid w:val="009C6FE6"/>
    <w:rPr>
      <w:rFonts w:cs="Arial"/>
      <w:b/>
      <w:bCs/>
      <w:spacing w:val="4"/>
      <w:w w:val="103"/>
      <w:kern w:val="14"/>
      <w:szCs w:val="32"/>
      <w:lang w:val="ru-RU" w:eastAsia="ru-RU"/>
    </w:rPr>
  </w:style>
  <w:style w:type="character" w:styleId="af1">
    <w:name w:val="Hyperlink"/>
    <w:basedOn w:val="a0"/>
    <w:semiHidden/>
    <w:unhideWhenUsed/>
    <w:rsid w:val="009C6FE6"/>
    <w:rPr>
      <w:color w:val="0000FF" w:themeColor="hyperlink"/>
      <w:u w:val="none"/>
    </w:rPr>
  </w:style>
  <w:style w:type="character" w:styleId="af2">
    <w:name w:val="FollowedHyperlink"/>
    <w:basedOn w:val="a0"/>
    <w:semiHidden/>
    <w:unhideWhenUsed/>
    <w:rsid w:val="009C6FE6"/>
    <w:rPr>
      <w:color w:val="800080" w:themeColor="followedHyperlink"/>
      <w:u w:val="none"/>
    </w:rPr>
  </w:style>
  <w:style w:type="paragraph" w:customStyle="1" w:styleId="Bullet1G">
    <w:name w:val="_Bullet 1_G"/>
    <w:basedOn w:val="a"/>
    <w:rsid w:val="0030590E"/>
    <w:pPr>
      <w:numPr>
        <w:numId w:val="19"/>
      </w:numPr>
      <w:suppressAutoHyphens/>
      <w:spacing w:after="120"/>
      <w:ind w:right="1134"/>
      <w:jc w:val="both"/>
    </w:pPr>
    <w:rPr>
      <w:rFonts w:eastAsia="Times New Roman" w:cs="Times New Roman"/>
      <w:spacing w:val="0"/>
      <w:w w:val="100"/>
      <w:kern w:val="0"/>
      <w:szCs w:val="20"/>
      <w:lang w:eastAsia="en-US"/>
    </w:rPr>
  </w:style>
  <w:style w:type="paragraph" w:customStyle="1" w:styleId="Bullet2G">
    <w:name w:val="_Bullet 2_G"/>
    <w:basedOn w:val="a"/>
    <w:rsid w:val="0030590E"/>
    <w:pPr>
      <w:numPr>
        <w:numId w:val="20"/>
      </w:numPr>
      <w:suppressAutoHyphens/>
      <w:spacing w:after="120"/>
      <w:ind w:right="1134"/>
      <w:jc w:val="both"/>
    </w:pPr>
    <w:rPr>
      <w:rFonts w:eastAsia="Times New Roman" w:cs="Times New Roman"/>
      <w:spacing w:val="0"/>
      <w:w w:val="100"/>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water/pwh_text/text_protoco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13</Pages>
  <Words>4526</Words>
  <Characters>31412</Characters>
  <Application>Microsoft Office Word</Application>
  <DocSecurity>0</DocSecurity>
  <Lines>668</Lines>
  <Paragraphs>204</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ECE/CEP/2017/18</vt:lpstr>
      <vt:lpstr>A/</vt:lpstr>
    </vt:vector>
  </TitlesOfParts>
  <Company>DCM</Company>
  <LinksUpToDate>false</LinksUpToDate>
  <CharactersWithSpaces>35734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ECE/CEP/2017/18</dc:title>
  <dc:creator>Ekaterina SALYNSKAYA</dc:creator>
  <cp:lastModifiedBy>Ekaterina SALYNSKAYA</cp:lastModifiedBy>
  <cp:revision>3</cp:revision>
  <cp:lastPrinted>2017-09-26T09:58:00Z</cp:lastPrinted>
  <dcterms:created xsi:type="dcterms:W3CDTF">2017-09-26T09:58:00Z</dcterms:created>
  <dcterms:modified xsi:type="dcterms:W3CDTF">2017-09-26T09:59:00Z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