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76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763E" w:rsidP="0022763E">
            <w:pPr>
              <w:jc w:val="right"/>
            </w:pPr>
            <w:r w:rsidRPr="0022763E">
              <w:rPr>
                <w:sz w:val="40"/>
              </w:rPr>
              <w:t>ECE</w:t>
            </w:r>
            <w:r>
              <w:t>/CEP/2017/16</w:t>
            </w:r>
          </w:p>
        </w:tc>
      </w:tr>
      <w:tr w:rsidR="002D5AAC" w:rsidRPr="00721FD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276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2763E" w:rsidRDefault="0022763E" w:rsidP="002276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August 2017</w:t>
            </w:r>
          </w:p>
          <w:p w:rsidR="0022763E" w:rsidRDefault="0022763E" w:rsidP="002276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2763E" w:rsidRPr="008D53B6" w:rsidRDefault="0022763E" w:rsidP="002276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22E36" w:rsidRPr="00522E36" w:rsidRDefault="00522E36" w:rsidP="00522E36">
      <w:pPr>
        <w:pStyle w:val="SingleTxtGR"/>
        <w:spacing w:before="120"/>
        <w:ind w:left="0"/>
        <w:rPr>
          <w:bCs/>
          <w:sz w:val="32"/>
        </w:rPr>
      </w:pPr>
      <w:r w:rsidRPr="00522E36">
        <w:rPr>
          <w:sz w:val="32"/>
        </w:rPr>
        <w:t>Комитет по экологической политике</w:t>
      </w:r>
    </w:p>
    <w:p w:rsidR="00522E36" w:rsidRPr="00522E36" w:rsidRDefault="00522E36" w:rsidP="00522E36">
      <w:pPr>
        <w:pStyle w:val="SingleTxtGR"/>
        <w:ind w:left="0"/>
        <w:jc w:val="left"/>
        <w:rPr>
          <w:b/>
          <w:bCs/>
        </w:rPr>
      </w:pPr>
      <w:r w:rsidRPr="00522E36">
        <w:rPr>
          <w:b/>
          <w:bCs/>
        </w:rPr>
        <w:t>Двадцать третья сессия</w:t>
      </w:r>
      <w:r w:rsidRPr="00522E36">
        <w:rPr>
          <w:b/>
          <w:bCs/>
        </w:rPr>
        <w:br/>
      </w:r>
      <w:r w:rsidRPr="00522E36">
        <w:t>Женева, 14–17 ноября 2017 года</w:t>
      </w:r>
      <w:r w:rsidRPr="00522E36">
        <w:br/>
        <w:t>Пункт 5 предварительной повестки дня</w:t>
      </w:r>
      <w:r w:rsidRPr="00522E36">
        <w:br/>
      </w:r>
      <w:r w:rsidRPr="00522E36">
        <w:rPr>
          <w:b/>
          <w:bCs/>
        </w:rPr>
        <w:t xml:space="preserve">Последующие меры в связи с восьмой </w:t>
      </w:r>
      <w:r w:rsidRPr="00522E36">
        <w:rPr>
          <w:b/>
          <w:bCs/>
        </w:rPr>
        <w:br/>
        <w:t xml:space="preserve">Конференцией министров </w:t>
      </w:r>
      <w:r>
        <w:rPr>
          <w:b/>
          <w:bCs/>
        </w:rPr>
        <w:t>«</w:t>
      </w:r>
      <w:r w:rsidRPr="00522E36">
        <w:rPr>
          <w:b/>
          <w:bCs/>
        </w:rPr>
        <w:t xml:space="preserve">Окружающая среда </w:t>
      </w:r>
      <w:r w:rsidRPr="00522E36">
        <w:rPr>
          <w:b/>
          <w:bCs/>
        </w:rPr>
        <w:br/>
        <w:t>для Европы</w:t>
      </w:r>
      <w:r>
        <w:rPr>
          <w:b/>
          <w:bCs/>
        </w:rPr>
        <w:t>»</w:t>
      </w:r>
      <w:r w:rsidRPr="00522E36">
        <w:rPr>
          <w:b/>
          <w:bCs/>
        </w:rPr>
        <w:t xml:space="preserve"> и подготовка среднесрочного обзора </w:t>
      </w:r>
      <w:r w:rsidRPr="00522E36">
        <w:rPr>
          <w:b/>
          <w:bCs/>
        </w:rPr>
        <w:br/>
        <w:t xml:space="preserve">основных итогов Конференции </w:t>
      </w:r>
    </w:p>
    <w:p w:rsidR="00522E36" w:rsidRPr="00522E36" w:rsidRDefault="00522E36" w:rsidP="00522E36">
      <w:pPr>
        <w:pStyle w:val="HChGR"/>
      </w:pPr>
      <w:r w:rsidRPr="00522E36">
        <w:tab/>
      </w:r>
      <w:r w:rsidRPr="00522E36">
        <w:tab/>
        <w:t xml:space="preserve">Организация среднесрочного обзора основных итогов восьмой Конференции министров </w:t>
      </w:r>
      <w:r>
        <w:t>«</w:t>
      </w:r>
      <w:r w:rsidRPr="00522E36">
        <w:t>Окружающая среда для Европы</w:t>
      </w:r>
      <w:r>
        <w:t>»</w:t>
      </w:r>
    </w:p>
    <w:p w:rsidR="00522E36" w:rsidRDefault="00522E36" w:rsidP="00522E36">
      <w:pPr>
        <w:pStyle w:val="H1GR"/>
        <w:rPr>
          <w:lang w:val="en-US"/>
        </w:rPr>
      </w:pPr>
      <w:r w:rsidRPr="00522E36">
        <w:tab/>
      </w:r>
      <w:r w:rsidRPr="00522E36">
        <w:tab/>
        <w:t>Записка секретариата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22E36" w:rsidRPr="00522E36" w:rsidTr="00522E36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22E36" w:rsidRPr="00522E36" w:rsidRDefault="00522E36" w:rsidP="00522E36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22E36">
              <w:rPr>
                <w:rFonts w:cs="Times New Roman"/>
              </w:rPr>
              <w:tab/>
            </w:r>
            <w:r w:rsidRPr="00522E3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22E36" w:rsidRPr="00522E36" w:rsidTr="00522E3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22E36" w:rsidRPr="00522E36" w:rsidRDefault="00522E36" w:rsidP="00522E36">
            <w:pPr>
              <w:pStyle w:val="SingleTxtGR"/>
            </w:pPr>
            <w:r w:rsidRPr="00721FD4">
              <w:tab/>
            </w:r>
            <w:r w:rsidRPr="00522E36">
              <w:t>На своей двадцать второй сессии (Женева, 25–27 января 2017 года) Ком</w:t>
            </w:r>
            <w:r w:rsidRPr="00522E36">
              <w:t>и</w:t>
            </w:r>
            <w:r w:rsidRPr="00522E36">
              <w:t>тет по экологической политике поручил Президиуму при поддержке секретар</w:t>
            </w:r>
            <w:r w:rsidRPr="00522E36">
              <w:t>и</w:t>
            </w:r>
            <w:r w:rsidRPr="00522E36">
              <w:t xml:space="preserve">ата подготовить документ с предложениями о сфере охвата, формате и условиях организации среднесрочного обзора основных итогов восьмой Конференции министров </w:t>
            </w:r>
            <w:r>
              <w:t>«</w:t>
            </w:r>
            <w:r w:rsidRPr="00522E36">
              <w:t>Окружающая среда для Европы</w:t>
            </w:r>
            <w:r>
              <w:t>»</w:t>
            </w:r>
            <w:r w:rsidRPr="00522E36">
              <w:t xml:space="preserve"> (Батуми, Грузия, 8–</w:t>
            </w:r>
            <w:r>
              <w:t>10 июня 2016</w:t>
            </w:r>
            <w:r>
              <w:rPr>
                <w:lang w:val="en-US"/>
              </w:rPr>
              <w:t> </w:t>
            </w:r>
            <w:r w:rsidRPr="00522E36">
              <w:t>года). Комитет просил подготовить этот документ для рассмотрения на его следующей сессии (ECE/CEP/2017/2, подпункт f) пункта 28).</w:t>
            </w:r>
          </w:p>
        </w:tc>
      </w:tr>
      <w:tr w:rsidR="00522E36" w:rsidRPr="00522E36" w:rsidTr="00522E3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522E36" w:rsidRPr="00522E36" w:rsidRDefault="00522E36" w:rsidP="00522E36">
            <w:pPr>
              <w:pStyle w:val="SingleTxtGR"/>
            </w:pPr>
            <w:r w:rsidRPr="00721FD4">
              <w:tab/>
            </w:r>
            <w:r w:rsidRPr="00522E36">
              <w:t>В соответствии с этой просьбой в настоящем документе представлены предложения об охвате, формате и условиях организации среднесрочного обз</w:t>
            </w:r>
            <w:r w:rsidRPr="00522E36">
              <w:t>о</w:t>
            </w:r>
            <w:r w:rsidRPr="00522E36">
              <w:t>ра. В документе отражены замечания, высказанные Президиумом.</w:t>
            </w:r>
          </w:p>
        </w:tc>
      </w:tr>
      <w:tr w:rsidR="00522E36" w:rsidRPr="00522E36" w:rsidTr="00522E3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522E36" w:rsidRPr="00522E36" w:rsidRDefault="00522E36" w:rsidP="00522E36">
            <w:pPr>
              <w:pStyle w:val="SingleTxtGR"/>
            </w:pPr>
            <w:r w:rsidRPr="00721FD4">
              <w:tab/>
            </w:r>
            <w:r w:rsidRPr="00522E36">
              <w:t>Комитету предлагается рассмотреть настоящий документ с расчетом на то, что в будущем предлагаемая организация среднесрочного обзора в 2018 г</w:t>
            </w:r>
            <w:r w:rsidRPr="00522E36">
              <w:t>о</w:t>
            </w:r>
            <w:r w:rsidRPr="00522E36">
              <w:t>ду будет утверждена, что направит процесс подготовки в нужное русло.</w:t>
            </w:r>
          </w:p>
        </w:tc>
      </w:tr>
      <w:tr w:rsidR="00522E36" w:rsidRPr="00522E36" w:rsidTr="00522E36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22E36" w:rsidRPr="00522E36" w:rsidRDefault="00522E36" w:rsidP="00522E36">
            <w:pPr>
              <w:rPr>
                <w:rFonts w:cs="Times New Roman"/>
              </w:rPr>
            </w:pPr>
          </w:p>
        </w:tc>
      </w:tr>
    </w:tbl>
    <w:p w:rsidR="00522E36" w:rsidRPr="00522E36" w:rsidRDefault="00522E36" w:rsidP="00522E36">
      <w:pPr>
        <w:rPr>
          <w:lang w:eastAsia="ru-RU"/>
        </w:rPr>
      </w:pPr>
    </w:p>
    <w:p w:rsidR="00522E36" w:rsidRPr="00522E36" w:rsidRDefault="00522E36" w:rsidP="00522E36">
      <w:pPr>
        <w:rPr>
          <w:lang w:eastAsia="ru-RU"/>
        </w:rPr>
      </w:pPr>
    </w:p>
    <w:p w:rsidR="00522E36" w:rsidRPr="00522E36" w:rsidRDefault="00522E36" w:rsidP="00522E36">
      <w:pPr>
        <w:rPr>
          <w:lang w:eastAsia="ru-RU"/>
        </w:rPr>
      </w:pPr>
    </w:p>
    <w:p w:rsidR="00522E36" w:rsidRPr="00522E36" w:rsidRDefault="00522E36" w:rsidP="00522E36">
      <w:pPr>
        <w:pStyle w:val="HChGR"/>
      </w:pPr>
      <w:r w:rsidRPr="00522E36">
        <w:br w:type="page"/>
      </w:r>
      <w:r w:rsidRPr="00522E36">
        <w:lastRenderedPageBreak/>
        <w:tab/>
        <w:t>I.</w:t>
      </w:r>
      <w:r w:rsidRPr="00522E36">
        <w:tab/>
        <w:t>Введение</w:t>
      </w:r>
    </w:p>
    <w:p w:rsidR="00522E36" w:rsidRPr="00522E36" w:rsidRDefault="00522E36" w:rsidP="00522E36">
      <w:pPr>
        <w:pStyle w:val="SingleTxtGR"/>
      </w:pPr>
      <w:r w:rsidRPr="00522E36">
        <w:t>1.</w:t>
      </w:r>
      <w:r w:rsidRPr="00522E36">
        <w:tab/>
        <w:t xml:space="preserve">Принятый в 2009 году план реформы процесса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предусматривает проведение Комитетом по экологической политике Европейской экономической комиссии (ЕЭК) Организации Объединенных Наций среднесрочного обзора для оценки прогресса в осуществлении результ</w:t>
      </w:r>
      <w:r w:rsidRPr="00522E36">
        <w:t>а</w:t>
      </w:r>
      <w:r w:rsidRPr="00522E36">
        <w:t xml:space="preserve">тов каждой Конференции министров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и пр</w:t>
      </w:r>
      <w:r w:rsidRPr="00522E36">
        <w:t>и</w:t>
      </w:r>
      <w:r w:rsidRPr="00522E36">
        <w:t>дания процессу нового импульса. В основе такого обзора должна лежать им</w:t>
      </w:r>
      <w:r w:rsidRPr="00522E36">
        <w:t>е</w:t>
      </w:r>
      <w:r w:rsidRPr="00522E36">
        <w:t xml:space="preserve">ющаяся информация, кроме того, результаты обзора должны учитываться в процессе подготовки к следующей Конференции </w:t>
      </w:r>
      <w:r>
        <w:t>(ECE/CEP/S/152, прилож</w:t>
      </w:r>
      <w:r>
        <w:t>е</w:t>
      </w:r>
      <w:r>
        <w:t>ние</w:t>
      </w:r>
      <w:r>
        <w:rPr>
          <w:lang w:val="en-US"/>
        </w:rPr>
        <w:t> </w:t>
      </w:r>
      <w:r w:rsidRPr="00522E36">
        <w:t>I, пункт 17).</w:t>
      </w:r>
    </w:p>
    <w:p w:rsidR="00522E36" w:rsidRPr="00522E36" w:rsidRDefault="00522E36" w:rsidP="00522E36">
      <w:pPr>
        <w:pStyle w:val="SingleTxtGR"/>
      </w:pPr>
      <w:r w:rsidRPr="00522E36">
        <w:t>2.</w:t>
      </w:r>
      <w:r w:rsidRPr="00522E36">
        <w:tab/>
        <w:t xml:space="preserve">В соответствии с планом реформы на своей двадцатой сессии (Женева, 28–31 октября 2014 года) Комитет по экологической политике приветствовал документ, содержащий уроки, извлеченные из среднесрочного обзора основных итогов Астанинской конференции в рамках процесса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(ECE/CEP/2014/10), подготовленный Президиумом при поддержке секретариата, и постановил принять к сведению извлеченные уроки и выявле</w:t>
      </w:r>
      <w:r w:rsidRPr="00522E36">
        <w:t>н</w:t>
      </w:r>
      <w:r w:rsidRPr="00522E36">
        <w:t>ные в процессе трудности при организации следующего среднесрочного обзора</w:t>
      </w:r>
      <w:r>
        <w:t xml:space="preserve"> </w:t>
      </w:r>
      <w:r w:rsidRPr="00522E36">
        <w:t>(ECE/CEP/2014/2, пункты 66 и 98</w:t>
      </w:r>
      <w:r w:rsidR="00CC5C3B" w:rsidRPr="00CC5C3B">
        <w:t xml:space="preserve"> </w:t>
      </w:r>
      <w:r w:rsidR="00CC5C3B" w:rsidRPr="00522E36">
        <w:t>dd)</w:t>
      </w:r>
      <w:r w:rsidRPr="00522E36">
        <w:t>).</w:t>
      </w:r>
    </w:p>
    <w:p w:rsidR="00522E36" w:rsidRPr="00522E36" w:rsidRDefault="00522E36" w:rsidP="00522E36">
      <w:pPr>
        <w:pStyle w:val="SingleTxtGR"/>
      </w:pPr>
      <w:r w:rsidRPr="00522E36">
        <w:t>3.</w:t>
      </w:r>
      <w:r w:rsidRPr="00522E36">
        <w:tab/>
        <w:t xml:space="preserve">На восьмой Конференции министров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(Батуми, Грузия, 8</w:t>
      </w:r>
      <w:r w:rsidR="00CC5C3B">
        <w:t>–</w:t>
      </w:r>
      <w:r w:rsidRPr="00522E36">
        <w:t>10 июня 2016 года) министры предложили Комитету по эк</w:t>
      </w:r>
      <w:r w:rsidRPr="00522E36">
        <w:t>о</w:t>
      </w:r>
      <w:r w:rsidRPr="00522E36">
        <w:t>логической политике провести в 2018 году среднесрочный обзор, чтобы оц</w:t>
      </w:r>
      <w:r w:rsidRPr="00522E36">
        <w:t>е</w:t>
      </w:r>
      <w:r w:rsidRPr="00522E36">
        <w:t xml:space="preserve">нить прогресс в реализации основных итогов Батумской конференции (ECE/BATUMI.CONF/2016/2/Add.1, пункт 16). </w:t>
      </w:r>
    </w:p>
    <w:p w:rsidR="00522E36" w:rsidRPr="00522E36" w:rsidRDefault="00522E36" w:rsidP="00522E36">
      <w:pPr>
        <w:pStyle w:val="SingleTxtGR"/>
      </w:pPr>
      <w:r w:rsidRPr="00522E36">
        <w:t>4.</w:t>
      </w:r>
      <w:r w:rsidRPr="00522E36">
        <w:tab/>
        <w:t>В ответ на своей двадцать второй сессии (Женева, 25</w:t>
      </w:r>
      <w:r>
        <w:t>–</w:t>
      </w:r>
      <w:r w:rsidRPr="00522E36">
        <w:t>27 января 2017 г</w:t>
      </w:r>
      <w:r w:rsidRPr="00522E36">
        <w:t>о</w:t>
      </w:r>
      <w:r w:rsidRPr="00522E36">
        <w:t>да) Комитет по экологической политике просил Президиум подготовить при поддержке секретариата документ с предложением о сфере охвата, формате и условиях организации среднесрочного обзора для рассмотрения Комитетом на его следующей сессии (ECE/CEP/2017/2, подпункт f) пункта 28).</w:t>
      </w:r>
    </w:p>
    <w:p w:rsidR="00522E36" w:rsidRPr="00522E36" w:rsidRDefault="00522E36" w:rsidP="00522E36">
      <w:pPr>
        <w:pStyle w:val="SingleTxtGR"/>
      </w:pPr>
      <w:r w:rsidRPr="00522E36">
        <w:t>5.</w:t>
      </w:r>
      <w:r w:rsidRPr="00522E36">
        <w:tab/>
        <w:t>Во исполнение вышеуказанных решений и просьб в настоящем докуме</w:t>
      </w:r>
      <w:r w:rsidRPr="00522E36">
        <w:t>н</w:t>
      </w:r>
      <w:r w:rsidRPr="00522E36">
        <w:t>те предлагаются сфера охвата, формат и условия организации среднесрочного обзора Батумской конференции. В приложениях I и II содержатся соответстве</w:t>
      </w:r>
      <w:r w:rsidRPr="00522E36">
        <w:t>н</w:t>
      </w:r>
      <w:r w:rsidR="00CC5C3B">
        <w:t>но</w:t>
      </w:r>
      <w:r w:rsidRPr="00522E36">
        <w:t xml:space="preserve"> предварительный план повестки дня среднесрочного обзора и типовая фо</w:t>
      </w:r>
      <w:r w:rsidRPr="00522E36">
        <w:t>р</w:t>
      </w:r>
      <w:r w:rsidRPr="00522E36">
        <w:t>ма для подготовки докладов. Для удобства читателей в приложении III прив</w:t>
      </w:r>
      <w:r w:rsidRPr="00522E36">
        <w:t>о</w:t>
      </w:r>
      <w:r w:rsidRPr="00522E36">
        <w:t>дится раздел об извлеченных уроках документа, посвященного среднесрочному обз</w:t>
      </w:r>
      <w:r w:rsidRPr="00522E36">
        <w:t>о</w:t>
      </w:r>
      <w:r w:rsidRPr="00522E36">
        <w:t>ру основных итогов Астанинской конференции. В документе отражены замеч</w:t>
      </w:r>
      <w:r w:rsidRPr="00522E36">
        <w:t>а</w:t>
      </w:r>
      <w:r w:rsidRPr="00522E36">
        <w:t>ния, высказанные Президиумом.</w:t>
      </w:r>
    </w:p>
    <w:p w:rsidR="00522E36" w:rsidRPr="00522E36" w:rsidRDefault="00522E36" w:rsidP="00522E36">
      <w:pPr>
        <w:pStyle w:val="SingleTxtGR"/>
      </w:pPr>
      <w:r w:rsidRPr="00522E36">
        <w:t>6.</w:t>
      </w:r>
      <w:r w:rsidRPr="00522E36">
        <w:tab/>
        <w:t>Комитету предлагается рассмотреть настоящий документ с расчетом на согласование организации среднесрочного обзора Батумской конференции в 2018 году, что направит процесс подготовки обзора в нужное русло.</w:t>
      </w:r>
    </w:p>
    <w:p w:rsidR="00522E36" w:rsidRPr="00522E36" w:rsidRDefault="00522E36" w:rsidP="00522E36">
      <w:pPr>
        <w:pStyle w:val="HChGR"/>
      </w:pPr>
      <w:r w:rsidRPr="00522E36">
        <w:tab/>
        <w:t>II.</w:t>
      </w:r>
      <w:r w:rsidRPr="00522E36">
        <w:tab/>
        <w:t xml:space="preserve">Обзор восьмой Конференции министров </w:t>
      </w:r>
      <w:r>
        <w:t>«</w:t>
      </w:r>
      <w:r w:rsidRPr="00522E36">
        <w:t>Окружающая среда для Европы</w:t>
      </w:r>
      <w:r>
        <w:t>»</w:t>
      </w:r>
    </w:p>
    <w:p w:rsidR="00522E36" w:rsidRPr="00522E36" w:rsidRDefault="00522E36" w:rsidP="00522E36">
      <w:pPr>
        <w:pStyle w:val="SingleTxtGR"/>
      </w:pPr>
      <w:r w:rsidRPr="00522E36">
        <w:t>7.</w:t>
      </w:r>
      <w:r w:rsidRPr="00522E36">
        <w:tab/>
        <w:t xml:space="preserve">Восьмая Конференция министров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с</w:t>
      </w:r>
      <w:r w:rsidRPr="00522E36">
        <w:t>о</w:t>
      </w:r>
      <w:r w:rsidRPr="00522E36">
        <w:t>стоялась в Батуми, Грузия, в июне 2016 года. На конференции были рассмотр</w:t>
      </w:r>
      <w:r w:rsidRPr="00522E36">
        <w:t>е</w:t>
      </w:r>
      <w:r w:rsidRPr="00522E36">
        <w:t xml:space="preserve">ны две главные темы: экологизация экономики в </w:t>
      </w:r>
      <w:r w:rsidR="00CC5C3B">
        <w:t>п</w:t>
      </w:r>
      <w:r w:rsidRPr="00522E36">
        <w:t>анъевропейском регионе и повышение качества воздуха в интересах улучшения состояния окружающей среды и здоровья человека. Кроме того, в ходе сегмента, посвященного образ</w:t>
      </w:r>
      <w:r w:rsidRPr="00522E36">
        <w:t>о</w:t>
      </w:r>
      <w:r w:rsidRPr="00522E36">
        <w:t>ванию в интересах устойчивого развития, участники оценили прогресс, дости</w:t>
      </w:r>
      <w:r w:rsidRPr="00522E36">
        <w:t>г</w:t>
      </w:r>
      <w:r w:rsidRPr="00522E36">
        <w:t>нутый в ходе десяти лет осуществления Стратегии ЕЭК для образования в и</w:t>
      </w:r>
      <w:r w:rsidRPr="00522E36">
        <w:t>н</w:t>
      </w:r>
      <w:r w:rsidRPr="00522E36">
        <w:t>тересах устойчивого развития, и определили будущие приоритеты и рамки по осуществлению Стратегии.</w:t>
      </w:r>
    </w:p>
    <w:p w:rsidR="00522E36" w:rsidRPr="00522E36" w:rsidRDefault="00522E36" w:rsidP="00522E36">
      <w:pPr>
        <w:pStyle w:val="SingleTxtGR"/>
      </w:pPr>
      <w:r w:rsidRPr="00522E36">
        <w:lastRenderedPageBreak/>
        <w:t>8.</w:t>
      </w:r>
      <w:r w:rsidRPr="00522E36">
        <w:tab/>
        <w:t>В первый день Конференции делегаты работали над продвижением вп</w:t>
      </w:r>
      <w:r w:rsidRPr="00522E36">
        <w:t>е</w:t>
      </w:r>
      <w:r w:rsidRPr="00522E36">
        <w:t>ред экологического измерения Повестки дня в области устойчивого развития на период до 2030 года, как рассматривая вопрос о том, каким образом многост</w:t>
      </w:r>
      <w:r w:rsidRPr="00522E36">
        <w:t>о</w:t>
      </w:r>
      <w:r w:rsidRPr="00522E36">
        <w:t>ронние природоохранные соглашения ЕЭК, ее политика и институты соде</w:t>
      </w:r>
      <w:r w:rsidRPr="00522E36">
        <w:t>й</w:t>
      </w:r>
      <w:r w:rsidRPr="00522E36">
        <w:t xml:space="preserve">ствуют осуществлению Повестки дня на период до 2030 года, так и оценивая прогресс, достигнутый в разработке общих систем экологической информации для контроля за состоянием окружающей среды в </w:t>
      </w:r>
      <w:r w:rsidR="00CC5C3B">
        <w:t>п</w:t>
      </w:r>
      <w:r w:rsidRPr="00522E36">
        <w:t>анъевропейском регионе.</w:t>
      </w:r>
    </w:p>
    <w:p w:rsidR="00522E36" w:rsidRPr="00522E36" w:rsidRDefault="00522E36" w:rsidP="00522E36">
      <w:pPr>
        <w:pStyle w:val="SingleTxtGR"/>
      </w:pPr>
      <w:r w:rsidRPr="00522E36">
        <w:t>9.</w:t>
      </w:r>
      <w:r w:rsidRPr="00522E36">
        <w:tab/>
        <w:t xml:space="preserve">К числу основных итогов Конференции относятся: Батумская декларация министров; Панъевропейские стратегические рамки экологизации экономики (Стратегические рамки) и ее Батумская инициатива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(БИЗ-Э); Батумская инициатива по борьбе за чистый воздух (БАКА); и Бату</w:t>
      </w:r>
      <w:r w:rsidRPr="00522E36">
        <w:t>м</w:t>
      </w:r>
      <w:r w:rsidRPr="00522E36">
        <w:t>ское заявление министров по образованию в интересах устойчивого развития.</w:t>
      </w:r>
    </w:p>
    <w:p w:rsidR="00522E36" w:rsidRPr="00522E36" w:rsidRDefault="00522E36" w:rsidP="00522E36">
      <w:pPr>
        <w:pStyle w:val="SingleTxtGR"/>
      </w:pPr>
      <w:r w:rsidRPr="00522E36">
        <w:t>10.</w:t>
      </w:r>
      <w:r w:rsidRPr="00522E36">
        <w:tab/>
        <w:t>Конференция была организована в интерактивном формате, были пров</w:t>
      </w:r>
      <w:r w:rsidRPr="00522E36">
        <w:t>е</w:t>
      </w:r>
      <w:r w:rsidRPr="00522E36">
        <w:t xml:space="preserve">дены интерактивные обсуждения в формате </w:t>
      </w:r>
      <w:r>
        <w:t>«</w:t>
      </w:r>
      <w:r w:rsidRPr="00522E36">
        <w:t>ток-шоу</w:t>
      </w:r>
      <w:r>
        <w:t>»</w:t>
      </w:r>
      <w:r w:rsidRPr="00522E36">
        <w:t>, четыре круглых стола на высоком уровне с участием широкого круга заинтересованных сторон, а также групповые обсуждения. С целью содействия проводившимся в ходе Ко</w:t>
      </w:r>
      <w:r w:rsidRPr="00522E36">
        <w:t>н</w:t>
      </w:r>
      <w:r w:rsidRPr="00522E36">
        <w:t>ференции обсуждениям с участием широкого круга заинтересованных сторон и поддержки процесса принятия решений ЕЭК совместно с Программой Орган</w:t>
      </w:r>
      <w:r w:rsidRPr="00522E36">
        <w:t>и</w:t>
      </w:r>
      <w:r w:rsidRPr="00522E36">
        <w:t xml:space="preserve">зации Объединенных Наций по окружающей среде и другими партнерами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подготовила основные документы по каждой из двух главных тем. Кроме того, ЕЭК и партнеры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подготовили ряд полезных информационных документов и подборку из 11 справочных бюллетеней, в которых отражена связь между деятельностью ЕЭК в области окружающей среды и соответств</w:t>
      </w:r>
      <w:r w:rsidRPr="00522E36">
        <w:t>у</w:t>
      </w:r>
      <w:r w:rsidRPr="00522E36">
        <w:t>ющими целями в области устойчивого развития и их задачами. Батумская ко</w:t>
      </w:r>
      <w:r w:rsidRPr="00522E36">
        <w:t>н</w:t>
      </w:r>
      <w:r w:rsidRPr="00522E36">
        <w:t>ференция проходила без использования документов на бумаге.</w:t>
      </w:r>
    </w:p>
    <w:p w:rsidR="00522E36" w:rsidRPr="00522E36" w:rsidRDefault="00522E36" w:rsidP="00522E36">
      <w:pPr>
        <w:pStyle w:val="SingleTxtGR"/>
      </w:pPr>
      <w:r w:rsidRPr="00522E36">
        <w:t>11.</w:t>
      </w:r>
      <w:r w:rsidRPr="00522E36">
        <w:tab/>
        <w:t xml:space="preserve">В рамках Конференции ЕЭК и партнеры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организовали 7 выставок и 33 параллельных мероприятия по в</w:t>
      </w:r>
      <w:r w:rsidRPr="00522E36">
        <w:t>о</w:t>
      </w:r>
      <w:r w:rsidRPr="00522E36">
        <w:t>просам, связанным с темами Конференции. В Батумской конференции приняли участие более 630 официальных делегатов, представлявших правительства, международное сообщество, гражданское общество, деловые круги и средства массовой информации всего региона ЕЭК. Было зарегистрировано в общей сложности более 700 участников, включая тех, кто участвовал только в пара</w:t>
      </w:r>
      <w:r w:rsidRPr="00522E36">
        <w:t>л</w:t>
      </w:r>
      <w:r w:rsidRPr="00522E36">
        <w:t>лельных мероприятиях и выставках.</w:t>
      </w:r>
    </w:p>
    <w:p w:rsidR="00522E36" w:rsidRPr="00522E36" w:rsidRDefault="00522E36" w:rsidP="00522E36">
      <w:pPr>
        <w:pStyle w:val="SingleTxtGR"/>
      </w:pPr>
      <w:r w:rsidRPr="00522E36">
        <w:t>12.</w:t>
      </w:r>
      <w:r w:rsidRPr="00522E36">
        <w:tab/>
        <w:t>За подготовку Конференции отвечал Комитет по экологической политике ЕЭК. Поддержку Комитету в его работе оказывал секретариат ЕЭК в сотрудн</w:t>
      </w:r>
      <w:r w:rsidRPr="00522E36">
        <w:t>и</w:t>
      </w:r>
      <w:r w:rsidRPr="00522E36">
        <w:t xml:space="preserve">честве с партнерами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>. Прав</w:t>
      </w:r>
      <w:r w:rsidRPr="00522E36">
        <w:t>и</w:t>
      </w:r>
      <w:r w:rsidRPr="00522E36">
        <w:t>тельство Грузии содействовало подготовке, организации и проведению Конф</w:t>
      </w:r>
      <w:r w:rsidRPr="00522E36">
        <w:t>е</w:t>
      </w:r>
      <w:r w:rsidRPr="00522E36">
        <w:t>ренции в соответствии с решениями, принятыми Комитетом. Подготовительный процесс и сама Конференция были организованы в соответствии с положени</w:t>
      </w:r>
      <w:r w:rsidRPr="00522E36">
        <w:t>я</w:t>
      </w:r>
      <w:r w:rsidRPr="00522E36">
        <w:t xml:space="preserve">ми плана реформы процесса </w:t>
      </w:r>
      <w:r>
        <w:t>«</w:t>
      </w:r>
      <w:r w:rsidRPr="00522E36">
        <w:t>Окружающая среда для Европы</w:t>
      </w:r>
      <w:r>
        <w:t>»</w:t>
      </w:r>
      <w:r w:rsidRPr="00522E36">
        <w:t>, принятого в 2009 году (ECE/CEP/S/152 и Corr.1, приложение I), и в соответствии с процед</w:t>
      </w:r>
      <w:r w:rsidRPr="00522E36">
        <w:t>у</w:t>
      </w:r>
      <w:r w:rsidRPr="00522E36">
        <w:t>рами для Конференции министров в Батуми, принятыми Комитетом в 2014 году (ECE/CEP/2014/15)</w:t>
      </w:r>
      <w:r w:rsidRPr="00E21DFA">
        <w:rPr>
          <w:sz w:val="18"/>
          <w:vertAlign w:val="superscript"/>
        </w:rPr>
        <w:footnoteReference w:id="1"/>
      </w:r>
      <w:r w:rsidRPr="00522E36">
        <w:t>.</w:t>
      </w:r>
    </w:p>
    <w:p w:rsidR="00522E36" w:rsidRPr="00522E36" w:rsidRDefault="00522E36" w:rsidP="00522E36">
      <w:pPr>
        <w:pStyle w:val="SingleTxtGR"/>
      </w:pPr>
      <w:r w:rsidRPr="00522E36">
        <w:t>13.</w:t>
      </w:r>
      <w:r w:rsidRPr="00522E36">
        <w:tab/>
        <w:t>Процесс подготовки Батумской конференции начался в 2014 году и вкл</w:t>
      </w:r>
      <w:r w:rsidRPr="00522E36">
        <w:t>ю</w:t>
      </w:r>
      <w:r w:rsidRPr="00522E36">
        <w:t>чал две очередные сессии (в 2014 и 2015 год</w:t>
      </w:r>
      <w:r>
        <w:t>ах) и две специальные сессии (в </w:t>
      </w:r>
      <w:r w:rsidRPr="00522E36">
        <w:t xml:space="preserve">2016 году) Комитета; два отдельных совещания Президиума (в 2014 и </w:t>
      </w:r>
      <w:r>
        <w:br/>
      </w:r>
      <w:r w:rsidRPr="00522E36">
        <w:t>2015 годах) и четыре совещания, приуроченны</w:t>
      </w:r>
      <w:r>
        <w:t xml:space="preserve">е к сессиям Комитета </w:t>
      </w:r>
      <w:r>
        <w:br/>
        <w:t>(2014–2016 </w:t>
      </w:r>
      <w:r w:rsidRPr="00522E36">
        <w:t xml:space="preserve">годы); деятельность Группы экспертов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с использованием виртуальных средств и на одном совещании группы в Глионе, Швейцария (в 2016 году). </w:t>
      </w:r>
    </w:p>
    <w:p w:rsidR="00522E36" w:rsidRPr="00522E36" w:rsidRDefault="00522E36" w:rsidP="00522E36">
      <w:pPr>
        <w:pStyle w:val="HChGR"/>
      </w:pPr>
      <w:r w:rsidRPr="00522E36">
        <w:lastRenderedPageBreak/>
        <w:tab/>
        <w:t>III.</w:t>
      </w:r>
      <w:r w:rsidRPr="00522E36">
        <w:tab/>
        <w:t>Тематический охват среднесрочного обзора</w:t>
      </w:r>
    </w:p>
    <w:p w:rsidR="00522E36" w:rsidRPr="00522E36" w:rsidRDefault="00522E36" w:rsidP="00522E36">
      <w:pPr>
        <w:pStyle w:val="SingleTxtGR"/>
      </w:pPr>
      <w:r w:rsidRPr="00522E36">
        <w:t>14.</w:t>
      </w:r>
      <w:r w:rsidRPr="00522E36">
        <w:tab/>
        <w:t xml:space="preserve">В соответствии с планом реформы процесса </w:t>
      </w:r>
      <w:r>
        <w:t>«</w:t>
      </w:r>
      <w:r w:rsidRPr="00522E36">
        <w:t>Окружающая среда для Е</w:t>
      </w:r>
      <w:r w:rsidRPr="00522E36">
        <w:t>в</w:t>
      </w:r>
      <w:r w:rsidRPr="00522E36">
        <w:t>ропы</w:t>
      </w:r>
      <w:r>
        <w:t>»</w:t>
      </w:r>
      <w:r w:rsidRPr="00522E36">
        <w:t xml:space="preserve"> всем соответствующим заинтересованным сторонам следует предприн</w:t>
      </w:r>
      <w:r w:rsidRPr="00522E36">
        <w:t>и</w:t>
      </w:r>
      <w:r w:rsidRPr="00522E36">
        <w:t xml:space="preserve">мать особые усилия по реализации итогов конференций министров </w:t>
      </w:r>
      <w:r>
        <w:t>«</w:t>
      </w:r>
      <w:r w:rsidRPr="00522E36">
        <w:t>Окружа</w:t>
      </w:r>
      <w:r w:rsidRPr="00522E36">
        <w:t>ю</w:t>
      </w:r>
      <w:r w:rsidRPr="00522E36">
        <w:t>щая среда для Европы</w:t>
      </w:r>
      <w:r>
        <w:t>»</w:t>
      </w:r>
      <w:r w:rsidRPr="00522E36">
        <w:t>. Государства</w:t>
      </w:r>
      <w:r w:rsidR="00E21DFA">
        <w:t>-</w:t>
      </w:r>
      <w:r w:rsidRPr="00522E36">
        <w:t xml:space="preserve">члены должны регулярно рассматривать вопрос о том, каким образом содействовать достижению целей и реализации приоритетов процесса </w:t>
      </w:r>
      <w:r>
        <w:t>«</w:t>
      </w:r>
      <w:r w:rsidRPr="00522E36">
        <w:t>Окружающая среда для Европы</w:t>
      </w:r>
      <w:r>
        <w:t>»</w:t>
      </w:r>
      <w:r w:rsidRPr="00522E36">
        <w:t>, и укреплять ос</w:t>
      </w:r>
      <w:r w:rsidRPr="00522E36">
        <w:t>у</w:t>
      </w:r>
      <w:r w:rsidRPr="00522E36">
        <w:t xml:space="preserve">ществление результатов Конференции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через посредство реализации национальной политики и налаживания соответству</w:t>
      </w:r>
      <w:r w:rsidRPr="00522E36">
        <w:t>ю</w:t>
      </w:r>
      <w:r w:rsidRPr="00522E36">
        <w:t>щего партнерства. Активное участие всех заинтересованных стран ЕЭК и их вклад, и в частности заинтересованных стран субрегионов, имеющих особые потребности в улучшении своей окружающей среды, явля</w:t>
      </w:r>
      <w:r w:rsidR="003B142F">
        <w:t>ю</w:t>
      </w:r>
      <w:r w:rsidRPr="00522E36">
        <w:t>тся весьма важным</w:t>
      </w:r>
      <w:r w:rsidR="003B142F">
        <w:t>и</w:t>
      </w:r>
      <w:r w:rsidRPr="00522E36">
        <w:t xml:space="preserve"> для обеспечения деятельности в рамках процесса </w:t>
      </w:r>
      <w:r>
        <w:t>«</w:t>
      </w:r>
      <w:r w:rsidRPr="00522E36">
        <w:t>Окружающая среда для Е</w:t>
      </w:r>
      <w:r w:rsidRPr="00522E36">
        <w:t>в</w:t>
      </w:r>
      <w:r w:rsidRPr="00522E36">
        <w:t>ропы</w:t>
      </w:r>
      <w:r>
        <w:t>»</w:t>
      </w:r>
      <w:r w:rsidRPr="00522E36">
        <w:t xml:space="preserve">. </w:t>
      </w:r>
    </w:p>
    <w:p w:rsidR="00522E36" w:rsidRPr="00522E36" w:rsidRDefault="00522E36" w:rsidP="00522E36">
      <w:pPr>
        <w:pStyle w:val="SingleTxtGR"/>
      </w:pPr>
      <w:r w:rsidRPr="00522E36">
        <w:t>15.</w:t>
      </w:r>
      <w:r w:rsidRPr="00522E36">
        <w:tab/>
        <w:t>Батумская конференция принесла ряд результатов, связанных с ее двумя главными темами. Итоговыми документами Конференции являются Декларация министров (ECE/BATUMI.CONF/2016/2/Add.1), резюме Председателя по ит</w:t>
      </w:r>
      <w:r w:rsidRPr="00522E36">
        <w:t>о</w:t>
      </w:r>
      <w:r w:rsidRPr="00522E36">
        <w:t>гам Конференции (ECE/BATUMI.CONF/2016/2/Add.3) и доклад о работе Ко</w:t>
      </w:r>
      <w:r w:rsidRPr="00522E36">
        <w:t>н</w:t>
      </w:r>
      <w:r w:rsidRPr="00522E36">
        <w:t>ференции (ECE/BATUMI.CONF/2016/2)</w:t>
      </w:r>
      <w:r w:rsidRPr="00E21DFA">
        <w:rPr>
          <w:sz w:val="18"/>
          <w:vertAlign w:val="superscript"/>
        </w:rPr>
        <w:footnoteReference w:id="2"/>
      </w:r>
      <w:r w:rsidRPr="00522E36">
        <w:t>. Результаты сегмента, посвященного образованию в интересах устойчивого развития, отражены в Батумском заявл</w:t>
      </w:r>
      <w:r w:rsidRPr="00522E36">
        <w:t>е</w:t>
      </w:r>
      <w:r w:rsidRPr="00522E36">
        <w:t>нии министров об образовании в интересах устойчивого развития и в резюме сопредседателей сегмента Конференции, посвященного образованию в интер</w:t>
      </w:r>
      <w:r w:rsidRPr="00522E36">
        <w:t>е</w:t>
      </w:r>
      <w:r w:rsidRPr="00522E36">
        <w:t>сах устойчивого развития (ECE/BATUMI.CONF/2016/2/Add.2 и Add.4 соотве</w:t>
      </w:r>
      <w:r w:rsidRPr="00522E36">
        <w:t>т</w:t>
      </w:r>
      <w:r w:rsidRPr="00522E36">
        <w:t xml:space="preserve">ственно). </w:t>
      </w:r>
    </w:p>
    <w:p w:rsidR="00522E36" w:rsidRPr="00522E36" w:rsidRDefault="00522E36" w:rsidP="00522E36">
      <w:pPr>
        <w:pStyle w:val="SingleTxtGR"/>
      </w:pPr>
      <w:r w:rsidRPr="00522E36">
        <w:t>16.</w:t>
      </w:r>
      <w:r w:rsidRPr="00522E36">
        <w:tab/>
        <w:t xml:space="preserve">В соответствии с Декларацией министров в ходе среднесрочного обзора основных итогов Батумской конференции основное внимание будет уделено рассмотрению прогресса, достигнутого в области: </w:t>
      </w:r>
    </w:p>
    <w:p w:rsidR="00522E36" w:rsidRPr="00522E36" w:rsidRDefault="00522E36" w:rsidP="00522E36">
      <w:pPr>
        <w:pStyle w:val="SingleTxtGR"/>
      </w:pPr>
      <w:r w:rsidRPr="00522E36">
        <w:tab/>
        <w:t>а)</w:t>
      </w:r>
      <w:r w:rsidRPr="00522E36">
        <w:tab/>
        <w:t>осуществления Панъевропейских стратегических рамок экологиз</w:t>
      </w:r>
      <w:r w:rsidRPr="00522E36">
        <w:t>а</w:t>
      </w:r>
      <w:r w:rsidRPr="00522E36">
        <w:t xml:space="preserve">ции экономики и Батумской инициативы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(БИЗ-Э);</w:t>
      </w:r>
    </w:p>
    <w:p w:rsidR="00522E36" w:rsidRPr="00522E36" w:rsidRDefault="00522E36" w:rsidP="00522E36">
      <w:pPr>
        <w:pStyle w:val="SingleTxtGR"/>
      </w:pPr>
      <w:r w:rsidRPr="00522E36">
        <w:tab/>
        <w:t>b)</w:t>
      </w:r>
      <w:r w:rsidRPr="00522E36">
        <w:tab/>
        <w:t>осуществления Батумской инициативы по борьбе за чистый воздух;</w:t>
      </w:r>
    </w:p>
    <w:p w:rsidR="00522E36" w:rsidRPr="00522E36" w:rsidRDefault="00522E36" w:rsidP="00522E36">
      <w:pPr>
        <w:pStyle w:val="SingleTxtGR"/>
      </w:pPr>
      <w:r w:rsidRPr="00522E36">
        <w:tab/>
        <w:t>с)</w:t>
      </w:r>
      <w:r w:rsidRPr="00522E36">
        <w:tab/>
        <w:t>разработки Общей системы экологической информации для по</w:t>
      </w:r>
      <w:r w:rsidRPr="00522E36">
        <w:t>д</w:t>
      </w:r>
      <w:r w:rsidRPr="00522E36">
        <w:t>держки регулярного процесса экологической оценки;</w:t>
      </w:r>
    </w:p>
    <w:p w:rsidR="00522E36" w:rsidRPr="00522E36" w:rsidRDefault="00522E36" w:rsidP="00522E36">
      <w:pPr>
        <w:pStyle w:val="SingleTxtGR"/>
      </w:pPr>
      <w:r w:rsidRPr="00522E36">
        <w:tab/>
        <w:t>d)</w:t>
      </w:r>
      <w:r w:rsidRPr="00522E36">
        <w:tab/>
        <w:t>проведения третьего цикла обзоров результативности экологич</w:t>
      </w:r>
      <w:r w:rsidRPr="00522E36">
        <w:t>е</w:t>
      </w:r>
      <w:r w:rsidRPr="00522E36">
        <w:t>ской деятельности ЕЭК, в том числе для содействия достижению и монитори</w:t>
      </w:r>
      <w:r w:rsidRPr="00522E36">
        <w:t>н</w:t>
      </w:r>
      <w:r w:rsidRPr="00522E36">
        <w:t>гу целей в области устойчивого развития;</w:t>
      </w:r>
    </w:p>
    <w:p w:rsidR="00522E36" w:rsidRPr="00522E36" w:rsidRDefault="00522E36" w:rsidP="00522E36">
      <w:pPr>
        <w:pStyle w:val="SingleTxtGR"/>
      </w:pPr>
      <w:r w:rsidRPr="00522E36">
        <w:tab/>
        <w:t>e)</w:t>
      </w:r>
      <w:r w:rsidRPr="00522E36">
        <w:tab/>
        <w:t>осуществления многосторонних природоохранных соглашений ЕЭК в поддержку Повестки дня в области устойчивого развития на период до 2030 года (Повестки дня на период до 2030 года), а также усиления участия гражданского общества и частного сектора в их осуществлении;</w:t>
      </w:r>
    </w:p>
    <w:p w:rsidR="00522E36" w:rsidRPr="00522E36" w:rsidRDefault="00522E36" w:rsidP="00522E36">
      <w:pPr>
        <w:pStyle w:val="SingleTxtGR"/>
      </w:pPr>
      <w:r w:rsidRPr="00522E36">
        <w:tab/>
        <w:t>f)</w:t>
      </w:r>
      <w:r w:rsidRPr="00522E36">
        <w:tab/>
        <w:t xml:space="preserve">деятельности Целевой группы Программы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и охране окружающей среды;</w:t>
      </w:r>
    </w:p>
    <w:p w:rsidR="00522E36" w:rsidRPr="00522E36" w:rsidRDefault="00522E36" w:rsidP="00522E36">
      <w:pPr>
        <w:pStyle w:val="SingleTxtGR"/>
      </w:pPr>
      <w:r w:rsidRPr="00522E36">
        <w:tab/>
        <w:t>g)</w:t>
      </w:r>
      <w:r w:rsidRPr="00522E36">
        <w:tab/>
        <w:t>активизации работы региональных экологических центров для по</w:t>
      </w:r>
      <w:r w:rsidRPr="00522E36">
        <w:t>д</w:t>
      </w:r>
      <w:r w:rsidRPr="00522E36">
        <w:t>держки удовлетворения потребностей целевых стран.</w:t>
      </w:r>
    </w:p>
    <w:p w:rsidR="00522E36" w:rsidRPr="00522E36" w:rsidRDefault="00522E36" w:rsidP="00522E36">
      <w:pPr>
        <w:pStyle w:val="SingleTxtGR"/>
      </w:pPr>
      <w:r w:rsidRPr="00522E36">
        <w:t>17.</w:t>
      </w:r>
      <w:r w:rsidRPr="00522E36">
        <w:tab/>
        <w:t>Руководящий комитет ЕЭК по образованию в интересах устойчивого ра</w:t>
      </w:r>
      <w:r w:rsidRPr="00522E36">
        <w:t>з</w:t>
      </w:r>
      <w:r w:rsidRPr="00522E36">
        <w:t xml:space="preserve">вития рассмотрит итоги Конференции, связанные с образованием в интересах устойчивого развития. </w:t>
      </w:r>
    </w:p>
    <w:p w:rsidR="00522E36" w:rsidRPr="00522E36" w:rsidRDefault="00E21DFA" w:rsidP="00522E36">
      <w:pPr>
        <w:pStyle w:val="SingleTxtGR"/>
      </w:pPr>
      <w:r>
        <w:br w:type="page"/>
      </w:r>
      <w:r w:rsidR="00522E36" w:rsidRPr="00522E36">
        <w:lastRenderedPageBreak/>
        <w:t>18.</w:t>
      </w:r>
      <w:r w:rsidR="00522E36" w:rsidRPr="00522E36">
        <w:tab/>
        <w:t>В связи с вышеизложенным на своей двадцать третьей сессии Комитет, возможно, пожелает рассмотреть вопрос о принятии специальных мер по по</w:t>
      </w:r>
      <w:r w:rsidR="00522E36" w:rsidRPr="00522E36">
        <w:t>д</w:t>
      </w:r>
      <w:r w:rsidR="00522E36" w:rsidRPr="00522E36">
        <w:t>готовке справочных документов (кратких среднесрочных докладов) для средн</w:t>
      </w:r>
      <w:r w:rsidR="00522E36" w:rsidRPr="00522E36">
        <w:t>е</w:t>
      </w:r>
      <w:r w:rsidR="00522E36" w:rsidRPr="00522E36">
        <w:t xml:space="preserve">срочного обзора в 2018 году в соответствии с типовой формой, приведенной в приложении II к настоящему документу, по темам, изложенным в разделах A–G ниже. </w:t>
      </w:r>
    </w:p>
    <w:p w:rsidR="00522E36" w:rsidRPr="00522E36" w:rsidRDefault="00522E36" w:rsidP="00E21DFA">
      <w:pPr>
        <w:pStyle w:val="H1GR"/>
      </w:pPr>
      <w:r w:rsidRPr="00522E36">
        <w:tab/>
        <w:t>A.</w:t>
      </w:r>
      <w:r w:rsidRPr="00522E36">
        <w:tab/>
        <w:t>Экологизация экономики</w:t>
      </w:r>
    </w:p>
    <w:p w:rsidR="00522E36" w:rsidRPr="00522E36" w:rsidRDefault="00522E36" w:rsidP="00522E36">
      <w:pPr>
        <w:pStyle w:val="SingleTxtGR"/>
      </w:pPr>
      <w:r w:rsidRPr="00522E36">
        <w:t>19.</w:t>
      </w:r>
      <w:r w:rsidRPr="00522E36">
        <w:tab/>
        <w:t>Помимо прочих направлений последующей деятельности</w:t>
      </w:r>
      <w:r w:rsidR="003B142F">
        <w:t>,</w:t>
      </w:r>
      <w:r w:rsidRPr="00522E36">
        <w:t xml:space="preserve"> министры в Батуми одобрили добровольные Панъевропейские стратегические рамки экол</w:t>
      </w:r>
      <w:r w:rsidRPr="00522E36">
        <w:t>о</w:t>
      </w:r>
      <w:r w:rsidRPr="00522E36">
        <w:t xml:space="preserve">гизации экономики – инструмент, поддерживающий усилия стран по переходу к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и в то же время способствующий достижению целей в о</w:t>
      </w:r>
      <w:r w:rsidRPr="00522E36">
        <w:t>б</w:t>
      </w:r>
      <w:r w:rsidRPr="00522E36">
        <w:t>ласти устойчивого развития</w:t>
      </w:r>
      <w:r w:rsidR="003B142F">
        <w:t>,</w:t>
      </w:r>
      <w:r w:rsidRPr="00522E36">
        <w:t xml:space="preserve"> – и предложили государствам – членам ЕЭК и др</w:t>
      </w:r>
      <w:r w:rsidRPr="00522E36">
        <w:t>у</w:t>
      </w:r>
      <w:r w:rsidRPr="00522E36">
        <w:t>гим заинтересованным сторонам реализовывать их. Министры также приве</w:t>
      </w:r>
      <w:r w:rsidRPr="00522E36">
        <w:t>т</w:t>
      </w:r>
      <w:r w:rsidRPr="00522E36">
        <w:t xml:space="preserve">ствовали Батумскую инициативу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экономике, которая укрепляет добровольные обязательства по введению в действие Стратегических рамок. Министры призвали страны и другие заинтересованные стороны выполнить обязательства по Панъевропейским стратегическим рамкам экологизации эк</w:t>
      </w:r>
      <w:r w:rsidRPr="00522E36">
        <w:t>о</w:t>
      </w:r>
      <w:r w:rsidRPr="00522E36">
        <w:t xml:space="preserve">номики, чтобы облегчить переход к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экономике, и доложить о пр</w:t>
      </w:r>
      <w:r w:rsidRPr="00522E36">
        <w:t>о</w:t>
      </w:r>
      <w:r w:rsidRPr="00522E36">
        <w:t>грессе в этой области Комитету по экологической политике в соответствии со Стратегическими рамками. Министры также призвали поощрять осуществл</w:t>
      </w:r>
      <w:r w:rsidRPr="00522E36">
        <w:t>е</w:t>
      </w:r>
      <w:r w:rsidRPr="00522E36">
        <w:t xml:space="preserve">ние Батумской инициативы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экономике, используя существующие платформы для обмена знаниями, такие как Платформа знаний о </w:t>
      </w:r>
      <w:r>
        <w:t>«</w:t>
      </w:r>
      <w:r w:rsidRPr="00522E36">
        <w:t>зеленом</w:t>
      </w:r>
      <w:r>
        <w:t>»</w:t>
      </w:r>
      <w:r w:rsidRPr="00522E36">
        <w:t xml:space="preserve"> р</w:t>
      </w:r>
      <w:r w:rsidRPr="00522E36">
        <w:t>о</w:t>
      </w:r>
      <w:r w:rsidRPr="00522E36">
        <w:t>сте.</w:t>
      </w:r>
    </w:p>
    <w:p w:rsidR="00522E36" w:rsidRPr="00522E36" w:rsidRDefault="00522E36" w:rsidP="00522E36">
      <w:pPr>
        <w:pStyle w:val="SingleTxtGR"/>
      </w:pPr>
      <w:r w:rsidRPr="00522E36">
        <w:t>20.</w:t>
      </w:r>
      <w:r w:rsidRPr="00522E36">
        <w:tab/>
        <w:t>Министры высоко оценили далее плодотворное сотрудничество между ЕЭК и ЮНЕП и предложили обеим организациям в сотрудничестве с другими соответствующими международными организациями оказывать поддержку странам в их усилиях по экологизации их экономик и достижению устойчивого развития.</w:t>
      </w:r>
    </w:p>
    <w:p w:rsidR="00522E36" w:rsidRPr="00522E36" w:rsidRDefault="00522E36" w:rsidP="00522E36">
      <w:pPr>
        <w:pStyle w:val="SingleTxtGR"/>
      </w:pPr>
      <w:r w:rsidRPr="00522E36">
        <w:t>21.</w:t>
      </w:r>
      <w:r w:rsidRPr="00522E36">
        <w:tab/>
        <w:t xml:space="preserve">Информация о мерах по экологизации экономики, по которым страны и организации взяли на себя обязательства до Батумской конференции, а также о новых мерах, о которых было заявлено после этой конференции, размещена на веб-сайте Платформы знаний о </w:t>
      </w:r>
      <w:r>
        <w:t>«</w:t>
      </w:r>
      <w:r w:rsidRPr="00522E36">
        <w:t>зеленом</w:t>
      </w:r>
      <w:r>
        <w:t>»</w:t>
      </w:r>
      <w:r w:rsidRPr="00522E36">
        <w:t xml:space="preserve"> росте</w:t>
      </w:r>
      <w:r w:rsidRPr="00E21DFA">
        <w:rPr>
          <w:sz w:val="18"/>
          <w:vertAlign w:val="superscript"/>
        </w:rPr>
        <w:footnoteReference w:id="3"/>
      </w:r>
      <w:r w:rsidRPr="00522E36">
        <w:t xml:space="preserve"> и на веб-с</w:t>
      </w:r>
      <w:bookmarkStart w:id="0" w:name="_GoBack"/>
      <w:bookmarkEnd w:id="0"/>
      <w:r w:rsidRPr="00522E36">
        <w:t>айте ЕЭК</w:t>
      </w:r>
      <w:r w:rsidRPr="00E21DFA">
        <w:rPr>
          <w:sz w:val="18"/>
          <w:vertAlign w:val="superscript"/>
        </w:rPr>
        <w:footnoteReference w:id="4"/>
      </w:r>
      <w:r w:rsidRPr="00522E36">
        <w:t>.</w:t>
      </w:r>
    </w:p>
    <w:p w:rsidR="00522E36" w:rsidRPr="00522E36" w:rsidRDefault="00522E36" w:rsidP="00522E36">
      <w:pPr>
        <w:pStyle w:val="SingleTxtGR"/>
      </w:pPr>
      <w:r w:rsidRPr="00522E36">
        <w:t>22.</w:t>
      </w:r>
      <w:r w:rsidRPr="00522E36">
        <w:tab/>
        <w:t xml:space="preserve">В целях содействия обзору прогресса, достигнутого в осуществлении Стратегических рамок и Батумской инициативы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экономике, Ком</w:t>
      </w:r>
      <w:r w:rsidRPr="00522E36">
        <w:t>и</w:t>
      </w:r>
      <w:r w:rsidRPr="00522E36">
        <w:t>тет мог бы предложить заинтересованным сторонам представить доклад о д</w:t>
      </w:r>
      <w:r w:rsidRPr="00522E36">
        <w:t>о</w:t>
      </w:r>
      <w:r w:rsidRPr="00522E36">
        <w:t>стигнутом прогрессе в деле осуществления их обязательств по Батумской ин</w:t>
      </w:r>
      <w:r w:rsidRPr="00522E36">
        <w:t>и</w:t>
      </w:r>
      <w:r w:rsidRPr="00522E36">
        <w:t>циативе на основе типовой формы, подготовленной секретариатом в сотрудн</w:t>
      </w:r>
      <w:r w:rsidRPr="00522E36">
        <w:t>и</w:t>
      </w:r>
      <w:r w:rsidRPr="00522E36">
        <w:t xml:space="preserve">честве с ЮНЕП и в консультации с Президиумом Комитета. На основе таких докладов, подлежащих представлению не позднее </w:t>
      </w:r>
      <w:r w:rsidRPr="00522E36">
        <w:rPr>
          <w:b/>
          <w:bCs/>
        </w:rPr>
        <w:t>31 мая 2018 года</w:t>
      </w:r>
      <w:r w:rsidRPr="00522E36">
        <w:t>, секретар</w:t>
      </w:r>
      <w:r w:rsidRPr="00522E36">
        <w:t>и</w:t>
      </w:r>
      <w:r w:rsidRPr="00522E36">
        <w:t>ат совместно с ЮНЕП и при поддержке консультанта подготовит среднесро</w:t>
      </w:r>
      <w:r w:rsidRPr="00522E36">
        <w:t>ч</w:t>
      </w:r>
      <w:r w:rsidRPr="00522E36">
        <w:t>ный обзорный доклад.</w:t>
      </w:r>
    </w:p>
    <w:p w:rsidR="00522E36" w:rsidRPr="00522E36" w:rsidRDefault="00522E36" w:rsidP="00522E36">
      <w:pPr>
        <w:pStyle w:val="SingleTxtGR"/>
      </w:pPr>
      <w:r w:rsidRPr="00522E36">
        <w:t>23.</w:t>
      </w:r>
      <w:r w:rsidRPr="00522E36">
        <w:tab/>
        <w:t>Кроме того, Комитет мог бы предложить секретариату совместно с ЮНЕП и в сотрудничестве с Организацией экономического сотрудничества и развития (ОЭСР) и другими соответствующими партнерами подготовить сре</w:t>
      </w:r>
      <w:r w:rsidRPr="00522E36">
        <w:t>д</w:t>
      </w:r>
      <w:r w:rsidRPr="00522E36">
        <w:t>несрочный обзорный доклад деятельности по оказанию поддержки странам в их усилиях по экологизации экономик и достижению устойчивого развития.</w:t>
      </w:r>
    </w:p>
    <w:p w:rsidR="00522E36" w:rsidRPr="00522E36" w:rsidRDefault="00E21DFA" w:rsidP="00E21DFA">
      <w:pPr>
        <w:pStyle w:val="H1GR"/>
      </w:pPr>
      <w:r>
        <w:br w:type="page"/>
      </w:r>
      <w:r w:rsidR="00522E36" w:rsidRPr="00522E36">
        <w:lastRenderedPageBreak/>
        <w:tab/>
        <w:t>B.</w:t>
      </w:r>
      <w:r w:rsidR="00522E36" w:rsidRPr="00522E36">
        <w:tab/>
        <w:t>Очистка воздуха</w:t>
      </w:r>
    </w:p>
    <w:p w:rsidR="00522E36" w:rsidRPr="00522E36" w:rsidRDefault="00522E36" w:rsidP="00522E36">
      <w:pPr>
        <w:pStyle w:val="SingleTxtGR"/>
      </w:pPr>
      <w:r w:rsidRPr="00522E36">
        <w:t>24.</w:t>
      </w:r>
      <w:r w:rsidRPr="00522E36">
        <w:tab/>
        <w:t>Что касается действий по улучшению качества воздуха, то министры в Батуми одобрили добровольную Батумскую инициативу по борьбе за чистый воздух и приветствовали инициативы, выдвинутые заинтересованными стран</w:t>
      </w:r>
      <w:r w:rsidRPr="00522E36">
        <w:t>а</w:t>
      </w:r>
      <w:r w:rsidRPr="00522E36">
        <w:t>ми и другими заинтересованными сторонами, которые направлены на повыш</w:t>
      </w:r>
      <w:r w:rsidRPr="00522E36">
        <w:t>е</w:t>
      </w:r>
      <w:r w:rsidRPr="00522E36">
        <w:t>ние качества воздуха и защиту здоровья населения и экосистем. Министры предложили странам и другим заинтересованным сторонам осуществлять Б</w:t>
      </w:r>
      <w:r w:rsidRPr="00522E36">
        <w:t>а</w:t>
      </w:r>
      <w:r w:rsidRPr="00522E36">
        <w:t>тумскую инициативу по борьбе за чистый воздух, в надлежащих случаях, в те</w:t>
      </w:r>
      <w:r w:rsidRPr="00522E36">
        <w:t>с</w:t>
      </w:r>
      <w:r w:rsidRPr="00522E36">
        <w:t>ном сотрудничестве с Конвенцией ЕЭК о трансграничном загрязнении воздуха на большие расстояния (Конвенцией по воздуху) и докладывать о прогрессе в этой области Комитету по экологической политике.</w:t>
      </w:r>
    </w:p>
    <w:p w:rsidR="00522E36" w:rsidRPr="00522E36" w:rsidRDefault="00522E36" w:rsidP="00522E36">
      <w:pPr>
        <w:pStyle w:val="SingleTxtGR"/>
      </w:pPr>
      <w:r w:rsidRPr="00522E36">
        <w:t>25.</w:t>
      </w:r>
      <w:r w:rsidRPr="00522E36">
        <w:tab/>
        <w:t>Информация о мерах по очистке воздуха, по которым страны и организ</w:t>
      </w:r>
      <w:r w:rsidRPr="00522E36">
        <w:t>а</w:t>
      </w:r>
      <w:r w:rsidRPr="00522E36">
        <w:t>ции взяли на себя обязательства до Батумской конференции, а также о новых мерах, о которых было заявлено после этой конференции, размещена на веб-сайте ЕЭК</w:t>
      </w:r>
      <w:r w:rsidRPr="00E21DFA">
        <w:rPr>
          <w:sz w:val="18"/>
          <w:vertAlign w:val="superscript"/>
        </w:rPr>
        <w:footnoteReference w:id="5"/>
      </w:r>
      <w:r w:rsidRPr="00522E36">
        <w:t>.</w:t>
      </w:r>
    </w:p>
    <w:p w:rsidR="00522E36" w:rsidRPr="00522E36" w:rsidRDefault="00522E36" w:rsidP="00522E36">
      <w:pPr>
        <w:pStyle w:val="SingleTxtGR"/>
      </w:pPr>
      <w:r w:rsidRPr="00522E36">
        <w:t>26.</w:t>
      </w:r>
      <w:r w:rsidRPr="00522E36">
        <w:tab/>
        <w:t>В целях содействия обзору прогресса, достигнутого в осуществлении Б</w:t>
      </w:r>
      <w:r w:rsidRPr="00522E36">
        <w:t>а</w:t>
      </w:r>
      <w:r w:rsidRPr="00522E36">
        <w:t>тумской инициативы по борьбе за чистый воздух, Комитет мог бы предложить заинтересованным сторонам представить доклад о достигнутом прогрессе в д</w:t>
      </w:r>
      <w:r w:rsidRPr="00522E36">
        <w:t>е</w:t>
      </w:r>
      <w:r w:rsidRPr="00522E36">
        <w:t>ле осуществления обязательств по Батумской инициативе на основе типовой формы, подготовленной секретариатом в консультации с Президиумом Комит</w:t>
      </w:r>
      <w:r w:rsidRPr="00522E36">
        <w:t>е</w:t>
      </w:r>
      <w:r w:rsidRPr="00522E36">
        <w:t>та и Конвенции по воздуху. На основе таких докладов, подлежащих предста</w:t>
      </w:r>
      <w:r w:rsidRPr="00522E36">
        <w:t>в</w:t>
      </w:r>
      <w:r w:rsidRPr="00522E36">
        <w:t xml:space="preserve">лению не позднее </w:t>
      </w:r>
      <w:r w:rsidRPr="00522E36">
        <w:rPr>
          <w:b/>
          <w:bCs/>
        </w:rPr>
        <w:t>31 мая 2018 года</w:t>
      </w:r>
      <w:r w:rsidRPr="00522E36">
        <w:t xml:space="preserve">, секретариат (при поддержке консультанта) подготовит среднесрочный обзорный доклад. </w:t>
      </w:r>
    </w:p>
    <w:p w:rsidR="00522E36" w:rsidRPr="00522E36" w:rsidRDefault="00522E36" w:rsidP="00E21DFA">
      <w:pPr>
        <w:pStyle w:val="H1GR"/>
      </w:pPr>
      <w:r w:rsidRPr="00522E36">
        <w:tab/>
        <w:t>C.</w:t>
      </w:r>
      <w:r w:rsidRPr="00522E36">
        <w:tab/>
        <w:t>Разработка Общей системы экологической информации</w:t>
      </w:r>
    </w:p>
    <w:p w:rsidR="00522E36" w:rsidRPr="00522E36" w:rsidRDefault="00522E36" w:rsidP="00522E36">
      <w:pPr>
        <w:pStyle w:val="SingleTxtGR"/>
      </w:pPr>
      <w:r w:rsidRPr="00522E36">
        <w:t>27.</w:t>
      </w:r>
      <w:r w:rsidRPr="00522E36">
        <w:tab/>
        <w:t>Приветствуя прогресс в развитии Общей системы экологической инфо</w:t>
      </w:r>
      <w:r w:rsidRPr="00522E36">
        <w:t>р</w:t>
      </w:r>
      <w:r w:rsidRPr="00522E36">
        <w:t>мации для поддержки регулярного процесса экологической оценки, министры в Батуми предложили странам продолжать свои усилия и развивать далее свои национальные информационные системы, чтобы к 2021 году эта система им</w:t>
      </w:r>
      <w:r w:rsidRPr="00522E36">
        <w:t>е</w:t>
      </w:r>
      <w:r w:rsidRPr="00522E36">
        <w:t xml:space="preserve">лась в странах Европы и Центральной Азии. В этой связи министры отметили значение </w:t>
      </w:r>
      <w:r>
        <w:t>«</w:t>
      </w:r>
      <w:r w:rsidRPr="00522E36">
        <w:t>ЮНЕП в прямом включении</w:t>
      </w:r>
      <w:r>
        <w:t>»</w:t>
      </w:r>
      <w:r w:rsidRPr="00522E36">
        <w:t xml:space="preserve"> и Группы по наблюдениям за Землей в качестве глобальных платформ по обмену знаниями.</w:t>
      </w:r>
    </w:p>
    <w:p w:rsidR="00522E36" w:rsidRPr="00522E36" w:rsidRDefault="00522E36" w:rsidP="00522E36">
      <w:pPr>
        <w:pStyle w:val="SingleTxtGR"/>
      </w:pPr>
      <w:r w:rsidRPr="00522E36">
        <w:t>28.</w:t>
      </w:r>
      <w:r w:rsidRPr="00522E36">
        <w:tab/>
        <w:t>Комитет мог бы предложить Рабочей группе по мониторингу и оценке окружающей среды подготовить среднесрочный обзорный доклад в целях оце</w:t>
      </w:r>
      <w:r w:rsidRPr="00522E36">
        <w:t>н</w:t>
      </w:r>
      <w:r w:rsidRPr="00522E36">
        <w:t>ки прогресса, достигнутого в развитии Общей системы экологической инфо</w:t>
      </w:r>
      <w:r w:rsidRPr="00522E36">
        <w:t>р</w:t>
      </w:r>
      <w:r w:rsidRPr="00522E36">
        <w:t>мации для поддержки регулярного процесса экологической оценки.</w:t>
      </w:r>
    </w:p>
    <w:p w:rsidR="00522E36" w:rsidRPr="00522E36" w:rsidRDefault="00522E36" w:rsidP="00E21DFA">
      <w:pPr>
        <w:pStyle w:val="H1GR"/>
      </w:pPr>
      <w:r w:rsidRPr="00522E36">
        <w:tab/>
        <w:t>D.</w:t>
      </w:r>
      <w:r w:rsidRPr="00522E36">
        <w:tab/>
        <w:t>Обзоры результативности экологической деятельности</w:t>
      </w:r>
    </w:p>
    <w:p w:rsidR="00522E36" w:rsidRPr="00522E36" w:rsidRDefault="00522E36" w:rsidP="00522E36">
      <w:pPr>
        <w:pStyle w:val="SingleTxtGR"/>
      </w:pPr>
      <w:r w:rsidRPr="00522E36">
        <w:t>29.</w:t>
      </w:r>
      <w:r w:rsidRPr="00522E36">
        <w:tab/>
        <w:t>На Батумской конференции министры признали важный вклад, который за последние 20 лет внесла Программа обзоров результативности экологич</w:t>
      </w:r>
      <w:r w:rsidRPr="00522E36">
        <w:t>е</w:t>
      </w:r>
      <w:r w:rsidRPr="00522E36">
        <w:t>ской деятельности ЕЭК в качестве эффективного и практического инструмента политики, и особо подчеркнули ту роль, которую она способна сыграть в оказ</w:t>
      </w:r>
      <w:r w:rsidRPr="00522E36">
        <w:t>а</w:t>
      </w:r>
      <w:r w:rsidRPr="00522E36">
        <w:t>нии поддержки осуществлению и мониторингу целей в области устойчивого развития в панъевропейском регионе. Министры выразили свое удовлетворение прогрессом, достигнутым в рамках третьего цикла обзоров, и призвали страны воспользоваться положительными результатами Программы обзоров результ</w:t>
      </w:r>
      <w:r w:rsidRPr="00522E36">
        <w:t>а</w:t>
      </w:r>
      <w:r w:rsidRPr="00522E36">
        <w:t>тивности экологической деятельности путем проведения дальнейших обзоров.</w:t>
      </w:r>
    </w:p>
    <w:p w:rsidR="00522E36" w:rsidRPr="00522E36" w:rsidRDefault="00E21DFA" w:rsidP="00522E36">
      <w:pPr>
        <w:pStyle w:val="SingleTxtGR"/>
      </w:pPr>
      <w:r>
        <w:br w:type="page"/>
      </w:r>
      <w:r w:rsidR="00522E36" w:rsidRPr="00522E36">
        <w:lastRenderedPageBreak/>
        <w:t>30.</w:t>
      </w:r>
      <w:r w:rsidR="00522E36" w:rsidRPr="00522E36">
        <w:tab/>
        <w:t>Комитет мог бы предложить секретариату подготовить среднесрочный обзорный доклад в целях оценки прогресса, достигнутого в ходе проведения третьего цикла обзоров, в том числе для содействия достижению и монитори</w:t>
      </w:r>
      <w:r w:rsidR="00522E36" w:rsidRPr="00522E36">
        <w:t>н</w:t>
      </w:r>
      <w:r w:rsidR="00522E36" w:rsidRPr="00522E36">
        <w:t xml:space="preserve">гу целей в области устойчивого развития. </w:t>
      </w:r>
    </w:p>
    <w:p w:rsidR="00522E36" w:rsidRPr="00522E36" w:rsidRDefault="00522E36" w:rsidP="00E21DFA">
      <w:pPr>
        <w:pStyle w:val="H1GR"/>
      </w:pPr>
      <w:r w:rsidRPr="00522E36">
        <w:tab/>
        <w:t>E.</w:t>
      </w:r>
      <w:r w:rsidRPr="00522E36">
        <w:tab/>
        <w:t>Многосторонние природоохранные соглашения</w:t>
      </w:r>
    </w:p>
    <w:p w:rsidR="00522E36" w:rsidRPr="00522E36" w:rsidRDefault="00522E36" w:rsidP="00522E36">
      <w:pPr>
        <w:pStyle w:val="SingleTxtGR"/>
      </w:pPr>
      <w:r w:rsidRPr="00522E36">
        <w:t>31.</w:t>
      </w:r>
      <w:r w:rsidRPr="00522E36">
        <w:tab/>
        <w:t>Министры в Батуми высоко оценили прогресс, достигнутый в рамках многосторонних природоохранных соглашений ЕЭК, и признали необход</w:t>
      </w:r>
      <w:r w:rsidRPr="00522E36">
        <w:t>и</w:t>
      </w:r>
      <w:r w:rsidRPr="00522E36">
        <w:t>мость усиления участия гражданского общества и частного сектора в их ос</w:t>
      </w:r>
      <w:r w:rsidRPr="00522E36">
        <w:t>у</w:t>
      </w:r>
      <w:r w:rsidRPr="00522E36">
        <w:t>ществлении. Они предложили странам ратифицировать и осуществлять соо</w:t>
      </w:r>
      <w:r w:rsidRPr="00522E36">
        <w:t>т</w:t>
      </w:r>
      <w:r w:rsidRPr="00522E36">
        <w:t>ветствующие многосторонние природоохранные соглашения, в том числе Ко</w:t>
      </w:r>
      <w:r w:rsidRPr="00522E36">
        <w:t>н</w:t>
      </w:r>
      <w:r w:rsidRPr="00522E36">
        <w:t>венцию по воздуху и три последних протокола к ней, а также выделять дост</w:t>
      </w:r>
      <w:r w:rsidRPr="00522E36">
        <w:t>а</w:t>
      </w:r>
      <w:r w:rsidRPr="00522E36">
        <w:t>точные ресурсы для их осуществления. Они также признали открываемые мн</w:t>
      </w:r>
      <w:r w:rsidRPr="00522E36">
        <w:t>о</w:t>
      </w:r>
      <w:r w:rsidRPr="00522E36">
        <w:t>госторонними природоохранными соглашениями возможности реализации П</w:t>
      </w:r>
      <w:r w:rsidRPr="00522E36">
        <w:t>о</w:t>
      </w:r>
      <w:r w:rsidRPr="00522E36">
        <w:t>вестки дня на период до 2030 года.</w:t>
      </w:r>
    </w:p>
    <w:p w:rsidR="00522E36" w:rsidRPr="00522E36" w:rsidRDefault="00522E36" w:rsidP="00522E36">
      <w:pPr>
        <w:pStyle w:val="SingleTxtGR"/>
      </w:pPr>
      <w:r w:rsidRPr="00522E36">
        <w:t>32.</w:t>
      </w:r>
      <w:r w:rsidRPr="00522E36">
        <w:tab/>
        <w:t>Комитет мог бы предложить секретариату подготовить среднесрочный обзорный доклад в целях оценки прогресса, достигнутого в осуществлении многосторонних природоохранных соглашений ЕЭК в поддержку Повестки дня на период до 2030 года, при этом усиливая участие гражданского общества и частного сектора в их осуществлении.</w:t>
      </w:r>
    </w:p>
    <w:p w:rsidR="00522E36" w:rsidRPr="00522E36" w:rsidRDefault="00522E36" w:rsidP="00E21DFA">
      <w:pPr>
        <w:pStyle w:val="H1GR"/>
      </w:pPr>
      <w:r w:rsidRPr="00522E36">
        <w:tab/>
        <w:t>F.</w:t>
      </w:r>
      <w:r w:rsidRPr="00522E36">
        <w:tab/>
        <w:t xml:space="preserve">Целевая группа Программы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и охране окружающей среды</w:t>
      </w:r>
    </w:p>
    <w:p w:rsidR="00522E36" w:rsidRPr="00522E36" w:rsidRDefault="00522E36" w:rsidP="00522E36">
      <w:pPr>
        <w:pStyle w:val="SingleTxtGR"/>
      </w:pPr>
      <w:r w:rsidRPr="00522E36">
        <w:t>33.</w:t>
      </w:r>
      <w:r w:rsidRPr="00522E36">
        <w:tab/>
        <w:t xml:space="preserve">Кроме того, в Батуми министры приветствовали работу Специальной группы по осуществлению Программы действий по охране окружающей среды и предложили ОЭСР продолжать свою деятельность под ее новым названием – Целевая группа Программы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и охране окружающей ср</w:t>
      </w:r>
      <w:r w:rsidRPr="00522E36">
        <w:t>е</w:t>
      </w:r>
      <w:r w:rsidRPr="00522E36">
        <w:t>ды − в сотрудничестве с соответствующими партнерами.</w:t>
      </w:r>
    </w:p>
    <w:p w:rsidR="00522E36" w:rsidRPr="00522E36" w:rsidRDefault="00522E36" w:rsidP="00522E36">
      <w:pPr>
        <w:pStyle w:val="SingleTxtGR"/>
      </w:pPr>
      <w:r w:rsidRPr="00522E36">
        <w:t>34.</w:t>
      </w:r>
      <w:r w:rsidRPr="00522E36">
        <w:tab/>
        <w:t xml:space="preserve">Комитет мог бы предложить Целевой группе Программы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и охране окружающей среды подготовить среднесрочный обзорный доклад в целях оценки прогресса, достигнутого в ее деятельности. </w:t>
      </w:r>
    </w:p>
    <w:p w:rsidR="00522E36" w:rsidRPr="00522E36" w:rsidRDefault="00522E36" w:rsidP="00E21DFA">
      <w:pPr>
        <w:pStyle w:val="H1GR"/>
      </w:pPr>
      <w:r w:rsidRPr="00522E36">
        <w:tab/>
        <w:t>G.</w:t>
      </w:r>
      <w:r w:rsidRPr="00522E36">
        <w:tab/>
        <w:t>Региональные экологические центры</w:t>
      </w:r>
    </w:p>
    <w:p w:rsidR="00522E36" w:rsidRPr="00522E36" w:rsidRDefault="00522E36" w:rsidP="00522E36">
      <w:pPr>
        <w:pStyle w:val="SingleTxtGR"/>
      </w:pPr>
      <w:r w:rsidRPr="00522E36">
        <w:t>35.</w:t>
      </w:r>
      <w:r w:rsidRPr="00522E36">
        <w:tab/>
        <w:t>В Батумской декларации министры высоко оценили роль региональных экологических центров в деле осуществления инициатив по совершенствов</w:t>
      </w:r>
      <w:r w:rsidRPr="00522E36">
        <w:t>а</w:t>
      </w:r>
      <w:r w:rsidRPr="00522E36">
        <w:t>нию экологического управления на всех уровнях и призвали их активизировать свою деятельность, а также и далее выполнять важную роль в панъевропе</w:t>
      </w:r>
      <w:r w:rsidRPr="00522E36">
        <w:t>й</w:t>
      </w:r>
      <w:r w:rsidRPr="00522E36">
        <w:t>ском регионе путем поддержки удовлетворения потребностей целевых стран.</w:t>
      </w:r>
    </w:p>
    <w:p w:rsidR="00522E36" w:rsidRPr="00522E36" w:rsidRDefault="00522E36" w:rsidP="00522E36">
      <w:pPr>
        <w:pStyle w:val="SingleTxtGR"/>
      </w:pPr>
      <w:r w:rsidRPr="00522E36">
        <w:t>36.</w:t>
      </w:r>
      <w:r w:rsidRPr="00522E36">
        <w:tab/>
        <w:t>Комитет мог бы предложить региональным экологическим центрам со</w:t>
      </w:r>
      <w:r w:rsidRPr="00522E36">
        <w:t>в</w:t>
      </w:r>
      <w:r w:rsidRPr="00522E36">
        <w:t>местно подготовить среднесрочный обзорный доклад в целях оценки прогресса, достигнутого в совершенствовании экологического управления и активизации деятельности региональных экологических центров в целях поддержки удовл</w:t>
      </w:r>
      <w:r w:rsidRPr="00522E36">
        <w:t>е</w:t>
      </w:r>
      <w:r w:rsidRPr="00522E36">
        <w:t>творения потребностей целевых стран. Региональным экологическим центрам будет предложено координировать свою деятельность и согласиться о составл</w:t>
      </w:r>
      <w:r w:rsidRPr="00522E36">
        <w:t>е</w:t>
      </w:r>
      <w:r w:rsidRPr="00522E36">
        <w:t xml:space="preserve">нии единого сводного доклада. </w:t>
      </w:r>
    </w:p>
    <w:p w:rsidR="00522E36" w:rsidRPr="00522E36" w:rsidRDefault="00522E36" w:rsidP="00E21DFA">
      <w:pPr>
        <w:pStyle w:val="HChGR"/>
      </w:pPr>
      <w:r w:rsidRPr="00522E36">
        <w:tab/>
        <w:t>IV.</w:t>
      </w:r>
      <w:r w:rsidRPr="00522E36">
        <w:tab/>
        <w:t>Формат и условия среднесрочного обзора</w:t>
      </w:r>
    </w:p>
    <w:p w:rsidR="00522E36" w:rsidRPr="00522E36" w:rsidRDefault="00522E36" w:rsidP="00522E36">
      <w:pPr>
        <w:pStyle w:val="SingleTxtGR"/>
      </w:pPr>
      <w:r w:rsidRPr="00522E36">
        <w:t>37.</w:t>
      </w:r>
      <w:r w:rsidRPr="00522E36">
        <w:tab/>
        <w:t>Среднесрочный обзор будет проведен в рамках двадцать четвертой еж</w:t>
      </w:r>
      <w:r w:rsidRPr="00522E36">
        <w:t>е</w:t>
      </w:r>
      <w:r w:rsidRPr="00522E36">
        <w:t>годной сессии Комитета, которую планируется провести 13−16 ноября 2018 г</w:t>
      </w:r>
      <w:r w:rsidRPr="00522E36">
        <w:t>о</w:t>
      </w:r>
      <w:r w:rsidRPr="00522E36">
        <w:t>да в Женеве. На обзор может быть отведено до полутора дней. Предварител</w:t>
      </w:r>
      <w:r w:rsidRPr="00522E36">
        <w:t>ь</w:t>
      </w:r>
      <w:r w:rsidRPr="00522E36">
        <w:lastRenderedPageBreak/>
        <w:t>ный график работы той части совещания, которая будет посвящена среднесро</w:t>
      </w:r>
      <w:r w:rsidRPr="00522E36">
        <w:t>ч</w:t>
      </w:r>
      <w:r w:rsidRPr="00522E36">
        <w:t>ному обзору, представлен в приложении I к настоящему документу.</w:t>
      </w:r>
    </w:p>
    <w:p w:rsidR="00522E36" w:rsidRPr="00522E36" w:rsidRDefault="00522E36" w:rsidP="00522E36">
      <w:pPr>
        <w:pStyle w:val="SingleTxtGR"/>
      </w:pPr>
      <w:r w:rsidRPr="00522E36">
        <w:t>38.</w:t>
      </w:r>
      <w:r w:rsidRPr="00522E36">
        <w:tab/>
        <w:t>В процессе среднесрочного обзора примут участие представители прав</w:t>
      </w:r>
      <w:r w:rsidRPr="00522E36">
        <w:t>и</w:t>
      </w:r>
      <w:r w:rsidRPr="00522E36">
        <w:t xml:space="preserve">тельств (члены Комитета по экологической политике), межправительственных и неправительственных организаций, а также представители деловых кругов и других заинтересованных сторон. </w:t>
      </w:r>
    </w:p>
    <w:p w:rsidR="00522E36" w:rsidRPr="00522E36" w:rsidRDefault="00522E36" w:rsidP="00522E36">
      <w:pPr>
        <w:pStyle w:val="SingleTxtGR"/>
      </w:pPr>
      <w:r w:rsidRPr="00522E36">
        <w:t>39.</w:t>
      </w:r>
      <w:r w:rsidRPr="00522E36">
        <w:tab/>
        <w:t>Ожидается, что в среднесрочном обзоре примут активное участие непр</w:t>
      </w:r>
      <w:r w:rsidRPr="00522E36">
        <w:t>а</w:t>
      </w:r>
      <w:r w:rsidRPr="00522E36">
        <w:t>вительственные организации и другие представители гражданского общества. Что касается участия гражданского общества, то в Батуми министры вновь по</w:t>
      </w:r>
      <w:r w:rsidRPr="00522E36">
        <w:t>д</w:t>
      </w:r>
      <w:r w:rsidRPr="00522E36">
        <w:t>черкнули важное значение участия гражданского общества, в том числе пре</w:t>
      </w:r>
      <w:r w:rsidRPr="00522E36">
        <w:t>д</w:t>
      </w:r>
      <w:r w:rsidRPr="00522E36">
        <w:t>принимательских, женских, неправительственных организаций, научного с</w:t>
      </w:r>
      <w:r w:rsidRPr="00522E36">
        <w:t>о</w:t>
      </w:r>
      <w:r w:rsidRPr="00522E36">
        <w:t>общества и других групп, в принятии решений в целях улучшения состояния окружающей среды и содействия устойчивому развитию. Министры высоко оценили деятельность организаций гражданского общества в регионе в этом отношении и обязались и далее развивать партнерские отношения с организ</w:t>
      </w:r>
      <w:r w:rsidRPr="00522E36">
        <w:t>а</w:t>
      </w:r>
      <w:r w:rsidRPr="00522E36">
        <w:t xml:space="preserve">циями гражданского общества и обеспечивать благоприятные условия для их работы. Министры приветствовали также вклад Европейского Эко-Форума в процесс </w:t>
      </w:r>
      <w:r>
        <w:t>«</w:t>
      </w:r>
      <w:r w:rsidRPr="00522E36">
        <w:t>Окружающая среда для Европы</w:t>
      </w:r>
      <w:r>
        <w:t>»</w:t>
      </w:r>
      <w:r w:rsidRPr="00522E36">
        <w:t>.</w:t>
      </w:r>
    </w:p>
    <w:p w:rsidR="00522E36" w:rsidRPr="00522E36" w:rsidRDefault="00522E36" w:rsidP="00522E36">
      <w:pPr>
        <w:pStyle w:val="SingleTxtGR"/>
      </w:pPr>
      <w:r w:rsidRPr="00522E36">
        <w:t>40.</w:t>
      </w:r>
      <w:r w:rsidRPr="00522E36">
        <w:tab/>
        <w:t xml:space="preserve">Что касается обсуждения экологизации экономики и очистки воздуха, то чрезвычайно важное значение для успеха Батумской инициативы по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и Батумской инициативы по борьбе за чистый воздух имеет активное вовлечение представителей деловых кругов.</w:t>
      </w:r>
    </w:p>
    <w:p w:rsidR="00522E36" w:rsidRPr="00522E36" w:rsidRDefault="00522E36" w:rsidP="00522E36">
      <w:pPr>
        <w:pStyle w:val="SingleTxtGR"/>
      </w:pPr>
      <w:r w:rsidRPr="00522E36">
        <w:t>41.</w:t>
      </w:r>
      <w:r w:rsidRPr="00522E36">
        <w:tab/>
        <w:t>Среднесрочный обзор мог бы быть организован в форме пленарных зас</w:t>
      </w:r>
      <w:r w:rsidRPr="00522E36">
        <w:t>е</w:t>
      </w:r>
      <w:r w:rsidRPr="00522E36">
        <w:t>даний, круглых столов и групповых обсуждений с участием широкого круга з</w:t>
      </w:r>
      <w:r w:rsidRPr="00522E36">
        <w:t>а</w:t>
      </w:r>
      <w:r w:rsidRPr="00522E36">
        <w:t>интересованных сторон либо в форме сочетания различных форматов, с тем чтобы использовать имеющееся время наиболее эффективным образом и в то же время обеспечить интерактивный характер, необходимый для проведения конструктивных и всеобъемлющих обсуждений. Например, в обзор прогресса, достигнутого в области экологизации экономики и очистки воздуха, можно б</w:t>
      </w:r>
      <w:r w:rsidRPr="00522E36">
        <w:t>ы</w:t>
      </w:r>
      <w:r w:rsidRPr="00522E36">
        <w:t xml:space="preserve">ло бы включить часовое </w:t>
      </w:r>
      <w:r>
        <w:t>«</w:t>
      </w:r>
      <w:r w:rsidRPr="00522E36">
        <w:t>Батумское ток-шоу: количественная оценка достиж</w:t>
      </w:r>
      <w:r w:rsidRPr="00522E36">
        <w:t>е</w:t>
      </w:r>
      <w:r w:rsidRPr="00522E36">
        <w:t xml:space="preserve">ния ЦУР благодаря действиям по </w:t>
      </w:r>
      <w:r w:rsidR="003B142F">
        <w:t>"</w:t>
      </w:r>
      <w:r w:rsidRPr="00522E36">
        <w:t>зеленой</w:t>
      </w:r>
      <w:r w:rsidR="003B142F">
        <w:t>"</w:t>
      </w:r>
      <w:r w:rsidRPr="00522E36">
        <w:t xml:space="preserve"> экономике и борьбе за чистый во</w:t>
      </w:r>
      <w:r w:rsidRPr="00522E36">
        <w:t>з</w:t>
      </w:r>
      <w:r w:rsidRPr="00522E36">
        <w:t>дух</w:t>
      </w:r>
      <w:r>
        <w:t>»</w:t>
      </w:r>
      <w:r w:rsidRPr="00522E36">
        <w:t>, а также часовое обсуждение по теме прогресса, достигнутого в осущест</w:t>
      </w:r>
      <w:r w:rsidRPr="00522E36">
        <w:t>в</w:t>
      </w:r>
      <w:r w:rsidRPr="00522E36">
        <w:t xml:space="preserve">лении батумских инициатив по борьбе за чистый воздух и </w:t>
      </w:r>
      <w:r>
        <w:t>«</w:t>
      </w:r>
      <w:r w:rsidRPr="00522E36">
        <w:t>зеленой</w:t>
      </w:r>
      <w:r>
        <w:t>»</w:t>
      </w:r>
      <w:r w:rsidRPr="00522E36">
        <w:t xml:space="preserve"> экономике на основе соответствующих среднесрочных докладов.</w:t>
      </w:r>
    </w:p>
    <w:p w:rsidR="00522E36" w:rsidRPr="00522E36" w:rsidRDefault="00522E36" w:rsidP="00522E36">
      <w:pPr>
        <w:pStyle w:val="SingleTxtGR"/>
      </w:pPr>
      <w:r w:rsidRPr="00522E36">
        <w:t>42.</w:t>
      </w:r>
      <w:r w:rsidRPr="00522E36">
        <w:tab/>
        <w:t xml:space="preserve">Соответствующими партнерами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будут подготовлены краткие документы (среднесрочные обзорные д</w:t>
      </w:r>
      <w:r w:rsidRPr="00522E36">
        <w:t>о</w:t>
      </w:r>
      <w:r w:rsidRPr="00522E36">
        <w:t>клады) объемом до восьми страниц (не более 4 500 слов) по темам, обозначе</w:t>
      </w:r>
      <w:r w:rsidRPr="00522E36">
        <w:t>н</w:t>
      </w:r>
      <w:r w:rsidRPr="00522E36">
        <w:t>ным в главе I</w:t>
      </w:r>
      <w:r w:rsidRPr="00522E36">
        <w:rPr>
          <w:lang w:val="en-US"/>
        </w:rPr>
        <w:t>I</w:t>
      </w:r>
      <w:r w:rsidRPr="00522E36">
        <w:t>I (разделы A−G) настоящего документа. Эти документы необх</w:t>
      </w:r>
      <w:r w:rsidRPr="00522E36">
        <w:t>о</w:t>
      </w:r>
      <w:r w:rsidRPr="00522E36">
        <w:t xml:space="preserve">димо будет представить в секретариат не позднее </w:t>
      </w:r>
      <w:r w:rsidRPr="00522E36">
        <w:rPr>
          <w:b/>
          <w:bCs/>
        </w:rPr>
        <w:t>31 июля 2018 года</w:t>
      </w:r>
      <w:r w:rsidRPr="00522E36">
        <w:t>, с тем чтобы они были своевременно переведены на три официальных языка ЕЭК (а</w:t>
      </w:r>
      <w:r w:rsidRPr="00522E36">
        <w:t>н</w:t>
      </w:r>
      <w:r w:rsidRPr="00522E36">
        <w:t>глийский, русский и французский) до начала среднесрочного обзора. Партн</w:t>
      </w:r>
      <w:r w:rsidRPr="00522E36">
        <w:t>е</w:t>
      </w:r>
      <w:r w:rsidRPr="00522E36">
        <w:t xml:space="preserve">рам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, которые могут обеспечить надлежащий перевод составленных ими документов на эти три языка, следует представить эти документы на трех языках в секретариат не позднее </w:t>
      </w:r>
      <w:r w:rsidRPr="00522E36">
        <w:rPr>
          <w:b/>
          <w:bCs/>
        </w:rPr>
        <w:t>1 октября 2018 года</w:t>
      </w:r>
      <w:r w:rsidRPr="00522E36">
        <w:t>. С целью обеспечения единого подхода к подготовке среднесрочных обзорных докладов в приложении II к настоящему документу представлена т</w:t>
      </w:r>
      <w:r w:rsidRPr="00522E36">
        <w:t>и</w:t>
      </w:r>
      <w:r w:rsidRPr="00522E36">
        <w:t>повая форма доклада. При рассмотрении типовой формы Президиум подчер</w:t>
      </w:r>
      <w:r w:rsidRPr="00522E36">
        <w:t>к</w:t>
      </w:r>
      <w:r w:rsidRPr="00522E36">
        <w:t>нул, что среднесрочные доклады должны быть очень краткими и не требовать большого объема ресурсов. Для обеспечения интерактивности докладов и их удобства для читателей Президиум рекомендовал включить в них справочные бюллетени, составленные на базе основных выводов или ключевых идей, а также представлять количественные данные в виде графиков и круговых ди</w:t>
      </w:r>
      <w:r w:rsidRPr="00522E36">
        <w:t>а</w:t>
      </w:r>
      <w:r w:rsidRPr="00522E36">
        <w:t>грамм.</w:t>
      </w:r>
    </w:p>
    <w:p w:rsidR="00522E36" w:rsidRPr="00522E36" w:rsidRDefault="00522E36" w:rsidP="00522E36">
      <w:pPr>
        <w:pStyle w:val="SingleTxtGR"/>
      </w:pPr>
      <w:r w:rsidRPr="00522E36">
        <w:t>43.</w:t>
      </w:r>
      <w:r w:rsidRPr="00522E36">
        <w:tab/>
        <w:t>Что касается уроков, извлеченных из предыдущего среднесрочного обз</w:t>
      </w:r>
      <w:r w:rsidRPr="00522E36">
        <w:t>о</w:t>
      </w:r>
      <w:r w:rsidRPr="00522E36">
        <w:t>ра (см. приложение III), то в целях рационального использования времени в т</w:t>
      </w:r>
      <w:r w:rsidRPr="00522E36">
        <w:t>е</w:t>
      </w:r>
      <w:r w:rsidRPr="00522E36">
        <w:t xml:space="preserve">чение полутора дней, посвященных среднесрочному обзору, на предстоящем </w:t>
      </w:r>
      <w:r w:rsidRPr="00522E36">
        <w:lastRenderedPageBreak/>
        <w:t>среднесрочном обзоре предлагается объединить основные итоги в группы и провести по ним несколько интерактивных обсуждений. Кроме того, двадцать четвертая сессия Комитета в 2018 году приходится на середину двухгодичного цикла Организации Объединенных Наций и, следовательно, будет менее напр</w:t>
      </w:r>
      <w:r w:rsidRPr="00522E36">
        <w:t>я</w:t>
      </w:r>
      <w:r w:rsidRPr="00522E36">
        <w:t>женной (на рассмотрение будет представлено на четыре программных докуме</w:t>
      </w:r>
      <w:r w:rsidRPr="00522E36">
        <w:t>н</w:t>
      </w:r>
      <w:r w:rsidRPr="00522E36">
        <w:t>та меньше). Что касается продолжительности среднесрочных обзорных докл</w:t>
      </w:r>
      <w:r w:rsidRPr="00522E36">
        <w:t>а</w:t>
      </w:r>
      <w:r w:rsidRPr="00522E36">
        <w:t>дов, то партнерам будет настоятельно предложено ограничить продолжител</w:t>
      </w:r>
      <w:r w:rsidRPr="00522E36">
        <w:t>ь</w:t>
      </w:r>
      <w:r w:rsidRPr="00522E36">
        <w:t>ность своих докладов 4 500 словами, чтобы не перегружать делегатов инфо</w:t>
      </w:r>
      <w:r w:rsidRPr="00522E36">
        <w:t>р</w:t>
      </w:r>
      <w:r w:rsidRPr="00522E36">
        <w:t>мацией.</w:t>
      </w:r>
    </w:p>
    <w:p w:rsidR="00E12C5F" w:rsidRPr="00522E36" w:rsidRDefault="00522E36" w:rsidP="00522E36">
      <w:pPr>
        <w:pStyle w:val="SingleTxtGR"/>
      </w:pPr>
      <w:r w:rsidRPr="00522E36">
        <w:t>44.</w:t>
      </w:r>
      <w:r w:rsidRPr="00522E36">
        <w:tab/>
        <w:t>Комитет, возможно, пожелает поручить секретариату приступить в ко</w:t>
      </w:r>
      <w:r w:rsidRPr="00522E36">
        <w:t>н</w:t>
      </w:r>
      <w:r w:rsidRPr="00522E36">
        <w:t xml:space="preserve">сультации с Президиумом Комитета и в сотрудничестве с соответствующими партнерами по процессу </w:t>
      </w:r>
      <w:r>
        <w:t>«</w:t>
      </w:r>
      <w:r w:rsidRPr="00522E36">
        <w:t>Окружающая среда для Европы</w:t>
      </w:r>
      <w:r>
        <w:t>»</w:t>
      </w:r>
      <w:r w:rsidRPr="00522E36">
        <w:t xml:space="preserve"> к подготовке сре</w:t>
      </w:r>
      <w:r w:rsidRPr="00522E36">
        <w:t>д</w:t>
      </w:r>
      <w:r w:rsidRPr="00522E36">
        <w:t>несрочного обзора в соответствии с вышеизложенными предложениями.</w:t>
      </w:r>
    </w:p>
    <w:p w:rsidR="00522E36" w:rsidRPr="00FA7C89" w:rsidRDefault="00522E36" w:rsidP="00E21DFA">
      <w:pPr>
        <w:pStyle w:val="HChGR"/>
      </w:pPr>
      <w:r w:rsidRPr="00522E36">
        <w:br w:type="page"/>
      </w:r>
      <w:r>
        <w:lastRenderedPageBreak/>
        <w:t>Приложение I</w:t>
      </w:r>
    </w:p>
    <w:p w:rsidR="00522E36" w:rsidRPr="00FA7C89" w:rsidRDefault="00522E36" w:rsidP="00E21DFA">
      <w:pPr>
        <w:pStyle w:val="HChGR"/>
      </w:pPr>
      <w:r>
        <w:tab/>
      </w:r>
      <w:r>
        <w:tab/>
        <w:t xml:space="preserve">Предварительный график работы совещания </w:t>
      </w:r>
      <w:r w:rsidR="003B142F">
        <w:br/>
      </w:r>
      <w:r>
        <w:t>по среднесрочному обзору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8"/>
        <w:gridCol w:w="2126"/>
      </w:tblGrid>
      <w:tr w:rsidR="00522E36" w:rsidRPr="00E21DFA" w:rsidTr="00E21DF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2E36" w:rsidRPr="00E21DFA" w:rsidDel="00E321A5" w:rsidRDefault="00522E36" w:rsidP="00E21DFA">
            <w:pPr>
              <w:spacing w:before="80" w:after="80" w:line="200" w:lineRule="exact"/>
              <w:rPr>
                <w:i/>
                <w:iCs/>
                <w:sz w:val="16"/>
              </w:rPr>
            </w:pPr>
            <w:r w:rsidRPr="00E21DFA">
              <w:rPr>
                <w:i/>
                <w:iCs/>
                <w:sz w:val="16"/>
              </w:rPr>
              <w:t>Пункт №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2E36" w:rsidRPr="00E21DFA" w:rsidRDefault="00522E36" w:rsidP="00E21DFA">
            <w:pPr>
              <w:spacing w:before="80" w:after="80" w:line="200" w:lineRule="exact"/>
              <w:rPr>
                <w:i/>
                <w:iCs/>
                <w:sz w:val="16"/>
              </w:rPr>
            </w:pPr>
            <w:r w:rsidRPr="00E21DFA">
              <w:rPr>
                <w:i/>
                <w:iCs/>
                <w:sz w:val="16"/>
              </w:rPr>
              <w:t>Предлагаемый пункт повестки дня (формат)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2E36" w:rsidRPr="00E21DFA" w:rsidRDefault="00522E36" w:rsidP="00E21DFA">
            <w:pPr>
              <w:spacing w:before="80" w:after="80" w:line="200" w:lineRule="exact"/>
              <w:rPr>
                <w:i/>
                <w:iCs/>
                <w:sz w:val="16"/>
              </w:rPr>
            </w:pPr>
            <w:r w:rsidRPr="00E21DFA">
              <w:rPr>
                <w:i/>
                <w:iCs/>
                <w:sz w:val="16"/>
              </w:rPr>
              <w:t>Время проведения</w:t>
            </w:r>
          </w:p>
        </w:tc>
      </w:tr>
      <w:tr w:rsidR="00522E36" w:rsidRPr="00907140" w:rsidTr="00E21DFA">
        <w:tc>
          <w:tcPr>
            <w:tcW w:w="851" w:type="dxa"/>
            <w:tcBorders>
              <w:top w:val="single" w:sz="12" w:space="0" w:color="auto"/>
            </w:tcBorders>
          </w:tcPr>
          <w:p w:rsidR="00522E36" w:rsidRPr="007D1948" w:rsidRDefault="00522E36" w:rsidP="00522E36">
            <w:pPr>
              <w:spacing w:before="40" w:after="120"/>
              <w:ind w:right="113"/>
              <w:rPr>
                <w:b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522E36" w:rsidRPr="005D61F5" w:rsidRDefault="00522E36" w:rsidP="00522E36">
            <w:pPr>
              <w:spacing w:before="40" w:after="120"/>
              <w:ind w:right="113"/>
              <w:rPr>
                <w:b/>
                <w:bCs/>
              </w:rPr>
            </w:pPr>
            <w:r w:rsidRPr="005D61F5">
              <w:rPr>
                <w:b/>
                <w:bCs/>
              </w:rPr>
              <w:t>Вторник, 13 ноября 2018 года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522E36" w:rsidRPr="007D1948" w:rsidRDefault="00522E36" w:rsidP="00E21DFA">
            <w:pPr>
              <w:spacing w:before="40" w:after="120"/>
            </w:pPr>
          </w:p>
        </w:tc>
      </w:tr>
      <w:tr w:rsidR="00522E36" w:rsidRPr="005D61F5" w:rsidTr="00E21DFA">
        <w:tc>
          <w:tcPr>
            <w:tcW w:w="851" w:type="dxa"/>
          </w:tcPr>
          <w:p w:rsidR="00522E36" w:rsidRPr="00A41DC9" w:rsidRDefault="00522E36" w:rsidP="00522E36">
            <w:pPr>
              <w:spacing w:before="40" w:after="120"/>
              <w:ind w:right="113"/>
            </w:pPr>
            <w:r>
              <w:t>1</w:t>
            </w:r>
          </w:p>
        </w:tc>
        <w:tc>
          <w:tcPr>
            <w:tcW w:w="5528" w:type="dxa"/>
            <w:shd w:val="clear" w:color="auto" w:fill="auto"/>
          </w:tcPr>
          <w:p w:rsidR="00522E36" w:rsidRPr="00FA7C89" w:rsidRDefault="00522E36" w:rsidP="00E21DFA">
            <w:pPr>
              <w:spacing w:before="40" w:after="120"/>
            </w:pPr>
            <w:r>
              <w:t xml:space="preserve">Открытие совещания и утверждение повестки дня </w:t>
            </w:r>
            <w:r>
              <w:br/>
              <w:t>(</w:t>
            </w:r>
            <w:r w:rsidRPr="005D61F5">
              <w:rPr>
                <w:i/>
                <w:iCs/>
              </w:rPr>
              <w:t>пленарное заседание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10 ч. 00 м.</w:t>
            </w:r>
            <w:r w:rsidR="00E21DFA">
              <w:t xml:space="preserve"> – </w:t>
            </w:r>
            <w:r>
              <w:t>10 ч. 30 м.</w:t>
            </w: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>2</w:t>
            </w:r>
          </w:p>
        </w:tc>
        <w:tc>
          <w:tcPr>
            <w:tcW w:w="5528" w:type="dxa"/>
            <w:shd w:val="clear" w:color="auto" w:fill="auto"/>
          </w:tcPr>
          <w:p w:rsidR="00522E36" w:rsidRPr="00FA7C89" w:rsidRDefault="00522E36" w:rsidP="00E21DFA">
            <w:pPr>
              <w:spacing w:before="40" w:after="120"/>
            </w:pPr>
            <w:r>
              <w:t xml:space="preserve">Среднесрочный обзор </w:t>
            </w:r>
            <w:r>
              <w:br/>
              <w:t>(</w:t>
            </w:r>
            <w:r w:rsidRPr="005D61F5">
              <w:rPr>
                <w:i/>
                <w:iCs/>
              </w:rPr>
              <w:t xml:space="preserve">пленарные заседания и </w:t>
            </w:r>
            <w:r>
              <w:rPr>
                <w:i/>
                <w:iCs/>
              </w:rPr>
              <w:t>тематические</w:t>
            </w:r>
            <w:r w:rsidRPr="005D61F5">
              <w:rPr>
                <w:i/>
                <w:iCs/>
              </w:rPr>
              <w:t xml:space="preserve"> обсуждения </w:t>
            </w:r>
            <w:r w:rsidR="00A569E5">
              <w:rPr>
                <w:i/>
                <w:iCs/>
              </w:rPr>
              <w:br/>
            </w:r>
            <w:r w:rsidRPr="005D61F5">
              <w:rPr>
                <w:i/>
                <w:iCs/>
              </w:rPr>
              <w:t xml:space="preserve">или обсуждения </w:t>
            </w:r>
            <w:r>
              <w:rPr>
                <w:i/>
                <w:iCs/>
              </w:rPr>
              <w:t>«</w:t>
            </w:r>
            <w:r w:rsidRPr="005D61F5">
              <w:rPr>
                <w:i/>
                <w:iCs/>
              </w:rPr>
              <w:t>за круглым столом</w:t>
            </w:r>
            <w:r>
              <w:rPr>
                <w:i/>
                <w:iCs/>
              </w:rPr>
              <w:t>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10 ч. 30 м.</w:t>
            </w:r>
            <w:r w:rsidR="00E21DFA">
              <w:t xml:space="preserve"> – </w:t>
            </w:r>
            <w:r>
              <w:t>18 ч. 00 м.</w:t>
            </w: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>2 a)</w:t>
            </w:r>
          </w:p>
        </w:tc>
        <w:tc>
          <w:tcPr>
            <w:tcW w:w="5528" w:type="dxa"/>
            <w:shd w:val="clear" w:color="auto" w:fill="auto"/>
          </w:tcPr>
          <w:p w:rsidR="00522E36" w:rsidRPr="00FA7C89" w:rsidRDefault="00522E36" w:rsidP="00E21DFA">
            <w:pPr>
              <w:spacing w:before="40" w:after="120"/>
            </w:pPr>
            <w:r>
              <w:t xml:space="preserve">Многосторонние природоохранные соглашения </w:t>
            </w:r>
            <w:r w:rsidR="00A569E5">
              <w:br/>
            </w:r>
            <w:r>
              <w:t>и гражда</w:t>
            </w:r>
            <w:r>
              <w:t>н</w:t>
            </w:r>
            <w:r>
              <w:t>ское общество</w:t>
            </w:r>
            <w:r>
              <w:br/>
              <w:t>(</w:t>
            </w:r>
            <w:r w:rsidRPr="005D61F5">
              <w:rPr>
                <w:i/>
                <w:iCs/>
              </w:rPr>
              <w:t xml:space="preserve">обсуждение </w:t>
            </w:r>
            <w:r>
              <w:rPr>
                <w:i/>
                <w:iCs/>
              </w:rPr>
              <w:t>«</w:t>
            </w:r>
            <w:r w:rsidRPr="005D61F5">
              <w:rPr>
                <w:i/>
                <w:iCs/>
              </w:rPr>
              <w:t>за круглым столом</w:t>
            </w:r>
            <w:r>
              <w:rPr>
                <w:i/>
                <w:iCs/>
              </w:rPr>
              <w:t>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10 ч. 30 м.</w:t>
            </w:r>
            <w:r w:rsidR="00E21DFA">
              <w:t xml:space="preserve"> – </w:t>
            </w:r>
            <w:r>
              <w:t>13 ч. 00 м.</w:t>
            </w: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>2 b)</w:t>
            </w:r>
          </w:p>
        </w:tc>
        <w:tc>
          <w:tcPr>
            <w:tcW w:w="5528" w:type="dxa"/>
            <w:shd w:val="clear" w:color="auto" w:fill="auto"/>
          </w:tcPr>
          <w:p w:rsidR="00522E36" w:rsidRPr="00FA7C89" w:rsidRDefault="00522E36" w:rsidP="00E21DFA">
            <w:pPr>
              <w:spacing w:before="40" w:after="120"/>
            </w:pPr>
            <w:r>
              <w:t>Обзоры результативности экологической деятельности</w:t>
            </w:r>
            <w:r>
              <w:br/>
              <w:t>(</w:t>
            </w:r>
            <w:r w:rsidRPr="00ED2A28">
              <w:rPr>
                <w:i/>
                <w:iCs/>
              </w:rPr>
              <w:t>тематические</w:t>
            </w:r>
            <w:r w:rsidRPr="005D61F5">
              <w:rPr>
                <w:i/>
                <w:iCs/>
              </w:rPr>
              <w:t xml:space="preserve"> обсуждения или обсуждения </w:t>
            </w:r>
            <w:r>
              <w:rPr>
                <w:i/>
                <w:iCs/>
              </w:rPr>
              <w:t>«</w:t>
            </w:r>
            <w:r w:rsidRPr="005D61F5">
              <w:rPr>
                <w:i/>
                <w:iCs/>
              </w:rPr>
              <w:t>за круглым столом</w:t>
            </w:r>
            <w:r>
              <w:rPr>
                <w:i/>
                <w:iCs/>
              </w:rPr>
              <w:t>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15 ч. 00 м.</w:t>
            </w:r>
            <w:r w:rsidR="00E21DFA">
              <w:t xml:space="preserve"> – </w:t>
            </w:r>
            <w:r>
              <w:t>16 ч. 30 м.</w:t>
            </w: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>2 c)</w:t>
            </w:r>
          </w:p>
        </w:tc>
        <w:tc>
          <w:tcPr>
            <w:tcW w:w="5528" w:type="dxa"/>
            <w:shd w:val="clear" w:color="auto" w:fill="auto"/>
          </w:tcPr>
          <w:p w:rsidR="00522E36" w:rsidRPr="00FA7C89" w:rsidRDefault="00522E36" w:rsidP="00E21DFA">
            <w:pPr>
              <w:spacing w:before="40" w:after="120"/>
            </w:pPr>
            <w:r>
              <w:t>Разработка Общей системы экологической информации</w:t>
            </w:r>
            <w:r>
              <w:br/>
              <w:t>(</w:t>
            </w:r>
            <w:r w:rsidRPr="00ED2A28">
              <w:rPr>
                <w:i/>
                <w:iCs/>
              </w:rPr>
              <w:t>тематические</w:t>
            </w:r>
            <w:r>
              <w:rPr>
                <w:i/>
                <w:iCs/>
              </w:rPr>
              <w:t xml:space="preserve"> обсуждения или обсуждения «</w:t>
            </w:r>
            <w:r w:rsidRPr="005D61F5">
              <w:rPr>
                <w:i/>
                <w:iCs/>
              </w:rPr>
              <w:t>за круглым столом</w:t>
            </w:r>
            <w:r>
              <w:rPr>
                <w:i/>
                <w:iCs/>
              </w:rPr>
              <w:t>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16 ч. 30 м.</w:t>
            </w:r>
            <w:r w:rsidR="00E21DFA">
              <w:t xml:space="preserve"> – </w:t>
            </w:r>
            <w:r>
              <w:t>18 ч. 00 м.</w:t>
            </w: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</w:p>
        </w:tc>
        <w:tc>
          <w:tcPr>
            <w:tcW w:w="5528" w:type="dxa"/>
            <w:shd w:val="clear" w:color="auto" w:fill="auto"/>
          </w:tcPr>
          <w:p w:rsidR="00522E36" w:rsidRPr="005D61F5" w:rsidDel="00A41DC9" w:rsidRDefault="00522E36" w:rsidP="00E21DFA">
            <w:pPr>
              <w:spacing w:before="40" w:after="120"/>
              <w:rPr>
                <w:b/>
                <w:bCs/>
              </w:rPr>
            </w:pPr>
            <w:r w:rsidRPr="005D61F5">
              <w:rPr>
                <w:b/>
                <w:bCs/>
              </w:rPr>
              <w:t>Среда, 14 ноября 2018 года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 xml:space="preserve">2 </w:t>
            </w:r>
          </w:p>
        </w:tc>
        <w:tc>
          <w:tcPr>
            <w:tcW w:w="5528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Среднесрочный обзор (продолжение):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10 ч. 00 м.</w:t>
            </w:r>
            <w:r w:rsidR="00E21DFA">
              <w:t xml:space="preserve"> – </w:t>
            </w:r>
            <w:r>
              <w:t>13 ч. 00 м.</w:t>
            </w:r>
          </w:p>
        </w:tc>
      </w:tr>
      <w:tr w:rsidR="00522E36" w:rsidRPr="005D61F5" w:rsidTr="00E21DFA">
        <w:tc>
          <w:tcPr>
            <w:tcW w:w="851" w:type="dxa"/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>2 d)</w:t>
            </w:r>
          </w:p>
        </w:tc>
        <w:tc>
          <w:tcPr>
            <w:tcW w:w="5528" w:type="dxa"/>
            <w:shd w:val="clear" w:color="auto" w:fill="auto"/>
          </w:tcPr>
          <w:p w:rsidR="00522E36" w:rsidRPr="00FA7C89" w:rsidRDefault="00522E36" w:rsidP="00E21DFA">
            <w:pPr>
              <w:spacing w:before="40" w:after="120"/>
            </w:pPr>
            <w:r>
              <w:t xml:space="preserve">Экологизация экономики и очистка воздуха, в том </w:t>
            </w:r>
            <w:r w:rsidR="00A569E5">
              <w:t xml:space="preserve">числе </w:t>
            </w:r>
            <w:r>
              <w:t>деятельность Целевой группы Программы по «зеленой» экономике и охране окружающей среды и региональных экологич</w:t>
            </w:r>
            <w:r>
              <w:t>е</w:t>
            </w:r>
            <w:r>
              <w:t xml:space="preserve">ских центров </w:t>
            </w:r>
            <w:r>
              <w:br/>
            </w:r>
            <w:r w:rsidRPr="005D61F5">
              <w:t>(</w:t>
            </w:r>
            <w:r>
              <w:rPr>
                <w:i/>
                <w:iCs/>
              </w:rPr>
              <w:t>«</w:t>
            </w:r>
            <w:r w:rsidRPr="005D61F5">
              <w:rPr>
                <w:i/>
                <w:iCs/>
              </w:rPr>
              <w:t>Батумское ток-шоу</w:t>
            </w:r>
            <w:r>
              <w:rPr>
                <w:i/>
                <w:iCs/>
              </w:rPr>
              <w:t>»</w:t>
            </w:r>
            <w:r w:rsidRPr="005D61F5">
              <w:rPr>
                <w:i/>
                <w:iCs/>
              </w:rPr>
              <w:t xml:space="preserve"> и пленарное заседание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10 ч. 00 м.</w:t>
            </w:r>
            <w:r w:rsidR="00E21DFA">
              <w:t xml:space="preserve"> – </w:t>
            </w:r>
            <w:r>
              <w:t>13 ч. 00 м.</w:t>
            </w:r>
          </w:p>
        </w:tc>
      </w:tr>
      <w:tr w:rsidR="00522E36" w:rsidRPr="005D61F5" w:rsidTr="00E21DFA">
        <w:tc>
          <w:tcPr>
            <w:tcW w:w="851" w:type="dxa"/>
            <w:tcBorders>
              <w:bottom w:val="single" w:sz="12" w:space="0" w:color="auto"/>
            </w:tcBorders>
          </w:tcPr>
          <w:p w:rsidR="00522E36" w:rsidRPr="005D61F5" w:rsidRDefault="00522E36" w:rsidP="00522E36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[…] продолжение ежегодной сессии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522E36" w:rsidRPr="005D61F5" w:rsidRDefault="00522E36" w:rsidP="00E21DFA">
            <w:pPr>
              <w:spacing w:before="40" w:after="120"/>
            </w:pPr>
            <w:r>
              <w:t>15 ч. 00 м.</w:t>
            </w:r>
            <w:r w:rsidR="00E21DFA">
              <w:t xml:space="preserve"> – </w:t>
            </w:r>
            <w:r>
              <w:t>18 ч. 00 м.</w:t>
            </w:r>
          </w:p>
        </w:tc>
      </w:tr>
    </w:tbl>
    <w:p w:rsidR="00522E36" w:rsidRPr="005D61F5" w:rsidRDefault="00522E36" w:rsidP="00522E36">
      <w:pPr>
        <w:pStyle w:val="SingleTxtG"/>
        <w:spacing w:line="240" w:lineRule="auto"/>
        <w:rPr>
          <w:lang w:val="ru-RU"/>
        </w:rPr>
      </w:pPr>
    </w:p>
    <w:p w:rsidR="00522E36" w:rsidRPr="00522E36" w:rsidRDefault="00522E36" w:rsidP="00E21DFA">
      <w:pPr>
        <w:pStyle w:val="HChGR"/>
      </w:pPr>
      <w:r>
        <w:rPr>
          <w:lang w:val="en-US"/>
        </w:rPr>
        <w:br w:type="page"/>
      </w:r>
      <w:r w:rsidRPr="00522E36">
        <w:lastRenderedPageBreak/>
        <w:t>Приложение II</w:t>
      </w:r>
    </w:p>
    <w:p w:rsidR="00522E36" w:rsidRPr="00522E36" w:rsidRDefault="00522E36" w:rsidP="00E21DFA">
      <w:pPr>
        <w:pStyle w:val="HChGR"/>
      </w:pPr>
      <w:r w:rsidRPr="00522E36">
        <w:tab/>
      </w:r>
      <w:r w:rsidRPr="00522E36">
        <w:tab/>
        <w:t>Предлагаемая типовая форма для подготовки докладов для среднесрочного обзора</w:t>
      </w:r>
    </w:p>
    <w:p w:rsidR="00522E36" w:rsidRPr="00522E36" w:rsidRDefault="00522E36" w:rsidP="00E21DFA">
      <w:pPr>
        <w:pStyle w:val="SingleTxtGR"/>
        <w:ind w:left="1701" w:hanging="567"/>
      </w:pPr>
      <w:r w:rsidRPr="00522E36">
        <w:t>1.</w:t>
      </w:r>
      <w:r w:rsidRPr="00522E36">
        <w:tab/>
        <w:t>Название доклада.</w:t>
      </w:r>
    </w:p>
    <w:p w:rsidR="00522E36" w:rsidRPr="00522E36" w:rsidRDefault="00522E36" w:rsidP="00E21DFA">
      <w:pPr>
        <w:pStyle w:val="SingleTxtGR"/>
        <w:ind w:left="1701" w:hanging="567"/>
      </w:pPr>
      <w:r w:rsidRPr="00522E36">
        <w:t>2.</w:t>
      </w:r>
      <w:r w:rsidRPr="00522E36">
        <w:tab/>
        <w:t>Обзор основных достижений и, при необходимости, основных выводов или ключевых идей (не более трех страниц).</w:t>
      </w:r>
    </w:p>
    <w:p w:rsidR="00522E36" w:rsidRPr="00522E36" w:rsidRDefault="00522E36" w:rsidP="00E21DFA">
      <w:pPr>
        <w:pStyle w:val="SingleTxtGR"/>
        <w:ind w:left="1701" w:hanging="567"/>
        <w:rPr>
          <w:i/>
        </w:rPr>
      </w:pPr>
      <w:r w:rsidRPr="00522E36">
        <w:t>3.</w:t>
      </w:r>
      <w:r w:rsidRPr="00522E36">
        <w:tab/>
        <w:t>Извлеченные уроки и вызовы (не более одной страницы).</w:t>
      </w:r>
    </w:p>
    <w:p w:rsidR="00522E36" w:rsidRPr="00522E36" w:rsidRDefault="00522E36" w:rsidP="00E21DFA">
      <w:pPr>
        <w:pStyle w:val="SingleTxtGR"/>
        <w:ind w:left="1701" w:hanging="567"/>
      </w:pPr>
      <w:r w:rsidRPr="00522E36">
        <w:t>4.</w:t>
      </w:r>
      <w:r w:rsidRPr="00522E36">
        <w:tab/>
        <w:t>Дальнейшие шаги (не более одной страницы)</w:t>
      </w:r>
    </w:p>
    <w:p w:rsidR="00522E36" w:rsidRPr="00522E36" w:rsidRDefault="00522E36" w:rsidP="00E21DFA">
      <w:pPr>
        <w:pStyle w:val="SingleTxtGR"/>
        <w:ind w:left="1701" w:hanging="567"/>
      </w:pPr>
      <w:r w:rsidRPr="00522E36">
        <w:t>5.</w:t>
      </w:r>
      <w:r w:rsidRPr="00522E36">
        <w:tab/>
        <w:t>Информационные бюллетени по теме основных выводов или ключевых идей, в том числе представление количественных данных в виде граф</w:t>
      </w:r>
      <w:r w:rsidRPr="00522E36">
        <w:t>и</w:t>
      </w:r>
      <w:r w:rsidRPr="00522E36">
        <w:t>ков и круговых диаграмм для обеспечения удобного для читателей и и</w:t>
      </w:r>
      <w:r w:rsidRPr="00522E36">
        <w:t>н</w:t>
      </w:r>
      <w:r w:rsidRPr="00522E36">
        <w:t>терактивного формата среднесрочных обзорных докладов (не более трех страниц).</w:t>
      </w:r>
    </w:p>
    <w:p w:rsidR="00522E36" w:rsidRPr="00522E36" w:rsidRDefault="00A569E5" w:rsidP="00522E36">
      <w:pPr>
        <w:pStyle w:val="SingleTxtGR"/>
      </w:pPr>
      <w:r>
        <w:tab/>
      </w:r>
      <w:r w:rsidR="00522E36" w:rsidRPr="00522E36">
        <w:t>Среднесрочный доклад не должен превышать 4 500 слов (не более восьми страниц), необходимо использовать шрифт</w:t>
      </w:r>
      <w:r>
        <w:t xml:space="preserve"> Times New Roman, размер шри</w:t>
      </w:r>
      <w:r>
        <w:t>ф</w:t>
      </w:r>
      <w:r>
        <w:t>та </w:t>
      </w:r>
      <w:r w:rsidR="00522E36" w:rsidRPr="00522E36">
        <w:t>10.</w:t>
      </w:r>
    </w:p>
    <w:p w:rsidR="00522E36" w:rsidRPr="00522E36" w:rsidRDefault="00522E36" w:rsidP="00E21DFA">
      <w:pPr>
        <w:pStyle w:val="HChGR"/>
      </w:pPr>
      <w:r w:rsidRPr="00522E36">
        <w:br w:type="page"/>
      </w:r>
      <w:r w:rsidRPr="00522E36">
        <w:lastRenderedPageBreak/>
        <w:t>Приложение III</w:t>
      </w:r>
    </w:p>
    <w:p w:rsidR="00522E36" w:rsidRPr="00522E36" w:rsidRDefault="00522E36" w:rsidP="00E21DFA">
      <w:pPr>
        <w:pStyle w:val="HChGR"/>
      </w:pPr>
      <w:r w:rsidRPr="00522E36">
        <w:tab/>
      </w:r>
      <w:r w:rsidRPr="00522E36">
        <w:tab/>
        <w:t xml:space="preserve">Уроки, извлеченные из среднесрочного обзора основных итогов Астанинской конференции в рамках процесса </w:t>
      </w:r>
      <w:r>
        <w:t>«</w:t>
      </w:r>
      <w:r w:rsidRPr="00522E36">
        <w:t>Окружающая среда для Европы</w:t>
      </w:r>
      <w:r>
        <w:t>»</w:t>
      </w:r>
      <w:r w:rsidRPr="00A569E5">
        <w:rPr>
          <w:b w:val="0"/>
          <w:sz w:val="18"/>
          <w:vertAlign w:val="superscript"/>
        </w:rPr>
        <w:footnoteReference w:id="6"/>
      </w:r>
    </w:p>
    <w:p w:rsidR="00522E36" w:rsidRPr="00522E36" w:rsidRDefault="00522E36" w:rsidP="00E21DFA">
      <w:pPr>
        <w:pStyle w:val="H23GR"/>
      </w:pPr>
      <w:r w:rsidRPr="00522E36">
        <w:tab/>
      </w:r>
      <w:r w:rsidRPr="00522E36">
        <w:tab/>
        <w:t xml:space="preserve">Выдержка из документа </w:t>
      </w:r>
      <w:r>
        <w:t>«</w:t>
      </w:r>
      <w:r w:rsidRPr="00522E36">
        <w:t xml:space="preserve">Уроки, извлеченные из среднесрочного обзора основных итогов Астанинской конференции в рамках процесса </w:t>
      </w:r>
      <w:r w:rsidR="00E21DFA">
        <w:t>"</w:t>
      </w:r>
      <w:r w:rsidRPr="00522E36">
        <w:t>Окружающая среда для Европы</w:t>
      </w:r>
      <w:r w:rsidR="00E21DFA">
        <w:t>"»</w:t>
      </w:r>
      <w:r w:rsidRPr="00522E36">
        <w:t xml:space="preserve"> (ECE/CEP/2014/10)</w:t>
      </w:r>
    </w:p>
    <w:p w:rsidR="00522E36" w:rsidRPr="00522E36" w:rsidRDefault="00522E36" w:rsidP="00522E36">
      <w:pPr>
        <w:pStyle w:val="SingleTxtGR"/>
      </w:pPr>
      <w:r w:rsidRPr="00522E36">
        <w:t>…</w:t>
      </w:r>
    </w:p>
    <w:p w:rsidR="00522E36" w:rsidRPr="00522E36" w:rsidRDefault="00522E36" w:rsidP="00522E36">
      <w:pPr>
        <w:pStyle w:val="SingleTxtGR"/>
      </w:pPr>
      <w:r w:rsidRPr="00522E36">
        <w:t>20.</w:t>
      </w:r>
      <w:r w:rsidRPr="00522E36">
        <w:tab/>
        <w:t>Организация среднесрочного обзора основных итогов Астанинской ко</w:t>
      </w:r>
      <w:r w:rsidRPr="00522E36">
        <w:t>н</w:t>
      </w:r>
      <w:r w:rsidRPr="00522E36">
        <w:t>ференции в рамках процесса ОСЕ позволила извлечь ряд уроков, которые должны приниматься во внимание при подготовке любых среднесрочных обз</w:t>
      </w:r>
      <w:r w:rsidRPr="00522E36">
        <w:t>о</w:t>
      </w:r>
      <w:r w:rsidRPr="00522E36">
        <w:t xml:space="preserve">ров в будущем. </w:t>
      </w:r>
    </w:p>
    <w:p w:rsidR="00522E36" w:rsidRPr="00522E36" w:rsidRDefault="00522E36" w:rsidP="00522E36">
      <w:pPr>
        <w:pStyle w:val="SingleTxtGR"/>
      </w:pPr>
      <w:r w:rsidRPr="00522E36">
        <w:t>21.</w:t>
      </w:r>
      <w:r w:rsidRPr="00522E36">
        <w:tab/>
        <w:t>В отношении административных аспектов среднесрочного обзора, опр</w:t>
      </w:r>
      <w:r w:rsidRPr="00522E36">
        <w:t>е</w:t>
      </w:r>
      <w:r w:rsidRPr="00522E36">
        <w:t>деленные уроки были извлечены в процессе его подготовки. Среднесрочный обзор был организован спустя два года после Конференции министров в Астане: этого времени было вполне достаточно для того, чтобы добиться р</w:t>
      </w:r>
      <w:r w:rsidRPr="00522E36">
        <w:t>е</w:t>
      </w:r>
      <w:r w:rsidRPr="00522E36">
        <w:t>зультатов в осуществлении ее решений, которые можно было бы оценить в пр</w:t>
      </w:r>
      <w:r w:rsidRPr="00522E36">
        <w:t>о</w:t>
      </w:r>
      <w:r w:rsidRPr="00522E36">
        <w:t>цессе обзора. График подготовительной работы в целом был составлен пр</w:t>
      </w:r>
      <w:r w:rsidRPr="00522E36">
        <w:t>а</w:t>
      </w:r>
      <w:r w:rsidRPr="00522E36">
        <w:t>вильно. Проведенные КЭП на апрельской сессии 2012 года обсуждения и пр</w:t>
      </w:r>
      <w:r w:rsidRPr="00522E36">
        <w:t>и</w:t>
      </w:r>
      <w:r w:rsidRPr="00522E36">
        <w:t>нятые решения по охвату, формату и условиям проведения среднесрочного о</w:t>
      </w:r>
      <w:r w:rsidRPr="00522E36">
        <w:t>б</w:t>
      </w:r>
      <w:r w:rsidRPr="00522E36">
        <w:t>зора имели огромное значение, направив подготовку обзора в нужное русло. Кроме того, важную роль сыграла активная работа Президиума КЭП в межсе</w:t>
      </w:r>
      <w:r w:rsidRPr="00522E36">
        <w:t>с</w:t>
      </w:r>
      <w:r w:rsidRPr="00522E36">
        <w:t>сионный период. Этот урок можно признать вполне позитивным, и подобный подготовительный процесс вполне можно было бы взять за модель при подг</w:t>
      </w:r>
      <w:r w:rsidRPr="00522E36">
        <w:t>о</w:t>
      </w:r>
      <w:r w:rsidRPr="00522E36">
        <w:t xml:space="preserve">товке будущих среднесрочных обзоров процесса ОСЕ. </w:t>
      </w:r>
    </w:p>
    <w:p w:rsidR="00522E36" w:rsidRPr="00522E36" w:rsidRDefault="00522E36" w:rsidP="00522E36">
      <w:pPr>
        <w:pStyle w:val="SingleTxtGR"/>
      </w:pPr>
      <w:r w:rsidRPr="00522E36">
        <w:t>22.</w:t>
      </w:r>
      <w:r w:rsidRPr="00522E36">
        <w:tab/>
        <w:t>Что касается времени проведения обзора, то его организация в ходе оч</w:t>
      </w:r>
      <w:r w:rsidRPr="00522E36">
        <w:t>е</w:t>
      </w:r>
      <w:r w:rsidRPr="00522E36">
        <w:t xml:space="preserve">редной ежегодной сессии КЭП имела ряд плюсов, поскольку это позволило принять в нем участие большому числу делегатов и добиться экономии как для секретариата, так и для делегатов, устранив необходимость в подготовке еще одного совещания и дополнительных поездок в Женеву. </w:t>
      </w:r>
    </w:p>
    <w:p w:rsidR="00522E36" w:rsidRPr="00522E36" w:rsidRDefault="00522E36" w:rsidP="00522E36">
      <w:pPr>
        <w:pStyle w:val="SingleTxtGR"/>
      </w:pPr>
      <w:r w:rsidRPr="00522E36">
        <w:t>23.</w:t>
      </w:r>
      <w:r w:rsidRPr="00522E36">
        <w:tab/>
        <w:t>В то же время привязка этого мероприятия к очередной сессии КЭП, ос</w:t>
      </w:r>
      <w:r w:rsidRPr="00522E36">
        <w:t>о</w:t>
      </w:r>
      <w:r w:rsidRPr="00522E36">
        <w:t>бенно в конце двухгодичного цикла Организации Объединенных Наций (например, 2010–2011 годы, 2012–2013 годы, 2014–2015 годы), когда необход</w:t>
      </w:r>
      <w:r w:rsidRPr="00522E36">
        <w:t>и</w:t>
      </w:r>
      <w:r w:rsidRPr="00522E36">
        <w:t>мо заниматься цел</w:t>
      </w:r>
      <w:r w:rsidR="00A569E5">
        <w:t>ы</w:t>
      </w:r>
      <w:r w:rsidRPr="00522E36">
        <w:t>м рядом программных документов, легла на секретариат тяжелым бременем в это и без того непростое для него время. На будущее КЭП, возможно, следует подумать над тем, продолжать ли организовывать такие о</w:t>
      </w:r>
      <w:r w:rsidRPr="00522E36">
        <w:t>б</w:t>
      </w:r>
      <w:r w:rsidRPr="00522E36">
        <w:t xml:space="preserve">зоры в ходе очередных сессий КЭП или проводить их в рамках специальной сессии. </w:t>
      </w:r>
    </w:p>
    <w:p w:rsidR="00522E36" w:rsidRPr="00522E36" w:rsidRDefault="00522E36" w:rsidP="00522E36">
      <w:pPr>
        <w:pStyle w:val="SingleTxtGR"/>
      </w:pPr>
      <w:r w:rsidRPr="00522E36">
        <w:t>24.</w:t>
      </w:r>
      <w:r w:rsidRPr="00522E36">
        <w:tab/>
        <w:t>Что касается продолжительности среднесрочного обзора, то проведение полуторадневного обзора в ходе четырехдневной сессии КЭП наряду с совещ</w:t>
      </w:r>
      <w:r w:rsidRPr="00522E36">
        <w:t>а</w:t>
      </w:r>
      <w:r w:rsidRPr="00522E36">
        <w:t>нием президиума КЭП и совместным неформальным совещанием Председат</w:t>
      </w:r>
      <w:r w:rsidRPr="00522E36">
        <w:t>е</w:t>
      </w:r>
      <w:r w:rsidRPr="00522E36">
        <w:t>лей МПС и КЭП − за день до начала сессии КЭП – сделало повестку дня д</w:t>
      </w:r>
      <w:r w:rsidRPr="00522E36">
        <w:t>о</w:t>
      </w:r>
      <w:r w:rsidRPr="00522E36">
        <w:t>вольно насыщенной, поставив делегатов перед необходимостью пропустить ч</w:t>
      </w:r>
      <w:r w:rsidRPr="00522E36">
        <w:t>е</w:t>
      </w:r>
      <w:r w:rsidRPr="00522E36">
        <w:t xml:space="preserve">рез себя большой объем информации и выжав все ресурсы секретариата. </w:t>
      </w:r>
    </w:p>
    <w:p w:rsidR="00522E36" w:rsidRPr="00522E36" w:rsidRDefault="00522E36" w:rsidP="00522E36">
      <w:pPr>
        <w:pStyle w:val="SingleTxtGR"/>
      </w:pPr>
      <w:r w:rsidRPr="00522E36">
        <w:t>25.</w:t>
      </w:r>
      <w:r w:rsidRPr="00522E36">
        <w:tab/>
        <w:t>Что касается качества дискуссии, то</w:t>
      </w:r>
      <w:r w:rsidR="00A569E5">
        <w:t>,</w:t>
      </w:r>
      <w:r w:rsidRPr="00522E36">
        <w:t xml:space="preserve"> хотя обсуждения в группах и на пленарных заседаниях имели достаточно высокое качество, в будущем было бы желательно избегать того цейтнота, о котором упоминалось выше. Делегаты высоко оценили качество документации, однако некоторые из них не преминули </w:t>
      </w:r>
      <w:r w:rsidRPr="00522E36">
        <w:lastRenderedPageBreak/>
        <w:t>при этом указать на то, что они оказались буквально завалены огромным кол</w:t>
      </w:r>
      <w:r w:rsidRPr="00522E36">
        <w:t>и</w:t>
      </w:r>
      <w:r w:rsidRPr="00522E36">
        <w:t xml:space="preserve">чеством документов, содержащих колоссальный объем информации. </w:t>
      </w:r>
    </w:p>
    <w:p w:rsidR="00522E36" w:rsidRPr="00522E36" w:rsidRDefault="00522E36" w:rsidP="00522E36">
      <w:pPr>
        <w:pStyle w:val="SingleTxtGR"/>
      </w:pPr>
      <w:r w:rsidRPr="00522E36">
        <w:t>26.</w:t>
      </w:r>
      <w:r w:rsidRPr="00522E36">
        <w:tab/>
        <w:t>Помимо этого, некоторые дискуссии – в рамках как среднесрочного обз</w:t>
      </w:r>
      <w:r w:rsidRPr="00522E36">
        <w:t>о</w:t>
      </w:r>
      <w:r w:rsidRPr="00522E36">
        <w:t>ра, так и повестки дня очередной сессии – приходилось в буквальном смысле втискивать в жесткие временные рамки. При проведении среднесрочных обз</w:t>
      </w:r>
      <w:r w:rsidRPr="00522E36">
        <w:t>о</w:t>
      </w:r>
      <w:r w:rsidRPr="00522E36">
        <w:t>ров в будущем следует задуматься над тем, как добиться нужного баланса ме</w:t>
      </w:r>
      <w:r w:rsidRPr="00522E36">
        <w:t>ж</w:t>
      </w:r>
      <w:r w:rsidRPr="00522E36">
        <w:t>ду уровнем и глубиной дискуссий по существу и количеством и продолжител</w:t>
      </w:r>
      <w:r w:rsidRPr="00522E36">
        <w:t>ь</w:t>
      </w:r>
      <w:r w:rsidRPr="00522E36">
        <w:t xml:space="preserve">ностью всех соответствующих совещаний. </w:t>
      </w:r>
    </w:p>
    <w:p w:rsidR="00522E36" w:rsidRPr="00522E36" w:rsidRDefault="00522E36" w:rsidP="00522E36">
      <w:pPr>
        <w:pStyle w:val="SingleTxtGR"/>
      </w:pPr>
      <w:r w:rsidRPr="00522E36">
        <w:t>27.</w:t>
      </w:r>
      <w:r w:rsidRPr="00522E36">
        <w:tab/>
        <w:t>Что касается нагрузки на секретариат, связанной с документацией, то к девятнадцатой сессии КЭП было подготовлено в общей сложности 22 предсе</w:t>
      </w:r>
      <w:r w:rsidRPr="00522E36">
        <w:t>с</w:t>
      </w:r>
      <w:r w:rsidRPr="00522E36">
        <w:t>сионных официальных документа, из кото</w:t>
      </w:r>
      <w:r w:rsidR="005F7C17">
        <w:t>рых 11 имели отношение к средн</w:t>
      </w:r>
      <w:r w:rsidR="005F7C17">
        <w:t>е</w:t>
      </w:r>
      <w:r w:rsidRPr="00522E36">
        <w:t>срочному обзору. Кроме того, было подготовлено 12 предсессионных информ</w:t>
      </w:r>
      <w:r w:rsidRPr="00522E36">
        <w:t>а</w:t>
      </w:r>
      <w:r w:rsidRPr="00522E36">
        <w:t>ционных документов, в том числе один (объемом 235 страниц) для среднесро</w:t>
      </w:r>
      <w:r w:rsidRPr="00522E36">
        <w:t>ч</w:t>
      </w:r>
      <w:r w:rsidRPr="00522E36">
        <w:t>ного обзора. Необходимость подготовки большого объема документации легла непредвиденной нагрузкой на секретариат –</w:t>
      </w:r>
      <w:r w:rsidR="005F7C17">
        <w:t xml:space="preserve"> как на штатных сотрудников, о</w:t>
      </w:r>
      <w:r w:rsidR="005F7C17">
        <w:t>б</w:t>
      </w:r>
      <w:r w:rsidRPr="00522E36">
        <w:t xml:space="preserve">служивающих КЭП, так и на других сотрудников, участвовавших в подготовке различных документов, а также на редактора Отдела окружающей среды. </w:t>
      </w:r>
      <w:r w:rsidR="00A569E5">
        <w:br/>
      </w:r>
      <w:r w:rsidRPr="00522E36">
        <w:t>При планировании будущих среднесрочных обзоров необходимо уделять вн</w:t>
      </w:r>
      <w:r w:rsidRPr="00522E36">
        <w:t>и</w:t>
      </w:r>
      <w:r w:rsidRPr="00522E36">
        <w:t>мание общему количеству документов и их объему. В этой связи для обоснов</w:t>
      </w:r>
      <w:r w:rsidRPr="00522E36">
        <w:t>а</w:t>
      </w:r>
      <w:r w:rsidRPr="00522E36">
        <w:t>ния решений о проведении посвященных среднесрочным обзорам отдельных целевых совещаний в будущем следует стремиться к нахождению верного б</w:t>
      </w:r>
      <w:r w:rsidRPr="00522E36">
        <w:t>а</w:t>
      </w:r>
      <w:r w:rsidRPr="00522E36">
        <w:t>ланса между имеющимися у секретариата ресурсами и возможными путевыми расх</w:t>
      </w:r>
      <w:r w:rsidRPr="00522E36">
        <w:t>о</w:t>
      </w:r>
      <w:r w:rsidRPr="00522E36">
        <w:t xml:space="preserve">дами участников. </w:t>
      </w:r>
    </w:p>
    <w:p w:rsidR="00522E36" w:rsidRPr="00522E36" w:rsidRDefault="00522E36" w:rsidP="00522E36">
      <w:pPr>
        <w:pStyle w:val="SingleTxtGR"/>
      </w:pPr>
      <w:r w:rsidRPr="00522E36">
        <w:t>28.</w:t>
      </w:r>
      <w:r w:rsidRPr="00522E36">
        <w:tab/>
        <w:t>Касательно нагрузки на делегатов − напряженная четырехдневная сессия, включающая два параллельных мероприятия (для членов Президиума КЭП она растянулась в общей сложности на пять дней), а также большое число докуме</w:t>
      </w:r>
      <w:r w:rsidRPr="00522E36">
        <w:t>н</w:t>
      </w:r>
      <w:r w:rsidRPr="00522E36">
        <w:t>тов, с которыми им пришлось ознакомиться в преддверии принятия решений, потребовали от них немалых усилий. Хотя многие делегаты высоко оценили с</w:t>
      </w:r>
      <w:r w:rsidRPr="00522E36">
        <w:t>о</w:t>
      </w:r>
      <w:r w:rsidRPr="00522E36">
        <w:t>держание и организацию совещания, некоторые обратили внимание на большой объем информации и напряженный характер заседаний. Наряду с этим участн</w:t>
      </w:r>
      <w:r w:rsidRPr="00522E36">
        <w:t>и</w:t>
      </w:r>
      <w:r w:rsidRPr="00522E36">
        <w:t xml:space="preserve">ки столкнулись с неудобствами по причине ремонта, который проходил в то время неподалеку от зала заседаний во Дворце Наций. </w:t>
      </w:r>
    </w:p>
    <w:p w:rsidR="00522E36" w:rsidRPr="00522E36" w:rsidRDefault="00522E36" w:rsidP="00522E36">
      <w:pPr>
        <w:pStyle w:val="SingleTxtGR"/>
      </w:pPr>
      <w:r w:rsidRPr="00522E36">
        <w:t>29.</w:t>
      </w:r>
      <w:r w:rsidRPr="00522E36">
        <w:tab/>
        <w:t>Одна из возможностей преодолеть некоторые из упомянутых выше тру</w:t>
      </w:r>
      <w:r w:rsidRPr="00522E36">
        <w:t>д</w:t>
      </w:r>
      <w:r w:rsidRPr="00522E36">
        <w:t>ностей видится в том, чтобы изучить возможность организации среднесрочного обзора в ходе специальной сессии КЭП, которая проходила бы с шестимеся</w:t>
      </w:r>
      <w:r w:rsidRPr="00522E36">
        <w:t>ч</w:t>
      </w:r>
      <w:r w:rsidRPr="00522E36">
        <w:t>ным интервалом между очередными ежегодными сессиями КЭП и с интервалом примерно в два с половиной года между конференциями министров в рамках процесса ОСЕ. Если же обзоры будут проводиться во время очередных сессий КЭП, может потребоваться выделение дополнительных ресурсов из внебю</w:t>
      </w:r>
      <w:r w:rsidRPr="00522E36">
        <w:t>д</w:t>
      </w:r>
      <w:r w:rsidRPr="00522E36">
        <w:t xml:space="preserve">жетных фондов для найма на шестимесячный период сотрудника категории специалистов для оказания помощи штатным сотрудникам секретариата. </w:t>
      </w:r>
    </w:p>
    <w:p w:rsidR="00522E36" w:rsidRPr="00522E36" w:rsidRDefault="00522E36" w:rsidP="00522E36">
      <w:pPr>
        <w:pStyle w:val="SingleTxtGR"/>
      </w:pPr>
      <w:r w:rsidRPr="00522E36">
        <w:t>30.</w:t>
      </w:r>
      <w:r w:rsidRPr="00522E36">
        <w:tab/>
        <w:t>К организационным аспектам относятся и уроки, извлеченные в процессе подготовки повестки дня и определения формата среднесрочного обзора. В ходе среднесрочного обзора удалось в достаточной мере охватить все основные ит</w:t>
      </w:r>
      <w:r w:rsidRPr="00522E36">
        <w:t>о</w:t>
      </w:r>
      <w:r w:rsidRPr="00522E36">
        <w:t>ги Конференции в Астане. Кроме того, включение в среднесрочный обзор р</w:t>
      </w:r>
      <w:r w:rsidRPr="00522E36">
        <w:t>е</w:t>
      </w:r>
      <w:r w:rsidRPr="00522E36">
        <w:t>зультатов проведенного среди участников процесса ОСЕ опроса позволило расширить горизонты обзора на будущее. Использование форматов обсуждений в группах и на пленарных заседаниях позволило добиться необходимой сбала</w:t>
      </w:r>
      <w:r w:rsidRPr="00522E36">
        <w:t>н</w:t>
      </w:r>
      <w:r w:rsidRPr="00522E36">
        <w:t xml:space="preserve">сированности, хотя в силу ограниченности времени обсуждение некоторых тем проходило довольно интенсивно. </w:t>
      </w:r>
    </w:p>
    <w:p w:rsidR="00522E36" w:rsidRPr="00522E36" w:rsidRDefault="00522E36" w:rsidP="00522E36">
      <w:pPr>
        <w:pStyle w:val="SingleTxtGR"/>
      </w:pPr>
      <w:r w:rsidRPr="00522E36">
        <w:t>31.</w:t>
      </w:r>
      <w:r w:rsidRPr="00522E36">
        <w:tab/>
        <w:t xml:space="preserve">Организация параллельных мероприятий в связи с сессиями КЭП, в частности мероприятий, имеющих отношение к темам среднесрочного обзора процесса ОСЕ, стала ценным вкладом в проведение официальных сессий. </w:t>
      </w:r>
    </w:p>
    <w:p w:rsidR="00522E36" w:rsidRPr="00522E36" w:rsidRDefault="00522E36" w:rsidP="00522E36">
      <w:pPr>
        <w:pStyle w:val="SingleTxtGR"/>
      </w:pPr>
      <w:r w:rsidRPr="00522E36">
        <w:t>32.</w:t>
      </w:r>
      <w:r w:rsidRPr="00522E36">
        <w:tab/>
        <w:t>Что касается содержания работы, то уроки были извлечены как при по</w:t>
      </w:r>
      <w:r w:rsidRPr="00522E36">
        <w:t>д</w:t>
      </w:r>
      <w:r w:rsidRPr="00522E36">
        <w:t>готовке среднесрочного обзора, так и при проведении опроса участников пр</w:t>
      </w:r>
      <w:r w:rsidRPr="00522E36">
        <w:t>о</w:t>
      </w:r>
      <w:r w:rsidRPr="00522E36">
        <w:t xml:space="preserve">цесса ОСЕ, которым, в частности, были заданы вопросы об осуществлении </w:t>
      </w:r>
      <w:r w:rsidRPr="00522E36">
        <w:lastRenderedPageBreak/>
        <w:t>странами плана реформы ОСЕ и о содержании и формате восьмой Конфере</w:t>
      </w:r>
      <w:r w:rsidRPr="00522E36">
        <w:t>н</w:t>
      </w:r>
      <w:r w:rsidRPr="00522E36">
        <w:t xml:space="preserve">ции министров в рамках процесса ОСЕ. </w:t>
      </w:r>
    </w:p>
    <w:p w:rsidR="00522E36" w:rsidRPr="00522E36" w:rsidRDefault="00522E36" w:rsidP="00522E36">
      <w:pPr>
        <w:pStyle w:val="SingleTxtGR"/>
      </w:pPr>
      <w:r w:rsidRPr="00522E36">
        <w:t>33.</w:t>
      </w:r>
      <w:r w:rsidRPr="00522E36">
        <w:tab/>
        <w:t>Подготовка среднесрочных докладов для оценки хода осуществления каждого из итогов Конференции оказалась очень полезной инициативой, вне</w:t>
      </w:r>
      <w:r w:rsidRPr="00522E36">
        <w:t>с</w:t>
      </w:r>
      <w:r w:rsidRPr="00522E36">
        <w:t>шей значительный вклад в проведение обсуждений в ходе обзора. В то же вр</w:t>
      </w:r>
      <w:r w:rsidRPr="00522E36">
        <w:t>е</w:t>
      </w:r>
      <w:r w:rsidRPr="00522E36">
        <w:t>мя, как отмечалось выше, общее количество и объем подготовленных в связи со среднесрочным обзором докладов и других соответствующих документов пр</w:t>
      </w:r>
      <w:r w:rsidRPr="00522E36">
        <w:t>е</w:t>
      </w:r>
      <w:r w:rsidRPr="00522E36">
        <w:t xml:space="preserve">высил возможности как секретариата, так и других партнеров по процессу ОСЕ и делегатов. </w:t>
      </w:r>
    </w:p>
    <w:p w:rsidR="00522E36" w:rsidRPr="00522E36" w:rsidRDefault="00522E36" w:rsidP="00522E36">
      <w:pPr>
        <w:pStyle w:val="SingleTxtGR"/>
      </w:pPr>
      <w:r w:rsidRPr="00522E36">
        <w:t>34.</w:t>
      </w:r>
      <w:r w:rsidRPr="00522E36">
        <w:tab/>
        <w:t>Полученные в ходе опроса ответы были очень содержательными и ост</w:t>
      </w:r>
      <w:r w:rsidRPr="00522E36">
        <w:t>а</w:t>
      </w:r>
      <w:r w:rsidRPr="00522E36">
        <w:t>ются полезным источником ценной информации. Через пять лет при организ</w:t>
      </w:r>
      <w:r w:rsidRPr="00522E36">
        <w:t>а</w:t>
      </w:r>
      <w:r w:rsidRPr="00522E36">
        <w:t>ции следующего среднесрочного обзора можно было бы подумать над провед</w:t>
      </w:r>
      <w:r w:rsidRPr="00522E36">
        <w:t>е</w:t>
      </w:r>
      <w:r w:rsidRPr="00522E36">
        <w:t>нием второго раунда подобного обследования.</w:t>
      </w:r>
    </w:p>
    <w:p w:rsidR="00522E36" w:rsidRPr="005F7C17" w:rsidRDefault="005F7C17" w:rsidP="005F7C1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2E36" w:rsidRPr="005F7C17" w:rsidSect="0022763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CE" w:rsidRPr="00A312BC" w:rsidRDefault="00FB5FCE" w:rsidP="00A312BC"/>
  </w:endnote>
  <w:endnote w:type="continuationSeparator" w:id="0">
    <w:p w:rsidR="00FB5FCE" w:rsidRPr="00A312BC" w:rsidRDefault="00FB5F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6" w:rsidRPr="0022763E" w:rsidRDefault="00522E36">
    <w:pPr>
      <w:pStyle w:val="a8"/>
    </w:pPr>
    <w:r w:rsidRPr="0022763E">
      <w:rPr>
        <w:b/>
        <w:sz w:val="18"/>
      </w:rPr>
      <w:fldChar w:fldCharType="begin"/>
    </w:r>
    <w:r w:rsidRPr="0022763E">
      <w:rPr>
        <w:b/>
        <w:sz w:val="18"/>
      </w:rPr>
      <w:instrText xml:space="preserve"> PAGE  \* MERGEFORMAT </w:instrText>
    </w:r>
    <w:r w:rsidRPr="0022763E">
      <w:rPr>
        <w:b/>
        <w:sz w:val="18"/>
      </w:rPr>
      <w:fldChar w:fldCharType="separate"/>
    </w:r>
    <w:r w:rsidR="004C6057">
      <w:rPr>
        <w:b/>
        <w:noProof/>
        <w:sz w:val="18"/>
      </w:rPr>
      <w:t>4</w:t>
    </w:r>
    <w:r w:rsidRPr="0022763E">
      <w:rPr>
        <w:b/>
        <w:sz w:val="18"/>
      </w:rPr>
      <w:fldChar w:fldCharType="end"/>
    </w:r>
    <w:r>
      <w:rPr>
        <w:b/>
        <w:sz w:val="18"/>
      </w:rPr>
      <w:tab/>
    </w:r>
    <w:r>
      <w:t>GE.17-13936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6" w:rsidRPr="0022763E" w:rsidRDefault="00522E36" w:rsidP="0022763E">
    <w:pPr>
      <w:pStyle w:val="a8"/>
      <w:tabs>
        <w:tab w:val="clear" w:pos="9639"/>
        <w:tab w:val="right" w:pos="9638"/>
      </w:tabs>
      <w:rPr>
        <w:b/>
        <w:sz w:val="18"/>
      </w:rPr>
    </w:pPr>
    <w:r>
      <w:t>GE.17-13936</w:t>
    </w:r>
    <w:r>
      <w:tab/>
    </w:r>
    <w:r w:rsidRPr="0022763E">
      <w:rPr>
        <w:b/>
        <w:sz w:val="18"/>
      </w:rPr>
      <w:fldChar w:fldCharType="begin"/>
    </w:r>
    <w:r w:rsidRPr="0022763E">
      <w:rPr>
        <w:b/>
        <w:sz w:val="18"/>
      </w:rPr>
      <w:instrText xml:space="preserve"> PAGE  \* MERGEFORMAT </w:instrText>
    </w:r>
    <w:r w:rsidRPr="0022763E">
      <w:rPr>
        <w:b/>
        <w:sz w:val="18"/>
      </w:rPr>
      <w:fldChar w:fldCharType="separate"/>
    </w:r>
    <w:r w:rsidR="004C6057">
      <w:rPr>
        <w:b/>
        <w:noProof/>
        <w:sz w:val="18"/>
      </w:rPr>
      <w:t>5</w:t>
    </w:r>
    <w:r w:rsidRPr="002276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6" w:rsidRPr="0022763E" w:rsidRDefault="00522E36" w:rsidP="0022763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68A6FA" wp14:editId="09DAA8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17-13936  (R)</w:t>
    </w:r>
    <w:r>
      <w:rPr>
        <w:lang w:val="en-US"/>
      </w:rPr>
      <w:t xml:space="preserve">  </w:t>
    </w:r>
    <w:r w:rsidR="00721FD4">
      <w:t>2</w:t>
    </w:r>
    <w:r w:rsidR="00CC5C3B">
      <w:t xml:space="preserve">50917  </w:t>
    </w:r>
    <w:r w:rsidR="00CC5C3B">
      <w:t>2</w:t>
    </w:r>
    <w:r w:rsidR="00CC5C3B">
      <w:t>7</w:t>
    </w:r>
    <w:r w:rsidR="00CC5C3B">
      <w:t>0917</w:t>
    </w:r>
    <w:r>
      <w:br/>
    </w:r>
    <w:r w:rsidRPr="0022763E">
      <w:rPr>
        <w:rFonts w:ascii="C39T30Lfz" w:hAnsi="C39T30Lfz"/>
        <w:spacing w:val="0"/>
        <w:w w:val="100"/>
        <w:sz w:val="56"/>
      </w:rPr>
      <w:t></w:t>
    </w:r>
    <w:r w:rsidRPr="0022763E">
      <w:rPr>
        <w:rFonts w:ascii="C39T30Lfz" w:hAnsi="C39T30Lfz"/>
        <w:spacing w:val="0"/>
        <w:w w:val="100"/>
        <w:sz w:val="56"/>
      </w:rPr>
      <w:t></w:t>
    </w:r>
    <w:r w:rsidRPr="0022763E">
      <w:rPr>
        <w:rFonts w:ascii="C39T30Lfz" w:hAnsi="C39T30Lfz"/>
        <w:spacing w:val="0"/>
        <w:w w:val="100"/>
        <w:sz w:val="56"/>
      </w:rPr>
      <w:t></w:t>
    </w:r>
    <w:r w:rsidRPr="0022763E">
      <w:rPr>
        <w:rFonts w:ascii="C39T30Lfz" w:hAnsi="C39T30Lfz"/>
        <w:spacing w:val="0"/>
        <w:w w:val="100"/>
        <w:sz w:val="56"/>
      </w:rPr>
      <w:t></w:t>
    </w:r>
    <w:r w:rsidRPr="0022763E">
      <w:rPr>
        <w:rFonts w:ascii="C39T30Lfz" w:hAnsi="C39T30Lfz"/>
        <w:spacing w:val="0"/>
        <w:w w:val="100"/>
        <w:sz w:val="56"/>
      </w:rPr>
      <w:t></w:t>
    </w:r>
    <w:r w:rsidRPr="0022763E">
      <w:rPr>
        <w:rFonts w:ascii="C39T30Lfz" w:hAnsi="C39T30Lfz"/>
        <w:spacing w:val="0"/>
        <w:w w:val="100"/>
        <w:sz w:val="56"/>
      </w:rPr>
      <w:t></w:t>
    </w:r>
    <w:r w:rsidRPr="0022763E">
      <w:rPr>
        <w:rFonts w:ascii="C39T30Lfz" w:hAnsi="C39T30Lfz"/>
        <w:spacing w:val="0"/>
        <w:w w:val="100"/>
        <w:sz w:val="56"/>
      </w:rPr>
      <w:t></w:t>
    </w:r>
    <w:r w:rsidRPr="0022763E">
      <w:rPr>
        <w:rFonts w:ascii="C39T30Lfz" w:hAnsi="C39T30Lfz"/>
        <w:spacing w:val="0"/>
        <w:w w:val="100"/>
        <w:sz w:val="56"/>
      </w:rPr>
      <w:t></w:t>
    </w:r>
    <w:r w:rsidRPr="0022763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CE" w:rsidRPr="001075E9" w:rsidRDefault="00FB5F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5FCE" w:rsidRDefault="00FB5F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2E36" w:rsidRPr="005F7C17" w:rsidRDefault="00522E36" w:rsidP="00522E36">
      <w:pPr>
        <w:pStyle w:val="ad"/>
        <w:rPr>
          <w:lang w:val="ru-RU"/>
        </w:rPr>
      </w:pPr>
      <w:r w:rsidRPr="005F7C17">
        <w:rPr>
          <w:lang w:val="ru-RU"/>
        </w:rPr>
        <w:tab/>
      </w:r>
      <w:r w:rsidRPr="005F7C17">
        <w:rPr>
          <w:rStyle w:val="aa"/>
          <w:lang w:val="ru-RU"/>
        </w:rPr>
        <w:footnoteRef/>
      </w:r>
      <w:r w:rsidRPr="005F7C17">
        <w:rPr>
          <w:lang w:val="ru-RU"/>
        </w:rPr>
        <w:tab/>
        <w:t xml:space="preserve">Размещены по адресу </w:t>
      </w:r>
      <w:hyperlink r:id="rId1" w:history="1">
        <w:r w:rsidRPr="005F7C17">
          <w:rPr>
            <w:rStyle w:val="af1"/>
            <w:color w:val="auto"/>
            <w:lang w:val="ru-RU"/>
          </w:rPr>
          <w:t>http://www.unece.org/index.php?id=35032</w:t>
        </w:r>
      </w:hyperlink>
      <w:r w:rsidRPr="005F7C17">
        <w:rPr>
          <w:lang w:val="ru-RU"/>
        </w:rPr>
        <w:t xml:space="preserve">. </w:t>
      </w:r>
    </w:p>
  </w:footnote>
  <w:footnote w:id="2">
    <w:p w:rsidR="00522E36" w:rsidRPr="005F7C17" w:rsidRDefault="00522E36" w:rsidP="00522E36">
      <w:pPr>
        <w:pStyle w:val="ad"/>
        <w:rPr>
          <w:lang w:val="ru-RU"/>
        </w:rPr>
      </w:pPr>
      <w:r w:rsidRPr="005F7C17">
        <w:rPr>
          <w:lang w:val="ru-RU"/>
        </w:rPr>
        <w:tab/>
      </w:r>
      <w:r w:rsidRPr="005F7C17">
        <w:rPr>
          <w:rStyle w:val="aa"/>
          <w:lang w:val="ru-RU"/>
        </w:rPr>
        <w:footnoteRef/>
      </w:r>
      <w:r w:rsidRPr="005F7C17">
        <w:rPr>
          <w:lang w:val="ru-RU"/>
        </w:rPr>
        <w:tab/>
        <w:t>Эти документы разме</w:t>
      </w:r>
      <w:r w:rsidR="00E21DFA" w:rsidRPr="005F7C17">
        <w:rPr>
          <w:lang w:val="ru-RU"/>
        </w:rPr>
        <w:t>щены на веб-сайте ЕЭК по адресу</w:t>
      </w:r>
      <w:r w:rsidRPr="005F7C17">
        <w:rPr>
          <w:lang w:val="ru-RU"/>
        </w:rPr>
        <w:t xml:space="preserve"> </w:t>
      </w:r>
      <w:hyperlink r:id="rId2" w:history="1">
        <w:r w:rsidRPr="005F7C17">
          <w:rPr>
            <w:rStyle w:val="af1"/>
            <w:color w:val="auto"/>
            <w:lang w:val="ru-RU"/>
          </w:rPr>
          <w:t>www.unece.org/environmental-policy/environment-for-europe/efe-conferences/batumi-conference/welcome</w:t>
        </w:r>
      </w:hyperlink>
      <w:r w:rsidRPr="005F7C17">
        <w:rPr>
          <w:lang w:val="ru-RU"/>
        </w:rPr>
        <w:t>.</w:t>
      </w:r>
    </w:p>
  </w:footnote>
  <w:footnote w:id="3">
    <w:p w:rsidR="00522E36" w:rsidRPr="005F7C17" w:rsidRDefault="00522E36" w:rsidP="00522E36">
      <w:pPr>
        <w:pStyle w:val="ad"/>
        <w:rPr>
          <w:lang w:val="ru-RU"/>
        </w:rPr>
      </w:pPr>
      <w:r w:rsidRPr="005F7C17">
        <w:rPr>
          <w:lang w:val="ru-RU"/>
        </w:rPr>
        <w:tab/>
      </w:r>
      <w:r w:rsidRPr="005F7C17">
        <w:rPr>
          <w:rStyle w:val="aa"/>
          <w:lang w:val="ru-RU"/>
        </w:rPr>
        <w:footnoteRef/>
      </w:r>
      <w:r w:rsidRPr="005F7C17">
        <w:rPr>
          <w:lang w:val="ru-RU"/>
        </w:rPr>
        <w:tab/>
        <w:t xml:space="preserve">См. </w:t>
      </w:r>
      <w:hyperlink r:id="rId3" w:history="1">
        <w:r w:rsidRPr="005F7C17">
          <w:rPr>
            <w:rStyle w:val="af1"/>
            <w:color w:val="auto"/>
            <w:lang w:val="ru-RU"/>
          </w:rPr>
          <w:t>www.greengrowthknowledge.org/big-e</w:t>
        </w:r>
      </w:hyperlink>
      <w:r w:rsidRPr="005F7C17">
        <w:rPr>
          <w:lang w:val="ru-RU"/>
        </w:rPr>
        <w:t xml:space="preserve">. </w:t>
      </w:r>
    </w:p>
  </w:footnote>
  <w:footnote w:id="4">
    <w:p w:rsidR="00522E36" w:rsidRPr="00CC5C3B" w:rsidRDefault="00522E36" w:rsidP="00522E36">
      <w:pPr>
        <w:pStyle w:val="ad"/>
      </w:pPr>
      <w:r w:rsidRPr="005F7C17">
        <w:rPr>
          <w:lang w:val="ru-RU"/>
        </w:rPr>
        <w:tab/>
      </w:r>
      <w:r w:rsidRPr="005F7C17">
        <w:rPr>
          <w:rStyle w:val="aa"/>
          <w:lang w:val="ru-RU"/>
        </w:rPr>
        <w:footnoteRef/>
      </w:r>
      <w:r w:rsidRPr="005F7C17">
        <w:rPr>
          <w:lang w:val="ru-RU"/>
        </w:rPr>
        <w:tab/>
        <w:t xml:space="preserve">См. </w:t>
      </w:r>
      <w:hyperlink r:id="rId4" w:history="1">
        <w:r w:rsidRPr="00CC5C3B">
          <w:rPr>
            <w:rStyle w:val="af1"/>
            <w:color w:val="auto"/>
          </w:rPr>
          <w:t>www.unece.org/environmental-policy/environment-for-europe/initiatives/big-e</w:t>
        </w:r>
      </w:hyperlink>
      <w:r w:rsidRPr="00CC5C3B">
        <w:t xml:space="preserve">. </w:t>
      </w:r>
    </w:p>
  </w:footnote>
  <w:footnote w:id="5">
    <w:p w:rsidR="00522E36" w:rsidRPr="00CC5C3B" w:rsidRDefault="00522E36" w:rsidP="00522E36">
      <w:pPr>
        <w:pStyle w:val="ad"/>
      </w:pPr>
      <w:r w:rsidRPr="00CC5C3B">
        <w:tab/>
      </w:r>
      <w:r w:rsidRPr="005F7C17">
        <w:rPr>
          <w:rStyle w:val="aa"/>
          <w:lang w:val="ru-RU"/>
        </w:rPr>
        <w:footnoteRef/>
      </w:r>
      <w:r w:rsidRPr="005F7C17">
        <w:rPr>
          <w:lang w:val="ru-RU"/>
        </w:rPr>
        <w:tab/>
        <w:t xml:space="preserve">См. </w:t>
      </w:r>
      <w:hyperlink r:id="rId5" w:history="1">
        <w:r w:rsidRPr="00CC5C3B">
          <w:rPr>
            <w:rStyle w:val="af1"/>
            <w:color w:val="auto"/>
          </w:rPr>
          <w:t>www.unece.org/environmental-policy/environment-for-europe/initiatives/baca</w:t>
        </w:r>
      </w:hyperlink>
      <w:r w:rsidRPr="00CC5C3B">
        <w:t xml:space="preserve">. </w:t>
      </w:r>
    </w:p>
  </w:footnote>
  <w:footnote w:id="6">
    <w:p w:rsidR="00522E36" w:rsidRPr="005F7C17" w:rsidRDefault="00522E36" w:rsidP="00522E36">
      <w:pPr>
        <w:pStyle w:val="ad"/>
        <w:rPr>
          <w:lang w:val="ru-RU"/>
        </w:rPr>
      </w:pPr>
      <w:r w:rsidRPr="00CC5C3B">
        <w:tab/>
      </w:r>
      <w:r w:rsidRPr="005F7C17">
        <w:rPr>
          <w:rStyle w:val="aa"/>
          <w:lang w:val="ru-RU"/>
        </w:rPr>
        <w:footnoteRef/>
      </w:r>
      <w:r w:rsidRPr="005F7C17">
        <w:rPr>
          <w:lang w:val="ru-RU"/>
        </w:rPr>
        <w:tab/>
        <w:t>Разм</w:t>
      </w:r>
      <w:r w:rsidR="005F7C17" w:rsidRPr="005F7C17">
        <w:rPr>
          <w:lang w:val="ru-RU"/>
        </w:rPr>
        <w:t>ещен на веб-сайте ЕЭК по адресу</w:t>
      </w:r>
      <w:r w:rsidRPr="005F7C17">
        <w:rPr>
          <w:lang w:val="ru-RU"/>
        </w:rPr>
        <w:t xml:space="preserve"> </w:t>
      </w:r>
      <w:hyperlink r:id="rId6" w:history="1">
        <w:r w:rsidRPr="005F7C17">
          <w:rPr>
            <w:rStyle w:val="af1"/>
            <w:color w:val="auto"/>
            <w:lang w:val="ru-RU"/>
          </w:rPr>
          <w:t>www.unece.org/index.php?id=35032</w:t>
        </w:r>
      </w:hyperlink>
      <w:r w:rsidRPr="005F7C1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5FC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710B8">
      <w:t>ECE/CEP/2017/16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5FCE" w:rsidP="0022763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10B8">
      <w:t>ECE/CEP/2017/16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63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42F"/>
    <w:rsid w:val="00407B78"/>
    <w:rsid w:val="00424203"/>
    <w:rsid w:val="00452493"/>
    <w:rsid w:val="00453318"/>
    <w:rsid w:val="00454AF2"/>
    <w:rsid w:val="00454E07"/>
    <w:rsid w:val="00472C5C"/>
    <w:rsid w:val="004C6057"/>
    <w:rsid w:val="004E05B7"/>
    <w:rsid w:val="0050108D"/>
    <w:rsid w:val="00513081"/>
    <w:rsid w:val="00517901"/>
    <w:rsid w:val="00522E36"/>
    <w:rsid w:val="00526683"/>
    <w:rsid w:val="005639C1"/>
    <w:rsid w:val="005709E0"/>
    <w:rsid w:val="00572E19"/>
    <w:rsid w:val="005865CC"/>
    <w:rsid w:val="005961C8"/>
    <w:rsid w:val="005966F1"/>
    <w:rsid w:val="005D7914"/>
    <w:rsid w:val="005E2B41"/>
    <w:rsid w:val="005F0B42"/>
    <w:rsid w:val="005F7C17"/>
    <w:rsid w:val="006345DB"/>
    <w:rsid w:val="00640F49"/>
    <w:rsid w:val="006710B8"/>
    <w:rsid w:val="00680D03"/>
    <w:rsid w:val="00681A10"/>
    <w:rsid w:val="006A1ED8"/>
    <w:rsid w:val="006C2031"/>
    <w:rsid w:val="006D461A"/>
    <w:rsid w:val="006F35EE"/>
    <w:rsid w:val="007021FF"/>
    <w:rsid w:val="00712895"/>
    <w:rsid w:val="00721FD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19A2"/>
    <w:rsid w:val="00A569E5"/>
    <w:rsid w:val="00A84021"/>
    <w:rsid w:val="00A84D35"/>
    <w:rsid w:val="00A917B3"/>
    <w:rsid w:val="00AB4B51"/>
    <w:rsid w:val="00B10CC7"/>
    <w:rsid w:val="00B36DF7"/>
    <w:rsid w:val="00B43520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5C3B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21DFA"/>
    <w:rsid w:val="00E65AC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5FC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522E3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a"/>
    <w:next w:val="a"/>
    <w:link w:val="HChGChar"/>
    <w:rsid w:val="00522E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522E36"/>
    <w:rPr>
      <w:lang w:val="en-GB" w:eastAsia="en-US"/>
    </w:rPr>
  </w:style>
  <w:style w:type="character" w:customStyle="1" w:styleId="HChGChar">
    <w:name w:val="_ H _Ch_G Char"/>
    <w:link w:val="HChG"/>
    <w:rsid w:val="00522E36"/>
    <w:rPr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522E3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a"/>
    <w:next w:val="a"/>
    <w:link w:val="HChGChar"/>
    <w:rsid w:val="00522E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522E36"/>
    <w:rPr>
      <w:lang w:val="en-GB" w:eastAsia="en-US"/>
    </w:rPr>
  </w:style>
  <w:style w:type="character" w:customStyle="1" w:styleId="HChGChar">
    <w:name w:val="_ H _Ch_G Char"/>
    <w:link w:val="HChG"/>
    <w:rsid w:val="00522E3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ONU\AppData\Local\Temp\www.greengrowthknowledge.org\big-e" TargetMode="External"/><Relationship Id="rId2" Type="http://schemas.openxmlformats.org/officeDocument/2006/relationships/hyperlink" Target="file:///C:\Users\ONU\AppData\Local\Temp\www.unece.org\environmental-policy\environment-for-europe\efe-conferences\batumi-conference\welcome" TargetMode="External"/><Relationship Id="rId1" Type="http://schemas.openxmlformats.org/officeDocument/2006/relationships/hyperlink" Target="http://www.unece.org/index.php?id=35032" TargetMode="External"/><Relationship Id="rId6" Type="http://schemas.openxmlformats.org/officeDocument/2006/relationships/hyperlink" Target="file:///C:\Users\ONU\AppData\Local\Temp\www.unece.org\index.php%3fid=35032" TargetMode="External"/><Relationship Id="rId5" Type="http://schemas.openxmlformats.org/officeDocument/2006/relationships/hyperlink" Target="file:///C:\Users\ONU\AppData\Local\Temp\www.unece.org\environmental-policy\environment-for-europe\initiatives\baca" TargetMode="External"/><Relationship Id="rId4" Type="http://schemas.openxmlformats.org/officeDocument/2006/relationships/hyperlink" Target="file:///C:\Users\ONU\AppData\Local\Temp\www.unece.org\environmental-policy\environment-for-europe\initiatives\big-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43C1-2C43-4566-BC9B-80A09FF6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14</Pages>
  <Words>4449</Words>
  <Characters>29988</Characters>
  <Application>Microsoft Office Word</Application>
  <DocSecurity>0</DocSecurity>
  <Lines>588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ECE/CEP/2017/16</vt:lpstr>
      <vt:lpstr>A/</vt:lpstr>
    </vt:vector>
  </TitlesOfParts>
  <Company>DCM</Company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ECE/CEP/2017/16</dc:title>
  <dc:creator>Anna Blagodatskikh</dc:creator>
  <cp:lastModifiedBy>Anna Blagodatskikh</cp:lastModifiedBy>
  <cp:revision>3</cp:revision>
  <cp:lastPrinted>2017-09-27T09:39:00Z</cp:lastPrinted>
  <dcterms:created xsi:type="dcterms:W3CDTF">2017-09-27T09:39:00Z</dcterms:created>
  <dcterms:modified xsi:type="dcterms:W3CDTF">2017-09-27T09:46:00Z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