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C96B1E">
            <w:pPr>
              <w:pStyle w:val="SingleTxtGR"/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C96B1E" w:rsidP="00C96B1E">
            <w:pPr>
              <w:jc w:val="right"/>
            </w:pPr>
            <w:r w:rsidRPr="00C96B1E">
              <w:rPr>
                <w:sz w:val="40"/>
              </w:rPr>
              <w:t>ECE</w:t>
            </w:r>
            <w:r>
              <w:t>/CEP/2017/15</w:t>
            </w:r>
          </w:p>
        </w:tc>
      </w:tr>
      <w:tr w:rsidR="002D5AAC" w:rsidRPr="00C96B1E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C96B1E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C96B1E" w:rsidRDefault="00C96B1E" w:rsidP="00C96B1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14 August 2017</w:t>
            </w:r>
          </w:p>
          <w:p w:rsidR="00C96B1E" w:rsidRDefault="00C96B1E" w:rsidP="00C96B1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C96B1E" w:rsidRPr="008D53B6" w:rsidRDefault="00C96B1E" w:rsidP="00C96B1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C96B1E" w:rsidRPr="008228A3" w:rsidRDefault="00C96B1E" w:rsidP="00C96B1E">
      <w:pPr>
        <w:spacing w:before="120"/>
        <w:rPr>
          <w:bCs/>
          <w:sz w:val="28"/>
          <w:szCs w:val="28"/>
        </w:rPr>
      </w:pPr>
      <w:r w:rsidRPr="008228A3">
        <w:rPr>
          <w:bCs/>
          <w:sz w:val="28"/>
          <w:szCs w:val="28"/>
        </w:rPr>
        <w:t>Комитет по экологической политике</w:t>
      </w:r>
    </w:p>
    <w:p w:rsidR="00C96B1E" w:rsidRPr="00C96B1E" w:rsidRDefault="00C96B1E" w:rsidP="00C96B1E">
      <w:pPr>
        <w:spacing w:before="120"/>
        <w:rPr>
          <w:b/>
        </w:rPr>
      </w:pPr>
      <w:r w:rsidRPr="00C96B1E">
        <w:rPr>
          <w:b/>
        </w:rPr>
        <w:t>Двадцать третья сессия</w:t>
      </w:r>
      <w:r w:rsidRPr="00C96B1E">
        <w:rPr>
          <w:b/>
        </w:rPr>
        <w:br/>
      </w:r>
      <w:r w:rsidRPr="00C96B1E">
        <w:t>Женева, 14–17 ноября 2017 года</w:t>
      </w:r>
      <w:bookmarkStart w:id="0" w:name="_GoBack"/>
      <w:bookmarkEnd w:id="0"/>
      <w:r w:rsidRPr="00C96B1E">
        <w:br/>
        <w:t>Пункт 3 предварительной повестки дня</w:t>
      </w:r>
      <w:r w:rsidRPr="00C96B1E">
        <w:br/>
      </w:r>
      <w:r w:rsidRPr="00C96B1E">
        <w:rPr>
          <w:b/>
        </w:rPr>
        <w:t>Устойчивое развитие в регионе</w:t>
      </w:r>
    </w:p>
    <w:p w:rsidR="00C96B1E" w:rsidRPr="00C96B1E" w:rsidRDefault="00C96B1E" w:rsidP="00C96B1E">
      <w:pPr>
        <w:pStyle w:val="HChGR"/>
      </w:pPr>
      <w:r w:rsidRPr="00C96B1E">
        <w:tab/>
      </w:r>
      <w:r w:rsidRPr="00C96B1E">
        <w:tab/>
        <w:t>Роль Ком</w:t>
      </w:r>
      <w:r w:rsidR="00195F34">
        <w:t>итета по экологической политике</w:t>
      </w:r>
      <w:r w:rsidR="00195F34">
        <w:br/>
      </w:r>
      <w:r w:rsidRPr="00C96B1E">
        <w:t>в содейс</w:t>
      </w:r>
      <w:r w:rsidR="00195F34">
        <w:t>твии осуществлению Повестки дня</w:t>
      </w:r>
      <w:r w:rsidR="00195F34">
        <w:br/>
      </w:r>
      <w:r w:rsidRPr="00C96B1E">
        <w:t>в области устойчивого разви</w:t>
      </w:r>
      <w:r w:rsidR="00195F34">
        <w:t>тия на период</w:t>
      </w:r>
      <w:r w:rsidR="00195F34">
        <w:br/>
      </w:r>
      <w:r w:rsidRPr="00C96B1E">
        <w:t>до 2030 года</w:t>
      </w:r>
    </w:p>
    <w:p w:rsidR="00E12C5F" w:rsidRPr="00195F34" w:rsidRDefault="00C96B1E" w:rsidP="008228A3">
      <w:pPr>
        <w:pStyle w:val="H1GR"/>
        <w:spacing w:after="360"/>
      </w:pPr>
      <w:r w:rsidRPr="00C96B1E">
        <w:tab/>
      </w:r>
      <w:r w:rsidRPr="00C96B1E">
        <w:tab/>
        <w:t>Записка секретариата</w:t>
      </w:r>
    </w:p>
    <w:tbl>
      <w:tblPr>
        <w:tblStyle w:val="ac"/>
        <w:tblW w:w="0" w:type="auto"/>
        <w:jc w:val="center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637"/>
      </w:tblGrid>
      <w:tr w:rsidR="00C96B1E" w:rsidRPr="00C96B1E" w:rsidTr="00850215">
        <w:trPr>
          <w:jc w:val="center"/>
        </w:trPr>
        <w:tc>
          <w:tcPr>
            <w:tcW w:w="9637" w:type="dxa"/>
            <w:tcBorders>
              <w:bottom w:val="nil"/>
            </w:tcBorders>
          </w:tcPr>
          <w:p w:rsidR="00C96B1E" w:rsidRPr="00C96B1E" w:rsidRDefault="00C96B1E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C96B1E">
              <w:rPr>
                <w:rFonts w:cs="Times New Roman"/>
              </w:rPr>
              <w:tab/>
            </w:r>
            <w:r w:rsidRPr="00C96B1E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C96B1E" w:rsidRPr="00C96B1E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C96B1E" w:rsidRPr="00C96B1E" w:rsidRDefault="00C96B1E" w:rsidP="00B5429B">
            <w:pPr>
              <w:pStyle w:val="SingleTxtGR"/>
            </w:pPr>
            <w:r w:rsidRPr="00C96B1E">
              <w:tab/>
              <w:t>На своей два</w:t>
            </w:r>
            <w:r w:rsidR="00DC45C8">
              <w:t>дцать второй сессии (Женева, 25–</w:t>
            </w:r>
            <w:r w:rsidRPr="00C96B1E">
              <w:t>27 января 2017 года) Ком</w:t>
            </w:r>
            <w:r w:rsidRPr="00C96B1E">
              <w:t>и</w:t>
            </w:r>
            <w:r w:rsidRPr="00C96B1E">
              <w:t>тет по экологической политике Европейской экономической комиссии Орган</w:t>
            </w:r>
            <w:r w:rsidRPr="00C96B1E">
              <w:t>и</w:t>
            </w:r>
            <w:r w:rsidRPr="00C96B1E">
              <w:t>зации Объединенных Наций предложил странам рассмотреть вопрос о роли Комитета в осуществлении Повестки дня в области устойчивого развития на период до 2030 года (Повестки дня на период до 2030 года) и продолжить о</w:t>
            </w:r>
            <w:r w:rsidRPr="00C96B1E">
              <w:t>б</w:t>
            </w:r>
            <w:r w:rsidRPr="00C96B1E">
              <w:t>суждение этого вопроса на будущих совещаниях. В этой связи Комитет просил Президиум подготовить при поддержке секретариата краткий справочный д</w:t>
            </w:r>
            <w:r w:rsidRPr="00C96B1E">
              <w:t>о</w:t>
            </w:r>
            <w:r w:rsidRPr="00C96B1E">
              <w:t>кумент для облегчения дальнейшего обсуждения данной темы (ECE/CEP/ 2017/2, пункт 19).</w:t>
            </w:r>
          </w:p>
        </w:tc>
      </w:tr>
      <w:tr w:rsidR="00C96B1E" w:rsidRPr="00C96B1E" w:rsidTr="00C96B1E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</w:tcPr>
          <w:p w:rsidR="00C96B1E" w:rsidRPr="00C96B1E" w:rsidRDefault="00C96B1E" w:rsidP="00C96B1E">
            <w:pPr>
              <w:pStyle w:val="SingleTxtGR"/>
            </w:pPr>
            <w:r w:rsidRPr="00C96B1E">
              <w:tab/>
              <w:t>Во исполнение этой просьбы в настоящем документе освещается роль Комитета в содействии осуществлению Повестки дня на период до 2030 года</w:t>
            </w:r>
            <w:r w:rsidR="00EB6BDE">
              <w:t>.</w:t>
            </w:r>
            <w:r w:rsidR="00EB6BDE">
              <w:br/>
            </w:r>
            <w:r w:rsidRPr="00C96B1E">
              <w:t>В настоящем документе отражены замечания, высказанные Президиумом</w:t>
            </w:r>
            <w:r w:rsidRPr="00C96B1E" w:rsidDel="006F32C1">
              <w:t xml:space="preserve"> </w:t>
            </w:r>
            <w:r w:rsidRPr="00C96B1E">
              <w:t>на своем совещании 28 и 29 июня в Лиссабоне.</w:t>
            </w:r>
          </w:p>
        </w:tc>
      </w:tr>
      <w:tr w:rsidR="00C96B1E" w:rsidRPr="00C96B1E" w:rsidTr="00850215">
        <w:trPr>
          <w:jc w:val="center"/>
        </w:trPr>
        <w:tc>
          <w:tcPr>
            <w:tcW w:w="9637" w:type="dxa"/>
            <w:tcBorders>
              <w:top w:val="nil"/>
            </w:tcBorders>
          </w:tcPr>
          <w:p w:rsidR="00C96B1E" w:rsidRPr="00C96B1E" w:rsidRDefault="00C96B1E" w:rsidP="00850215">
            <w:pPr>
              <w:rPr>
                <w:rFonts w:cs="Times New Roman"/>
              </w:rPr>
            </w:pPr>
          </w:p>
        </w:tc>
      </w:tr>
    </w:tbl>
    <w:p w:rsidR="00C96B1E" w:rsidRPr="00C96B1E" w:rsidRDefault="00C96B1E" w:rsidP="00C96B1E">
      <w:pPr>
        <w:pStyle w:val="HChGR"/>
        <w:pageBreakBefore/>
      </w:pPr>
      <w:r w:rsidRPr="00C96B1E">
        <w:lastRenderedPageBreak/>
        <w:tab/>
        <w:t>I.</w:t>
      </w:r>
      <w:r w:rsidRPr="00C96B1E">
        <w:tab/>
        <w:t>Введение</w:t>
      </w:r>
    </w:p>
    <w:p w:rsidR="00C96B1E" w:rsidRPr="00C96B1E" w:rsidRDefault="00C96B1E" w:rsidP="00C96B1E">
      <w:pPr>
        <w:pStyle w:val="SingleTxtGR"/>
        <w:rPr>
          <w:lang w:eastAsia="ru-RU"/>
        </w:rPr>
      </w:pPr>
      <w:r w:rsidRPr="00C96B1E">
        <w:rPr>
          <w:lang w:eastAsia="ru-RU"/>
        </w:rPr>
        <w:t>1.</w:t>
      </w:r>
      <w:r w:rsidRPr="00C96B1E">
        <w:rPr>
          <w:lang w:eastAsia="ru-RU"/>
        </w:rPr>
        <w:tab/>
      </w:r>
      <w:proofErr w:type="gramStart"/>
      <w:r w:rsidRPr="00C96B1E">
        <w:rPr>
          <w:lang w:eastAsia="ru-RU"/>
        </w:rPr>
        <w:t>На своей два</w:t>
      </w:r>
      <w:r w:rsidR="0089079B">
        <w:rPr>
          <w:lang w:eastAsia="ru-RU"/>
        </w:rPr>
        <w:t>дцать второй сессии (Женева, 25–</w:t>
      </w:r>
      <w:r w:rsidRPr="00C96B1E">
        <w:rPr>
          <w:lang w:eastAsia="ru-RU"/>
        </w:rPr>
        <w:t>27 января 2017 года) Ком</w:t>
      </w:r>
      <w:r w:rsidRPr="00C96B1E">
        <w:rPr>
          <w:lang w:eastAsia="ru-RU"/>
        </w:rPr>
        <w:t>и</w:t>
      </w:r>
      <w:r w:rsidRPr="00C96B1E">
        <w:rPr>
          <w:lang w:eastAsia="ru-RU"/>
        </w:rPr>
        <w:t>тет по экологической политике Европейской экономической комиссии (ЕЭК) Организации Объединенных Наций предложил странам рассмотреть вопрос о роли Комитета в осуществлении Повестки дня в области устойчивого развития на период до 2030 года (Повестки дня на период до 2030 года) и продолжить обсуждение этого вопроса на будущих совещаниях.</w:t>
      </w:r>
      <w:proofErr w:type="gramEnd"/>
      <w:r w:rsidRPr="00C96B1E">
        <w:rPr>
          <w:lang w:eastAsia="ru-RU"/>
        </w:rPr>
        <w:t xml:space="preserve"> В этой связи Комитет пр</w:t>
      </w:r>
      <w:r w:rsidRPr="00C96B1E">
        <w:rPr>
          <w:lang w:eastAsia="ru-RU"/>
        </w:rPr>
        <w:t>о</w:t>
      </w:r>
      <w:r w:rsidRPr="00C96B1E">
        <w:rPr>
          <w:lang w:eastAsia="ru-RU"/>
        </w:rPr>
        <w:t>сил Президиум</w:t>
      </w:r>
      <w:r w:rsidRPr="00C96B1E" w:rsidDel="006F32C1">
        <w:rPr>
          <w:lang w:eastAsia="ru-RU"/>
        </w:rPr>
        <w:t xml:space="preserve"> </w:t>
      </w:r>
      <w:r w:rsidRPr="00C96B1E">
        <w:rPr>
          <w:lang w:eastAsia="ru-RU"/>
        </w:rPr>
        <w:t>подготовить при поддержке секретариата краткий справочный документ для облегчения дальнейшего обсуждения данной темы (ECE/CEP/</w:t>
      </w:r>
      <w:r w:rsidR="0089079B">
        <w:rPr>
          <w:lang w:eastAsia="ru-RU"/>
        </w:rPr>
        <w:t xml:space="preserve"> </w:t>
      </w:r>
      <w:r w:rsidRPr="00C96B1E">
        <w:rPr>
          <w:lang w:eastAsia="ru-RU"/>
        </w:rPr>
        <w:t>2017/2, пункт 19).</w:t>
      </w:r>
    </w:p>
    <w:p w:rsidR="00C96B1E" w:rsidRPr="00C96B1E" w:rsidRDefault="00C96B1E" w:rsidP="00C96B1E">
      <w:pPr>
        <w:pStyle w:val="SingleTxtGR"/>
        <w:rPr>
          <w:lang w:eastAsia="ru-RU"/>
        </w:rPr>
      </w:pPr>
      <w:r w:rsidRPr="00C96B1E">
        <w:rPr>
          <w:lang w:eastAsia="ru-RU"/>
        </w:rPr>
        <w:t>2.</w:t>
      </w:r>
      <w:r w:rsidRPr="00C96B1E">
        <w:rPr>
          <w:lang w:eastAsia="ru-RU"/>
        </w:rPr>
        <w:tab/>
        <w:t>Во исполнение этой просьбы в настоящем документе освещается роль Комитета в содействии осуществлению Повестки дня на период до 2030 года</w:t>
      </w:r>
      <w:r w:rsidR="00DC45C8">
        <w:rPr>
          <w:lang w:eastAsia="ru-RU"/>
        </w:rPr>
        <w:t>.</w:t>
      </w:r>
      <w:r w:rsidR="00DC45C8">
        <w:rPr>
          <w:lang w:eastAsia="ru-RU"/>
        </w:rPr>
        <w:br/>
      </w:r>
      <w:r w:rsidRPr="00C96B1E">
        <w:rPr>
          <w:lang w:eastAsia="ru-RU"/>
        </w:rPr>
        <w:t>В настоящем документе отражены замечания, высказанные Президиумом на его совещании 28 и 29 июня в Лиссабоне.</w:t>
      </w:r>
    </w:p>
    <w:p w:rsidR="00C96B1E" w:rsidRPr="00C96B1E" w:rsidRDefault="00C96B1E" w:rsidP="00C96B1E">
      <w:pPr>
        <w:pStyle w:val="SingleTxtGR"/>
        <w:rPr>
          <w:lang w:eastAsia="ru-RU"/>
        </w:rPr>
      </w:pPr>
      <w:r w:rsidRPr="00C96B1E">
        <w:rPr>
          <w:lang w:eastAsia="ru-RU"/>
        </w:rPr>
        <w:t>3.</w:t>
      </w:r>
      <w:r w:rsidRPr="00C96B1E">
        <w:rPr>
          <w:lang w:eastAsia="ru-RU"/>
        </w:rPr>
        <w:tab/>
        <w:t>Комитету предлагается рассмотреть свою роль в содействии осуществл</w:t>
      </w:r>
      <w:r w:rsidRPr="00C96B1E">
        <w:rPr>
          <w:lang w:eastAsia="ru-RU"/>
        </w:rPr>
        <w:t>е</w:t>
      </w:r>
      <w:r w:rsidRPr="00C96B1E">
        <w:rPr>
          <w:lang w:eastAsia="ru-RU"/>
        </w:rPr>
        <w:t>нию Повестки дня на период до 2030 года.</w:t>
      </w:r>
    </w:p>
    <w:p w:rsidR="00C96B1E" w:rsidRPr="00C96B1E" w:rsidRDefault="00C96B1E" w:rsidP="00C96B1E">
      <w:pPr>
        <w:pStyle w:val="HChGR"/>
      </w:pPr>
      <w:r w:rsidRPr="00C96B1E">
        <w:tab/>
        <w:t>II.</w:t>
      </w:r>
      <w:r w:rsidRPr="00C96B1E">
        <w:tab/>
        <w:t>Последующ</w:t>
      </w:r>
      <w:r>
        <w:t>ая деятельность и обзор в связи</w:t>
      </w:r>
      <w:r w:rsidRPr="00C96B1E">
        <w:br/>
        <w:t xml:space="preserve">с осуществлением Повестки дня в области устойчивого </w:t>
      </w:r>
      <w:r>
        <w:t>развития на период до 2030 года</w:t>
      </w:r>
      <w:r w:rsidRPr="00C96B1E">
        <w:br/>
        <w:t>на глобальном уровне</w:t>
      </w:r>
    </w:p>
    <w:p w:rsidR="00C96B1E" w:rsidRPr="00C96B1E" w:rsidRDefault="00C96B1E" w:rsidP="00C96B1E">
      <w:pPr>
        <w:pStyle w:val="SingleTxtGR"/>
        <w:rPr>
          <w:lang w:eastAsia="ru-RU"/>
        </w:rPr>
      </w:pPr>
      <w:r w:rsidRPr="00C96B1E">
        <w:rPr>
          <w:lang w:eastAsia="ru-RU"/>
        </w:rPr>
        <w:t>4.</w:t>
      </w:r>
      <w:r w:rsidRPr="00C96B1E">
        <w:rPr>
          <w:lang w:eastAsia="ru-RU"/>
        </w:rPr>
        <w:tab/>
        <w:t>25 сентября 2015 года Генеральная Ассамблея Организации Объедине</w:t>
      </w:r>
      <w:r w:rsidRPr="00C96B1E">
        <w:rPr>
          <w:lang w:eastAsia="ru-RU"/>
        </w:rPr>
        <w:t>н</w:t>
      </w:r>
      <w:r w:rsidRPr="00C96B1E">
        <w:rPr>
          <w:lang w:eastAsia="ru-RU"/>
        </w:rPr>
        <w:t>ных Наций официально приняла Повестку дня в области устойчивого развития на период до 2030 года, а также 17 целей</w:t>
      </w:r>
      <w:r>
        <w:rPr>
          <w:lang w:eastAsia="ru-RU"/>
        </w:rPr>
        <w:t xml:space="preserve"> в области устойчивого развития</w:t>
      </w:r>
      <w:r w:rsidRPr="00C96B1E">
        <w:rPr>
          <w:lang w:eastAsia="ru-RU"/>
        </w:rPr>
        <w:br/>
        <w:t>и 169 связанных с ними задач</w:t>
      </w:r>
      <w:r w:rsidRPr="00DC45C8">
        <w:rPr>
          <w:sz w:val="18"/>
          <w:vertAlign w:val="superscript"/>
          <w:lang w:eastAsia="ru-RU"/>
        </w:rPr>
        <w:footnoteReference w:id="1"/>
      </w:r>
      <w:r w:rsidRPr="00C96B1E">
        <w:rPr>
          <w:lang w:eastAsia="ru-RU"/>
        </w:rPr>
        <w:t>. Эта новая повестка дня в области развития я</w:t>
      </w:r>
      <w:r w:rsidRPr="00C96B1E">
        <w:rPr>
          <w:lang w:eastAsia="ru-RU"/>
        </w:rPr>
        <w:t>в</w:t>
      </w:r>
      <w:r w:rsidRPr="00C96B1E">
        <w:rPr>
          <w:lang w:eastAsia="ru-RU"/>
        </w:rPr>
        <w:t>ляется для международного сообщества главным руководством в области устойчивого развития на предстоящие годы. Никогда ранее аспектам развития, связанным с экологической устойчивостью, не придавалось столь большое, приоритетное значение на местном, национальном, региональном и междун</w:t>
      </w:r>
      <w:r w:rsidRPr="00C96B1E">
        <w:rPr>
          <w:lang w:eastAsia="ru-RU"/>
        </w:rPr>
        <w:t>а</w:t>
      </w:r>
      <w:r w:rsidRPr="00C96B1E">
        <w:rPr>
          <w:lang w:eastAsia="ru-RU"/>
        </w:rPr>
        <w:t>родном уровнях.</w:t>
      </w:r>
    </w:p>
    <w:p w:rsidR="00C96B1E" w:rsidRPr="00C96B1E" w:rsidRDefault="00C96B1E" w:rsidP="00C96B1E">
      <w:pPr>
        <w:pStyle w:val="SingleTxtGR"/>
        <w:rPr>
          <w:lang w:eastAsia="ru-RU"/>
        </w:rPr>
      </w:pPr>
      <w:r w:rsidRPr="00C96B1E">
        <w:rPr>
          <w:lang w:eastAsia="ru-RU"/>
        </w:rPr>
        <w:t>5.</w:t>
      </w:r>
      <w:r w:rsidRPr="00C96B1E">
        <w:rPr>
          <w:lang w:eastAsia="ru-RU"/>
        </w:rPr>
        <w:tab/>
        <w:t>Политический форум высокого уровня по устойчивому развитию (пол</w:t>
      </w:r>
      <w:r w:rsidRPr="00C96B1E">
        <w:rPr>
          <w:lang w:eastAsia="ru-RU"/>
        </w:rPr>
        <w:t>и</w:t>
      </w:r>
      <w:r w:rsidRPr="00C96B1E">
        <w:rPr>
          <w:lang w:eastAsia="ru-RU"/>
        </w:rPr>
        <w:t>тический форум высокого уровня) является центральной платформой Орган</w:t>
      </w:r>
      <w:r w:rsidRPr="00C96B1E">
        <w:rPr>
          <w:lang w:eastAsia="ru-RU"/>
        </w:rPr>
        <w:t>и</w:t>
      </w:r>
      <w:r w:rsidRPr="00C96B1E">
        <w:rPr>
          <w:lang w:eastAsia="ru-RU"/>
        </w:rPr>
        <w:t>зации Объединенных Наций для последующей деятельности и обзора в связи с осуществлением Повестки дня на период до 2030 года и целей в области усто</w:t>
      </w:r>
      <w:r w:rsidRPr="00C96B1E">
        <w:rPr>
          <w:lang w:eastAsia="ru-RU"/>
        </w:rPr>
        <w:t>й</w:t>
      </w:r>
      <w:r w:rsidRPr="00C96B1E">
        <w:rPr>
          <w:lang w:eastAsia="ru-RU"/>
        </w:rPr>
        <w:t>чивого развития, обеспечивающей полное и эффективное участие всех гос</w:t>
      </w:r>
      <w:r w:rsidRPr="00C96B1E">
        <w:rPr>
          <w:lang w:eastAsia="ru-RU"/>
        </w:rPr>
        <w:t>у</w:t>
      </w:r>
      <w:r w:rsidRPr="00C96B1E">
        <w:rPr>
          <w:lang w:eastAsia="ru-RU"/>
        </w:rPr>
        <w:t>дарств – членов Организации Объединенных Наций и государств – членов сп</w:t>
      </w:r>
      <w:r w:rsidRPr="00C96B1E">
        <w:rPr>
          <w:lang w:eastAsia="ru-RU"/>
        </w:rPr>
        <w:t>е</w:t>
      </w:r>
      <w:r w:rsidRPr="00C96B1E">
        <w:rPr>
          <w:lang w:eastAsia="ru-RU"/>
        </w:rPr>
        <w:t>циализированных учреждений.</w:t>
      </w:r>
    </w:p>
    <w:p w:rsidR="00C96B1E" w:rsidRPr="00C96B1E" w:rsidRDefault="00C96B1E" w:rsidP="00C96B1E">
      <w:pPr>
        <w:pStyle w:val="SingleTxtGR"/>
        <w:rPr>
          <w:lang w:eastAsia="ru-RU"/>
        </w:rPr>
      </w:pPr>
      <w:r w:rsidRPr="00C96B1E">
        <w:rPr>
          <w:lang w:eastAsia="ru-RU"/>
        </w:rPr>
        <w:t>6.</w:t>
      </w:r>
      <w:r w:rsidRPr="00C96B1E">
        <w:rPr>
          <w:lang w:eastAsia="ru-RU"/>
        </w:rPr>
        <w:tab/>
        <w:t>В целях содействия последующей деятельности и обзору в связи с ос</w:t>
      </w:r>
      <w:r w:rsidRPr="00C96B1E">
        <w:rPr>
          <w:lang w:eastAsia="ru-RU"/>
        </w:rPr>
        <w:t>у</w:t>
      </w:r>
      <w:r w:rsidRPr="00C96B1E">
        <w:rPr>
          <w:lang w:eastAsia="ru-RU"/>
        </w:rPr>
        <w:t xml:space="preserve">ществлением Повестки дня на период до 2030 года в </w:t>
      </w:r>
      <w:r w:rsidR="0089079B">
        <w:rPr>
          <w:lang w:eastAsia="ru-RU"/>
        </w:rPr>
        <w:t>2017–</w:t>
      </w:r>
      <w:r w:rsidRPr="00C96B1E">
        <w:rPr>
          <w:lang w:eastAsia="ru-RU"/>
        </w:rPr>
        <w:t>2019 годах цели в области устойчивого развития разбиты на три группы – при этом цель 17 вкл</w:t>
      </w:r>
      <w:r w:rsidRPr="00C96B1E">
        <w:rPr>
          <w:lang w:eastAsia="ru-RU"/>
        </w:rPr>
        <w:t>ю</w:t>
      </w:r>
      <w:r w:rsidRPr="00C96B1E">
        <w:rPr>
          <w:lang w:eastAsia="ru-RU"/>
        </w:rPr>
        <w:t>чена в каждую группу – следующим образом</w:t>
      </w:r>
      <w:r w:rsidRPr="00DC45C8">
        <w:rPr>
          <w:sz w:val="18"/>
          <w:vertAlign w:val="superscript"/>
          <w:lang w:eastAsia="ru-RU"/>
        </w:rPr>
        <w:footnoteReference w:id="2"/>
      </w:r>
      <w:r w:rsidRPr="00C96B1E">
        <w:rPr>
          <w:lang w:eastAsia="ru-RU"/>
        </w:rPr>
        <w:t>:</w:t>
      </w:r>
    </w:p>
    <w:p w:rsidR="00C96B1E" w:rsidRPr="00C96B1E" w:rsidRDefault="00C96B1E" w:rsidP="00C96B1E">
      <w:pPr>
        <w:pStyle w:val="SingleTxtGR"/>
        <w:rPr>
          <w:lang w:eastAsia="ru-RU"/>
        </w:rPr>
      </w:pPr>
      <w:r w:rsidRPr="00C96B1E">
        <w:rPr>
          <w:lang w:eastAsia="ru-RU"/>
        </w:rPr>
        <w:tab/>
        <w:t>а)</w:t>
      </w:r>
      <w:r w:rsidRPr="00C96B1E">
        <w:rPr>
          <w:lang w:eastAsia="ru-RU"/>
        </w:rPr>
        <w:tab/>
        <w:t>2017 год: искоренение нищеты и содействие процветанию в изм</w:t>
      </w:r>
      <w:r w:rsidRPr="00C96B1E">
        <w:rPr>
          <w:lang w:eastAsia="ru-RU"/>
        </w:rPr>
        <w:t>е</w:t>
      </w:r>
      <w:r w:rsidRPr="00C96B1E">
        <w:rPr>
          <w:lang w:eastAsia="ru-RU"/>
        </w:rPr>
        <w:t>няющемся мире (цели 1, 2, 3, 5, 9, 14 и 17);</w:t>
      </w:r>
    </w:p>
    <w:p w:rsidR="00C96B1E" w:rsidRPr="00C96B1E" w:rsidRDefault="00C96B1E" w:rsidP="00C96B1E">
      <w:pPr>
        <w:pStyle w:val="SingleTxtGR"/>
        <w:rPr>
          <w:lang w:eastAsia="ru-RU"/>
        </w:rPr>
      </w:pPr>
      <w:r w:rsidRPr="00C96B1E">
        <w:rPr>
          <w:lang w:eastAsia="ru-RU"/>
        </w:rPr>
        <w:tab/>
        <w:t>b)</w:t>
      </w:r>
      <w:r w:rsidRPr="00C96B1E">
        <w:rPr>
          <w:lang w:eastAsia="ru-RU"/>
        </w:rPr>
        <w:tab/>
        <w:t>2018 год: преобразования в целях создания жизнеспособных и устойчивых к внешним потрясениям обществ (цели 6, 7, 11, 12, 15 и 17);</w:t>
      </w:r>
    </w:p>
    <w:p w:rsidR="00C96B1E" w:rsidRPr="00C96B1E" w:rsidRDefault="00C96B1E" w:rsidP="00C96B1E">
      <w:pPr>
        <w:pStyle w:val="SingleTxtGR"/>
        <w:rPr>
          <w:lang w:eastAsia="ru-RU"/>
        </w:rPr>
      </w:pPr>
      <w:r w:rsidRPr="00C96B1E">
        <w:rPr>
          <w:lang w:eastAsia="ru-RU"/>
        </w:rPr>
        <w:tab/>
        <w:t>с)</w:t>
      </w:r>
      <w:r w:rsidRPr="00C96B1E">
        <w:rPr>
          <w:lang w:eastAsia="ru-RU"/>
        </w:rPr>
        <w:tab/>
        <w:t>2019 год: расширение прав и возможностей людей и обеспечение всеобщего охвата и равенства (цели 4, 8, 10, 13, 16 и 17).</w:t>
      </w:r>
    </w:p>
    <w:p w:rsidR="00C96B1E" w:rsidRPr="00C96B1E" w:rsidRDefault="00C96B1E" w:rsidP="00C96B1E">
      <w:pPr>
        <w:pStyle w:val="SingleTxtGR"/>
        <w:rPr>
          <w:lang w:eastAsia="ru-RU"/>
        </w:rPr>
      </w:pPr>
      <w:r w:rsidRPr="00C96B1E">
        <w:rPr>
          <w:lang w:eastAsia="ru-RU"/>
        </w:rPr>
        <w:lastRenderedPageBreak/>
        <w:t>7.</w:t>
      </w:r>
      <w:r w:rsidRPr="00C96B1E">
        <w:rPr>
          <w:lang w:eastAsia="ru-RU"/>
        </w:rPr>
        <w:tab/>
        <w:t>Будучи составляющей этих механизмов последующей деятельности и о</w:t>
      </w:r>
      <w:r w:rsidRPr="00C96B1E">
        <w:rPr>
          <w:lang w:eastAsia="ru-RU"/>
        </w:rPr>
        <w:t>б</w:t>
      </w:r>
      <w:r w:rsidRPr="00C96B1E">
        <w:rPr>
          <w:lang w:eastAsia="ru-RU"/>
        </w:rPr>
        <w:t>зора, Повестка дня на период до 2030 года побуждает государства-члены к пр</w:t>
      </w:r>
      <w:r w:rsidRPr="00C96B1E">
        <w:rPr>
          <w:lang w:eastAsia="ru-RU"/>
        </w:rPr>
        <w:t>о</w:t>
      </w:r>
      <w:r w:rsidRPr="00C96B1E">
        <w:rPr>
          <w:lang w:eastAsia="ru-RU"/>
        </w:rPr>
        <w:t>ведению регулярных и всеохватных обзоров прогресса на национальном и су</w:t>
      </w:r>
      <w:r w:rsidRPr="00C96B1E">
        <w:rPr>
          <w:lang w:eastAsia="ru-RU"/>
        </w:rPr>
        <w:t>б</w:t>
      </w:r>
      <w:r w:rsidRPr="00C96B1E">
        <w:rPr>
          <w:lang w:eastAsia="ru-RU"/>
        </w:rPr>
        <w:t>национальном уровнях, которые должны инициироваться самими странами и проводиться под их руководством. Ожидается, что эти национальные обзоры будут служить основой для проведения регулярных обзоров политическим ф</w:t>
      </w:r>
      <w:r w:rsidRPr="00C96B1E">
        <w:rPr>
          <w:lang w:eastAsia="ru-RU"/>
        </w:rPr>
        <w:t>о</w:t>
      </w:r>
      <w:r w:rsidRPr="00C96B1E">
        <w:rPr>
          <w:lang w:eastAsia="ru-RU"/>
        </w:rPr>
        <w:t>румом высокого уровня на его совещаниях под эгидой Экономического и Соц</w:t>
      </w:r>
      <w:r w:rsidRPr="00C96B1E">
        <w:rPr>
          <w:lang w:eastAsia="ru-RU"/>
        </w:rPr>
        <w:t>и</w:t>
      </w:r>
      <w:r w:rsidRPr="00C96B1E">
        <w:rPr>
          <w:lang w:eastAsia="ru-RU"/>
        </w:rPr>
        <w:t>ального Совета. Как предусмотрено в пункте 84 Повестки дня на период до 2030 года, регулярные обзоры на политическом форуме высокого уровня дол</w:t>
      </w:r>
      <w:r w:rsidRPr="00C96B1E">
        <w:rPr>
          <w:lang w:eastAsia="ru-RU"/>
        </w:rPr>
        <w:t>ж</w:t>
      </w:r>
      <w:r w:rsidRPr="00C96B1E">
        <w:rPr>
          <w:lang w:eastAsia="ru-RU"/>
        </w:rPr>
        <w:t>ны носить добровольный характер, возглавляться государствами, проводиться как развитыми, так и развивающимися странами с привлечением большого чи</w:t>
      </w:r>
      <w:r w:rsidRPr="00C96B1E">
        <w:rPr>
          <w:lang w:eastAsia="ru-RU"/>
        </w:rPr>
        <w:t>с</w:t>
      </w:r>
      <w:r w:rsidRPr="00C96B1E">
        <w:rPr>
          <w:lang w:eastAsia="ru-RU"/>
        </w:rPr>
        <w:t>ла заинтересованных сторон. Добровольные национальные обзоры направлены на содействие обмену опытом, в том числе информацией об успехах, проблемах и сделанных выводах в целях ускорения осуществления Повестки дня на пер</w:t>
      </w:r>
      <w:r w:rsidRPr="00C96B1E">
        <w:rPr>
          <w:lang w:eastAsia="ru-RU"/>
        </w:rPr>
        <w:t>и</w:t>
      </w:r>
      <w:r w:rsidRPr="00C96B1E">
        <w:rPr>
          <w:lang w:eastAsia="ru-RU"/>
        </w:rPr>
        <w:t>од до 2030 года. Добровольные национальные обзоры также нацелены на укрепление государственной политики и учреждений, мобилизацию поддержки многих заинтересованных сторон и налаживание партнерских связей в интер</w:t>
      </w:r>
      <w:r w:rsidRPr="00C96B1E">
        <w:rPr>
          <w:lang w:eastAsia="ru-RU"/>
        </w:rPr>
        <w:t>е</w:t>
      </w:r>
      <w:r w:rsidRPr="00C96B1E">
        <w:rPr>
          <w:lang w:eastAsia="ru-RU"/>
        </w:rPr>
        <w:t>сах достижения целей в области устойчивого развития</w:t>
      </w:r>
      <w:r w:rsidRPr="00DC45C8">
        <w:rPr>
          <w:sz w:val="18"/>
          <w:vertAlign w:val="superscript"/>
          <w:lang w:eastAsia="ru-RU"/>
        </w:rPr>
        <w:footnoteReference w:id="3"/>
      </w:r>
      <w:r w:rsidRPr="00C96B1E">
        <w:rPr>
          <w:lang w:eastAsia="ru-RU"/>
        </w:rPr>
        <w:t>.</w:t>
      </w:r>
    </w:p>
    <w:p w:rsidR="00C96B1E" w:rsidRPr="00C96B1E" w:rsidRDefault="00C96B1E" w:rsidP="00C96B1E">
      <w:pPr>
        <w:pStyle w:val="SingleTxtGR"/>
        <w:rPr>
          <w:lang w:eastAsia="ru-RU"/>
        </w:rPr>
      </w:pPr>
      <w:r w:rsidRPr="00C96B1E">
        <w:rPr>
          <w:lang w:eastAsia="ru-RU"/>
        </w:rPr>
        <w:t>8.</w:t>
      </w:r>
      <w:r w:rsidRPr="00C96B1E">
        <w:rPr>
          <w:lang w:eastAsia="ru-RU"/>
        </w:rPr>
        <w:tab/>
        <w:t>На глобальном уровне Департамент по экономическим и социальным в</w:t>
      </w:r>
      <w:r w:rsidRPr="00C96B1E">
        <w:rPr>
          <w:lang w:eastAsia="ru-RU"/>
        </w:rPr>
        <w:t>о</w:t>
      </w:r>
      <w:r w:rsidRPr="00C96B1E">
        <w:rPr>
          <w:lang w:eastAsia="ru-RU"/>
        </w:rPr>
        <w:t>просам Организации Объединенных Наций в сотрудничестве с соответству</w:t>
      </w:r>
      <w:r w:rsidRPr="00C96B1E">
        <w:rPr>
          <w:lang w:eastAsia="ru-RU"/>
        </w:rPr>
        <w:t>ю</w:t>
      </w:r>
      <w:r w:rsidRPr="00C96B1E">
        <w:rPr>
          <w:lang w:eastAsia="ru-RU"/>
        </w:rPr>
        <w:t>щими организациями-партнерами привлекает заинтересованные стороны к процессу осуществления, оценки и мониторинга достижения целей в области устойчивого развития, а также оказывает странам помощь в деле реализации глобальных целей в национальной политике и воплощения национальной пол</w:t>
      </w:r>
      <w:r w:rsidRPr="00C96B1E">
        <w:rPr>
          <w:lang w:eastAsia="ru-RU"/>
        </w:rPr>
        <w:t>и</w:t>
      </w:r>
      <w:r w:rsidRPr="00C96B1E">
        <w:rPr>
          <w:lang w:eastAsia="ru-RU"/>
        </w:rPr>
        <w:t>тики в конкретные действия на местах.</w:t>
      </w:r>
    </w:p>
    <w:p w:rsidR="00C96B1E" w:rsidRPr="00C96B1E" w:rsidRDefault="00C96B1E" w:rsidP="00C96B1E">
      <w:pPr>
        <w:pStyle w:val="HChGR"/>
      </w:pPr>
      <w:r w:rsidRPr="00C96B1E">
        <w:tab/>
        <w:t>III.</w:t>
      </w:r>
      <w:r w:rsidRPr="00C96B1E">
        <w:tab/>
        <w:t xml:space="preserve">Последующая деятельность и обзор </w:t>
      </w:r>
      <w:r>
        <w:t>в связи</w:t>
      </w:r>
      <w:r w:rsidRPr="00C96B1E">
        <w:br/>
        <w:t xml:space="preserve">с осуществлением Повестки дня в области устойчивого </w:t>
      </w:r>
      <w:r>
        <w:t>развития на период до 2030 года</w:t>
      </w:r>
      <w:r w:rsidRPr="00C96B1E">
        <w:br/>
        <w:t>на региональном уровне</w:t>
      </w:r>
    </w:p>
    <w:p w:rsidR="00C96B1E" w:rsidRPr="00C96B1E" w:rsidRDefault="00C96B1E" w:rsidP="00C96B1E">
      <w:pPr>
        <w:pStyle w:val="SingleTxtGR"/>
        <w:rPr>
          <w:lang w:eastAsia="ru-RU"/>
        </w:rPr>
      </w:pPr>
      <w:r w:rsidRPr="00C96B1E">
        <w:rPr>
          <w:lang w:eastAsia="ru-RU"/>
        </w:rPr>
        <w:t>9.</w:t>
      </w:r>
      <w:r w:rsidRPr="00C96B1E">
        <w:rPr>
          <w:lang w:eastAsia="ru-RU"/>
        </w:rPr>
        <w:tab/>
        <w:t>На своей шестьдесят седьмой сессии (Женева, 26 и 27 апреля 2017 года) ЕЭК официально учредила Региональный форум по устойчивому развитию (Р</w:t>
      </w:r>
      <w:r w:rsidRPr="00C96B1E">
        <w:rPr>
          <w:lang w:eastAsia="ru-RU"/>
        </w:rPr>
        <w:t>е</w:t>
      </w:r>
      <w:r w:rsidRPr="00C96B1E">
        <w:rPr>
          <w:lang w:eastAsia="ru-RU"/>
        </w:rPr>
        <w:t>гиональный форум) для региона ЕЭК, который должен выступать в качестве р</w:t>
      </w:r>
      <w:r w:rsidRPr="00C96B1E">
        <w:rPr>
          <w:lang w:eastAsia="ru-RU"/>
        </w:rPr>
        <w:t>е</w:t>
      </w:r>
      <w:r w:rsidRPr="00C96B1E">
        <w:rPr>
          <w:lang w:eastAsia="ru-RU"/>
        </w:rPr>
        <w:t>гионального механизма для проведения последующей деятельности и обзора в связи с осуществлением Повестки дня на период до 2030 года. Комиссия пост</w:t>
      </w:r>
      <w:r w:rsidRPr="00C96B1E">
        <w:rPr>
          <w:lang w:eastAsia="ru-RU"/>
        </w:rPr>
        <w:t>а</w:t>
      </w:r>
      <w:r w:rsidRPr="00C96B1E">
        <w:rPr>
          <w:lang w:eastAsia="ru-RU"/>
        </w:rPr>
        <w:t>новила ежегодно проводить Региональный форум в период 2018–2019 годов в тесном сотрудничестве с региональными подразделениями системы Организ</w:t>
      </w:r>
      <w:r w:rsidRPr="00C96B1E">
        <w:rPr>
          <w:lang w:eastAsia="ru-RU"/>
        </w:rPr>
        <w:t>а</w:t>
      </w:r>
      <w:r w:rsidRPr="00C96B1E">
        <w:rPr>
          <w:lang w:eastAsia="ru-RU"/>
        </w:rPr>
        <w:t>ции Объединенных Наций. Региональный форум сосредоточит свое внимание на практических дополнительных преимуществах, учитывая работу существ</w:t>
      </w:r>
      <w:r w:rsidRPr="00C96B1E">
        <w:rPr>
          <w:lang w:eastAsia="ru-RU"/>
        </w:rPr>
        <w:t>у</w:t>
      </w:r>
      <w:r w:rsidRPr="00C96B1E">
        <w:rPr>
          <w:lang w:eastAsia="ru-RU"/>
        </w:rPr>
        <w:t>ющих региональных органов и механизмов, включая механизмы коллегиальн</w:t>
      </w:r>
      <w:r w:rsidRPr="00C96B1E">
        <w:rPr>
          <w:lang w:eastAsia="ru-RU"/>
        </w:rPr>
        <w:t>о</w:t>
      </w:r>
      <w:r w:rsidRPr="00C96B1E">
        <w:rPr>
          <w:lang w:eastAsia="ru-RU"/>
        </w:rPr>
        <w:t>го обзора, избегая при этом усиления нагрузки по представлению отчетности для государств-членов (E/ECE/1480, решение B(67)).</w:t>
      </w:r>
    </w:p>
    <w:p w:rsidR="00C96B1E" w:rsidRPr="00C96B1E" w:rsidRDefault="00C96B1E" w:rsidP="00C96B1E">
      <w:pPr>
        <w:pStyle w:val="SingleTxtGR"/>
        <w:rPr>
          <w:lang w:eastAsia="ru-RU"/>
        </w:rPr>
      </w:pPr>
      <w:r w:rsidRPr="00C96B1E">
        <w:rPr>
          <w:lang w:eastAsia="ru-RU"/>
        </w:rPr>
        <w:t>10.</w:t>
      </w:r>
      <w:r w:rsidRPr="00C96B1E">
        <w:rPr>
          <w:lang w:eastAsia="ru-RU"/>
        </w:rPr>
        <w:tab/>
        <w:t>Сосредоточивая свое внимание на практических дополнительных пр</w:t>
      </w:r>
      <w:r w:rsidRPr="00C96B1E">
        <w:rPr>
          <w:lang w:eastAsia="ru-RU"/>
        </w:rPr>
        <w:t>е</w:t>
      </w:r>
      <w:r w:rsidRPr="00C96B1E">
        <w:rPr>
          <w:lang w:eastAsia="ru-RU"/>
        </w:rPr>
        <w:t>имуществах и взаимном обучении, Региональный форум представляет собой региональное пространство для обмена политическими решениями, эффекти</w:t>
      </w:r>
      <w:r w:rsidRPr="00C96B1E">
        <w:rPr>
          <w:lang w:eastAsia="ru-RU"/>
        </w:rPr>
        <w:t>в</w:t>
      </w:r>
      <w:r w:rsidRPr="00C96B1E">
        <w:rPr>
          <w:lang w:eastAsia="ru-RU"/>
        </w:rPr>
        <w:t>ной практикой и проблемами в достижении целей в области устойчивого разв</w:t>
      </w:r>
      <w:r w:rsidRPr="00C96B1E">
        <w:rPr>
          <w:lang w:eastAsia="ru-RU"/>
        </w:rPr>
        <w:t>и</w:t>
      </w:r>
      <w:r w:rsidRPr="00C96B1E">
        <w:rPr>
          <w:lang w:eastAsia="ru-RU"/>
        </w:rPr>
        <w:t>тия и содействует выявлению крупных региональных и субрегиональных те</w:t>
      </w:r>
      <w:r w:rsidRPr="00C96B1E">
        <w:rPr>
          <w:lang w:eastAsia="ru-RU"/>
        </w:rPr>
        <w:t>н</w:t>
      </w:r>
      <w:r w:rsidRPr="00C96B1E">
        <w:rPr>
          <w:lang w:eastAsia="ru-RU"/>
        </w:rPr>
        <w:t>денций. Он открыт для участия всех соответствующих заинтересованных ст</w:t>
      </w:r>
      <w:r w:rsidRPr="00C96B1E">
        <w:rPr>
          <w:lang w:eastAsia="ru-RU"/>
        </w:rPr>
        <w:t>о</w:t>
      </w:r>
      <w:r w:rsidRPr="00C96B1E">
        <w:rPr>
          <w:lang w:eastAsia="ru-RU"/>
        </w:rPr>
        <w:t>рон, включая международные и региональные организации, гражданское общ</w:t>
      </w:r>
      <w:r w:rsidRPr="00C96B1E">
        <w:rPr>
          <w:lang w:eastAsia="ru-RU"/>
        </w:rPr>
        <w:t>е</w:t>
      </w:r>
      <w:r w:rsidRPr="00C96B1E">
        <w:rPr>
          <w:lang w:eastAsia="ru-RU"/>
        </w:rPr>
        <w:t>ство, научные круги и частный сектор.</w:t>
      </w:r>
    </w:p>
    <w:p w:rsidR="00C96B1E" w:rsidRPr="00C96B1E" w:rsidRDefault="00C96B1E" w:rsidP="00C96B1E">
      <w:pPr>
        <w:pStyle w:val="SingleTxtGR"/>
        <w:rPr>
          <w:lang w:eastAsia="ru-RU"/>
        </w:rPr>
      </w:pPr>
      <w:r w:rsidRPr="00C96B1E">
        <w:rPr>
          <w:lang w:eastAsia="ru-RU"/>
        </w:rPr>
        <w:lastRenderedPageBreak/>
        <w:t>11.</w:t>
      </w:r>
      <w:r w:rsidRPr="00C96B1E">
        <w:rPr>
          <w:lang w:eastAsia="ru-RU"/>
        </w:rPr>
        <w:tab/>
        <w:t>На региональном уровне ЕЭК созывает сессии Регионального форума в партнерстве со всеми соответствующими организациями. Первая отдельная сессия Регионального форума состоялась в Женеве 25 апреля 2017 года</w:t>
      </w:r>
      <w:r w:rsidRPr="00DC45C8">
        <w:rPr>
          <w:sz w:val="18"/>
          <w:vertAlign w:val="superscript"/>
          <w:lang w:eastAsia="ru-RU"/>
        </w:rPr>
        <w:footnoteReference w:id="4"/>
      </w:r>
      <w:r w:rsidRPr="00C96B1E">
        <w:rPr>
          <w:lang w:eastAsia="ru-RU"/>
        </w:rPr>
        <w:t>. Се</w:t>
      </w:r>
      <w:r w:rsidRPr="00C96B1E">
        <w:rPr>
          <w:lang w:eastAsia="ru-RU"/>
        </w:rPr>
        <w:t>с</w:t>
      </w:r>
      <w:r w:rsidRPr="00C96B1E">
        <w:rPr>
          <w:lang w:eastAsia="ru-RU"/>
        </w:rPr>
        <w:t>сии Регионального форума предшествовали два заседания, имевшие место</w:t>
      </w:r>
      <w:r w:rsidR="00DC45C8">
        <w:rPr>
          <w:lang w:eastAsia="ru-RU"/>
        </w:rPr>
        <w:br/>
      </w:r>
      <w:r w:rsidRPr="00C96B1E">
        <w:rPr>
          <w:lang w:eastAsia="ru-RU"/>
        </w:rPr>
        <w:t>24 апреля 2017 года: подготовительные консультации с гражданским обществом и региональное подготовительное рабочее совещание для стран региона ЕЭК, проводящих добровольные национальные обзоры на совещании политического форума высокого уровня 2017 года.</w:t>
      </w:r>
    </w:p>
    <w:p w:rsidR="00C96B1E" w:rsidRPr="00C96B1E" w:rsidRDefault="00C96B1E" w:rsidP="00C96B1E">
      <w:pPr>
        <w:pStyle w:val="SingleTxtGR"/>
        <w:rPr>
          <w:lang w:eastAsia="ru-RU"/>
        </w:rPr>
      </w:pPr>
      <w:r w:rsidRPr="00C96B1E">
        <w:rPr>
          <w:lang w:eastAsia="ru-RU"/>
        </w:rPr>
        <w:t>12.</w:t>
      </w:r>
      <w:r w:rsidRPr="00C96B1E">
        <w:rPr>
          <w:lang w:eastAsia="ru-RU"/>
        </w:rPr>
        <w:tab/>
        <w:t>Итоги заседаний Регионального форума в виде доклада, содержащего р</w:t>
      </w:r>
      <w:r w:rsidRPr="00C96B1E">
        <w:rPr>
          <w:lang w:eastAsia="ru-RU"/>
        </w:rPr>
        <w:t>е</w:t>
      </w:r>
      <w:r w:rsidRPr="00C96B1E">
        <w:rPr>
          <w:lang w:eastAsia="ru-RU"/>
        </w:rPr>
        <w:t>зюме Председателя о предметных обсуждениях, передаются в Департамент по экономическим и социальным вопросам в качестве вклада в работу политич</w:t>
      </w:r>
      <w:r w:rsidRPr="00C96B1E">
        <w:rPr>
          <w:lang w:eastAsia="ru-RU"/>
        </w:rPr>
        <w:t>е</w:t>
      </w:r>
      <w:r w:rsidRPr="00C96B1E">
        <w:rPr>
          <w:lang w:eastAsia="ru-RU"/>
        </w:rPr>
        <w:t>ского форума высокого уровня.</w:t>
      </w:r>
    </w:p>
    <w:p w:rsidR="00C96B1E" w:rsidRPr="00C96B1E" w:rsidRDefault="00C96B1E" w:rsidP="00C96B1E">
      <w:pPr>
        <w:pStyle w:val="HChGR"/>
      </w:pPr>
      <w:r w:rsidRPr="00C96B1E">
        <w:tab/>
        <w:t>IV.</w:t>
      </w:r>
      <w:r w:rsidRPr="00C96B1E">
        <w:tab/>
        <w:t>Содействие Комитета по экологической политике осуществл</w:t>
      </w:r>
      <w:r w:rsidRPr="00C96B1E">
        <w:t>е</w:t>
      </w:r>
      <w:r w:rsidRPr="00C96B1E">
        <w:t xml:space="preserve">нию последующей деятельности </w:t>
      </w:r>
      <w:r>
        <w:t>и обзора</w:t>
      </w:r>
      <w:r w:rsidRPr="00C96B1E">
        <w:br/>
        <w:t xml:space="preserve">в связи с Повесткой дня в области устойчивого </w:t>
      </w:r>
      <w:r>
        <w:t>развития на период до 2030 года</w:t>
      </w:r>
    </w:p>
    <w:p w:rsidR="00C96B1E" w:rsidRPr="00C96B1E" w:rsidRDefault="00C96B1E" w:rsidP="00C96B1E">
      <w:pPr>
        <w:pStyle w:val="H1GR"/>
      </w:pPr>
      <w:r w:rsidRPr="00C96B1E">
        <w:tab/>
        <w:t>A.</w:t>
      </w:r>
      <w:r w:rsidRPr="00C96B1E">
        <w:tab/>
        <w:t>Текущая работа</w:t>
      </w:r>
    </w:p>
    <w:p w:rsidR="00C96B1E" w:rsidRPr="00C96B1E" w:rsidRDefault="00C96B1E" w:rsidP="00C96B1E">
      <w:pPr>
        <w:pStyle w:val="SingleTxtGR"/>
        <w:rPr>
          <w:lang w:eastAsia="ru-RU"/>
        </w:rPr>
      </w:pPr>
      <w:r w:rsidRPr="00C96B1E">
        <w:rPr>
          <w:lang w:eastAsia="ru-RU"/>
        </w:rPr>
        <w:t>13.</w:t>
      </w:r>
      <w:r w:rsidRPr="00C96B1E">
        <w:rPr>
          <w:lang w:eastAsia="ru-RU"/>
        </w:rPr>
        <w:tab/>
        <w:t>Комитет по экологической политике ЕЭК в рамках своей деятельности содействует осуществлению Повестки дня на период до 2030 года и достиж</w:t>
      </w:r>
      <w:r w:rsidRPr="00C96B1E">
        <w:rPr>
          <w:lang w:eastAsia="ru-RU"/>
        </w:rPr>
        <w:t>е</w:t>
      </w:r>
      <w:r w:rsidRPr="00C96B1E">
        <w:rPr>
          <w:lang w:eastAsia="ru-RU"/>
        </w:rPr>
        <w:t>нию целей в области устойчивого развития. Стратегические рамки на период 2018–2019 годов для подпрограммы ЕЭК «Окружающая среда» содержат ко</w:t>
      </w:r>
      <w:r w:rsidRPr="00C96B1E">
        <w:rPr>
          <w:lang w:eastAsia="ru-RU"/>
        </w:rPr>
        <w:t>н</w:t>
      </w:r>
      <w:r w:rsidRPr="00C96B1E">
        <w:rPr>
          <w:lang w:eastAsia="ru-RU"/>
        </w:rPr>
        <w:t>кретные положения, связанные с целями, а именно</w:t>
      </w:r>
      <w:r>
        <w:rPr>
          <w:lang w:eastAsia="ru-RU"/>
        </w:rPr>
        <w:t>:</w:t>
      </w:r>
    </w:p>
    <w:p w:rsidR="00C96B1E" w:rsidRPr="00C96B1E" w:rsidRDefault="00C96B1E" w:rsidP="00DE1B78">
      <w:pPr>
        <w:pStyle w:val="SingleTxtGR"/>
        <w:ind w:left="1701"/>
        <w:rPr>
          <w:lang w:eastAsia="ru-RU"/>
        </w:rPr>
      </w:pPr>
      <w:r w:rsidRPr="00C96B1E">
        <w:rPr>
          <w:lang w:eastAsia="ru-RU"/>
        </w:rPr>
        <w:tab/>
        <w:t>С учетом того, что охрана окружающей среды является одним из компонентов устойчивого развития, подпрограмма будет способствовать достижению всех целей в области устойчивого развития, и в особенности целей 3, 4, 6, 11, 12, 13, 16 и 17. Достижение поставленных целей будет осуществляться посредством ведения международного стратегического диалога, нормотворческой деятельности, деятельности по укреплению потенциала и распространению информации о передовой практике и и</w:t>
      </w:r>
      <w:r w:rsidRPr="00C96B1E">
        <w:rPr>
          <w:lang w:eastAsia="ru-RU"/>
        </w:rPr>
        <w:t>з</w:t>
      </w:r>
      <w:r w:rsidRPr="00C96B1E">
        <w:rPr>
          <w:lang w:eastAsia="ru-RU"/>
        </w:rPr>
        <w:t>влеченных уроках в том, что касается к</w:t>
      </w:r>
      <w:r w:rsidRPr="00C96B1E">
        <w:rPr>
          <w:lang w:eastAsia="ru-RU"/>
        </w:rPr>
        <w:t>а</w:t>
      </w:r>
      <w:r w:rsidRPr="00C96B1E">
        <w:rPr>
          <w:lang w:eastAsia="ru-RU"/>
        </w:rPr>
        <w:t>чества воздуха, водных ресурсов, безопасности на производстве, участия широкой общественности, экол</w:t>
      </w:r>
      <w:r w:rsidRPr="00C96B1E">
        <w:rPr>
          <w:lang w:eastAsia="ru-RU"/>
        </w:rPr>
        <w:t>о</w:t>
      </w:r>
      <w:r w:rsidRPr="00C96B1E">
        <w:rPr>
          <w:lang w:eastAsia="ru-RU"/>
        </w:rPr>
        <w:t>гических оценок, мониторинга и оценки эффективности деятельности, просвещения в целях устойчивого развития и учета природоохранных в</w:t>
      </w:r>
      <w:r w:rsidRPr="00C96B1E">
        <w:rPr>
          <w:lang w:eastAsia="ru-RU"/>
        </w:rPr>
        <w:t>о</w:t>
      </w:r>
      <w:r w:rsidRPr="00C96B1E">
        <w:rPr>
          <w:lang w:eastAsia="ru-RU"/>
        </w:rPr>
        <w:t>просов при работе над другими аспектами устойчивого разв</w:t>
      </w:r>
      <w:r w:rsidRPr="00C96B1E">
        <w:rPr>
          <w:lang w:eastAsia="ru-RU"/>
        </w:rPr>
        <w:t>и</w:t>
      </w:r>
      <w:r w:rsidRPr="00C96B1E">
        <w:rPr>
          <w:lang w:eastAsia="ru-RU"/>
        </w:rPr>
        <w:t>тия</w:t>
      </w:r>
      <w:r w:rsidRPr="00DC45C8">
        <w:rPr>
          <w:sz w:val="18"/>
          <w:vertAlign w:val="superscript"/>
          <w:lang w:eastAsia="ru-RU"/>
        </w:rPr>
        <w:footnoteReference w:id="5"/>
      </w:r>
      <w:r w:rsidRPr="00C96B1E">
        <w:rPr>
          <w:lang w:eastAsia="ru-RU"/>
        </w:rPr>
        <w:t>.</w:t>
      </w:r>
    </w:p>
    <w:p w:rsidR="00C96B1E" w:rsidRPr="00C96B1E" w:rsidRDefault="00C96B1E" w:rsidP="00C96B1E">
      <w:pPr>
        <w:pStyle w:val="SingleTxtGR"/>
        <w:rPr>
          <w:lang w:eastAsia="ru-RU"/>
        </w:rPr>
      </w:pPr>
      <w:r w:rsidRPr="00C96B1E">
        <w:rPr>
          <w:lang w:eastAsia="ru-RU"/>
        </w:rPr>
        <w:t>14.</w:t>
      </w:r>
      <w:r w:rsidRPr="00C96B1E">
        <w:rPr>
          <w:lang w:eastAsia="ru-RU"/>
        </w:rPr>
        <w:tab/>
        <w:t>Программа работы Подпрограммы ЕЭК по окружающей среде включает деятельность Комитета по экологической политике и десяти других руковод</w:t>
      </w:r>
      <w:r w:rsidRPr="00C96B1E">
        <w:rPr>
          <w:lang w:eastAsia="ru-RU"/>
        </w:rPr>
        <w:t>я</w:t>
      </w:r>
      <w:r w:rsidRPr="00C96B1E">
        <w:rPr>
          <w:lang w:eastAsia="ru-RU"/>
        </w:rPr>
        <w:t>щих органов, а именно: восьми многосторонних природоохранных соглашений ЕЭК, Общеевропейской программы по транспорту, окружающей среде и охране здоровья (ОПТОЗОС) и Стратегии ЕЭК ООН для образования в интересах устойчивого развития. В дополнение к общей программе работы по подпр</w:t>
      </w:r>
      <w:r w:rsidRPr="00C96B1E">
        <w:rPr>
          <w:lang w:eastAsia="ru-RU"/>
        </w:rPr>
        <w:t>о</w:t>
      </w:r>
      <w:r w:rsidRPr="00C96B1E">
        <w:rPr>
          <w:lang w:eastAsia="ru-RU"/>
        </w:rPr>
        <w:t>грамме «Окружающая среда» десять руководящих органов принимают свои собственные программы или планы работы. После принятия Повестки дня на период до 2030 года все 11 руководящих органов провели оценку или находятся в процессе оценки своей деятельности в целях оказания эффективной поддер</w:t>
      </w:r>
      <w:r w:rsidRPr="00C96B1E">
        <w:rPr>
          <w:lang w:eastAsia="ru-RU"/>
        </w:rPr>
        <w:t>ж</w:t>
      </w:r>
      <w:r w:rsidRPr="00C96B1E">
        <w:rPr>
          <w:lang w:eastAsia="ru-RU"/>
        </w:rPr>
        <w:t>ки государствам-членам в осуществлении этой повестки дня и достижения ц</w:t>
      </w:r>
      <w:r w:rsidRPr="00C96B1E">
        <w:rPr>
          <w:lang w:eastAsia="ru-RU"/>
        </w:rPr>
        <w:t>е</w:t>
      </w:r>
      <w:r w:rsidRPr="00C96B1E">
        <w:rPr>
          <w:lang w:eastAsia="ru-RU"/>
        </w:rPr>
        <w:t>лей в области устойчивого развития. На своей двадцать первой (2015 год) и двадцать второй (2017 год) сессиях Комитет рассмотрел информацию о ходе р</w:t>
      </w:r>
      <w:r w:rsidRPr="00C96B1E">
        <w:rPr>
          <w:lang w:eastAsia="ru-RU"/>
        </w:rPr>
        <w:t>е</w:t>
      </w:r>
      <w:r w:rsidRPr="00C96B1E">
        <w:rPr>
          <w:lang w:eastAsia="ru-RU"/>
        </w:rPr>
        <w:t>ализации многосторонних природоохранных соглашений и Стратегии для обр</w:t>
      </w:r>
      <w:r w:rsidRPr="00C96B1E">
        <w:rPr>
          <w:lang w:eastAsia="ru-RU"/>
        </w:rPr>
        <w:t>а</w:t>
      </w:r>
      <w:r w:rsidRPr="00C96B1E">
        <w:rPr>
          <w:lang w:eastAsia="ru-RU"/>
        </w:rPr>
        <w:t>зования в интересах устойчивого развития в том, что касается усилий, напра</w:t>
      </w:r>
      <w:r w:rsidRPr="00C96B1E">
        <w:rPr>
          <w:lang w:eastAsia="ru-RU"/>
        </w:rPr>
        <w:t>в</w:t>
      </w:r>
      <w:r w:rsidRPr="00C96B1E">
        <w:rPr>
          <w:lang w:eastAsia="ru-RU"/>
        </w:rPr>
        <w:lastRenderedPageBreak/>
        <w:t>ленных на надлежащую корректировку своей соответствующей деятельности в целях оказания более эффективной поддержки странам в их усилиях по ос</w:t>
      </w:r>
      <w:r w:rsidRPr="00C96B1E">
        <w:rPr>
          <w:lang w:eastAsia="ru-RU"/>
        </w:rPr>
        <w:t>у</w:t>
      </w:r>
      <w:r w:rsidRPr="00C96B1E">
        <w:rPr>
          <w:lang w:eastAsia="ru-RU"/>
        </w:rPr>
        <w:t>ществлению Повестки дня на период до 2030 года.</w:t>
      </w:r>
    </w:p>
    <w:p w:rsidR="00C96B1E" w:rsidRPr="00C96B1E" w:rsidRDefault="00C96B1E" w:rsidP="00C96B1E">
      <w:pPr>
        <w:pStyle w:val="SingleTxtGR"/>
        <w:rPr>
          <w:lang w:eastAsia="ru-RU"/>
        </w:rPr>
      </w:pPr>
      <w:r w:rsidRPr="00C96B1E">
        <w:rPr>
          <w:lang w:eastAsia="ru-RU"/>
        </w:rPr>
        <w:t>15.</w:t>
      </w:r>
      <w:r w:rsidRPr="00C96B1E">
        <w:rPr>
          <w:lang w:eastAsia="ru-RU"/>
        </w:rPr>
        <w:tab/>
        <w:t>На своих сессиях Комитет по экологической политике рассматривает продвижение целей в области устойчивого развития в рамках нескольких пун</w:t>
      </w:r>
      <w:r w:rsidRPr="00C96B1E">
        <w:rPr>
          <w:lang w:eastAsia="ru-RU"/>
        </w:rPr>
        <w:t>к</w:t>
      </w:r>
      <w:r w:rsidRPr="00C96B1E">
        <w:rPr>
          <w:lang w:eastAsia="ru-RU"/>
        </w:rPr>
        <w:t>тов повестки дня. Например, на своей двадцать второй сессии в январе 2017 г</w:t>
      </w:r>
      <w:r w:rsidRPr="00C96B1E">
        <w:rPr>
          <w:lang w:eastAsia="ru-RU"/>
        </w:rPr>
        <w:t>о</w:t>
      </w:r>
      <w:r w:rsidRPr="00C96B1E">
        <w:rPr>
          <w:lang w:eastAsia="ru-RU"/>
        </w:rPr>
        <w:t>да Комитет обсудил существующие на национальном уровне подходы к ос</w:t>
      </w:r>
      <w:r w:rsidRPr="00C96B1E">
        <w:rPr>
          <w:lang w:eastAsia="ru-RU"/>
        </w:rPr>
        <w:t>у</w:t>
      </w:r>
      <w:r w:rsidRPr="00C96B1E">
        <w:rPr>
          <w:lang w:eastAsia="ru-RU"/>
        </w:rPr>
        <w:t>ществлению целей в области устойчивого развития с упором на цели 3, 9 и 17. Комитет приветствовал предоставленную Беларусью, Казахстаном и Чехией информацию об их опыте определения практических путей и средств формир</w:t>
      </w:r>
      <w:r w:rsidRPr="00C96B1E">
        <w:rPr>
          <w:lang w:eastAsia="ru-RU"/>
        </w:rPr>
        <w:t>о</w:t>
      </w:r>
      <w:r w:rsidRPr="00C96B1E">
        <w:rPr>
          <w:lang w:eastAsia="ru-RU"/>
        </w:rPr>
        <w:t>вания подхода к осуществлению на национальном уровне Повестки дня на п</w:t>
      </w:r>
      <w:r w:rsidRPr="00C96B1E">
        <w:rPr>
          <w:lang w:eastAsia="ru-RU"/>
        </w:rPr>
        <w:t>е</w:t>
      </w:r>
      <w:r w:rsidRPr="00C96B1E">
        <w:rPr>
          <w:lang w:eastAsia="ru-RU"/>
        </w:rPr>
        <w:t>риод до 2030 года и соответствующих целей устойчивого развития с экологич</w:t>
      </w:r>
      <w:r w:rsidRPr="00C96B1E">
        <w:rPr>
          <w:lang w:eastAsia="ru-RU"/>
        </w:rPr>
        <w:t>е</w:t>
      </w:r>
      <w:r w:rsidRPr="00C96B1E">
        <w:rPr>
          <w:lang w:eastAsia="ru-RU"/>
        </w:rPr>
        <w:t>ских позиций и предложил членам Комитета продолжать такой обмен опытом и информацией о надлежащей практике по этой теме на своих будущих совещ</w:t>
      </w:r>
      <w:r w:rsidRPr="00C96B1E">
        <w:rPr>
          <w:lang w:eastAsia="ru-RU"/>
        </w:rPr>
        <w:t>а</w:t>
      </w:r>
      <w:r w:rsidRPr="00C96B1E">
        <w:rPr>
          <w:lang w:eastAsia="ru-RU"/>
        </w:rPr>
        <w:t>ниях. Кроме того, Комитет предложил соответствующим партнерам поделиться информацией о своей деятельности в поддержку Повестки дня на период до 2030 года, уделив особое внимание целям устойчивого развития, которые будут рассматриваться на политическом форуме высокого уровня в течение этого г</w:t>
      </w:r>
      <w:r w:rsidRPr="00C96B1E">
        <w:rPr>
          <w:lang w:eastAsia="ru-RU"/>
        </w:rPr>
        <w:t>о</w:t>
      </w:r>
      <w:r w:rsidRPr="00C96B1E">
        <w:rPr>
          <w:lang w:eastAsia="ru-RU"/>
        </w:rPr>
        <w:t>да.</w:t>
      </w:r>
    </w:p>
    <w:p w:rsidR="00C96B1E" w:rsidRPr="00DE1B78" w:rsidRDefault="00C96B1E" w:rsidP="00C96B1E">
      <w:pPr>
        <w:pStyle w:val="SingleTxtGR"/>
        <w:rPr>
          <w:lang w:eastAsia="ru-RU"/>
        </w:rPr>
      </w:pPr>
      <w:r w:rsidRPr="00C96B1E">
        <w:rPr>
          <w:lang w:eastAsia="ru-RU"/>
        </w:rPr>
        <w:t>16.</w:t>
      </w:r>
      <w:r w:rsidRPr="00C96B1E">
        <w:rPr>
          <w:lang w:eastAsia="ru-RU"/>
        </w:rPr>
        <w:tab/>
        <w:t>Далее Комитет одобрил предлагаемый подход к деятельности Програ</w:t>
      </w:r>
      <w:r w:rsidRPr="00C96B1E">
        <w:rPr>
          <w:lang w:eastAsia="ru-RU"/>
        </w:rPr>
        <w:t>м</w:t>
      </w:r>
      <w:r w:rsidRPr="00C96B1E">
        <w:rPr>
          <w:lang w:eastAsia="ru-RU"/>
        </w:rPr>
        <w:t>мы обзоров результативности экологической деятельности, направленный на с</w:t>
      </w:r>
      <w:r w:rsidRPr="00C96B1E">
        <w:rPr>
          <w:lang w:eastAsia="ru-RU"/>
        </w:rPr>
        <w:t>о</w:t>
      </w:r>
      <w:r w:rsidRPr="00C96B1E">
        <w:rPr>
          <w:lang w:eastAsia="ru-RU"/>
        </w:rPr>
        <w:t xml:space="preserve">действие обзору соответствующих целей </w:t>
      </w:r>
      <w:r w:rsidR="0089079B">
        <w:rPr>
          <w:lang w:eastAsia="ru-RU"/>
        </w:rPr>
        <w:t>в области устойчивого развития,</w:t>
      </w:r>
      <w:r w:rsidR="0089079B">
        <w:rPr>
          <w:lang w:eastAsia="ru-RU"/>
        </w:rPr>
        <w:br/>
      </w:r>
      <w:r w:rsidRPr="00C96B1E">
        <w:rPr>
          <w:lang w:eastAsia="ru-RU"/>
        </w:rPr>
        <w:t>и признал роль таких обзоров в качестве механизма взаимного обучения. П</w:t>
      </w:r>
      <w:r w:rsidRPr="00C96B1E">
        <w:rPr>
          <w:lang w:eastAsia="ru-RU"/>
        </w:rPr>
        <w:t>о</w:t>
      </w:r>
      <w:r w:rsidRPr="00C96B1E">
        <w:rPr>
          <w:lang w:eastAsia="ru-RU"/>
        </w:rPr>
        <w:t>мимо этого, Комитет следит за созданием к 2021 году Общей системы эколог</w:t>
      </w:r>
      <w:r w:rsidRPr="00C96B1E">
        <w:rPr>
          <w:lang w:eastAsia="ru-RU"/>
        </w:rPr>
        <w:t>и</w:t>
      </w:r>
      <w:r w:rsidRPr="00C96B1E">
        <w:rPr>
          <w:lang w:eastAsia="ru-RU"/>
        </w:rPr>
        <w:t>ческой информации в общеевропейском регионе с целью предоставить доступ к всеобъемлющим данным для оценки хода достижения целей в области устойч</w:t>
      </w:r>
      <w:r w:rsidRPr="00C96B1E">
        <w:rPr>
          <w:lang w:eastAsia="ru-RU"/>
        </w:rPr>
        <w:t>и</w:t>
      </w:r>
      <w:r w:rsidRPr="00C96B1E">
        <w:rPr>
          <w:lang w:eastAsia="ru-RU"/>
        </w:rPr>
        <w:t>вого развития.</w:t>
      </w:r>
    </w:p>
    <w:p w:rsidR="00C96B1E" w:rsidRPr="00C96B1E" w:rsidRDefault="00C96B1E" w:rsidP="00C96B1E">
      <w:pPr>
        <w:pStyle w:val="SingleTxtGR"/>
        <w:rPr>
          <w:lang w:eastAsia="ru-RU"/>
        </w:rPr>
      </w:pPr>
      <w:r w:rsidRPr="00C96B1E">
        <w:rPr>
          <w:lang w:eastAsia="ru-RU"/>
        </w:rPr>
        <w:t>17.</w:t>
      </w:r>
      <w:r w:rsidRPr="00C96B1E">
        <w:rPr>
          <w:lang w:eastAsia="ru-RU"/>
        </w:rPr>
        <w:tab/>
        <w:t xml:space="preserve">Кроме того, на двадцать второй сессии Комитета председатели и другие представители многосторонних природоохранных соглашений ЕЭК обсудили с членами Комитета и наблюдателями предпринятые на тот момент усилия по каждому из многосторонних природоохранных соглашений с целью определить их роли в осуществлении Повестки дня на период до 2030 года. </w:t>
      </w:r>
      <w:proofErr w:type="gramStart"/>
      <w:r w:rsidRPr="00C96B1E">
        <w:rPr>
          <w:lang w:eastAsia="ru-RU"/>
        </w:rPr>
        <w:t>Комитет пр</w:t>
      </w:r>
      <w:r w:rsidRPr="00C96B1E">
        <w:rPr>
          <w:lang w:eastAsia="ru-RU"/>
        </w:rPr>
        <w:t>и</w:t>
      </w:r>
      <w:r w:rsidRPr="00C96B1E">
        <w:rPr>
          <w:lang w:eastAsia="ru-RU"/>
        </w:rPr>
        <w:t xml:space="preserve">знал важность обеспечения </w:t>
      </w:r>
      <w:proofErr w:type="spellStart"/>
      <w:r w:rsidRPr="00C96B1E">
        <w:rPr>
          <w:lang w:eastAsia="ru-RU"/>
        </w:rPr>
        <w:t>транспарентности</w:t>
      </w:r>
      <w:proofErr w:type="spellEnd"/>
      <w:r w:rsidRPr="00C96B1E">
        <w:rPr>
          <w:lang w:eastAsia="ru-RU"/>
        </w:rPr>
        <w:t>, в том числе беспрепятственного доступа к информации, и подчеркнул, что ключом к согласованному осущест</w:t>
      </w:r>
      <w:r w:rsidRPr="00C96B1E">
        <w:rPr>
          <w:lang w:eastAsia="ru-RU"/>
        </w:rPr>
        <w:t>в</w:t>
      </w:r>
      <w:r w:rsidRPr="00C96B1E">
        <w:rPr>
          <w:lang w:eastAsia="ru-RU"/>
        </w:rPr>
        <w:t>лению Повестки дня на период до 2030 года является сотрудничество между соответствующими секторами на национ</w:t>
      </w:r>
      <w:r w:rsidR="0089079B">
        <w:rPr>
          <w:lang w:eastAsia="ru-RU"/>
        </w:rPr>
        <w:t>альном и международном уровнях,</w:t>
      </w:r>
      <w:r w:rsidR="0089079B">
        <w:rPr>
          <w:lang w:eastAsia="ru-RU"/>
        </w:rPr>
        <w:br/>
      </w:r>
      <w:r w:rsidRPr="00C96B1E">
        <w:rPr>
          <w:lang w:eastAsia="ru-RU"/>
        </w:rPr>
        <w:t>в частности эффективное вовлечение заинтересованных сторон.</w:t>
      </w:r>
      <w:proofErr w:type="gramEnd"/>
    </w:p>
    <w:p w:rsidR="00C96B1E" w:rsidRPr="00C96B1E" w:rsidRDefault="00C96B1E" w:rsidP="00C96B1E">
      <w:pPr>
        <w:pStyle w:val="SingleTxtGR"/>
        <w:rPr>
          <w:lang w:eastAsia="ru-RU"/>
        </w:rPr>
      </w:pPr>
      <w:r w:rsidRPr="00C96B1E">
        <w:rPr>
          <w:lang w:eastAsia="ru-RU"/>
        </w:rPr>
        <w:t>18.</w:t>
      </w:r>
      <w:r w:rsidRPr="00C96B1E">
        <w:rPr>
          <w:lang w:eastAsia="ru-RU"/>
        </w:rPr>
        <w:tab/>
        <w:t>На своих сессиях Комитет рассматривает вопрос об учете гендерных факторов в природоохранной деятельности. В этой связи на своей двадцать второй сессии Комитет признал важное значение учета гендерной проблемат</w:t>
      </w:r>
      <w:r w:rsidRPr="00C96B1E">
        <w:rPr>
          <w:lang w:eastAsia="ru-RU"/>
        </w:rPr>
        <w:t>и</w:t>
      </w:r>
      <w:r w:rsidRPr="00C96B1E">
        <w:rPr>
          <w:lang w:eastAsia="ru-RU"/>
        </w:rPr>
        <w:t>ки в природоохранной деятельности, особенно в свете Повестки дня на период до 2030 года и целей в области устойчивого развития, и подчеркнул, что ге</w:t>
      </w:r>
      <w:r w:rsidRPr="00C96B1E">
        <w:rPr>
          <w:lang w:eastAsia="ru-RU"/>
        </w:rPr>
        <w:t>н</w:t>
      </w:r>
      <w:r w:rsidRPr="00C96B1E">
        <w:rPr>
          <w:lang w:eastAsia="ru-RU"/>
        </w:rPr>
        <w:t>дерное равенство является как самоцелью, так и средством содействия дост</w:t>
      </w:r>
      <w:r w:rsidRPr="00C96B1E">
        <w:rPr>
          <w:lang w:eastAsia="ru-RU"/>
        </w:rPr>
        <w:t>и</w:t>
      </w:r>
      <w:r w:rsidRPr="00C96B1E">
        <w:rPr>
          <w:lang w:eastAsia="ru-RU"/>
        </w:rPr>
        <w:t>жению устойчивого развития.</w:t>
      </w:r>
    </w:p>
    <w:p w:rsidR="00C96B1E" w:rsidRPr="00C96B1E" w:rsidRDefault="00C96B1E" w:rsidP="00C96B1E">
      <w:pPr>
        <w:pStyle w:val="SingleTxtGR"/>
        <w:rPr>
          <w:lang w:eastAsia="ru-RU"/>
        </w:rPr>
      </w:pPr>
      <w:r w:rsidRPr="00C96B1E">
        <w:rPr>
          <w:lang w:eastAsia="ru-RU"/>
        </w:rPr>
        <w:t>19.</w:t>
      </w:r>
      <w:r w:rsidRPr="00C96B1E">
        <w:rPr>
          <w:lang w:eastAsia="ru-RU"/>
        </w:rPr>
        <w:tab/>
        <w:t>При организации своей деятельности Комитет работает над адаптацией результатов своей работы для эффективного содействия усилиям стран по д</w:t>
      </w:r>
      <w:r w:rsidRPr="00C96B1E">
        <w:rPr>
          <w:lang w:eastAsia="ru-RU"/>
        </w:rPr>
        <w:t>о</w:t>
      </w:r>
      <w:r w:rsidRPr="00C96B1E">
        <w:rPr>
          <w:lang w:eastAsia="ru-RU"/>
        </w:rPr>
        <w:t>стижению целей в области устойчивого развития. Комитет предоставляет пла</w:t>
      </w:r>
      <w:r w:rsidRPr="00C96B1E">
        <w:rPr>
          <w:lang w:eastAsia="ru-RU"/>
        </w:rPr>
        <w:t>т</w:t>
      </w:r>
      <w:r w:rsidRPr="00C96B1E">
        <w:rPr>
          <w:lang w:eastAsia="ru-RU"/>
        </w:rPr>
        <w:t>форму для обмена опытом и эффективной практикой в плане определения пра</w:t>
      </w:r>
      <w:r w:rsidRPr="00C96B1E">
        <w:rPr>
          <w:lang w:eastAsia="ru-RU"/>
        </w:rPr>
        <w:t>к</w:t>
      </w:r>
      <w:r w:rsidRPr="00C96B1E">
        <w:rPr>
          <w:lang w:eastAsia="ru-RU"/>
        </w:rPr>
        <w:t>тических путей и средств формирования подхода к осуществлению на наци</w:t>
      </w:r>
      <w:r w:rsidRPr="00C96B1E">
        <w:rPr>
          <w:lang w:eastAsia="ru-RU"/>
        </w:rPr>
        <w:t>о</w:t>
      </w:r>
      <w:r w:rsidRPr="00C96B1E">
        <w:rPr>
          <w:lang w:eastAsia="ru-RU"/>
        </w:rPr>
        <w:t>нальном уровне Повестки дня на период до 2030 года и соответствующих целей в области устойчивого развития с экологических позиций. Особый интерес для Комитета представляет информация о предпринятых шагах по обеспечению предусмотренной в Повестке дня на период до 2030 года интеграции.</w:t>
      </w:r>
    </w:p>
    <w:p w:rsidR="00C96B1E" w:rsidRPr="00C96B1E" w:rsidRDefault="00C96B1E" w:rsidP="00C96B1E">
      <w:pPr>
        <w:pStyle w:val="SingleTxtGR"/>
        <w:rPr>
          <w:lang w:eastAsia="ru-RU"/>
        </w:rPr>
      </w:pPr>
      <w:r w:rsidRPr="00C96B1E">
        <w:rPr>
          <w:lang w:eastAsia="ru-RU"/>
        </w:rPr>
        <w:t>20.</w:t>
      </w:r>
      <w:r w:rsidRPr="00C96B1E">
        <w:rPr>
          <w:lang w:eastAsia="ru-RU"/>
        </w:rPr>
        <w:tab/>
        <w:t>На восьмой Конференции министров «Окружающая среда</w:t>
      </w:r>
      <w:r w:rsidR="0089079B">
        <w:rPr>
          <w:lang w:eastAsia="ru-RU"/>
        </w:rPr>
        <w:t xml:space="preserve"> для Европы» (Батуми, Грузия, 8–</w:t>
      </w:r>
      <w:r w:rsidRPr="00C96B1E">
        <w:rPr>
          <w:lang w:eastAsia="ru-RU"/>
        </w:rPr>
        <w:t xml:space="preserve">10 июня 2016 года) важным событием стало обсуждение экологического аспекта Повестки дня на период до 2030 года. Министры и </w:t>
      </w:r>
      <w:r w:rsidRPr="00C96B1E">
        <w:rPr>
          <w:lang w:eastAsia="ru-RU"/>
        </w:rPr>
        <w:lastRenderedPageBreak/>
        <w:t>представители нескольких организаций, включая организации гражданского общества, приняли участие в интерактивном обсуждении в формате «ток-шоу», координатором которого выступил Исполнительный секретарь ЕЭК и замест</w:t>
      </w:r>
      <w:r w:rsidRPr="00C96B1E">
        <w:rPr>
          <w:lang w:eastAsia="ru-RU"/>
        </w:rPr>
        <w:t>и</w:t>
      </w:r>
      <w:r w:rsidRPr="00C96B1E">
        <w:rPr>
          <w:lang w:eastAsia="ru-RU"/>
        </w:rPr>
        <w:t>тель Исполнительного директора Программы Организации Объединенных Наций по окружающей среде (ЮНЕП). Обсуждение проходило на основе обз</w:t>
      </w:r>
      <w:r w:rsidRPr="00C96B1E">
        <w:rPr>
          <w:lang w:eastAsia="ru-RU"/>
        </w:rPr>
        <w:t>о</w:t>
      </w:r>
      <w:r w:rsidRPr="00C96B1E">
        <w:rPr>
          <w:lang w:eastAsia="ru-RU"/>
        </w:rPr>
        <w:t>ра процессов и мероприятий в рамках Подпрограммы по окружающей среде, спосо</w:t>
      </w:r>
      <w:r w:rsidRPr="00C96B1E">
        <w:rPr>
          <w:lang w:eastAsia="ru-RU"/>
        </w:rPr>
        <w:t>б</w:t>
      </w:r>
      <w:r w:rsidRPr="00C96B1E">
        <w:rPr>
          <w:lang w:eastAsia="ru-RU"/>
        </w:rPr>
        <w:t>ствующих странам в достижении целей в области устойчивого развития. В этом обзоре были рассмотрены связи между подпрограммой по</w:t>
      </w:r>
      <w:r w:rsidR="0089079B">
        <w:rPr>
          <w:lang w:eastAsia="ru-RU"/>
        </w:rPr>
        <w:t xml:space="preserve"> окружающей среде и каждой ЦУР –</w:t>
      </w:r>
      <w:r w:rsidRPr="00C96B1E">
        <w:rPr>
          <w:lang w:eastAsia="ru-RU"/>
        </w:rPr>
        <w:t xml:space="preserve"> непосредственные, существенные или ограниченные – на основе оценки числа соответствующих задач и уникального характера и</w:t>
      </w:r>
      <w:r w:rsidRPr="00C96B1E">
        <w:rPr>
          <w:lang w:eastAsia="ru-RU"/>
        </w:rPr>
        <w:t>н</w:t>
      </w:r>
      <w:r w:rsidRPr="00C96B1E">
        <w:rPr>
          <w:lang w:eastAsia="ru-RU"/>
        </w:rPr>
        <w:t>струментов ЕЭК в решении имеющих к ним отношение проблем (см. рисунок ниже). Участники обсудили потенциальную роль многосторонних природ</w:t>
      </w:r>
      <w:r w:rsidRPr="00C96B1E">
        <w:rPr>
          <w:lang w:eastAsia="ru-RU"/>
        </w:rPr>
        <w:t>о</w:t>
      </w:r>
      <w:r w:rsidRPr="00C96B1E">
        <w:rPr>
          <w:lang w:eastAsia="ru-RU"/>
        </w:rPr>
        <w:t>охранных соглашений ЕЭК, обзоров результативности экологической деятел</w:t>
      </w:r>
      <w:r w:rsidRPr="00C96B1E">
        <w:rPr>
          <w:lang w:eastAsia="ru-RU"/>
        </w:rPr>
        <w:t>ь</w:t>
      </w:r>
      <w:r w:rsidRPr="00C96B1E">
        <w:rPr>
          <w:lang w:eastAsia="ru-RU"/>
        </w:rPr>
        <w:t>ности, образования в интересах устойчивого развития и других инструментов поддержки стран в осуществлении Повестки дня на период до 2030 года, под</w:t>
      </w:r>
      <w:r w:rsidRPr="00C96B1E">
        <w:rPr>
          <w:lang w:eastAsia="ru-RU"/>
        </w:rPr>
        <w:t>е</w:t>
      </w:r>
      <w:r w:rsidRPr="00C96B1E">
        <w:rPr>
          <w:lang w:eastAsia="ru-RU"/>
        </w:rPr>
        <w:t>лились примерами эффективной практики и подтвердили свои обязательства по ряду инструментов, тем самым стимулируя, поощряя и призывая все страны к достижению прогресса. Кроме того, они определили, в каких сферах может п</w:t>
      </w:r>
      <w:r w:rsidRPr="00C96B1E">
        <w:rPr>
          <w:lang w:eastAsia="ru-RU"/>
        </w:rPr>
        <w:t>о</w:t>
      </w:r>
      <w:r w:rsidRPr="00C96B1E">
        <w:rPr>
          <w:lang w:eastAsia="ru-RU"/>
        </w:rPr>
        <w:t>требоваться дополнительная поддержка, а также наметили возможные новые напра</w:t>
      </w:r>
      <w:r w:rsidRPr="00C96B1E">
        <w:rPr>
          <w:lang w:eastAsia="ru-RU"/>
        </w:rPr>
        <w:t>в</w:t>
      </w:r>
      <w:r w:rsidRPr="00C96B1E">
        <w:rPr>
          <w:lang w:eastAsia="ru-RU"/>
        </w:rPr>
        <w:t>ления деятельности.</w:t>
      </w:r>
    </w:p>
    <w:p w:rsidR="00C96B1E" w:rsidRPr="00C96B1E" w:rsidRDefault="00C96B1E" w:rsidP="00DE1B78">
      <w:pPr>
        <w:pStyle w:val="H23GR"/>
        <w:spacing w:after="240"/>
      </w:pPr>
      <w:r w:rsidRPr="00C96B1E">
        <w:tab/>
      </w:r>
      <w:r w:rsidRPr="00C96B1E">
        <w:tab/>
        <w:t>Схема степени связи между По</w:t>
      </w:r>
      <w:r w:rsidR="00DE1B78">
        <w:t>дпрограммой по окружающей среде</w:t>
      </w:r>
      <w:r w:rsidR="00DE1B78" w:rsidRPr="00DE1B78">
        <w:br/>
      </w:r>
      <w:r w:rsidRPr="00C96B1E">
        <w:t>и целями в области устойчивого развития</w:t>
      </w:r>
    </w:p>
    <w:tbl>
      <w:tblPr>
        <w:tblStyle w:val="ac"/>
        <w:tblW w:w="7349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4"/>
        <w:gridCol w:w="1225"/>
        <w:gridCol w:w="1225"/>
        <w:gridCol w:w="1225"/>
        <w:gridCol w:w="1225"/>
        <w:gridCol w:w="1225"/>
      </w:tblGrid>
      <w:tr w:rsidR="00DE1B78" w:rsidRPr="000A349B" w:rsidTr="000440A2">
        <w:tc>
          <w:tcPr>
            <w:tcW w:w="1224" w:type="dxa"/>
            <w:shd w:val="clear" w:color="auto" w:fill="auto"/>
            <w:vAlign w:val="bottom"/>
          </w:tcPr>
          <w:p w:rsidR="00DE1B78" w:rsidRPr="000A349B" w:rsidRDefault="00DE1B78" w:rsidP="000440A2">
            <w:pPr>
              <w:spacing w:before="80" w:after="80" w:line="200" w:lineRule="auto"/>
              <w:rPr>
                <w:b/>
                <w:i/>
                <w:sz w:val="16"/>
                <w:szCs w:val="24"/>
              </w:rPr>
            </w:pPr>
            <w:r>
              <w:rPr>
                <w:b/>
                <w:i/>
                <w:noProof/>
                <w:sz w:val="16"/>
                <w:szCs w:val="24"/>
                <w:lang w:eastAsia="ru-RU"/>
              </w:rPr>
              <w:drawing>
                <wp:inline distT="0" distB="0" distL="0" distR="0" wp14:anchorId="01FE85A2" wp14:editId="1C594B08">
                  <wp:extent cx="698400" cy="720000"/>
                  <wp:effectExtent l="0" t="0" r="6985" b="4445"/>
                  <wp:docPr id="26" name="Рисунок 26" descr="G:\TRADRUS\SKOURIKHINE\Коммуникационные материалы — Устойчивое развитие_files\R_SDG_Icons-01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TRADRUS\SKOURIKHINE\Коммуникационные материалы — Устойчивое развитие_files\R_SDG_Icons-01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4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5" w:type="dxa"/>
            <w:shd w:val="clear" w:color="auto" w:fill="auto"/>
            <w:vAlign w:val="bottom"/>
          </w:tcPr>
          <w:p w:rsidR="00DE1B78" w:rsidRPr="000A349B" w:rsidRDefault="00DE1B78" w:rsidP="000440A2">
            <w:pPr>
              <w:spacing w:before="80" w:after="80" w:line="200" w:lineRule="auto"/>
              <w:rPr>
                <w:b/>
                <w:i/>
                <w:sz w:val="16"/>
                <w:szCs w:val="24"/>
              </w:rPr>
            </w:pPr>
            <w:r>
              <w:rPr>
                <w:b/>
                <w:i/>
                <w:noProof/>
                <w:sz w:val="16"/>
                <w:szCs w:val="24"/>
                <w:lang w:eastAsia="ru-RU"/>
              </w:rPr>
              <w:drawing>
                <wp:inline distT="0" distB="0" distL="0" distR="0" wp14:anchorId="28A027B5" wp14:editId="23202545">
                  <wp:extent cx="720000" cy="720000"/>
                  <wp:effectExtent l="0" t="0" r="4445" b="4445"/>
                  <wp:docPr id="25" name="Рисунок 25" descr="G:\TRADRUS\SKOURIKHINE\Коммуникационные материалы — Устойчивое развитие_files\R_SDG_Icons-01-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TRADRUS\SKOURIKHINE\Коммуникационные материалы — Устойчивое развитие_files\R_SDG_Icons-01-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5" w:type="dxa"/>
            <w:shd w:val="clear" w:color="auto" w:fill="auto"/>
            <w:vAlign w:val="bottom"/>
          </w:tcPr>
          <w:p w:rsidR="00DE1B78" w:rsidRPr="000A349B" w:rsidRDefault="00DE1B78" w:rsidP="000440A2">
            <w:pPr>
              <w:spacing w:before="80" w:after="80" w:line="200" w:lineRule="auto"/>
              <w:rPr>
                <w:b/>
                <w:i/>
                <w:sz w:val="16"/>
                <w:szCs w:val="24"/>
              </w:rPr>
            </w:pPr>
            <w:r>
              <w:rPr>
                <w:b/>
                <w:i/>
                <w:noProof/>
                <w:sz w:val="16"/>
                <w:szCs w:val="24"/>
                <w:lang w:eastAsia="ru-RU"/>
              </w:rPr>
              <w:drawing>
                <wp:inline distT="0" distB="0" distL="0" distR="0" wp14:anchorId="23428BBB" wp14:editId="4AF7393C">
                  <wp:extent cx="720000" cy="720000"/>
                  <wp:effectExtent l="0" t="0" r="4445" b="4445"/>
                  <wp:docPr id="27" name="Рисунок 27" descr="G:\TRADRUS\SKOURIKHINE\Коммуникационные материалы — Устойчивое развитие_files\R_SDG_Icons-01-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TRADRUS\SKOURIKHINE\Коммуникационные материалы — Устойчивое развитие_files\R_SDG_Icons-01-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5" w:type="dxa"/>
            <w:shd w:val="clear" w:color="auto" w:fill="auto"/>
            <w:vAlign w:val="bottom"/>
          </w:tcPr>
          <w:p w:rsidR="00DE1B78" w:rsidRPr="000A349B" w:rsidRDefault="00DE1B78" w:rsidP="000440A2">
            <w:pPr>
              <w:spacing w:before="80" w:after="80" w:line="200" w:lineRule="auto"/>
              <w:rPr>
                <w:b/>
                <w:i/>
                <w:sz w:val="16"/>
                <w:szCs w:val="24"/>
              </w:rPr>
            </w:pPr>
            <w:r>
              <w:rPr>
                <w:b/>
                <w:i/>
                <w:noProof/>
                <w:sz w:val="16"/>
                <w:szCs w:val="24"/>
                <w:lang w:eastAsia="ru-RU"/>
              </w:rPr>
              <w:drawing>
                <wp:inline distT="0" distB="0" distL="0" distR="0" wp14:anchorId="095B8466" wp14:editId="16F2E91E">
                  <wp:extent cx="720000" cy="720000"/>
                  <wp:effectExtent l="0" t="0" r="4445" b="4445"/>
                  <wp:docPr id="10" name="Рисунок 10" descr="G:\TRADRUS\SKOURIKHINE\Коммуникационные материалы — Устойчивое развитие_files\R_SDG_Icons-01-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TRADRUS\SKOURIKHINE\Коммуникационные материалы — Устойчивое развитие_files\R_SDG_Icons-01-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5" w:type="dxa"/>
            <w:shd w:val="clear" w:color="auto" w:fill="auto"/>
            <w:vAlign w:val="bottom"/>
          </w:tcPr>
          <w:p w:rsidR="00DE1B78" w:rsidRPr="000A349B" w:rsidRDefault="00DE1B78" w:rsidP="000440A2">
            <w:pPr>
              <w:spacing w:before="80" w:after="80" w:line="200" w:lineRule="auto"/>
              <w:rPr>
                <w:b/>
                <w:i/>
                <w:sz w:val="16"/>
                <w:szCs w:val="24"/>
              </w:rPr>
            </w:pPr>
            <w:r>
              <w:rPr>
                <w:b/>
                <w:i/>
                <w:noProof/>
                <w:sz w:val="16"/>
                <w:szCs w:val="24"/>
                <w:lang w:eastAsia="ru-RU"/>
              </w:rPr>
              <w:drawing>
                <wp:inline distT="0" distB="0" distL="0" distR="0" wp14:anchorId="7FE5CFE1" wp14:editId="2E64DC7B">
                  <wp:extent cx="720000" cy="720000"/>
                  <wp:effectExtent l="0" t="0" r="4445" b="4445"/>
                  <wp:docPr id="11" name="Рисунок 11" descr="G:\TRADRUS\SKOURIKHINE\Коммуникационные материалы — Устойчивое развитие_files\R_SDG_Icons-01-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:\TRADRUS\SKOURIKHINE\Коммуникационные материалы — Устойчивое развитие_files\R_SDG_Icons-01-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5" w:type="dxa"/>
            <w:shd w:val="clear" w:color="auto" w:fill="auto"/>
            <w:vAlign w:val="bottom"/>
          </w:tcPr>
          <w:p w:rsidR="00DE1B78" w:rsidRPr="000A349B" w:rsidRDefault="00DE1B78" w:rsidP="000440A2">
            <w:pPr>
              <w:spacing w:before="80" w:after="80" w:line="200" w:lineRule="auto"/>
              <w:rPr>
                <w:b/>
                <w:i/>
                <w:sz w:val="16"/>
                <w:szCs w:val="24"/>
              </w:rPr>
            </w:pPr>
            <w:r>
              <w:rPr>
                <w:b/>
                <w:i/>
                <w:noProof/>
                <w:sz w:val="16"/>
                <w:szCs w:val="24"/>
                <w:lang w:eastAsia="ru-RU"/>
              </w:rPr>
              <w:drawing>
                <wp:inline distT="0" distB="0" distL="0" distR="0" wp14:anchorId="6E6B2A2E" wp14:editId="203E1C33">
                  <wp:extent cx="720000" cy="720000"/>
                  <wp:effectExtent l="0" t="0" r="4445" b="4445"/>
                  <wp:docPr id="12" name="Рисунок 12" descr="G:\TRADRUS\SKOURIKHINE\Коммуникационные материалы — Устойчивое развитие_files\R_SDG_Icons-01-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:\TRADRUS\SKOURIKHINE\Коммуникационные материалы — Устойчивое развитие_files\R_SDG_Icons-01-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1B78" w:rsidRPr="000A349B" w:rsidTr="000440A2">
        <w:trPr>
          <w:trHeight w:val="1248"/>
        </w:trPr>
        <w:tc>
          <w:tcPr>
            <w:tcW w:w="1224" w:type="dxa"/>
            <w:shd w:val="clear" w:color="auto" w:fill="auto"/>
          </w:tcPr>
          <w:p w:rsidR="00DE1B78" w:rsidRPr="000A349B" w:rsidRDefault="00DE1B78" w:rsidP="000440A2">
            <w:pPr>
              <w:spacing w:before="40" w:after="120"/>
              <w:rPr>
                <w:b/>
                <w:szCs w:val="24"/>
              </w:rPr>
            </w:pPr>
            <w:r>
              <w:rPr>
                <w:b/>
                <w:noProof/>
                <w:szCs w:val="24"/>
                <w:lang w:eastAsia="ru-RU"/>
              </w:rPr>
              <w:drawing>
                <wp:inline distT="0" distB="0" distL="0" distR="0" wp14:anchorId="6ADEC8CB" wp14:editId="7FCA0961">
                  <wp:extent cx="720000" cy="720000"/>
                  <wp:effectExtent l="0" t="0" r="4445" b="4445"/>
                  <wp:docPr id="13" name="Рисунок 13" descr="G:\TRADRUS\SKOURIKHINE\Коммуникационные материалы — Устойчивое развитие_files\R_SDG_Icons-01-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:\TRADRUS\SKOURIKHINE\Коммуникационные материалы — Устойчивое развитие_files\R_SDG_Icons-01-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5" w:type="dxa"/>
            <w:shd w:val="clear" w:color="auto" w:fill="auto"/>
          </w:tcPr>
          <w:p w:rsidR="00DE1B78" w:rsidRPr="000A349B" w:rsidRDefault="00DE1B78" w:rsidP="000440A2">
            <w:pPr>
              <w:spacing w:before="40" w:after="120"/>
              <w:rPr>
                <w:b/>
                <w:szCs w:val="24"/>
              </w:rPr>
            </w:pPr>
            <w:r>
              <w:rPr>
                <w:b/>
                <w:noProof/>
                <w:szCs w:val="24"/>
                <w:lang w:eastAsia="ru-RU"/>
              </w:rPr>
              <w:drawing>
                <wp:inline distT="0" distB="0" distL="0" distR="0" wp14:anchorId="04D6D530" wp14:editId="40BD4B29">
                  <wp:extent cx="720000" cy="720000"/>
                  <wp:effectExtent l="0" t="0" r="4445" b="4445"/>
                  <wp:docPr id="14" name="Рисунок 14" descr="G:\TRADRUS\SKOURIKHINE\Коммуникационные материалы — Устойчивое развитие_files\R_SDG_Icons-01-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:\TRADRUS\SKOURIKHINE\Коммуникационные материалы — Устойчивое развитие_files\R_SDG_Icons-01-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5" w:type="dxa"/>
            <w:shd w:val="clear" w:color="auto" w:fill="auto"/>
          </w:tcPr>
          <w:p w:rsidR="00DE1B78" w:rsidRPr="000A349B" w:rsidRDefault="00DE1B78" w:rsidP="000440A2">
            <w:pPr>
              <w:spacing w:before="40" w:after="120"/>
              <w:rPr>
                <w:b/>
                <w:szCs w:val="24"/>
              </w:rPr>
            </w:pPr>
            <w:r>
              <w:rPr>
                <w:b/>
                <w:noProof/>
                <w:szCs w:val="24"/>
                <w:lang w:eastAsia="ru-RU"/>
              </w:rPr>
              <w:drawing>
                <wp:inline distT="0" distB="0" distL="0" distR="0" wp14:anchorId="38F92AA1" wp14:editId="49E527F2">
                  <wp:extent cx="720000" cy="720000"/>
                  <wp:effectExtent l="0" t="0" r="4445" b="4445"/>
                  <wp:docPr id="15" name="Рисунок 15" descr="G:\TRADRUS\SKOURIKHINE\Коммуникационные материалы — Устойчивое развитие_files\R_SDG_Icons-01-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G:\TRADRUS\SKOURIKHINE\Коммуникационные материалы — Устойчивое развитие_files\R_SDG_Icons-01-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5" w:type="dxa"/>
            <w:shd w:val="clear" w:color="auto" w:fill="auto"/>
          </w:tcPr>
          <w:p w:rsidR="00DE1B78" w:rsidRPr="000A349B" w:rsidRDefault="00DE1B78" w:rsidP="000440A2">
            <w:pPr>
              <w:spacing w:before="40" w:after="120"/>
              <w:rPr>
                <w:b/>
                <w:szCs w:val="24"/>
              </w:rPr>
            </w:pPr>
            <w:r>
              <w:rPr>
                <w:b/>
                <w:noProof/>
                <w:szCs w:val="24"/>
                <w:lang w:eastAsia="ru-RU"/>
              </w:rPr>
              <w:drawing>
                <wp:inline distT="0" distB="0" distL="0" distR="0" wp14:anchorId="773A575C" wp14:editId="14366C92">
                  <wp:extent cx="720000" cy="720000"/>
                  <wp:effectExtent l="0" t="0" r="4445" b="4445"/>
                  <wp:docPr id="16" name="Рисунок 16" descr="G:\TRADRUS\SKOURIKHINE\Коммуникационные материалы — Устойчивое развитие_files\R_SDG_Icons-01-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:\TRADRUS\SKOURIKHINE\Коммуникационные материалы — Устойчивое развитие_files\R_SDG_Icons-01-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5" w:type="dxa"/>
            <w:shd w:val="clear" w:color="auto" w:fill="auto"/>
          </w:tcPr>
          <w:p w:rsidR="00DE1B78" w:rsidRPr="000A349B" w:rsidRDefault="00DE1B78" w:rsidP="000440A2">
            <w:pPr>
              <w:spacing w:before="40" w:after="120"/>
              <w:rPr>
                <w:b/>
                <w:szCs w:val="24"/>
              </w:rPr>
            </w:pPr>
            <w:r>
              <w:rPr>
                <w:b/>
                <w:noProof/>
                <w:szCs w:val="24"/>
                <w:lang w:eastAsia="ru-RU"/>
              </w:rPr>
              <w:drawing>
                <wp:inline distT="0" distB="0" distL="0" distR="0" wp14:anchorId="06EFD22B" wp14:editId="395E66C8">
                  <wp:extent cx="720000" cy="720000"/>
                  <wp:effectExtent l="0" t="0" r="4445" b="4445"/>
                  <wp:docPr id="17" name="Рисунок 17" descr="G:\TRADRUS\SKOURIKHINE\Коммуникационные материалы — Устойчивое развитие_files\R_SDG_Icons-01-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G:\TRADRUS\SKOURIKHINE\Коммуникационные материалы — Устойчивое развитие_files\R_SDG_Icons-01-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5" w:type="dxa"/>
            <w:shd w:val="clear" w:color="auto" w:fill="auto"/>
          </w:tcPr>
          <w:p w:rsidR="00DE1B78" w:rsidRPr="000A349B" w:rsidRDefault="00DE1B78" w:rsidP="000440A2">
            <w:pPr>
              <w:spacing w:before="40" w:after="120"/>
              <w:rPr>
                <w:b/>
                <w:szCs w:val="24"/>
              </w:rPr>
            </w:pPr>
            <w:r>
              <w:rPr>
                <w:b/>
                <w:noProof/>
                <w:szCs w:val="24"/>
                <w:lang w:eastAsia="ru-RU"/>
              </w:rPr>
              <w:drawing>
                <wp:inline distT="0" distB="0" distL="0" distR="0" wp14:anchorId="7599D21B" wp14:editId="291E52A4">
                  <wp:extent cx="720000" cy="720000"/>
                  <wp:effectExtent l="0" t="0" r="4445" b="4445"/>
                  <wp:docPr id="18" name="Рисунок 18" descr="G:\TRADRUS\SKOURIKHINE\Коммуникационные материалы — Устойчивое развитие_files\R_SDG_Icons-01-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G:\TRADRUS\SKOURIKHINE\Коммуникационные материалы — Устойчивое развитие_files\R_SDG_Icons-01-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1B78" w:rsidRPr="000A349B" w:rsidTr="000440A2">
        <w:tc>
          <w:tcPr>
            <w:tcW w:w="1224" w:type="dxa"/>
            <w:shd w:val="clear" w:color="auto" w:fill="auto"/>
          </w:tcPr>
          <w:p w:rsidR="00DE1B78" w:rsidRPr="000A349B" w:rsidRDefault="00DE1B78" w:rsidP="000440A2">
            <w:pPr>
              <w:spacing w:before="40" w:after="120"/>
              <w:rPr>
                <w:b/>
                <w:szCs w:val="24"/>
              </w:rPr>
            </w:pPr>
            <w:r>
              <w:rPr>
                <w:b/>
                <w:noProof/>
                <w:szCs w:val="24"/>
                <w:lang w:eastAsia="ru-RU"/>
              </w:rPr>
              <w:drawing>
                <wp:inline distT="0" distB="0" distL="0" distR="0" wp14:anchorId="27B89CC3" wp14:editId="7062AD38">
                  <wp:extent cx="720000" cy="720000"/>
                  <wp:effectExtent l="0" t="0" r="4445" b="4445"/>
                  <wp:docPr id="19" name="Рисунок 19" descr="G:\TRADRUS\SKOURIKHINE\Коммуникационные материалы — Устойчивое развитие_files\R_SDG_Icons-01-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G:\TRADRUS\SKOURIKHINE\Коммуникационные материалы — Устойчивое развитие_files\R_SDG_Icons-01-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5" w:type="dxa"/>
            <w:shd w:val="clear" w:color="auto" w:fill="auto"/>
          </w:tcPr>
          <w:p w:rsidR="00DE1B78" w:rsidRPr="000A349B" w:rsidRDefault="00DE1B78" w:rsidP="000440A2">
            <w:pPr>
              <w:spacing w:before="40" w:after="120"/>
              <w:rPr>
                <w:b/>
                <w:szCs w:val="24"/>
              </w:rPr>
            </w:pPr>
            <w:r>
              <w:rPr>
                <w:b/>
                <w:noProof/>
                <w:szCs w:val="24"/>
                <w:lang w:eastAsia="ru-RU"/>
              </w:rPr>
              <w:drawing>
                <wp:inline distT="0" distB="0" distL="0" distR="0" wp14:anchorId="149C2905" wp14:editId="45DE590B">
                  <wp:extent cx="720000" cy="720000"/>
                  <wp:effectExtent l="0" t="0" r="4445" b="4445"/>
                  <wp:docPr id="20" name="Рисунок 20" descr="G:\TRADRUS\SKOURIKHINE\Коммуникационные материалы — Устойчивое развитие_files\R_SDG_Icons-01-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G:\TRADRUS\SKOURIKHINE\Коммуникационные материалы — Устойчивое развитие_files\R_SDG_Icons-01-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5" w:type="dxa"/>
            <w:shd w:val="clear" w:color="auto" w:fill="auto"/>
          </w:tcPr>
          <w:p w:rsidR="00DE1B78" w:rsidRPr="000A349B" w:rsidRDefault="00DE1B78" w:rsidP="000440A2">
            <w:pPr>
              <w:spacing w:before="40" w:after="120"/>
              <w:rPr>
                <w:b/>
                <w:szCs w:val="24"/>
              </w:rPr>
            </w:pPr>
            <w:r>
              <w:rPr>
                <w:b/>
                <w:noProof/>
                <w:szCs w:val="24"/>
                <w:lang w:eastAsia="ru-RU"/>
              </w:rPr>
              <w:drawing>
                <wp:inline distT="0" distB="0" distL="0" distR="0" wp14:anchorId="7E0AC59F" wp14:editId="7E4C61AA">
                  <wp:extent cx="720000" cy="720000"/>
                  <wp:effectExtent l="0" t="0" r="4445" b="4445"/>
                  <wp:docPr id="21" name="Рисунок 21" descr="G:\TRADRUS\SKOURIKHINE\Коммуникационные материалы — Устойчивое развитие_files\R_SDG_Icons-01-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G:\TRADRUS\SKOURIKHINE\Коммуникационные материалы — Устойчивое развитие_files\R_SDG_Icons-01-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5" w:type="dxa"/>
            <w:shd w:val="clear" w:color="auto" w:fill="auto"/>
          </w:tcPr>
          <w:p w:rsidR="00DE1B78" w:rsidRPr="000A349B" w:rsidRDefault="00DE1B78" w:rsidP="000440A2">
            <w:pPr>
              <w:spacing w:before="40" w:after="120"/>
              <w:rPr>
                <w:b/>
                <w:szCs w:val="24"/>
              </w:rPr>
            </w:pPr>
            <w:r>
              <w:rPr>
                <w:b/>
                <w:noProof/>
                <w:szCs w:val="24"/>
                <w:lang w:eastAsia="ru-RU"/>
              </w:rPr>
              <w:drawing>
                <wp:inline distT="0" distB="0" distL="0" distR="0" wp14:anchorId="534BAF2B" wp14:editId="198BDA91">
                  <wp:extent cx="720000" cy="720000"/>
                  <wp:effectExtent l="0" t="0" r="4445" b="4445"/>
                  <wp:docPr id="22" name="Рисунок 22" descr="G:\TRADRUS\SKOURIKHINE\Коммуникационные материалы — Устойчивое развитие_files\R_SDG_Icons-01-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G:\TRADRUS\SKOURIKHINE\Коммуникационные материалы — Устойчивое развитие_files\R_SDG_Icons-01-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5" w:type="dxa"/>
            <w:shd w:val="clear" w:color="auto" w:fill="auto"/>
          </w:tcPr>
          <w:p w:rsidR="00DE1B78" w:rsidRPr="000A349B" w:rsidRDefault="00DE1B78" w:rsidP="000440A2">
            <w:pPr>
              <w:spacing w:before="40" w:after="120"/>
              <w:rPr>
                <w:b/>
                <w:szCs w:val="24"/>
              </w:rPr>
            </w:pPr>
            <w:r>
              <w:rPr>
                <w:b/>
                <w:noProof/>
                <w:szCs w:val="24"/>
                <w:lang w:eastAsia="ru-RU"/>
              </w:rPr>
              <w:drawing>
                <wp:inline distT="0" distB="0" distL="0" distR="0" wp14:anchorId="254CAD44" wp14:editId="099FD336">
                  <wp:extent cx="720000" cy="720000"/>
                  <wp:effectExtent l="0" t="0" r="4445" b="4445"/>
                  <wp:docPr id="23" name="Рисунок 23" descr="G:\TRADRUS\SKOURIKHINE\Коммуникационные материалы — Устойчивое развитие_files\R_SDG_Icons-01-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G:\TRADRUS\SKOURIKHINE\Коммуникационные материалы — Устойчивое развитие_files\R_SDG_Icons-01-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5" w:type="dxa"/>
            <w:shd w:val="clear" w:color="auto" w:fill="auto"/>
          </w:tcPr>
          <w:p w:rsidR="00DE1B78" w:rsidRPr="000A349B" w:rsidRDefault="00DE1B78" w:rsidP="000440A2">
            <w:pPr>
              <w:spacing w:before="40" w:after="120"/>
              <w:rPr>
                <w:b/>
                <w:szCs w:val="24"/>
              </w:rPr>
            </w:pPr>
            <w:r>
              <w:rPr>
                <w:b/>
                <w:noProof/>
                <w:szCs w:val="24"/>
                <w:lang w:eastAsia="ru-RU"/>
              </w:rPr>
              <w:drawing>
                <wp:inline distT="0" distB="0" distL="0" distR="0" wp14:anchorId="5376795C" wp14:editId="031AA7DA">
                  <wp:extent cx="720000" cy="720000"/>
                  <wp:effectExtent l="0" t="0" r="4445" b="4445"/>
                  <wp:docPr id="24" name="Рисунок 24" descr="G:\TRADRUS\SKOURIKHINE\Коммуникационные материалы — Устойчивое развитие_files\Цел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G:\TRADRUS\SKOURIKHINE\Коммуникационные материалы — Устойчивое развитие_files\Цел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1B78" w:rsidRPr="000A349B" w:rsidTr="00587DA4">
        <w:tc>
          <w:tcPr>
            <w:tcW w:w="2449" w:type="dxa"/>
            <w:gridSpan w:val="2"/>
            <w:shd w:val="clear" w:color="auto" w:fill="auto"/>
          </w:tcPr>
          <w:p w:rsidR="00DE1B78" w:rsidRPr="00DE1B78" w:rsidRDefault="00DE1B78" w:rsidP="00DE1B78">
            <w:pPr>
              <w:spacing w:before="40" w:after="120"/>
              <w:rPr>
                <w:noProof/>
                <w:szCs w:val="24"/>
                <w:lang w:eastAsia="ru-RU"/>
              </w:rPr>
            </w:pPr>
            <w:r w:rsidRPr="00DE1B78">
              <w:rPr>
                <w:noProof/>
                <w:spacing w:val="0"/>
                <w:w w:val="100"/>
                <w:kern w:val="0"/>
                <w:lang w:val="en-GB" w:eastAsia="ru-RU"/>
              </w:rPr>
              <w:drawing>
                <wp:inline distT="0" distB="0" distL="0" distR="0" wp14:anchorId="6524A631" wp14:editId="4A0880FD">
                  <wp:extent cx="332014" cy="141514"/>
                  <wp:effectExtent l="0" t="0" r="0" b="0"/>
                  <wp:docPr id="4" name="Рисунок 4" descr="G:\TRADRUS\SKOURIKHINE\Коммуникационные материалы — Устойчивое развитие_files\кубик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G:\TRADRUS\SKOURIKHINE\Коммуникационные материалы — Устойчивое развитие_files\кубик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847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Cs w:val="24"/>
                <w:lang w:val="en-US" w:eastAsia="ru-RU"/>
              </w:rPr>
              <w:t xml:space="preserve"> </w:t>
            </w:r>
            <w:r w:rsidRPr="00DE1B78">
              <w:rPr>
                <w:noProof/>
                <w:position w:val="6"/>
                <w:sz w:val="16"/>
                <w:szCs w:val="16"/>
                <w:lang w:eastAsia="ru-RU"/>
              </w:rPr>
              <w:t>сильная связь</w:t>
            </w:r>
          </w:p>
        </w:tc>
        <w:tc>
          <w:tcPr>
            <w:tcW w:w="2450" w:type="dxa"/>
            <w:gridSpan w:val="2"/>
            <w:shd w:val="clear" w:color="auto" w:fill="auto"/>
          </w:tcPr>
          <w:p w:rsidR="00DE1B78" w:rsidRDefault="00DE1B78" w:rsidP="00DE1B78">
            <w:pPr>
              <w:spacing w:before="40" w:after="120"/>
              <w:rPr>
                <w:b/>
                <w:noProof/>
                <w:szCs w:val="24"/>
                <w:lang w:eastAsia="ru-RU"/>
              </w:rPr>
            </w:pPr>
            <w:r w:rsidRPr="00DE1B78">
              <w:rPr>
                <w:rFonts w:eastAsia="Times New Roman" w:cs="Times New Roman"/>
                <w:noProof/>
                <w:spacing w:val="0"/>
                <w:w w:val="100"/>
                <w:kern w:val="0"/>
                <w:szCs w:val="20"/>
                <w:lang w:val="en-GB" w:eastAsia="ru-RU"/>
              </w:rPr>
              <w:drawing>
                <wp:inline distT="0" distB="0" distL="0" distR="0" wp14:anchorId="40E0C9E9" wp14:editId="0AAECBBC">
                  <wp:extent cx="306622" cy="144000"/>
                  <wp:effectExtent l="0" t="0" r="0" b="8890"/>
                  <wp:docPr id="5" name="Рисунок 5" descr="G:\TRADRUS\SKOURIKHINE\Коммуникационные материалы — Устойчивое развитие_files\кубик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G:\TRADRUS\SKOURIKHINE\Коммуникационные материалы — Устойчивое развитие_files\кубик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622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Cs w:val="24"/>
                <w:lang w:eastAsia="ru-RU"/>
              </w:rPr>
              <w:t xml:space="preserve"> </w:t>
            </w:r>
            <w:r w:rsidRPr="00DE1B78">
              <w:rPr>
                <w:noProof/>
                <w:position w:val="8"/>
                <w:sz w:val="16"/>
                <w:szCs w:val="16"/>
                <w:lang w:eastAsia="ru-RU"/>
              </w:rPr>
              <w:t>существенная связь</w:t>
            </w:r>
          </w:p>
        </w:tc>
        <w:tc>
          <w:tcPr>
            <w:tcW w:w="2450" w:type="dxa"/>
            <w:gridSpan w:val="2"/>
            <w:shd w:val="clear" w:color="auto" w:fill="auto"/>
          </w:tcPr>
          <w:p w:rsidR="00DE1B78" w:rsidRDefault="00DE1B78" w:rsidP="00DE1B78">
            <w:pPr>
              <w:spacing w:before="40" w:after="120"/>
              <w:rPr>
                <w:b/>
                <w:noProof/>
                <w:szCs w:val="24"/>
                <w:lang w:eastAsia="ru-RU"/>
              </w:rPr>
            </w:pPr>
            <w:r w:rsidRPr="00DE1B78">
              <w:rPr>
                <w:rFonts w:eastAsia="Times New Roman" w:cs="Times New Roman"/>
                <w:noProof/>
                <w:spacing w:val="0"/>
                <w:w w:val="100"/>
                <w:kern w:val="0"/>
                <w:szCs w:val="20"/>
                <w:lang w:val="en-GB" w:eastAsia="ru-RU"/>
              </w:rPr>
              <w:drawing>
                <wp:inline distT="0" distB="0" distL="0" distR="0" wp14:anchorId="6ECAA7D6" wp14:editId="6F95B3F3">
                  <wp:extent cx="302400" cy="144000"/>
                  <wp:effectExtent l="0" t="0" r="2540" b="8890"/>
                  <wp:docPr id="6" name="Рисунок 6" descr="G:\TRADRUS\SKOURIKHINE\Коммуникационные материалы — Устойчивое развитие_files\кубик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G:\TRADRUS\SKOURIKHINE\Коммуникационные материалы — Устойчивое развитие_files\кубик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400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Cs w:val="24"/>
                <w:lang w:eastAsia="ru-RU"/>
              </w:rPr>
              <w:t xml:space="preserve"> </w:t>
            </w:r>
            <w:r w:rsidRPr="00DE1B78">
              <w:rPr>
                <w:noProof/>
                <w:position w:val="8"/>
                <w:sz w:val="16"/>
                <w:szCs w:val="16"/>
                <w:lang w:eastAsia="ru-RU"/>
              </w:rPr>
              <w:t>ограниченная связь</w:t>
            </w:r>
          </w:p>
        </w:tc>
      </w:tr>
    </w:tbl>
    <w:p w:rsidR="00DE1B78" w:rsidRPr="00DE1B78" w:rsidRDefault="00DE1B78" w:rsidP="00DC45C8">
      <w:pPr>
        <w:pStyle w:val="SingleTxtGR"/>
        <w:spacing w:before="120"/>
        <w:rPr>
          <w:lang w:eastAsia="ru-RU"/>
        </w:rPr>
      </w:pPr>
      <w:r w:rsidRPr="00DE1B78">
        <w:rPr>
          <w:lang w:eastAsia="ru-RU"/>
        </w:rPr>
        <w:t>21.</w:t>
      </w:r>
      <w:r w:rsidRPr="00DE1B78">
        <w:rPr>
          <w:lang w:eastAsia="ru-RU"/>
        </w:rPr>
        <w:tab/>
        <w:t>С 2009 года Комитет по экологической политике проводит работу в обл</w:t>
      </w:r>
      <w:r w:rsidRPr="00DE1B78">
        <w:rPr>
          <w:lang w:eastAsia="ru-RU"/>
        </w:rPr>
        <w:t>а</w:t>
      </w:r>
      <w:r w:rsidRPr="00DE1B78">
        <w:rPr>
          <w:lang w:eastAsia="ru-RU"/>
        </w:rPr>
        <w:t>сти экологизации экономики как подхода к поощрению экономического пр</w:t>
      </w:r>
      <w:r w:rsidRPr="00DE1B78">
        <w:rPr>
          <w:lang w:eastAsia="ru-RU"/>
        </w:rPr>
        <w:t>о</w:t>
      </w:r>
      <w:r w:rsidRPr="00DE1B78">
        <w:rPr>
          <w:lang w:eastAsia="ru-RU"/>
        </w:rPr>
        <w:t>гресса при обеспечении экологической устойчивости и социальной справедл</w:t>
      </w:r>
      <w:r w:rsidRPr="00DE1B78">
        <w:rPr>
          <w:lang w:eastAsia="ru-RU"/>
        </w:rPr>
        <w:t>и</w:t>
      </w:r>
      <w:r w:rsidRPr="00DE1B78">
        <w:rPr>
          <w:lang w:eastAsia="ru-RU"/>
        </w:rPr>
        <w:t>вости. Секретариат ЕЭК совместно с ЮНЕП и в сотрудничестве с Организац</w:t>
      </w:r>
      <w:r w:rsidRPr="00DE1B78">
        <w:rPr>
          <w:lang w:eastAsia="ru-RU"/>
        </w:rPr>
        <w:t>и</w:t>
      </w:r>
      <w:r w:rsidRPr="00DE1B78">
        <w:rPr>
          <w:lang w:eastAsia="ru-RU"/>
        </w:rPr>
        <w:t>ей экономического сотрудничества и развития (ОЭСР) и другими действующ</w:t>
      </w:r>
      <w:r w:rsidRPr="00DE1B78">
        <w:rPr>
          <w:lang w:eastAsia="ru-RU"/>
        </w:rPr>
        <w:t>и</w:t>
      </w:r>
      <w:r w:rsidRPr="00DE1B78">
        <w:rPr>
          <w:lang w:eastAsia="ru-RU"/>
        </w:rPr>
        <w:t>ми в регионе организациями поддерживает работу Комитета по вопросам «з</w:t>
      </w:r>
      <w:r w:rsidRPr="00DE1B78">
        <w:rPr>
          <w:lang w:eastAsia="ru-RU"/>
        </w:rPr>
        <w:t>е</w:t>
      </w:r>
      <w:r w:rsidRPr="00DE1B78">
        <w:rPr>
          <w:lang w:eastAsia="ru-RU"/>
        </w:rPr>
        <w:t>леной» экономики, которая рассматривается как перспективный подход к устойчивому развитию. Основным результатом его работы является одобрение министрами в Батуми Панъевропейских стратегических рамок экологизации экономики, добровольного инструмента, поддерживающего усилия стран в п</w:t>
      </w:r>
      <w:r w:rsidRPr="00DE1B78">
        <w:rPr>
          <w:lang w:eastAsia="ru-RU"/>
        </w:rPr>
        <w:t>е</w:t>
      </w:r>
      <w:r w:rsidRPr="00DE1B78">
        <w:rPr>
          <w:lang w:eastAsia="ru-RU"/>
        </w:rPr>
        <w:t>реходе к «зеленой» экономике и в то же время оказывающего им помощь в деле достижения целей в области устойчивого развития. Как ожидается, Стратегич</w:t>
      </w:r>
      <w:r w:rsidRPr="00DE1B78">
        <w:rPr>
          <w:lang w:eastAsia="ru-RU"/>
        </w:rPr>
        <w:t>е</w:t>
      </w:r>
      <w:r w:rsidRPr="00DE1B78">
        <w:rPr>
          <w:lang w:eastAsia="ru-RU"/>
        </w:rPr>
        <w:t>ские рамки явятся подспорьем для министров окружающей среды в деле ин</w:t>
      </w:r>
      <w:r w:rsidRPr="00DE1B78">
        <w:rPr>
          <w:lang w:eastAsia="ru-RU"/>
        </w:rPr>
        <w:t>и</w:t>
      </w:r>
      <w:r w:rsidRPr="00DE1B78">
        <w:rPr>
          <w:lang w:eastAsia="ru-RU"/>
        </w:rPr>
        <w:t>циирования и проведения дискуссий по вопросам перехода к «зеленой» экон</w:t>
      </w:r>
      <w:r w:rsidRPr="00DE1B78">
        <w:rPr>
          <w:lang w:eastAsia="ru-RU"/>
        </w:rPr>
        <w:t>о</w:t>
      </w:r>
      <w:r w:rsidRPr="00DE1B78">
        <w:rPr>
          <w:lang w:eastAsia="ru-RU"/>
        </w:rPr>
        <w:t>мике в рамках их национальных правительств и в конечном итоге в деле нал</w:t>
      </w:r>
      <w:r w:rsidRPr="00DE1B78">
        <w:rPr>
          <w:lang w:eastAsia="ru-RU"/>
        </w:rPr>
        <w:t>а</w:t>
      </w:r>
      <w:r w:rsidRPr="00DE1B78">
        <w:rPr>
          <w:lang w:eastAsia="ru-RU"/>
        </w:rPr>
        <w:t xml:space="preserve">живания межведомственного политического процесса по формированию такой повестки дня, которая бы охватывала ключевых игроков, включая широкую </w:t>
      </w:r>
      <w:r w:rsidRPr="00DE1B78">
        <w:rPr>
          <w:lang w:eastAsia="ru-RU"/>
        </w:rPr>
        <w:lastRenderedPageBreak/>
        <w:t>общественность и частный сектор. Кроме того, в Батуми министры запустили Батумскую инициативу по «зеленой» экономике (БИЗ-Э), которая содержит добровольные обязательства по реализации Стратегических рамок к 2030 году. Министры призвали страны и другие заинтересованные стороны выполнять обязательства в рамках этой инициативы, чтобы облегчить переход к «зеленой» экономике. На настоящий момент 25 стр</w:t>
      </w:r>
      <w:r w:rsidR="00DC45C8">
        <w:rPr>
          <w:lang w:eastAsia="ru-RU"/>
        </w:rPr>
        <w:t>ан и 13 организаций представили</w:t>
      </w:r>
      <w:r w:rsidR="00DC45C8">
        <w:rPr>
          <w:lang w:eastAsia="ru-RU"/>
        </w:rPr>
        <w:br/>
      </w:r>
      <w:r w:rsidRPr="00DE1B78">
        <w:rPr>
          <w:lang w:eastAsia="ru-RU"/>
        </w:rPr>
        <w:t>117 обязательств. Батумская инициатива по «зеленой» экономике пропаганд</w:t>
      </w:r>
      <w:r w:rsidRPr="00DE1B78">
        <w:rPr>
          <w:lang w:eastAsia="ru-RU"/>
        </w:rPr>
        <w:t>и</w:t>
      </w:r>
      <w:r w:rsidRPr="00DE1B78">
        <w:rPr>
          <w:lang w:eastAsia="ru-RU"/>
        </w:rPr>
        <w:t>руется через Платформу знаний о «зеленом» росте. Эта инициатива остается открытой для присоединения заинтересованных сторон.</w:t>
      </w:r>
    </w:p>
    <w:p w:rsidR="00DE1B78" w:rsidRPr="00DE1B78" w:rsidRDefault="00DE1B78" w:rsidP="00DE1B78">
      <w:pPr>
        <w:pStyle w:val="SingleTxtGR"/>
        <w:rPr>
          <w:lang w:eastAsia="ru-RU"/>
        </w:rPr>
      </w:pPr>
      <w:r w:rsidRPr="00DE1B78">
        <w:rPr>
          <w:lang w:eastAsia="ru-RU"/>
        </w:rPr>
        <w:t>22.</w:t>
      </w:r>
      <w:r w:rsidRPr="00DE1B78">
        <w:rPr>
          <w:lang w:eastAsia="ru-RU"/>
        </w:rPr>
        <w:tab/>
        <w:t>Достижению целей в области устойчивого развития способствует еще о</w:t>
      </w:r>
      <w:r w:rsidRPr="00DE1B78">
        <w:rPr>
          <w:lang w:eastAsia="ru-RU"/>
        </w:rPr>
        <w:t>д</w:t>
      </w:r>
      <w:r w:rsidRPr="00DE1B78">
        <w:rPr>
          <w:lang w:eastAsia="ru-RU"/>
        </w:rPr>
        <w:t>на инициатива – добровольная Батумская инициатива по борьбе за чистый во</w:t>
      </w:r>
      <w:r w:rsidRPr="00DE1B78">
        <w:rPr>
          <w:lang w:eastAsia="ru-RU"/>
        </w:rPr>
        <w:t>з</w:t>
      </w:r>
      <w:r w:rsidRPr="00DE1B78">
        <w:rPr>
          <w:lang w:eastAsia="ru-RU"/>
        </w:rPr>
        <w:t>дух, которая была одобрена министрами в Батуми для оказания поддержки странам в их усилиях, направленных на повышение качества воздуха и защиту здоровья населения и экосистем, что  также способствует достижению нескол</w:t>
      </w:r>
      <w:r w:rsidRPr="00DE1B78">
        <w:rPr>
          <w:lang w:eastAsia="ru-RU"/>
        </w:rPr>
        <w:t>ь</w:t>
      </w:r>
      <w:r w:rsidRPr="00DE1B78">
        <w:rPr>
          <w:lang w:eastAsia="ru-RU"/>
        </w:rPr>
        <w:t>ких целей в области устойчивого развития (в частности, целей 3, 11 и 12). М</w:t>
      </w:r>
      <w:r w:rsidRPr="00DE1B78">
        <w:rPr>
          <w:lang w:eastAsia="ru-RU"/>
        </w:rPr>
        <w:t>и</w:t>
      </w:r>
      <w:r w:rsidRPr="00DE1B78">
        <w:rPr>
          <w:lang w:eastAsia="ru-RU"/>
        </w:rPr>
        <w:t>нистры приветствовали действия, предложенные заинтересованными странами и другими сторонами, которые направлены на повышение качества воздуха и защиту здоровья населения и экосистем. В настоящее время 27 стран и 4 орг</w:t>
      </w:r>
      <w:r w:rsidRPr="00DE1B78">
        <w:rPr>
          <w:lang w:eastAsia="ru-RU"/>
        </w:rPr>
        <w:t>а</w:t>
      </w:r>
      <w:r w:rsidRPr="00DE1B78">
        <w:rPr>
          <w:lang w:eastAsia="ru-RU"/>
        </w:rPr>
        <w:t>низации представили 108 обязательств. Батумская инициатива по борьбе за ч</w:t>
      </w:r>
      <w:r w:rsidRPr="00DE1B78">
        <w:rPr>
          <w:lang w:eastAsia="ru-RU"/>
        </w:rPr>
        <w:t>и</w:t>
      </w:r>
      <w:r w:rsidRPr="00DE1B78">
        <w:rPr>
          <w:lang w:eastAsia="ru-RU"/>
        </w:rPr>
        <w:t>стый воздух остается открытой для присоединения заинтересованных сторон.</w:t>
      </w:r>
    </w:p>
    <w:p w:rsidR="00DE1B78" w:rsidRPr="00DE1B78" w:rsidRDefault="00DE1B78" w:rsidP="00DC45C8">
      <w:pPr>
        <w:pStyle w:val="H23GR"/>
      </w:pPr>
      <w:r w:rsidRPr="00DE1B78">
        <w:tab/>
      </w:r>
      <w:r w:rsidRPr="00DE1B78">
        <w:tab/>
        <w:t>Сотрудничество с другими отраслевыми комитета</w:t>
      </w:r>
      <w:r w:rsidR="00DC45C8">
        <w:t>ми ЕЭК</w:t>
      </w:r>
      <w:r w:rsidR="00DC45C8">
        <w:br/>
      </w:r>
      <w:r w:rsidRPr="00DE1B78">
        <w:t>и международными организациями</w:t>
      </w:r>
    </w:p>
    <w:p w:rsidR="00DE1B78" w:rsidRPr="00DE1B78" w:rsidRDefault="00DE1B78" w:rsidP="00DE1B78">
      <w:pPr>
        <w:pStyle w:val="SingleTxtGR"/>
        <w:rPr>
          <w:lang w:eastAsia="ru-RU"/>
        </w:rPr>
      </w:pPr>
      <w:r w:rsidRPr="00DE1B78">
        <w:rPr>
          <w:lang w:eastAsia="ru-RU"/>
        </w:rPr>
        <w:t>23.</w:t>
      </w:r>
      <w:r w:rsidRPr="00DE1B78">
        <w:rPr>
          <w:lang w:eastAsia="ru-RU"/>
        </w:rPr>
        <w:tab/>
        <w:t>Работа по оказанию поддержки странам в осуществлении их усилий по достижению целей в области устойчивого развития является частью всех де</w:t>
      </w:r>
      <w:r w:rsidRPr="00DE1B78">
        <w:rPr>
          <w:lang w:eastAsia="ru-RU"/>
        </w:rPr>
        <w:t>й</w:t>
      </w:r>
      <w:r w:rsidRPr="00DE1B78">
        <w:rPr>
          <w:lang w:eastAsia="ru-RU"/>
        </w:rPr>
        <w:t>ствий в рамках Подпрограммы по окружающей среде, в том числе многочи</w:t>
      </w:r>
      <w:r w:rsidRPr="00DE1B78">
        <w:rPr>
          <w:lang w:eastAsia="ru-RU"/>
        </w:rPr>
        <w:t>с</w:t>
      </w:r>
      <w:r w:rsidRPr="00DE1B78">
        <w:rPr>
          <w:lang w:eastAsia="ru-RU"/>
        </w:rPr>
        <w:t>ленных направлений межотраслевой деятельности, которые успешно осущест</w:t>
      </w:r>
      <w:r w:rsidRPr="00DE1B78">
        <w:rPr>
          <w:lang w:eastAsia="ru-RU"/>
        </w:rPr>
        <w:t>в</w:t>
      </w:r>
      <w:r w:rsidRPr="00DE1B78">
        <w:rPr>
          <w:lang w:eastAsia="ru-RU"/>
        </w:rPr>
        <w:t>ляются в сотрудничестве с другими подпрограммами ЕЭК и организациями с</w:t>
      </w:r>
      <w:r w:rsidRPr="00DE1B78">
        <w:rPr>
          <w:lang w:eastAsia="ru-RU"/>
        </w:rPr>
        <w:t>и</w:t>
      </w:r>
      <w:r w:rsidRPr="00DE1B78">
        <w:rPr>
          <w:lang w:eastAsia="ru-RU"/>
        </w:rPr>
        <w:t>стемы Организации Объединенных Наций и организациями, действующими в регионе.</w:t>
      </w:r>
    </w:p>
    <w:p w:rsidR="00DE1B78" w:rsidRPr="00DE1B78" w:rsidRDefault="00DE1B78" w:rsidP="00DE1B78">
      <w:pPr>
        <w:pStyle w:val="SingleTxtGR"/>
        <w:rPr>
          <w:lang w:eastAsia="ru-RU"/>
        </w:rPr>
      </w:pPr>
      <w:r w:rsidRPr="00DE1B78">
        <w:rPr>
          <w:lang w:eastAsia="ru-RU"/>
        </w:rPr>
        <w:t>24.</w:t>
      </w:r>
      <w:r w:rsidRPr="00DE1B78">
        <w:rPr>
          <w:lang w:eastAsia="ru-RU"/>
        </w:rPr>
        <w:tab/>
        <w:t>Подпрограмма ЕЭК по окружающей среде поддерживает межотраслевую работу в рамках Стратегии ЕЭК для образования в интересах устойчивого ра</w:t>
      </w:r>
      <w:r w:rsidRPr="00DE1B78">
        <w:rPr>
          <w:lang w:eastAsia="ru-RU"/>
        </w:rPr>
        <w:t>з</w:t>
      </w:r>
      <w:r w:rsidRPr="00DE1B78">
        <w:rPr>
          <w:lang w:eastAsia="ru-RU"/>
        </w:rPr>
        <w:t>вития (в сотрудничестве с Организацией Объединенных Наций по вопросам образования, науки и культуры, ЮНЕП и т.д.), ОПТОСОЗ (совместно с подпр</w:t>
      </w:r>
      <w:r w:rsidRPr="00DE1B78">
        <w:rPr>
          <w:lang w:eastAsia="ru-RU"/>
        </w:rPr>
        <w:t>о</w:t>
      </w:r>
      <w:r w:rsidRPr="00DE1B78">
        <w:rPr>
          <w:lang w:eastAsia="ru-RU"/>
        </w:rPr>
        <w:t>граммой ЕЭК по транспорту и Европейским региональным бюро Всемирной организации здравоохранения (ВОЗ)), Протокола по проблемам воды и здоровья (совместно с Европейским региональным бюро ВОЗ) и Программы обзоров р</w:t>
      </w:r>
      <w:r w:rsidRPr="00DE1B78">
        <w:rPr>
          <w:lang w:eastAsia="ru-RU"/>
        </w:rPr>
        <w:t>е</w:t>
      </w:r>
      <w:r w:rsidRPr="00DE1B78">
        <w:rPr>
          <w:lang w:eastAsia="ru-RU"/>
        </w:rPr>
        <w:t>зультативности экологической деятельности (в сотрудничестве с ЮНЕП, Пр</w:t>
      </w:r>
      <w:r w:rsidRPr="00DE1B78">
        <w:rPr>
          <w:lang w:eastAsia="ru-RU"/>
        </w:rPr>
        <w:t>о</w:t>
      </w:r>
      <w:r w:rsidRPr="00DE1B78">
        <w:rPr>
          <w:lang w:eastAsia="ru-RU"/>
        </w:rPr>
        <w:t>граммой развития Организации Объединенных Наций и Европейским агентством по окружающей среде).</w:t>
      </w:r>
    </w:p>
    <w:p w:rsidR="00DE1B78" w:rsidRPr="00DE1B78" w:rsidRDefault="00DE1B78" w:rsidP="00DE1B78">
      <w:pPr>
        <w:pStyle w:val="SingleTxtGR"/>
        <w:rPr>
          <w:lang w:eastAsia="ru-RU"/>
        </w:rPr>
      </w:pPr>
      <w:r w:rsidRPr="00DE1B78">
        <w:rPr>
          <w:lang w:eastAsia="ru-RU"/>
        </w:rPr>
        <w:t>25.</w:t>
      </w:r>
      <w:r w:rsidRPr="00DE1B78">
        <w:rPr>
          <w:lang w:eastAsia="ru-RU"/>
        </w:rPr>
        <w:tab/>
        <w:t>В рамках Конвенции по охране и использованию трансграничных водот</w:t>
      </w:r>
      <w:r w:rsidRPr="00DE1B78">
        <w:rPr>
          <w:lang w:eastAsia="ru-RU"/>
        </w:rPr>
        <w:t>о</w:t>
      </w:r>
      <w:r w:rsidRPr="00DE1B78">
        <w:rPr>
          <w:lang w:eastAsia="ru-RU"/>
        </w:rPr>
        <w:t>ков и международных озер (Конвенции по водам) помимо многочисленных направлений совместной деятельности ведется работа по вопросу о взаимосв</w:t>
      </w:r>
      <w:r w:rsidRPr="00DE1B78">
        <w:rPr>
          <w:lang w:eastAsia="ru-RU"/>
        </w:rPr>
        <w:t>я</w:t>
      </w:r>
      <w:r w:rsidRPr="00DE1B78">
        <w:rPr>
          <w:lang w:eastAsia="ru-RU"/>
        </w:rPr>
        <w:t>зи между водой, продовольствием, энергией и экосистемами в сотрудничестве с Подпрограммой ЕЭК по энергетике и Продовольственной и сельскохозяйстве</w:t>
      </w:r>
      <w:r w:rsidRPr="00DE1B78">
        <w:rPr>
          <w:lang w:eastAsia="ru-RU"/>
        </w:rPr>
        <w:t>н</w:t>
      </w:r>
      <w:r w:rsidRPr="00DE1B78">
        <w:rPr>
          <w:lang w:eastAsia="ru-RU"/>
        </w:rPr>
        <w:t>ной организацией Объединенных Наций (ФАО). В соответствии с Конвенцией о трансграничном воздействии промышленных аварий (Конвенцией о промы</w:t>
      </w:r>
      <w:r w:rsidRPr="00DE1B78">
        <w:rPr>
          <w:lang w:eastAsia="ru-RU"/>
        </w:rPr>
        <w:t>ш</w:t>
      </w:r>
      <w:r w:rsidRPr="00DE1B78">
        <w:rPr>
          <w:lang w:eastAsia="ru-RU"/>
        </w:rPr>
        <w:t>ленных авариях), а также Конвенцией об оценке воздействия на окружающую среду в трансграничном контексте и Протоколом по стратегической экологич</w:t>
      </w:r>
      <w:r w:rsidRPr="00DE1B78">
        <w:rPr>
          <w:lang w:eastAsia="ru-RU"/>
        </w:rPr>
        <w:t>е</w:t>
      </w:r>
      <w:r w:rsidRPr="00DE1B78">
        <w:rPr>
          <w:lang w:eastAsia="ru-RU"/>
        </w:rPr>
        <w:t>ской оценке к ней ведется работа по вопросам планирования землепользования и промышленной безопасности. В рамках Конвенции о доступе к информации, участию общественности в процессе принятия решений и доступе к правос</w:t>
      </w:r>
      <w:r w:rsidRPr="00DE1B78">
        <w:rPr>
          <w:lang w:eastAsia="ru-RU"/>
        </w:rPr>
        <w:t>у</w:t>
      </w:r>
      <w:r w:rsidRPr="00DE1B78">
        <w:rPr>
          <w:lang w:eastAsia="ru-RU"/>
        </w:rPr>
        <w:t>дию по вопросам, касающимся окружающей среды, ведется работа по всем ц</w:t>
      </w:r>
      <w:r w:rsidRPr="00DE1B78">
        <w:rPr>
          <w:lang w:eastAsia="ru-RU"/>
        </w:rPr>
        <w:t>е</w:t>
      </w:r>
      <w:r w:rsidRPr="00DE1B78">
        <w:rPr>
          <w:lang w:eastAsia="ru-RU"/>
        </w:rPr>
        <w:t>лям в области устойчивого развития, особенно Цели 16, касающейся мира, пр</w:t>
      </w:r>
      <w:r w:rsidRPr="00DE1B78">
        <w:rPr>
          <w:lang w:eastAsia="ru-RU"/>
        </w:rPr>
        <w:t>а</w:t>
      </w:r>
      <w:r w:rsidRPr="00DE1B78">
        <w:rPr>
          <w:lang w:eastAsia="ru-RU"/>
        </w:rPr>
        <w:t>восудия и эффективных институтов, с участием многих партнеров, как вход</w:t>
      </w:r>
      <w:r w:rsidRPr="00DE1B78">
        <w:rPr>
          <w:lang w:eastAsia="ru-RU"/>
        </w:rPr>
        <w:t>я</w:t>
      </w:r>
      <w:r w:rsidRPr="00DE1B78">
        <w:rPr>
          <w:lang w:eastAsia="ru-RU"/>
        </w:rPr>
        <w:t>щих, так и не входящих в систему Организации Объединенных Наций.</w:t>
      </w:r>
    </w:p>
    <w:p w:rsidR="00DE1B78" w:rsidRPr="00DE1B78" w:rsidRDefault="00DE1B78" w:rsidP="00DE1B78">
      <w:pPr>
        <w:pStyle w:val="SingleTxtGR"/>
        <w:rPr>
          <w:lang w:eastAsia="ru-RU"/>
        </w:rPr>
      </w:pPr>
      <w:r w:rsidRPr="00DE1B78">
        <w:rPr>
          <w:lang w:eastAsia="ru-RU"/>
        </w:rPr>
        <w:lastRenderedPageBreak/>
        <w:t>26.</w:t>
      </w:r>
      <w:r w:rsidRPr="00DE1B78">
        <w:rPr>
          <w:lang w:eastAsia="ru-RU"/>
        </w:rPr>
        <w:tab/>
        <w:t>В рамках процесса «Окружающая среда для Европы» Подпрограмма по окружающей среде совместно с ЮНЕП, ОЭСР и другими партнерами соде</w:t>
      </w:r>
      <w:r w:rsidRPr="00DE1B78">
        <w:rPr>
          <w:lang w:eastAsia="ru-RU"/>
        </w:rPr>
        <w:t>й</w:t>
      </w:r>
      <w:r w:rsidRPr="00DE1B78">
        <w:rPr>
          <w:lang w:eastAsia="ru-RU"/>
        </w:rPr>
        <w:t>ствует осуществлению Панъевропейских стратегических рамок экологизации экономики и Батумской инициативы по «зеленой» экономике. Кроме того, По</w:t>
      </w:r>
      <w:r w:rsidRPr="00DE1B78">
        <w:rPr>
          <w:lang w:eastAsia="ru-RU"/>
        </w:rPr>
        <w:t>д</w:t>
      </w:r>
      <w:r w:rsidRPr="00DE1B78">
        <w:rPr>
          <w:lang w:eastAsia="ru-RU"/>
        </w:rPr>
        <w:t>программа по окружающей среде также активно участвует в деятельности по европейскому процессу «Окружающая среда и здоровье», а также участвует в природоохранной деятельности в рамках инициативы «Окружающая среда и безопасность».</w:t>
      </w:r>
    </w:p>
    <w:p w:rsidR="00DE1B78" w:rsidRPr="00DE1B78" w:rsidRDefault="00DE1B78" w:rsidP="00DE1B78">
      <w:pPr>
        <w:pStyle w:val="SingleTxtGR"/>
        <w:rPr>
          <w:lang w:eastAsia="ru-RU"/>
        </w:rPr>
      </w:pPr>
      <w:r w:rsidRPr="00DE1B78">
        <w:rPr>
          <w:lang w:eastAsia="ru-RU"/>
        </w:rPr>
        <w:t>27.</w:t>
      </w:r>
      <w:r w:rsidRPr="00DE1B78">
        <w:rPr>
          <w:lang w:eastAsia="ru-RU"/>
        </w:rPr>
        <w:tab/>
        <w:t>Кроме того, Комитет следит за работой в области экологичного стро</w:t>
      </w:r>
      <w:r w:rsidRPr="00DE1B78">
        <w:rPr>
          <w:lang w:eastAsia="ru-RU"/>
        </w:rPr>
        <w:t>и</w:t>
      </w:r>
      <w:r w:rsidRPr="00DE1B78">
        <w:rPr>
          <w:lang w:eastAsia="ru-RU"/>
        </w:rPr>
        <w:t>тельства и экологизации лесохозяйственного сектора и приветствует налажив</w:t>
      </w:r>
      <w:r w:rsidRPr="00DE1B78">
        <w:rPr>
          <w:lang w:eastAsia="ru-RU"/>
        </w:rPr>
        <w:t>а</w:t>
      </w:r>
      <w:r w:rsidRPr="00DE1B78">
        <w:rPr>
          <w:lang w:eastAsia="ru-RU"/>
        </w:rPr>
        <w:t xml:space="preserve">ние более тесного сотрудничества с Комитетом ЕЭК по жилищному хозяйству и землепользованию и Комитетом ЕЭК по лесам и лесной отрасли. Помимо этого, интеграции содействуют различные межведомственные механизмы (например, в рамках Конвенции ЕЭК о трансграничном загрязнении воздуха на большие расстояния, Конвенции о промышленных авариях и механизма «ООН </w:t>
      </w:r>
      <w:r w:rsidR="0089079B">
        <w:rPr>
          <w:lang w:eastAsia="ru-RU"/>
        </w:rPr>
        <w:t>–</w:t>
      </w:r>
      <w:r w:rsidRPr="00DE1B78">
        <w:rPr>
          <w:lang w:eastAsia="ru-RU"/>
        </w:rPr>
        <w:t xml:space="preserve"> водные ресурсы»), поскольку различные задействованные субъекты занимаются ра</w:t>
      </w:r>
      <w:r w:rsidRPr="00DE1B78">
        <w:rPr>
          <w:lang w:eastAsia="ru-RU"/>
        </w:rPr>
        <w:t>з</w:t>
      </w:r>
      <w:r w:rsidRPr="00DE1B78">
        <w:rPr>
          <w:lang w:eastAsia="ru-RU"/>
        </w:rPr>
        <w:t>ными секторами.</w:t>
      </w:r>
    </w:p>
    <w:p w:rsidR="00DE1B78" w:rsidRPr="00DE1B78" w:rsidRDefault="00DE1B78" w:rsidP="00DE1B78">
      <w:pPr>
        <w:pStyle w:val="SingleTxtGR"/>
        <w:rPr>
          <w:lang w:eastAsia="ru-RU"/>
        </w:rPr>
      </w:pPr>
      <w:r w:rsidRPr="00DE1B78">
        <w:rPr>
          <w:lang w:eastAsia="ru-RU"/>
        </w:rPr>
        <w:t>28.</w:t>
      </w:r>
      <w:r w:rsidRPr="00DE1B78">
        <w:rPr>
          <w:lang w:eastAsia="ru-RU"/>
        </w:rPr>
        <w:tab/>
        <w:t>Комитет по экологической политике совместно с Конференцией европе</w:t>
      </w:r>
      <w:r w:rsidRPr="00DE1B78">
        <w:rPr>
          <w:lang w:eastAsia="ru-RU"/>
        </w:rPr>
        <w:t>й</w:t>
      </w:r>
      <w:r w:rsidRPr="00DE1B78">
        <w:rPr>
          <w:lang w:eastAsia="ru-RU"/>
        </w:rPr>
        <w:t>ских статистиков учредил Совместную целевую группу по экологической ст</w:t>
      </w:r>
      <w:r w:rsidRPr="00DE1B78">
        <w:rPr>
          <w:lang w:eastAsia="ru-RU"/>
        </w:rPr>
        <w:t>а</w:t>
      </w:r>
      <w:r w:rsidRPr="00DE1B78">
        <w:rPr>
          <w:lang w:eastAsia="ru-RU"/>
        </w:rPr>
        <w:t>тистике и показателям для поддержки стран Восточной и Юго-Восточной Е</w:t>
      </w:r>
      <w:r w:rsidRPr="00DE1B78">
        <w:rPr>
          <w:lang w:eastAsia="ru-RU"/>
        </w:rPr>
        <w:t>в</w:t>
      </w:r>
      <w:r w:rsidRPr="00DE1B78">
        <w:rPr>
          <w:lang w:eastAsia="ru-RU"/>
        </w:rPr>
        <w:t>ропы, Кавказа и Центральной Азии в целях совершенствования их систем сбора данных и показателей, тем самым содействуя процессу обзора и наблюдения за достижением целей в области устойчивого развития.</w:t>
      </w:r>
    </w:p>
    <w:p w:rsidR="00DE1B78" w:rsidRPr="00DE1B78" w:rsidRDefault="00DE1B78" w:rsidP="00DE1B78">
      <w:pPr>
        <w:pStyle w:val="SingleTxtGR"/>
        <w:rPr>
          <w:lang w:eastAsia="ru-RU"/>
        </w:rPr>
      </w:pPr>
      <w:r w:rsidRPr="00DE1B78">
        <w:rPr>
          <w:lang w:eastAsia="ru-RU"/>
        </w:rPr>
        <w:t>29.</w:t>
      </w:r>
      <w:r w:rsidRPr="00DE1B78">
        <w:rPr>
          <w:lang w:eastAsia="ru-RU"/>
        </w:rPr>
        <w:tab/>
        <w:t>В приложении I к меморандуму о взаимопонимании между ЕЭК и ЮНЕП (заключен в 2015 году) излагаются приоритетные направления сотрудничества по достижению целей в области устойчивого развития, касающиеся в том числе экологизации экономики, обзора результативности экологической деятельности и создания в регионе Общей системы экологической информации.</w:t>
      </w:r>
    </w:p>
    <w:p w:rsidR="00DE1B78" w:rsidRPr="00DE1B78" w:rsidRDefault="00DE1B78" w:rsidP="00DE1B78">
      <w:pPr>
        <w:pStyle w:val="SingleTxtGR"/>
        <w:rPr>
          <w:lang w:eastAsia="ru-RU"/>
        </w:rPr>
      </w:pPr>
      <w:r w:rsidRPr="00DE1B78">
        <w:rPr>
          <w:lang w:eastAsia="ru-RU"/>
        </w:rPr>
        <w:t>30.</w:t>
      </w:r>
      <w:r w:rsidRPr="00DE1B78">
        <w:rPr>
          <w:lang w:eastAsia="ru-RU"/>
        </w:rPr>
        <w:tab/>
        <w:t>Успешно ведется межотраслевая и комплексная работа Подпрограммы по окружающей среде, в рамках которой Комитет по экологической политике пр</w:t>
      </w:r>
      <w:r w:rsidRPr="00DE1B78">
        <w:rPr>
          <w:lang w:eastAsia="ru-RU"/>
        </w:rPr>
        <w:t>о</w:t>
      </w:r>
      <w:r w:rsidRPr="00DE1B78">
        <w:rPr>
          <w:lang w:eastAsia="ru-RU"/>
        </w:rPr>
        <w:t>водит совместные мероприятия и привлекает к ним соответствующих партн</w:t>
      </w:r>
      <w:r w:rsidRPr="00DE1B78">
        <w:rPr>
          <w:lang w:eastAsia="ru-RU"/>
        </w:rPr>
        <w:t>е</w:t>
      </w:r>
      <w:r w:rsidRPr="00DE1B78">
        <w:rPr>
          <w:lang w:eastAsia="ru-RU"/>
        </w:rPr>
        <w:t>ров. В то же время осуществление межсекторальной деятельности, обеспечение координации со всеми заинтересованными сторонами и обеспечение практич</w:t>
      </w:r>
      <w:r w:rsidRPr="00DE1B78">
        <w:rPr>
          <w:lang w:eastAsia="ru-RU"/>
        </w:rPr>
        <w:t>е</w:t>
      </w:r>
      <w:r w:rsidRPr="00DE1B78">
        <w:rPr>
          <w:lang w:eastAsia="ru-RU"/>
        </w:rPr>
        <w:t>ской реализации комплексного характера Повестки дня на период до 2030 года и целей в области устойчивого развития требует больших затрат времени и р</w:t>
      </w:r>
      <w:r w:rsidRPr="00DE1B78">
        <w:rPr>
          <w:lang w:eastAsia="ru-RU"/>
        </w:rPr>
        <w:t>е</w:t>
      </w:r>
      <w:r w:rsidRPr="00DE1B78">
        <w:rPr>
          <w:lang w:eastAsia="ru-RU"/>
        </w:rPr>
        <w:t>сурсов. В целом главной проблемой, с которой пришлось столкнуться, явл</w:t>
      </w:r>
      <w:r w:rsidRPr="00DE1B78">
        <w:rPr>
          <w:lang w:eastAsia="ru-RU"/>
        </w:rPr>
        <w:t>я</w:t>
      </w:r>
      <w:r w:rsidRPr="00DE1B78">
        <w:rPr>
          <w:lang w:eastAsia="ru-RU"/>
        </w:rPr>
        <w:t>ется отсутствие надлежащих ресурсов (как оперативных, так и для управления де</w:t>
      </w:r>
      <w:r w:rsidRPr="00DE1B78">
        <w:rPr>
          <w:lang w:eastAsia="ru-RU"/>
        </w:rPr>
        <w:t>я</w:t>
      </w:r>
      <w:r w:rsidRPr="00DE1B78">
        <w:rPr>
          <w:lang w:eastAsia="ru-RU"/>
        </w:rPr>
        <w:t>тельностью), усугубившееся вследствие сокращения существующих ресу</w:t>
      </w:r>
      <w:r w:rsidRPr="00DE1B78">
        <w:rPr>
          <w:lang w:eastAsia="ru-RU"/>
        </w:rPr>
        <w:t>р</w:t>
      </w:r>
      <w:r w:rsidRPr="00DE1B78">
        <w:rPr>
          <w:lang w:eastAsia="ru-RU"/>
        </w:rPr>
        <w:t>сов. Многие мероприятия осуществляются при внебюджетной поддержке за счет добровольных взносов. Еще одной проблемой является сложность межотрасл</w:t>
      </w:r>
      <w:r w:rsidRPr="00DE1B78">
        <w:rPr>
          <w:lang w:eastAsia="ru-RU"/>
        </w:rPr>
        <w:t>е</w:t>
      </w:r>
      <w:r w:rsidRPr="00DE1B78">
        <w:rPr>
          <w:lang w:eastAsia="ru-RU"/>
        </w:rPr>
        <w:t>вого подхода к разработке политики и национальной межведомственной коо</w:t>
      </w:r>
      <w:r w:rsidRPr="00DE1B78">
        <w:rPr>
          <w:lang w:eastAsia="ru-RU"/>
        </w:rPr>
        <w:t>р</w:t>
      </w:r>
      <w:r w:rsidRPr="00DE1B78">
        <w:rPr>
          <w:lang w:eastAsia="ru-RU"/>
        </w:rPr>
        <w:t>динации.</w:t>
      </w:r>
    </w:p>
    <w:p w:rsidR="00DE1B78" w:rsidRPr="00DE1B78" w:rsidRDefault="00DE1B78" w:rsidP="00DC45C8">
      <w:pPr>
        <w:pStyle w:val="H1GR"/>
      </w:pPr>
      <w:r w:rsidRPr="00DE1B78">
        <w:tab/>
        <w:t>B.</w:t>
      </w:r>
      <w:r w:rsidRPr="00DE1B78">
        <w:tab/>
        <w:t>Возможные направления деятельности в будущем</w:t>
      </w:r>
    </w:p>
    <w:p w:rsidR="00DE1B78" w:rsidRPr="00DE1B78" w:rsidRDefault="00DE1B78" w:rsidP="00DE1B78">
      <w:pPr>
        <w:pStyle w:val="SingleTxtGR"/>
        <w:rPr>
          <w:lang w:eastAsia="ru-RU"/>
        </w:rPr>
      </w:pPr>
      <w:r w:rsidRPr="00DE1B78">
        <w:rPr>
          <w:lang w:eastAsia="ru-RU"/>
        </w:rPr>
        <w:t>31.</w:t>
      </w:r>
      <w:r w:rsidRPr="00DE1B78">
        <w:rPr>
          <w:lang w:eastAsia="ru-RU"/>
        </w:rPr>
        <w:tab/>
        <w:t>Комитет по экологической политике мог бы продолжать свою работу по нынешним направлениям, уделяя особое внимания тому, каким образом эта д</w:t>
      </w:r>
      <w:r w:rsidRPr="00DE1B78">
        <w:rPr>
          <w:lang w:eastAsia="ru-RU"/>
        </w:rPr>
        <w:t>е</w:t>
      </w:r>
      <w:r w:rsidRPr="00DE1B78">
        <w:rPr>
          <w:lang w:eastAsia="ru-RU"/>
        </w:rPr>
        <w:t>ятельность корректируется в целях более эффективного содействия осущест</w:t>
      </w:r>
      <w:r w:rsidRPr="00DE1B78">
        <w:rPr>
          <w:lang w:eastAsia="ru-RU"/>
        </w:rPr>
        <w:t>в</w:t>
      </w:r>
      <w:r w:rsidRPr="00DE1B78">
        <w:rPr>
          <w:lang w:eastAsia="ru-RU"/>
        </w:rPr>
        <w:t>лению Повестки дня на период до 2030 года и достижению изложенных в ней целей в области устойчивого развития, а также обеспечивая межотраслевую и</w:t>
      </w:r>
      <w:r w:rsidRPr="00DE1B78">
        <w:rPr>
          <w:lang w:eastAsia="ru-RU"/>
        </w:rPr>
        <w:t>н</w:t>
      </w:r>
      <w:r w:rsidRPr="00DE1B78">
        <w:rPr>
          <w:lang w:eastAsia="ru-RU"/>
        </w:rPr>
        <w:t>теграцию и сотрудничество. Возможные дополнительные направления деятел</w:t>
      </w:r>
      <w:r w:rsidRPr="00DE1B78">
        <w:rPr>
          <w:lang w:eastAsia="ru-RU"/>
        </w:rPr>
        <w:t>ь</w:t>
      </w:r>
      <w:r w:rsidRPr="00DE1B78">
        <w:rPr>
          <w:lang w:eastAsia="ru-RU"/>
        </w:rPr>
        <w:t>ности изложены ниже.</w:t>
      </w:r>
    </w:p>
    <w:p w:rsidR="00DE1B78" w:rsidRPr="00DE1B78" w:rsidRDefault="00DE1B78" w:rsidP="00DE1B78">
      <w:pPr>
        <w:pStyle w:val="SingleTxtGR"/>
        <w:rPr>
          <w:lang w:eastAsia="ru-RU"/>
        </w:rPr>
      </w:pPr>
      <w:r w:rsidRPr="00DE1B78">
        <w:rPr>
          <w:lang w:eastAsia="ru-RU"/>
        </w:rPr>
        <w:t>32.</w:t>
      </w:r>
      <w:r w:rsidRPr="00DE1B78">
        <w:rPr>
          <w:lang w:eastAsia="ru-RU"/>
        </w:rPr>
        <w:tab/>
        <w:t>На своих сессиях Комитет мог бы принять решение о расширении своего участия в обсуждениях, касающихся содействия устойчивому развитию в рег</w:t>
      </w:r>
      <w:r w:rsidRPr="00DE1B78">
        <w:rPr>
          <w:lang w:eastAsia="ru-RU"/>
        </w:rPr>
        <w:t>и</w:t>
      </w:r>
      <w:r w:rsidRPr="00DE1B78">
        <w:rPr>
          <w:lang w:eastAsia="ru-RU"/>
        </w:rPr>
        <w:t>оне, и выделении для них более продолжительного времени. Например, в теч</w:t>
      </w:r>
      <w:r w:rsidRPr="00DE1B78">
        <w:rPr>
          <w:lang w:eastAsia="ru-RU"/>
        </w:rPr>
        <w:t>е</w:t>
      </w:r>
      <w:r w:rsidRPr="00DE1B78">
        <w:rPr>
          <w:lang w:eastAsia="ru-RU"/>
        </w:rPr>
        <w:t>ние след</w:t>
      </w:r>
      <w:r w:rsidR="0089079B">
        <w:rPr>
          <w:lang w:eastAsia="ru-RU"/>
        </w:rPr>
        <w:t>ующих трех лет (2017–</w:t>
      </w:r>
      <w:r w:rsidRPr="00DE1B78">
        <w:rPr>
          <w:lang w:eastAsia="ru-RU"/>
        </w:rPr>
        <w:t>2019 годы) такие обсуждения продолжительн</w:t>
      </w:r>
      <w:r w:rsidRPr="00DE1B78">
        <w:rPr>
          <w:lang w:eastAsia="ru-RU"/>
        </w:rPr>
        <w:t>о</w:t>
      </w:r>
      <w:r w:rsidRPr="00DE1B78">
        <w:rPr>
          <w:lang w:eastAsia="ru-RU"/>
        </w:rPr>
        <w:lastRenderedPageBreak/>
        <w:t xml:space="preserve">стью до двух часов могли бы проходить на каждой сессии Комитета в формате дискуссионной группы, </w:t>
      </w:r>
      <w:r w:rsidR="0089079B">
        <w:rPr>
          <w:lang w:eastAsia="ru-RU"/>
        </w:rPr>
        <w:t>«</w:t>
      </w:r>
      <w:r w:rsidRPr="00DE1B78">
        <w:rPr>
          <w:lang w:eastAsia="ru-RU"/>
        </w:rPr>
        <w:t>круглого стола</w:t>
      </w:r>
      <w:r w:rsidR="0089079B">
        <w:rPr>
          <w:lang w:eastAsia="ru-RU"/>
        </w:rPr>
        <w:t>»</w:t>
      </w:r>
      <w:r w:rsidRPr="00DE1B78">
        <w:rPr>
          <w:lang w:eastAsia="ru-RU"/>
        </w:rPr>
        <w:t xml:space="preserve"> или взаимного обучения коллег. Т</w:t>
      </w:r>
      <w:r w:rsidRPr="00DE1B78">
        <w:rPr>
          <w:lang w:eastAsia="ru-RU"/>
        </w:rPr>
        <w:t>е</w:t>
      </w:r>
      <w:r w:rsidRPr="00DE1B78">
        <w:rPr>
          <w:lang w:eastAsia="ru-RU"/>
        </w:rPr>
        <w:t>мой обсуждения могли бы стать имеющие самое непосредственное отношение к работе Комитета цели в области устойчивого развития из перечня целей, ра</w:t>
      </w:r>
      <w:r w:rsidRPr="00DE1B78">
        <w:rPr>
          <w:lang w:eastAsia="ru-RU"/>
        </w:rPr>
        <w:t>с</w:t>
      </w:r>
      <w:r w:rsidRPr="00DE1B78">
        <w:rPr>
          <w:lang w:eastAsia="ru-RU"/>
        </w:rPr>
        <w:t>сматриваемых в соответствующем году на глобальном уровне. В обсуждениях могли бы участвовать как страны, так и организации, при этом основное вн</w:t>
      </w:r>
      <w:r w:rsidRPr="00DE1B78">
        <w:rPr>
          <w:lang w:eastAsia="ru-RU"/>
        </w:rPr>
        <w:t>и</w:t>
      </w:r>
      <w:r w:rsidRPr="00DE1B78">
        <w:rPr>
          <w:lang w:eastAsia="ru-RU"/>
        </w:rPr>
        <w:t>мание могло бы уделяться обмену опытом в отношении механизмов, инстр</w:t>
      </w:r>
      <w:r w:rsidRPr="00DE1B78">
        <w:rPr>
          <w:lang w:eastAsia="ru-RU"/>
        </w:rPr>
        <w:t>у</w:t>
      </w:r>
      <w:r w:rsidRPr="00DE1B78">
        <w:rPr>
          <w:lang w:eastAsia="ru-RU"/>
        </w:rPr>
        <w:t>ментов и подходов, созданных на национальном, субрегиональном и реги</w:t>
      </w:r>
      <w:r w:rsidRPr="00DE1B78">
        <w:rPr>
          <w:lang w:eastAsia="ru-RU"/>
        </w:rPr>
        <w:t>о</w:t>
      </w:r>
      <w:r w:rsidRPr="00DE1B78">
        <w:rPr>
          <w:lang w:eastAsia="ru-RU"/>
        </w:rPr>
        <w:t>нальном уровнях в целях обеспечения межотраслевого и комплексного характ</w:t>
      </w:r>
      <w:r w:rsidRPr="00DE1B78">
        <w:rPr>
          <w:lang w:eastAsia="ru-RU"/>
        </w:rPr>
        <w:t>е</w:t>
      </w:r>
      <w:r w:rsidRPr="00DE1B78">
        <w:rPr>
          <w:lang w:eastAsia="ru-RU"/>
        </w:rPr>
        <w:t>ра работы в области достижения целей в области устойчивого развития, с точки зрения окружающей среды. Комитет или его Председатель могли бы передавать результаты таких обсуждений Региональному форуму по устойчивому разв</w:t>
      </w:r>
      <w:r w:rsidRPr="00DE1B78">
        <w:rPr>
          <w:lang w:eastAsia="ru-RU"/>
        </w:rPr>
        <w:t>и</w:t>
      </w:r>
      <w:r w:rsidRPr="00DE1B78">
        <w:rPr>
          <w:lang w:eastAsia="ru-RU"/>
        </w:rPr>
        <w:t>тию в регионе ЕЭК в форме записки или резюме и участвовать в обсуждениях в рамках Регионального форума. Такие документы и соответствующие обсужд</w:t>
      </w:r>
      <w:r w:rsidRPr="00DE1B78">
        <w:rPr>
          <w:lang w:eastAsia="ru-RU"/>
        </w:rPr>
        <w:t>е</w:t>
      </w:r>
      <w:r w:rsidRPr="00DE1B78">
        <w:rPr>
          <w:lang w:eastAsia="ru-RU"/>
        </w:rPr>
        <w:t>ния могли бы быть надлежащим образом отражены в резюме Председателя о состоявшихся заседаниях Регионального форума, которое представляет собой региональный вклад в глобальные обсуждения на политическом форуме выс</w:t>
      </w:r>
      <w:r w:rsidRPr="00DE1B78">
        <w:rPr>
          <w:lang w:eastAsia="ru-RU"/>
        </w:rPr>
        <w:t>о</w:t>
      </w:r>
      <w:r w:rsidRPr="00DE1B78">
        <w:rPr>
          <w:lang w:eastAsia="ru-RU"/>
        </w:rPr>
        <w:t>кого уровня. В то же время подготовка таких сессий поможет странам дополн</w:t>
      </w:r>
      <w:r w:rsidRPr="00DE1B78">
        <w:rPr>
          <w:lang w:eastAsia="ru-RU"/>
        </w:rPr>
        <w:t>и</w:t>
      </w:r>
      <w:r w:rsidRPr="00DE1B78">
        <w:rPr>
          <w:lang w:eastAsia="ru-RU"/>
        </w:rPr>
        <w:t>тельно проанализировать и оценить уровень интеграции своей деятельности и ме</w:t>
      </w:r>
      <w:r w:rsidRPr="00DE1B78">
        <w:rPr>
          <w:lang w:eastAsia="ru-RU"/>
        </w:rPr>
        <w:t>ж</w:t>
      </w:r>
      <w:r w:rsidRPr="00DE1B78">
        <w:rPr>
          <w:lang w:eastAsia="ru-RU"/>
        </w:rPr>
        <w:t xml:space="preserve">отраслевой вовлеченности в осуществлении Повестки дня </w:t>
      </w:r>
      <w:r w:rsidR="00EB6BDE">
        <w:rPr>
          <w:lang w:eastAsia="ru-RU"/>
        </w:rPr>
        <w:t>на период</w:t>
      </w:r>
      <w:r w:rsidR="00EB6BDE">
        <w:rPr>
          <w:lang w:eastAsia="ru-RU"/>
        </w:rPr>
        <w:br/>
      </w:r>
      <w:r w:rsidRPr="00DE1B78">
        <w:rPr>
          <w:lang w:eastAsia="ru-RU"/>
        </w:rPr>
        <w:t>до 2030 года. Кроме того, проведенная для Комитета по экологической полит</w:t>
      </w:r>
      <w:r w:rsidRPr="00DE1B78">
        <w:rPr>
          <w:lang w:eastAsia="ru-RU"/>
        </w:rPr>
        <w:t>и</w:t>
      </w:r>
      <w:r w:rsidRPr="00DE1B78">
        <w:rPr>
          <w:lang w:eastAsia="ru-RU"/>
        </w:rPr>
        <w:t>ке работа поможет странам, которые занимаются подготовкой добровольных национал</w:t>
      </w:r>
      <w:r w:rsidRPr="00DE1B78">
        <w:rPr>
          <w:lang w:eastAsia="ru-RU"/>
        </w:rPr>
        <w:t>ь</w:t>
      </w:r>
      <w:r w:rsidRPr="00DE1B78">
        <w:rPr>
          <w:lang w:eastAsia="ru-RU"/>
        </w:rPr>
        <w:t>ных докладов.</w:t>
      </w:r>
    </w:p>
    <w:p w:rsidR="00DE1B78" w:rsidRPr="00DE1B78" w:rsidRDefault="00DE1B78" w:rsidP="00DE1B78">
      <w:pPr>
        <w:pStyle w:val="SingleTxtGR"/>
        <w:rPr>
          <w:lang w:eastAsia="ru-RU"/>
        </w:rPr>
      </w:pPr>
      <w:r w:rsidRPr="00DE1B78">
        <w:rPr>
          <w:lang w:eastAsia="ru-RU"/>
        </w:rPr>
        <w:t>33.</w:t>
      </w:r>
      <w:r w:rsidRPr="00DE1B78">
        <w:rPr>
          <w:lang w:eastAsia="ru-RU"/>
        </w:rPr>
        <w:tab/>
        <w:t>На своих сессиях Комитет мог бы продолжить рассмотрение последних событий для корректировки деятельности в рамках многосторонних природ</w:t>
      </w:r>
      <w:r w:rsidRPr="00DE1B78">
        <w:rPr>
          <w:lang w:eastAsia="ru-RU"/>
        </w:rPr>
        <w:t>о</w:t>
      </w:r>
      <w:r w:rsidRPr="00DE1B78">
        <w:rPr>
          <w:lang w:eastAsia="ru-RU"/>
        </w:rPr>
        <w:t>охранных соглашений ЕЭК, Стратегии для образования в интересах устойчив</w:t>
      </w:r>
      <w:r w:rsidRPr="00DE1B78">
        <w:rPr>
          <w:lang w:eastAsia="ru-RU"/>
        </w:rPr>
        <w:t>о</w:t>
      </w:r>
      <w:r w:rsidRPr="00DE1B78">
        <w:rPr>
          <w:lang w:eastAsia="ru-RU"/>
        </w:rPr>
        <w:t>го развития и ОПТОСОЗ с целью оказать странам помощь в более эффективном и действенном осуществлении Повестки дня на период до 2030 года. На более позднем этапе осуществления этой п</w:t>
      </w:r>
      <w:r w:rsidR="00DC45C8">
        <w:rPr>
          <w:lang w:eastAsia="ru-RU"/>
        </w:rPr>
        <w:t xml:space="preserve">овестки дня </w:t>
      </w:r>
      <w:r w:rsidRPr="00DE1B78">
        <w:rPr>
          <w:lang w:eastAsia="ru-RU"/>
        </w:rPr>
        <w:t>Комитет мог бы также ра</w:t>
      </w:r>
      <w:r w:rsidRPr="00DE1B78">
        <w:rPr>
          <w:lang w:eastAsia="ru-RU"/>
        </w:rPr>
        <w:t>с</w:t>
      </w:r>
      <w:r w:rsidRPr="00DE1B78">
        <w:rPr>
          <w:lang w:eastAsia="ru-RU"/>
        </w:rPr>
        <w:t>смотреть эффективные и сопровождающиеся дополнительными преимуществ</w:t>
      </w:r>
      <w:r w:rsidRPr="00DE1B78">
        <w:rPr>
          <w:lang w:eastAsia="ru-RU"/>
        </w:rPr>
        <w:t>а</w:t>
      </w:r>
      <w:r w:rsidRPr="00DE1B78">
        <w:rPr>
          <w:lang w:eastAsia="ru-RU"/>
        </w:rPr>
        <w:t>ми способы регулярного обзора прогресса в рамках этих договоров и стратегий для поддержки стран в плане достижения соответствующих целей в области устойчивого развития.</w:t>
      </w:r>
    </w:p>
    <w:p w:rsidR="00DE1B78" w:rsidRPr="00DE1B78" w:rsidRDefault="00DE1B78" w:rsidP="00DE1B78">
      <w:pPr>
        <w:pStyle w:val="SingleTxtGR"/>
        <w:rPr>
          <w:lang w:eastAsia="ru-RU"/>
        </w:rPr>
      </w:pPr>
      <w:r w:rsidRPr="00DE1B78">
        <w:rPr>
          <w:lang w:eastAsia="ru-RU"/>
        </w:rPr>
        <w:t>34.</w:t>
      </w:r>
      <w:r w:rsidRPr="00DE1B78">
        <w:rPr>
          <w:lang w:eastAsia="ru-RU"/>
        </w:rPr>
        <w:tab/>
        <w:t>В отношении контроля за вкладом Комитета в реализацию Повестки дня на период до 2030 года и соответствующим воздействием его деятельности членам Комитета и наблюдателям можно было бы предложить поделиться на сессиях Комитета информацией о том, каким образом представленные Комит</w:t>
      </w:r>
      <w:r w:rsidRPr="00DE1B78">
        <w:rPr>
          <w:lang w:eastAsia="ru-RU"/>
        </w:rPr>
        <w:t>е</w:t>
      </w:r>
      <w:r w:rsidRPr="00DE1B78">
        <w:rPr>
          <w:lang w:eastAsia="ru-RU"/>
        </w:rPr>
        <w:t>том материалы были отражены в докладах и выступлениях на соответствующих глобальных, региональных, субрегиональных и национальных встречах и мер</w:t>
      </w:r>
      <w:r w:rsidRPr="00DE1B78">
        <w:rPr>
          <w:lang w:eastAsia="ru-RU"/>
        </w:rPr>
        <w:t>о</w:t>
      </w:r>
      <w:r w:rsidRPr="00DE1B78">
        <w:rPr>
          <w:lang w:eastAsia="ru-RU"/>
        </w:rPr>
        <w:t>приятиях. Например, две батумские инициативы могли бы широко пропаганд</w:t>
      </w:r>
      <w:r w:rsidRPr="00DE1B78">
        <w:rPr>
          <w:lang w:eastAsia="ru-RU"/>
        </w:rPr>
        <w:t>и</w:t>
      </w:r>
      <w:r w:rsidRPr="00DE1B78">
        <w:rPr>
          <w:lang w:eastAsia="ru-RU"/>
        </w:rPr>
        <w:t>роваться как эффективные, практичные инструменты содействия странам в о</w:t>
      </w:r>
      <w:r w:rsidRPr="00DE1B78">
        <w:rPr>
          <w:lang w:eastAsia="ru-RU"/>
        </w:rPr>
        <w:t>б</w:t>
      </w:r>
      <w:r w:rsidRPr="00DE1B78">
        <w:rPr>
          <w:lang w:eastAsia="ru-RU"/>
        </w:rPr>
        <w:t>ласти экологизации их экономики и повышения качества воздуха в поддержку достижения целей в области устойчивого развития. Кроме того, деятельность в об</w:t>
      </w:r>
      <w:r w:rsidR="0089079B">
        <w:rPr>
          <w:lang w:eastAsia="ru-RU"/>
        </w:rPr>
        <w:t>ласти обзора и оценки, например</w:t>
      </w:r>
      <w:r w:rsidRPr="00DE1B78">
        <w:rPr>
          <w:lang w:eastAsia="ru-RU"/>
        </w:rPr>
        <w:t xml:space="preserve"> обзоры результативности экологической д</w:t>
      </w:r>
      <w:r w:rsidRPr="00DE1B78">
        <w:rPr>
          <w:lang w:eastAsia="ru-RU"/>
        </w:rPr>
        <w:t>е</w:t>
      </w:r>
      <w:r w:rsidRPr="00DE1B78">
        <w:rPr>
          <w:lang w:eastAsia="ru-RU"/>
        </w:rPr>
        <w:t>ятельности и мониторинг и оценка окружающей среды, в том числе создание Общей системы экологической информации в общеевропейском регионе, пом</w:t>
      </w:r>
      <w:r w:rsidRPr="00DE1B78">
        <w:rPr>
          <w:lang w:eastAsia="ru-RU"/>
        </w:rPr>
        <w:t>о</w:t>
      </w:r>
      <w:r w:rsidRPr="00DE1B78">
        <w:rPr>
          <w:lang w:eastAsia="ru-RU"/>
        </w:rPr>
        <w:t>гает странам оценить свой прогресс в достижении целей в области устойчивого развития. Помимо этого, в каждом многостороннем природоохранном соглаш</w:t>
      </w:r>
      <w:r w:rsidRPr="00DE1B78">
        <w:rPr>
          <w:lang w:eastAsia="ru-RU"/>
        </w:rPr>
        <w:t>е</w:t>
      </w:r>
      <w:r w:rsidRPr="00DE1B78">
        <w:rPr>
          <w:lang w:eastAsia="ru-RU"/>
        </w:rPr>
        <w:t>нии ЕЭК предусмотрены действия в поддержку усилий стран по осуществл</w:t>
      </w:r>
      <w:r w:rsidRPr="00DE1B78">
        <w:rPr>
          <w:lang w:eastAsia="ru-RU"/>
        </w:rPr>
        <w:t>е</w:t>
      </w:r>
      <w:r w:rsidRPr="00DE1B78">
        <w:rPr>
          <w:lang w:eastAsia="ru-RU"/>
        </w:rPr>
        <w:t>нию Повестки дня на период до 2030 года. Кроме того, ОПТОСОЗ и Стратегия для образования в интересах устойчивого развития основываются на межотра</w:t>
      </w:r>
      <w:r w:rsidRPr="00DE1B78">
        <w:rPr>
          <w:lang w:eastAsia="ru-RU"/>
        </w:rPr>
        <w:t>с</w:t>
      </w:r>
      <w:r w:rsidRPr="00DE1B78">
        <w:rPr>
          <w:lang w:eastAsia="ru-RU"/>
        </w:rPr>
        <w:t>левом сотрудничестве.</w:t>
      </w:r>
    </w:p>
    <w:p w:rsidR="00DE1B78" w:rsidRPr="00DE1B78" w:rsidRDefault="00DE1B78" w:rsidP="00DE1B78">
      <w:pPr>
        <w:pStyle w:val="SingleTxtGR"/>
        <w:rPr>
          <w:lang w:eastAsia="ru-RU"/>
        </w:rPr>
      </w:pPr>
      <w:r w:rsidRPr="00DE1B78">
        <w:rPr>
          <w:lang w:eastAsia="ru-RU"/>
        </w:rPr>
        <w:t>35.</w:t>
      </w:r>
      <w:r w:rsidRPr="00DE1B78">
        <w:rPr>
          <w:lang w:eastAsia="ru-RU"/>
        </w:rPr>
        <w:tab/>
        <w:t>Комитет по экологической политике мог бы поделиться с другими отра</w:t>
      </w:r>
      <w:r w:rsidRPr="00DE1B78">
        <w:rPr>
          <w:lang w:eastAsia="ru-RU"/>
        </w:rPr>
        <w:t>с</w:t>
      </w:r>
      <w:r w:rsidRPr="00DE1B78">
        <w:rPr>
          <w:lang w:eastAsia="ru-RU"/>
        </w:rPr>
        <w:t>левыми комитетами ЕЭК результатами проведенного Комитетом в 2016 году о</w:t>
      </w:r>
      <w:r w:rsidRPr="00DE1B78">
        <w:rPr>
          <w:lang w:eastAsia="ru-RU"/>
        </w:rPr>
        <w:t>б</w:t>
      </w:r>
      <w:r w:rsidRPr="00DE1B78">
        <w:rPr>
          <w:lang w:eastAsia="ru-RU"/>
        </w:rPr>
        <w:t>зора процессов и деятельности, связанных с Подпрограммой по окружающей среде, которые содействуют странам в их усилиях по достижению целей в обл</w:t>
      </w:r>
      <w:r w:rsidRPr="00DE1B78">
        <w:rPr>
          <w:lang w:eastAsia="ru-RU"/>
        </w:rPr>
        <w:t>а</w:t>
      </w:r>
      <w:r w:rsidRPr="00DE1B78">
        <w:rPr>
          <w:lang w:eastAsia="ru-RU"/>
        </w:rPr>
        <w:t>сти устойчивого развития, и предложить Исполнительному комитету ЕЭК ра</w:t>
      </w:r>
      <w:r w:rsidRPr="00DE1B78">
        <w:rPr>
          <w:lang w:eastAsia="ru-RU"/>
        </w:rPr>
        <w:t>с</w:t>
      </w:r>
      <w:r w:rsidRPr="00DE1B78">
        <w:rPr>
          <w:lang w:eastAsia="ru-RU"/>
        </w:rPr>
        <w:t>смотреть вопрос о поощрении других отраслевых комитетов к проведению ан</w:t>
      </w:r>
      <w:r w:rsidRPr="00DE1B78">
        <w:rPr>
          <w:lang w:eastAsia="ru-RU"/>
        </w:rPr>
        <w:t>а</w:t>
      </w:r>
      <w:r w:rsidRPr="00DE1B78">
        <w:rPr>
          <w:lang w:eastAsia="ru-RU"/>
        </w:rPr>
        <w:lastRenderedPageBreak/>
        <w:t>логичных мероприятий по обзору. Консолидация этих мероприятий по обзору будет способствовать выявлению возможных совместных действий в поддержку достижения целей в области устойчивого развития.</w:t>
      </w:r>
    </w:p>
    <w:p w:rsidR="00DE1B78" w:rsidRPr="00DE1B78" w:rsidRDefault="00DE1B78" w:rsidP="00DE1B78">
      <w:pPr>
        <w:pStyle w:val="SingleTxtGR"/>
        <w:rPr>
          <w:lang w:eastAsia="ru-RU"/>
        </w:rPr>
      </w:pPr>
      <w:r w:rsidRPr="00DE1B78">
        <w:rPr>
          <w:lang w:eastAsia="ru-RU"/>
        </w:rPr>
        <w:t>36.</w:t>
      </w:r>
      <w:r w:rsidRPr="00DE1B78">
        <w:rPr>
          <w:lang w:eastAsia="ru-RU"/>
        </w:rPr>
        <w:tab/>
        <w:t>Кроме того, в дополнение к созданию потенциала необходимо повышать в странах уровень осведомленности о целях в области устойчивого развития в целом и на всех уровнях, в том числе во всех правительственных учреждениях и среди широкой общественности, что может стать областью совместной де</w:t>
      </w:r>
      <w:r w:rsidRPr="00DE1B78">
        <w:rPr>
          <w:lang w:eastAsia="ru-RU"/>
        </w:rPr>
        <w:t>я</w:t>
      </w:r>
      <w:r w:rsidRPr="00DE1B78">
        <w:rPr>
          <w:lang w:eastAsia="ru-RU"/>
        </w:rPr>
        <w:t>тельности отраслевых комитетов ЕЭК. Эту работу можно проводить путем об</w:t>
      </w:r>
      <w:r w:rsidRPr="00DE1B78">
        <w:rPr>
          <w:lang w:eastAsia="ru-RU"/>
        </w:rPr>
        <w:t>ъ</w:t>
      </w:r>
      <w:r w:rsidRPr="00DE1B78">
        <w:rPr>
          <w:lang w:eastAsia="ru-RU"/>
        </w:rPr>
        <w:t>единения усилий в целях осуществления комплексной деятельности по пов</w:t>
      </w:r>
      <w:r w:rsidRPr="00DE1B78">
        <w:rPr>
          <w:lang w:eastAsia="ru-RU"/>
        </w:rPr>
        <w:t>ы</w:t>
      </w:r>
      <w:r w:rsidRPr="00DE1B78">
        <w:rPr>
          <w:lang w:eastAsia="ru-RU"/>
        </w:rPr>
        <w:t>шению осведомленности и укреплению потенциала и проведения рабочих с</w:t>
      </w:r>
      <w:r w:rsidRPr="00DE1B78">
        <w:rPr>
          <w:lang w:eastAsia="ru-RU"/>
        </w:rPr>
        <w:t>о</w:t>
      </w:r>
      <w:r w:rsidRPr="00DE1B78">
        <w:rPr>
          <w:lang w:eastAsia="ru-RU"/>
        </w:rPr>
        <w:t>вещаний по этим темам на региональном, национальном и субнациональном уровнях. Деятельность по повышению осведомленности должна быть адапт</w:t>
      </w:r>
      <w:r w:rsidRPr="00DE1B78">
        <w:rPr>
          <w:lang w:eastAsia="ru-RU"/>
        </w:rPr>
        <w:t>и</w:t>
      </w:r>
      <w:r w:rsidRPr="00DE1B78">
        <w:rPr>
          <w:lang w:eastAsia="ru-RU"/>
        </w:rPr>
        <w:t>рована с учетом потребностей каждой целевой группы, с тем чтобы обеспечить широкое признание целей в области устойчивого развития и стимулировать общественность к их достижению.</w:t>
      </w:r>
    </w:p>
    <w:p w:rsidR="00DE1B78" w:rsidRPr="00DE1B78" w:rsidRDefault="00DE1B78" w:rsidP="00DE1B78">
      <w:pPr>
        <w:pStyle w:val="SingleTxtGR"/>
        <w:rPr>
          <w:lang w:eastAsia="ru-RU"/>
        </w:rPr>
      </w:pPr>
      <w:r w:rsidRPr="00DE1B78">
        <w:rPr>
          <w:lang w:eastAsia="ru-RU"/>
        </w:rPr>
        <w:t>37.</w:t>
      </w:r>
      <w:r w:rsidRPr="00DE1B78">
        <w:rPr>
          <w:lang w:eastAsia="ru-RU"/>
        </w:rPr>
        <w:tab/>
        <w:t>Можно было бы рассмотреть возможность проведения тематических о</w:t>
      </w:r>
      <w:r w:rsidRPr="00DE1B78">
        <w:rPr>
          <w:lang w:eastAsia="ru-RU"/>
        </w:rPr>
        <w:t>б</w:t>
      </w:r>
      <w:r w:rsidRPr="00DE1B78">
        <w:rPr>
          <w:lang w:eastAsia="ru-RU"/>
        </w:rPr>
        <w:t>суждений путем организации заседаний отраслевых комитетов в увязке друг с другом и проведения их совместных сессий в целях обмена информацией и опытом для выявления возможных областей углубления сотрудничества и соо</w:t>
      </w:r>
      <w:r w:rsidRPr="00DE1B78">
        <w:rPr>
          <w:lang w:eastAsia="ru-RU"/>
        </w:rPr>
        <w:t>т</w:t>
      </w:r>
      <w:r w:rsidRPr="00DE1B78">
        <w:rPr>
          <w:lang w:eastAsia="ru-RU"/>
        </w:rPr>
        <w:t>ветствующих механизмов такого сотрудничества. Кроме того, можно было бы изучить возможность приглашения председателей и членов бюро других отра</w:t>
      </w:r>
      <w:r w:rsidRPr="00DE1B78">
        <w:rPr>
          <w:lang w:eastAsia="ru-RU"/>
        </w:rPr>
        <w:t>с</w:t>
      </w:r>
      <w:r w:rsidRPr="00DE1B78">
        <w:rPr>
          <w:lang w:eastAsia="ru-RU"/>
        </w:rPr>
        <w:t>левых комитетов на соответствующие сессии Комитета по экологической пол</w:t>
      </w:r>
      <w:r w:rsidRPr="00DE1B78">
        <w:rPr>
          <w:lang w:eastAsia="ru-RU"/>
        </w:rPr>
        <w:t>и</w:t>
      </w:r>
      <w:r w:rsidRPr="00DE1B78">
        <w:rPr>
          <w:lang w:eastAsia="ru-RU"/>
        </w:rPr>
        <w:t>тике.</w:t>
      </w:r>
    </w:p>
    <w:p w:rsidR="00DE1B78" w:rsidRPr="00DE1B78" w:rsidRDefault="00DE1B78" w:rsidP="00DE1B78">
      <w:pPr>
        <w:pStyle w:val="SingleTxtGR"/>
        <w:rPr>
          <w:lang w:eastAsia="ru-RU"/>
        </w:rPr>
      </w:pPr>
      <w:r w:rsidRPr="00DE1B78">
        <w:rPr>
          <w:lang w:eastAsia="ru-RU"/>
        </w:rPr>
        <w:t>38.</w:t>
      </w:r>
      <w:r w:rsidRPr="00DE1B78">
        <w:rPr>
          <w:lang w:eastAsia="ru-RU"/>
        </w:rPr>
        <w:tab/>
        <w:t>Комитеты, отвечающие за подпрограммы по устойчивой энергетике, транспорту и окружающей среде, могли бы изучить возможность совместной разработки вариантов стратегий и технических решений в интересах удовл</w:t>
      </w:r>
      <w:r w:rsidRPr="00DE1B78">
        <w:rPr>
          <w:lang w:eastAsia="ru-RU"/>
        </w:rPr>
        <w:t>е</w:t>
      </w:r>
      <w:r w:rsidRPr="00DE1B78">
        <w:rPr>
          <w:lang w:eastAsia="ru-RU"/>
        </w:rPr>
        <w:t>творения дополнительного спроса на электроэнергию и аккумуляторные бат</w:t>
      </w:r>
      <w:r w:rsidRPr="00DE1B78">
        <w:rPr>
          <w:lang w:eastAsia="ru-RU"/>
        </w:rPr>
        <w:t>а</w:t>
      </w:r>
      <w:r w:rsidRPr="00DE1B78">
        <w:rPr>
          <w:lang w:eastAsia="ru-RU"/>
        </w:rPr>
        <w:t>реи для электромобилей, а также рассмотреть последствия таких стратегий для окружающей среды, с тем чтобы содействовать достижению соответствующих целей в области устойчивого развития.</w:t>
      </w:r>
    </w:p>
    <w:p w:rsidR="00DE1B78" w:rsidRPr="00DE1B78" w:rsidRDefault="00DE1B78" w:rsidP="00DE1B78">
      <w:pPr>
        <w:pStyle w:val="SingleTxtGR"/>
        <w:rPr>
          <w:lang w:eastAsia="ru-RU"/>
        </w:rPr>
      </w:pPr>
      <w:r w:rsidRPr="00DE1B78">
        <w:rPr>
          <w:lang w:eastAsia="ru-RU"/>
        </w:rPr>
        <w:t>39.</w:t>
      </w:r>
      <w:r w:rsidRPr="00DE1B78">
        <w:rPr>
          <w:lang w:eastAsia="ru-RU"/>
        </w:rPr>
        <w:tab/>
      </w:r>
      <w:r w:rsidR="00195F34" w:rsidRPr="00DE1B78">
        <w:rPr>
          <w:lang w:eastAsia="ru-RU"/>
        </w:rPr>
        <w:t>Кроме того, эффективным средством обеспечения интеграции обосо</w:t>
      </w:r>
      <w:r w:rsidR="00195F34" w:rsidRPr="00DE1B78">
        <w:rPr>
          <w:lang w:eastAsia="ru-RU"/>
        </w:rPr>
        <w:t>б</w:t>
      </w:r>
      <w:r w:rsidR="00195F34" w:rsidRPr="00DE1B78">
        <w:rPr>
          <w:lang w:eastAsia="ru-RU"/>
        </w:rPr>
        <w:t>ленных процессов является использование в работе нексусного подхода. В к</w:t>
      </w:r>
      <w:r w:rsidR="00195F34" w:rsidRPr="00DE1B78">
        <w:rPr>
          <w:lang w:eastAsia="ru-RU"/>
        </w:rPr>
        <w:t>а</w:t>
      </w:r>
      <w:r w:rsidR="00195F34" w:rsidRPr="00DE1B78">
        <w:rPr>
          <w:lang w:eastAsia="ru-RU"/>
        </w:rPr>
        <w:t xml:space="preserve">честве примера можно указать подготовку оценки нексуса «вода–продовольствие–энергия–экосистемы» в отдельных трансграничных водных бассейнах, в которой участвовали одновременно органы Конвенции по водам, Отдел по устойчивой энергетике ЕЭК, ФАО и другие партнеры. </w:t>
      </w:r>
      <w:r w:rsidRPr="00DE1B78">
        <w:rPr>
          <w:lang w:eastAsia="ru-RU"/>
        </w:rPr>
        <w:t>Указанные партнеры проводят межотраслевую оценку нексуса «вода–продовольствие–энергия–экосистемы» в ряде трансграничных бассейнов в соответствии с ко</w:t>
      </w:r>
      <w:r w:rsidRPr="00DE1B78">
        <w:rPr>
          <w:lang w:eastAsia="ru-RU"/>
        </w:rPr>
        <w:t>м</w:t>
      </w:r>
      <w:r w:rsidRPr="00DE1B78">
        <w:rPr>
          <w:lang w:eastAsia="ru-RU"/>
        </w:rPr>
        <w:t>плексным подходом Повестки дня на период до 2030 года.</w:t>
      </w:r>
    </w:p>
    <w:p w:rsidR="00DE1B78" w:rsidRPr="00DE1B78" w:rsidRDefault="00DE1B78" w:rsidP="00DE1B78">
      <w:pPr>
        <w:pStyle w:val="SingleTxtGR"/>
        <w:rPr>
          <w:lang w:eastAsia="ru-RU"/>
        </w:rPr>
      </w:pPr>
      <w:r w:rsidRPr="00DE1B78">
        <w:rPr>
          <w:lang w:eastAsia="ru-RU"/>
        </w:rPr>
        <w:t>40.</w:t>
      </w:r>
      <w:r w:rsidRPr="00DE1B78">
        <w:rPr>
          <w:lang w:eastAsia="ru-RU"/>
        </w:rPr>
        <w:tab/>
        <w:t>В ближайшие годы Комитет по экологической политике продолжит пр</w:t>
      </w:r>
      <w:r w:rsidRPr="00DE1B78">
        <w:rPr>
          <w:lang w:eastAsia="ru-RU"/>
        </w:rPr>
        <w:t>о</w:t>
      </w:r>
      <w:r w:rsidRPr="00DE1B78">
        <w:rPr>
          <w:lang w:eastAsia="ru-RU"/>
        </w:rPr>
        <w:t>пагандирование батумских инициатив, касающихся борьбы за чистый воздух и «зеленой» экономики, в интересах стимулирования принятия дополнительных решений и привлечения новых заинтересованных сторон, а также повышения практической ценности инициатив и их вклада в достижение соответствующих целей в области устойчивого развития. С учетом сквозного характера «зеленой» экономики было бы полезно, если бы и другие отраслевые комитеты ЕЭК и д</w:t>
      </w:r>
      <w:r w:rsidRPr="00DE1B78">
        <w:rPr>
          <w:lang w:eastAsia="ru-RU"/>
        </w:rPr>
        <w:t>и</w:t>
      </w:r>
      <w:r w:rsidRPr="00DE1B78">
        <w:rPr>
          <w:lang w:eastAsia="ru-RU"/>
        </w:rPr>
        <w:t>рективные органы, в соответствующих случаях, могли рассмотреть возмо</w:t>
      </w:r>
      <w:r w:rsidRPr="00DE1B78">
        <w:rPr>
          <w:lang w:eastAsia="ru-RU"/>
        </w:rPr>
        <w:t>ж</w:t>
      </w:r>
      <w:r w:rsidRPr="00DE1B78">
        <w:rPr>
          <w:lang w:eastAsia="ru-RU"/>
        </w:rPr>
        <w:t>ность пропагандирования Батумской инициативы по «зеленой» экономике ср</w:t>
      </w:r>
      <w:r w:rsidRPr="00DE1B78">
        <w:rPr>
          <w:lang w:eastAsia="ru-RU"/>
        </w:rPr>
        <w:t>е</w:t>
      </w:r>
      <w:r w:rsidRPr="00DE1B78">
        <w:rPr>
          <w:lang w:eastAsia="ru-RU"/>
        </w:rPr>
        <w:t>ди своих участников, а также изучения их потенциальной заинтересованности (как органов) в участии в этой инициативе посредством направления информ</w:t>
      </w:r>
      <w:r w:rsidRPr="00DE1B78">
        <w:rPr>
          <w:lang w:eastAsia="ru-RU"/>
        </w:rPr>
        <w:t>а</w:t>
      </w:r>
      <w:r w:rsidRPr="00DE1B78">
        <w:rPr>
          <w:lang w:eastAsia="ru-RU"/>
        </w:rPr>
        <w:t>ции о решениях, касающихся «зеленой» экономики, и участия в подготовке и представлении докладов об их осуществлении.</w:t>
      </w:r>
    </w:p>
    <w:p w:rsidR="00DE1B78" w:rsidRPr="00DE1B78" w:rsidRDefault="00DE1B78" w:rsidP="00DE1B78">
      <w:pPr>
        <w:pStyle w:val="SingleTxtGR"/>
        <w:rPr>
          <w:lang w:eastAsia="ru-RU"/>
        </w:rPr>
      </w:pPr>
      <w:r w:rsidRPr="00DE1B78">
        <w:rPr>
          <w:lang w:eastAsia="ru-RU"/>
        </w:rPr>
        <w:t>41.</w:t>
      </w:r>
      <w:r w:rsidRPr="00DE1B78">
        <w:rPr>
          <w:lang w:eastAsia="ru-RU"/>
        </w:rPr>
        <w:tab/>
        <w:t>ЕЭК и ЮНЕП совместно проводят обследование, предметом которого я</w:t>
      </w:r>
      <w:r w:rsidRPr="00DE1B78">
        <w:rPr>
          <w:lang w:eastAsia="ru-RU"/>
        </w:rPr>
        <w:t>в</w:t>
      </w:r>
      <w:r w:rsidRPr="00DE1B78">
        <w:rPr>
          <w:lang w:eastAsia="ru-RU"/>
        </w:rPr>
        <w:t>ляются мероприятия в области «зеленой» экономики действующих в регионе организаций в целях ускорения осуществления Панъевропейских стратегич</w:t>
      </w:r>
      <w:r w:rsidRPr="00DE1B78">
        <w:rPr>
          <w:lang w:eastAsia="ru-RU"/>
        </w:rPr>
        <w:t>е</w:t>
      </w:r>
      <w:r w:rsidRPr="00DE1B78">
        <w:rPr>
          <w:lang w:eastAsia="ru-RU"/>
        </w:rPr>
        <w:t xml:space="preserve">ских рамок экологизации экономики и Батумской инициативы по «зеленой» </w:t>
      </w:r>
      <w:r w:rsidRPr="00DE1B78">
        <w:rPr>
          <w:lang w:eastAsia="ru-RU"/>
        </w:rPr>
        <w:lastRenderedPageBreak/>
        <w:t>экономике. В ходе этого обследования выявляются экспертные знания орган</w:t>
      </w:r>
      <w:r w:rsidRPr="00DE1B78">
        <w:rPr>
          <w:lang w:eastAsia="ru-RU"/>
        </w:rPr>
        <w:t>и</w:t>
      </w:r>
      <w:r w:rsidRPr="00DE1B78">
        <w:rPr>
          <w:lang w:eastAsia="ru-RU"/>
        </w:rPr>
        <w:t>заций в интересах содействия согласованию политики, развитию межведо</w:t>
      </w:r>
      <w:r w:rsidRPr="00DE1B78">
        <w:rPr>
          <w:lang w:eastAsia="ru-RU"/>
        </w:rPr>
        <w:t>м</w:t>
      </w:r>
      <w:r w:rsidRPr="00DE1B78">
        <w:rPr>
          <w:lang w:eastAsia="ru-RU"/>
        </w:rPr>
        <w:t>ственной координации и определению существующих пробелов в деятельности региональных участников и, в конечном итоге, в интересах изыскания возмо</w:t>
      </w:r>
      <w:r w:rsidRPr="00DE1B78">
        <w:rPr>
          <w:lang w:eastAsia="ru-RU"/>
        </w:rPr>
        <w:t>ж</w:t>
      </w:r>
      <w:r w:rsidRPr="00DE1B78">
        <w:rPr>
          <w:lang w:eastAsia="ru-RU"/>
        </w:rPr>
        <w:t>ностей для совместной работы. Соответствующие ответы были получены от н</w:t>
      </w:r>
      <w:r w:rsidRPr="00DE1B78">
        <w:rPr>
          <w:lang w:eastAsia="ru-RU"/>
        </w:rPr>
        <w:t>е</w:t>
      </w:r>
      <w:r w:rsidRPr="00DE1B78">
        <w:rPr>
          <w:lang w:eastAsia="ru-RU"/>
        </w:rPr>
        <w:t>скольких отделов ЕЭК, и они будут учтены в анализе и обзоре экспертных зн</w:t>
      </w:r>
      <w:r w:rsidRPr="00DE1B78">
        <w:rPr>
          <w:lang w:eastAsia="ru-RU"/>
        </w:rPr>
        <w:t>а</w:t>
      </w:r>
      <w:r w:rsidRPr="00DE1B78">
        <w:rPr>
          <w:lang w:eastAsia="ru-RU"/>
        </w:rPr>
        <w:t>ний в области «зеленой» экономики в регионе. И такую работу мог бы продо</w:t>
      </w:r>
      <w:r w:rsidRPr="00DE1B78">
        <w:rPr>
          <w:lang w:eastAsia="ru-RU"/>
        </w:rPr>
        <w:t>л</w:t>
      </w:r>
      <w:r w:rsidRPr="00DE1B78">
        <w:rPr>
          <w:lang w:eastAsia="ru-RU"/>
        </w:rPr>
        <w:t>жить Комитет, придав ей соответствующее развитие.</w:t>
      </w:r>
    </w:p>
    <w:p w:rsidR="00DE1B78" w:rsidRPr="00DE1B78" w:rsidRDefault="00DE1B78" w:rsidP="00DE1B78">
      <w:pPr>
        <w:pStyle w:val="SingleTxtGR"/>
        <w:rPr>
          <w:lang w:eastAsia="ru-RU"/>
        </w:rPr>
      </w:pPr>
      <w:r w:rsidRPr="00DE1B78">
        <w:rPr>
          <w:lang w:eastAsia="ru-RU"/>
        </w:rPr>
        <w:t>42.</w:t>
      </w:r>
      <w:r w:rsidRPr="00DE1B78">
        <w:rPr>
          <w:lang w:eastAsia="ru-RU"/>
        </w:rPr>
        <w:tab/>
        <w:t>При подготовке конференций министров «Окружающая среда для Евр</w:t>
      </w:r>
      <w:r w:rsidRPr="00DE1B78">
        <w:rPr>
          <w:lang w:eastAsia="ru-RU"/>
        </w:rPr>
        <w:t>о</w:t>
      </w:r>
      <w:r w:rsidRPr="00DE1B78">
        <w:rPr>
          <w:lang w:eastAsia="ru-RU"/>
        </w:rPr>
        <w:t>пы» Комитет мог бы рассматривать возможность включения рассчитанного на половину дня сегмента, посвященного Повестке дня на период до 2030 года. Такой сегмент мог бы быть организован по такому же принципу, что и анал</w:t>
      </w:r>
      <w:r w:rsidRPr="00DE1B78">
        <w:rPr>
          <w:lang w:eastAsia="ru-RU"/>
        </w:rPr>
        <w:t>о</w:t>
      </w:r>
      <w:r w:rsidRPr="00DE1B78">
        <w:rPr>
          <w:lang w:eastAsia="ru-RU"/>
        </w:rPr>
        <w:t>гичный сегмент Батумской конференции. В его рамках можно было бы пров</w:t>
      </w:r>
      <w:r w:rsidRPr="00DE1B78">
        <w:rPr>
          <w:lang w:eastAsia="ru-RU"/>
        </w:rPr>
        <w:t>о</w:t>
      </w:r>
      <w:r w:rsidRPr="00DE1B78">
        <w:rPr>
          <w:lang w:eastAsia="ru-RU"/>
        </w:rPr>
        <w:t>дить тематические обсуждения, посвященные межотраслевой интеграции, пр</w:t>
      </w:r>
      <w:r w:rsidRPr="00DE1B78">
        <w:rPr>
          <w:lang w:eastAsia="ru-RU"/>
        </w:rPr>
        <w:t>и</w:t>
      </w:r>
      <w:r w:rsidRPr="00DE1B78">
        <w:rPr>
          <w:lang w:eastAsia="ru-RU"/>
        </w:rPr>
        <w:t>глашая на них не только министров по окружающей среде, но и руководителей соответствующих отраслевых министерств.</w:t>
      </w:r>
    </w:p>
    <w:p w:rsidR="00C96B1E" w:rsidRDefault="00DE1B78" w:rsidP="00DE1B78">
      <w:pPr>
        <w:pStyle w:val="SingleTxtGR"/>
        <w:rPr>
          <w:lang w:eastAsia="ru-RU"/>
        </w:rPr>
      </w:pPr>
      <w:r w:rsidRPr="00DE1B78">
        <w:rPr>
          <w:lang w:eastAsia="ru-RU"/>
        </w:rPr>
        <w:t>43.</w:t>
      </w:r>
      <w:r w:rsidRPr="00DE1B78">
        <w:rPr>
          <w:lang w:eastAsia="ru-RU"/>
        </w:rPr>
        <w:tab/>
        <w:t>Другие направления деятельности в поддержку Повестки дня на период до 2030 года и содержащихся в ней целей в области устойчивого развития мо</w:t>
      </w:r>
      <w:r w:rsidRPr="00DE1B78">
        <w:rPr>
          <w:lang w:eastAsia="ru-RU"/>
        </w:rPr>
        <w:t>ж</w:t>
      </w:r>
      <w:r w:rsidRPr="00DE1B78">
        <w:rPr>
          <w:lang w:eastAsia="ru-RU"/>
        </w:rPr>
        <w:t>но было бы определить на более позднем этапе с учетом изменений, происх</w:t>
      </w:r>
      <w:r w:rsidRPr="00DE1B78">
        <w:rPr>
          <w:lang w:eastAsia="ru-RU"/>
        </w:rPr>
        <w:t>о</w:t>
      </w:r>
      <w:r w:rsidRPr="00DE1B78">
        <w:rPr>
          <w:lang w:eastAsia="ru-RU"/>
        </w:rPr>
        <w:t>дящих на мировом, региональном, субрегиональном и национальном уровнях.</w:t>
      </w:r>
    </w:p>
    <w:p w:rsidR="00DC45C8" w:rsidRPr="00DC45C8" w:rsidRDefault="00DC45C8" w:rsidP="00DC45C8">
      <w:pPr>
        <w:pStyle w:val="SingleTxtGR"/>
        <w:spacing w:before="240" w:after="0"/>
        <w:jc w:val="center"/>
        <w:rPr>
          <w:u w:val="single"/>
          <w:lang w:eastAsia="ru-RU"/>
        </w:rPr>
      </w:pP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</w:p>
    <w:sectPr w:rsidR="00DC45C8" w:rsidRPr="00DC45C8" w:rsidSect="00C96B1E">
      <w:headerReference w:type="even" r:id="rId31"/>
      <w:headerReference w:type="default" r:id="rId32"/>
      <w:footerReference w:type="even" r:id="rId33"/>
      <w:footerReference w:type="default" r:id="rId34"/>
      <w:footerReference w:type="first" r:id="rId35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5A6" w:rsidRPr="00A312BC" w:rsidRDefault="002A65A6" w:rsidP="00A312BC"/>
  </w:endnote>
  <w:endnote w:type="continuationSeparator" w:id="0">
    <w:p w:rsidR="002A65A6" w:rsidRPr="00A312BC" w:rsidRDefault="002A65A6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B1E" w:rsidRPr="00C96B1E" w:rsidRDefault="00C96B1E">
    <w:pPr>
      <w:pStyle w:val="a8"/>
    </w:pPr>
    <w:r w:rsidRPr="00C96B1E">
      <w:rPr>
        <w:b/>
        <w:sz w:val="18"/>
      </w:rPr>
      <w:fldChar w:fldCharType="begin"/>
    </w:r>
    <w:r w:rsidRPr="00C96B1E">
      <w:rPr>
        <w:b/>
        <w:sz w:val="18"/>
      </w:rPr>
      <w:instrText xml:space="preserve"> PAGE  \* MERGEFORMAT </w:instrText>
    </w:r>
    <w:r w:rsidRPr="00C96B1E">
      <w:rPr>
        <w:b/>
        <w:sz w:val="18"/>
      </w:rPr>
      <w:fldChar w:fldCharType="separate"/>
    </w:r>
    <w:r w:rsidR="004A6197">
      <w:rPr>
        <w:b/>
        <w:noProof/>
        <w:sz w:val="18"/>
      </w:rPr>
      <w:t>2</w:t>
    </w:r>
    <w:r w:rsidRPr="00C96B1E">
      <w:rPr>
        <w:b/>
        <w:sz w:val="18"/>
      </w:rPr>
      <w:fldChar w:fldCharType="end"/>
    </w:r>
    <w:r>
      <w:rPr>
        <w:b/>
        <w:sz w:val="18"/>
      </w:rPr>
      <w:tab/>
    </w:r>
    <w:r>
      <w:t>GE.17-13930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B1E" w:rsidRPr="00C96B1E" w:rsidRDefault="00C96B1E" w:rsidP="00C96B1E">
    <w:pPr>
      <w:pStyle w:val="a8"/>
      <w:tabs>
        <w:tab w:val="clear" w:pos="9639"/>
        <w:tab w:val="right" w:pos="9638"/>
      </w:tabs>
      <w:rPr>
        <w:b/>
        <w:sz w:val="18"/>
      </w:rPr>
    </w:pPr>
    <w:r>
      <w:t>GE.17-13930</w:t>
    </w:r>
    <w:r>
      <w:tab/>
    </w:r>
    <w:r w:rsidRPr="00C96B1E">
      <w:rPr>
        <w:b/>
        <w:sz w:val="18"/>
      </w:rPr>
      <w:fldChar w:fldCharType="begin"/>
    </w:r>
    <w:r w:rsidRPr="00C96B1E">
      <w:rPr>
        <w:b/>
        <w:sz w:val="18"/>
      </w:rPr>
      <w:instrText xml:space="preserve"> PAGE  \* MERGEFORMAT </w:instrText>
    </w:r>
    <w:r w:rsidRPr="00C96B1E">
      <w:rPr>
        <w:b/>
        <w:sz w:val="18"/>
      </w:rPr>
      <w:fldChar w:fldCharType="separate"/>
    </w:r>
    <w:r w:rsidR="004A6197">
      <w:rPr>
        <w:b/>
        <w:noProof/>
        <w:sz w:val="18"/>
      </w:rPr>
      <w:t>11</w:t>
    </w:r>
    <w:r w:rsidRPr="00C96B1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72" w:rsidRPr="00C96B1E" w:rsidRDefault="00C96B1E" w:rsidP="00C96B1E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7059BFC1" wp14:editId="3E1E3577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17-13930  (R)</w:t>
    </w:r>
    <w:r>
      <w:rPr>
        <w:lang w:val="en-US"/>
      </w:rPr>
      <w:t xml:space="preserve">  190917  250917</w:t>
    </w:r>
    <w:r>
      <w:br/>
    </w:r>
    <w:r w:rsidRPr="00C96B1E">
      <w:rPr>
        <w:rFonts w:ascii="C39T30Lfz" w:hAnsi="C39T30Lfz"/>
        <w:spacing w:val="0"/>
        <w:w w:val="100"/>
        <w:sz w:val="56"/>
      </w:rPr>
      <w:t></w:t>
    </w:r>
    <w:r w:rsidRPr="00C96B1E">
      <w:rPr>
        <w:rFonts w:ascii="C39T30Lfz" w:hAnsi="C39T30Lfz"/>
        <w:spacing w:val="0"/>
        <w:w w:val="100"/>
        <w:sz w:val="56"/>
      </w:rPr>
      <w:t></w:t>
    </w:r>
    <w:r w:rsidRPr="00C96B1E">
      <w:rPr>
        <w:rFonts w:ascii="C39T30Lfz" w:hAnsi="C39T30Lfz"/>
        <w:spacing w:val="0"/>
        <w:w w:val="100"/>
        <w:sz w:val="56"/>
      </w:rPr>
      <w:t></w:t>
    </w:r>
    <w:r w:rsidRPr="00C96B1E">
      <w:rPr>
        <w:rFonts w:ascii="C39T30Lfz" w:hAnsi="C39T30Lfz"/>
        <w:spacing w:val="0"/>
        <w:w w:val="100"/>
        <w:sz w:val="56"/>
      </w:rPr>
      <w:t></w:t>
    </w:r>
    <w:r w:rsidRPr="00C96B1E">
      <w:rPr>
        <w:rFonts w:ascii="C39T30Lfz" w:hAnsi="C39T30Lfz"/>
        <w:spacing w:val="0"/>
        <w:w w:val="100"/>
        <w:sz w:val="56"/>
      </w:rPr>
      <w:t></w:t>
    </w:r>
    <w:r w:rsidRPr="00C96B1E">
      <w:rPr>
        <w:rFonts w:ascii="C39T30Lfz" w:hAnsi="C39T30Lfz"/>
        <w:spacing w:val="0"/>
        <w:w w:val="100"/>
        <w:sz w:val="56"/>
      </w:rPr>
      <w:t></w:t>
    </w:r>
    <w:r w:rsidRPr="00C96B1E">
      <w:rPr>
        <w:rFonts w:ascii="C39T30Lfz" w:hAnsi="C39T30Lfz"/>
        <w:spacing w:val="0"/>
        <w:w w:val="100"/>
        <w:sz w:val="56"/>
      </w:rPr>
      <w:t></w:t>
    </w:r>
    <w:r w:rsidRPr="00C96B1E">
      <w:rPr>
        <w:rFonts w:ascii="C39T30Lfz" w:hAnsi="C39T30Lfz"/>
        <w:spacing w:val="0"/>
        <w:w w:val="100"/>
        <w:sz w:val="56"/>
      </w:rPr>
      <w:t></w:t>
    </w:r>
    <w:r w:rsidRPr="00C96B1E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7564" cy="637564"/>
          <wp:effectExtent l="0" t="0" r="0" b="0"/>
          <wp:wrapNone/>
          <wp:docPr id="1" name="Рисунок 1" descr="https://undocs.org/m2/QRCode.ashx?DS=ECE/CEP/2017/15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CEP/2017/15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64" cy="637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5A6" w:rsidRPr="001075E9" w:rsidRDefault="002A65A6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A65A6" w:rsidRDefault="002A65A6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C96B1E" w:rsidRPr="00D26A82" w:rsidRDefault="00C96B1E" w:rsidP="00C96B1E">
      <w:pPr>
        <w:pStyle w:val="ad"/>
        <w:rPr>
          <w:lang w:val="ru-RU"/>
        </w:rPr>
      </w:pPr>
      <w:r>
        <w:rPr>
          <w:lang w:val="ru-RU"/>
        </w:rPr>
        <w:tab/>
      </w:r>
      <w:r>
        <w:rPr>
          <w:rStyle w:val="aa"/>
          <w:lang w:val="ru-RU"/>
        </w:rPr>
        <w:footnoteRef/>
      </w:r>
      <w:r>
        <w:rPr>
          <w:lang w:val="ru-RU"/>
        </w:rPr>
        <w:tab/>
        <w:t>Резолюция 70/1 Генеральной Ассамблеи.</w:t>
      </w:r>
    </w:p>
  </w:footnote>
  <w:footnote w:id="2">
    <w:p w:rsidR="00C96B1E" w:rsidRPr="00C96B1E" w:rsidRDefault="00C96B1E" w:rsidP="00C96B1E">
      <w:pPr>
        <w:pStyle w:val="ad"/>
        <w:rPr>
          <w:lang w:val="ru-RU"/>
        </w:rPr>
      </w:pPr>
      <w:r>
        <w:rPr>
          <w:lang w:val="ru-RU"/>
        </w:rPr>
        <w:tab/>
      </w:r>
      <w:r>
        <w:rPr>
          <w:rStyle w:val="aa"/>
          <w:lang w:val="ru-RU"/>
        </w:rPr>
        <w:footnoteRef/>
      </w:r>
      <w:r>
        <w:rPr>
          <w:lang w:val="ru-RU"/>
        </w:rPr>
        <w:tab/>
        <w:t>См. пункты 4 и 5 резолюци</w:t>
      </w:r>
      <w:r>
        <w:rPr>
          <w:lang w:val="ru-RU"/>
        </w:rPr>
        <w:t>и 70/299 Генеральной Ассамблеи.</w:t>
      </w:r>
    </w:p>
  </w:footnote>
  <w:footnote w:id="3">
    <w:p w:rsidR="00C96B1E" w:rsidRPr="00D26A82" w:rsidRDefault="00C96B1E" w:rsidP="00C96B1E">
      <w:pPr>
        <w:pStyle w:val="ad"/>
        <w:rPr>
          <w:lang w:val="ru-RU"/>
        </w:rPr>
      </w:pPr>
      <w:r>
        <w:rPr>
          <w:lang w:val="ru-RU"/>
        </w:rPr>
        <w:tab/>
      </w:r>
      <w:r>
        <w:rPr>
          <w:rStyle w:val="aa"/>
          <w:lang w:val="ru-RU"/>
        </w:rPr>
        <w:footnoteRef/>
      </w:r>
      <w:r>
        <w:rPr>
          <w:lang w:val="ru-RU"/>
        </w:rPr>
        <w:tab/>
        <w:t xml:space="preserve">Более подробную информацию см. в разделе «Добровольные национальные обзоры» на Платформе знаний в области устойчивого развития Организации Объединенных Наций; размещено по адресу </w:t>
      </w:r>
      <w:hyperlink r:id="rId1" w:history="1">
        <w:r w:rsidRPr="00C96B1E">
          <w:rPr>
            <w:rStyle w:val="af1"/>
            <w:color w:val="auto"/>
            <w:lang w:val="ru-RU"/>
          </w:rPr>
          <w:t>https://sustainabledevelopment.un.org/vnrs/</w:t>
        </w:r>
      </w:hyperlink>
      <w:r>
        <w:rPr>
          <w:lang w:val="ru-RU"/>
        </w:rPr>
        <w:t>.</w:t>
      </w:r>
    </w:p>
  </w:footnote>
  <w:footnote w:id="4">
    <w:p w:rsidR="00C96B1E" w:rsidRPr="00DE1B78" w:rsidRDefault="00C96B1E" w:rsidP="00C96B1E">
      <w:pPr>
        <w:pStyle w:val="ad"/>
        <w:rPr>
          <w:lang w:val="ru-RU"/>
        </w:rPr>
      </w:pPr>
      <w:r>
        <w:rPr>
          <w:lang w:val="ru-RU"/>
        </w:rPr>
        <w:tab/>
      </w:r>
      <w:r>
        <w:rPr>
          <w:rStyle w:val="aa"/>
          <w:lang w:val="ru-RU"/>
        </w:rPr>
        <w:footnoteRef/>
      </w:r>
      <w:r>
        <w:rPr>
          <w:lang w:val="ru-RU"/>
        </w:rPr>
        <w:tab/>
        <w:t xml:space="preserve">См. </w:t>
      </w:r>
      <w:hyperlink r:id="rId2" w:history="1">
        <w:r w:rsidRPr="00DE1B78">
          <w:rPr>
            <w:rStyle w:val="af1"/>
            <w:color w:val="auto"/>
            <w:lang w:val="ru-RU"/>
          </w:rPr>
          <w:t>http://www.unece.org/rfsd2017</w:t>
        </w:r>
      </w:hyperlink>
      <w:r w:rsidR="00DE1B78">
        <w:rPr>
          <w:lang w:val="ru-RU"/>
        </w:rPr>
        <w:t>.</w:t>
      </w:r>
    </w:p>
  </w:footnote>
  <w:footnote w:id="5">
    <w:p w:rsidR="00C96B1E" w:rsidRPr="0035162A" w:rsidRDefault="00C96B1E" w:rsidP="00C96B1E">
      <w:pPr>
        <w:pStyle w:val="ad"/>
        <w:rPr>
          <w:lang w:val="ru-RU"/>
        </w:rPr>
      </w:pPr>
      <w:r>
        <w:rPr>
          <w:lang w:val="ru-RU"/>
        </w:rPr>
        <w:tab/>
      </w:r>
      <w:r>
        <w:rPr>
          <w:rStyle w:val="aa"/>
          <w:lang w:val="ru-RU"/>
        </w:rPr>
        <w:footnoteRef/>
      </w:r>
      <w:r>
        <w:rPr>
          <w:lang w:val="ru-RU"/>
        </w:rPr>
        <w:tab/>
        <w:t>См. A/71/6 (Программа 17), пункт 17.9.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B1E" w:rsidRPr="00C96B1E" w:rsidRDefault="00C96B1E">
    <w:pPr>
      <w:pStyle w:val="a5"/>
    </w:pPr>
    <w:fldSimple w:instr=" TITLE  \* MERGEFORMAT ">
      <w:r w:rsidR="004A6197">
        <w:t>ECE/CEP/2017/15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B1E" w:rsidRPr="00C96B1E" w:rsidRDefault="00C96B1E" w:rsidP="00C96B1E">
    <w:pPr>
      <w:pStyle w:val="a5"/>
      <w:jc w:val="right"/>
    </w:pPr>
    <w:fldSimple w:instr=" TITLE  \* MERGEFORMAT ">
      <w:r w:rsidR="004A6197">
        <w:t>ECE/CEP/2017/15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8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2"/>
  </w:num>
  <w:num w:numId="18">
    <w:abstractNumId w:val="14"/>
  </w:num>
  <w:num w:numId="19">
    <w:abstractNumId w:val="15"/>
  </w:num>
  <w:num w:numId="20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5A6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5F34"/>
    <w:rsid w:val="00196389"/>
    <w:rsid w:val="001B3EF6"/>
    <w:rsid w:val="001C7A89"/>
    <w:rsid w:val="00255343"/>
    <w:rsid w:val="0027151D"/>
    <w:rsid w:val="002A2EFC"/>
    <w:rsid w:val="002A65A6"/>
    <w:rsid w:val="002B0106"/>
    <w:rsid w:val="002B069F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A6197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28A3"/>
    <w:rsid w:val="00825F8D"/>
    <w:rsid w:val="00834B71"/>
    <w:rsid w:val="0086445C"/>
    <w:rsid w:val="0089079B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96B1E"/>
    <w:rsid w:val="00CA1679"/>
    <w:rsid w:val="00CB151C"/>
    <w:rsid w:val="00CD44B8"/>
    <w:rsid w:val="00CE5A1A"/>
    <w:rsid w:val="00CF55F6"/>
    <w:rsid w:val="00D33D63"/>
    <w:rsid w:val="00D5253A"/>
    <w:rsid w:val="00D90028"/>
    <w:rsid w:val="00D90138"/>
    <w:rsid w:val="00DC45C8"/>
    <w:rsid w:val="00DD78D1"/>
    <w:rsid w:val="00DE1B78"/>
    <w:rsid w:val="00DE32CD"/>
    <w:rsid w:val="00DF5767"/>
    <w:rsid w:val="00DF71B9"/>
    <w:rsid w:val="00E12C5F"/>
    <w:rsid w:val="00E73F76"/>
    <w:rsid w:val="00EA2C9F"/>
    <w:rsid w:val="00EA420E"/>
    <w:rsid w:val="00EB6BD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1">
    <w:name w:val="heading 1"/>
    <w:aliases w:val="Table_GR"/>
    <w:basedOn w:val="a"/>
    <w:next w:val="a"/>
    <w:link w:val="10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9C6FE6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9C6FE6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9C6FE6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9C6FE6"/>
  </w:style>
  <w:style w:type="character" w:customStyle="1" w:styleId="af0">
    <w:name w:val="Текст концевой сноски Знак"/>
    <w:aliases w:val="2_GR Знак"/>
    <w:basedOn w:val="a0"/>
    <w:link w:val="af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unhideWhenUsed/>
    <w:rsid w:val="009C6FE6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9C6FE6"/>
    <w:rPr>
      <w:color w:val="800080" w:themeColor="followedHyperlink"/>
      <w:u w:val="none"/>
    </w:rPr>
  </w:style>
  <w:style w:type="paragraph" w:customStyle="1" w:styleId="Bullet1G">
    <w:name w:val="_Bullet 1_G"/>
    <w:basedOn w:val="a"/>
    <w:rsid w:val="00C96B1E"/>
    <w:pPr>
      <w:numPr>
        <w:numId w:val="19"/>
      </w:numPr>
      <w:suppressAutoHyphens/>
      <w:spacing w:after="120"/>
      <w:ind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customStyle="1" w:styleId="Bullet2G">
    <w:name w:val="_Bullet 2_G"/>
    <w:basedOn w:val="a"/>
    <w:rsid w:val="00C96B1E"/>
    <w:pPr>
      <w:numPr>
        <w:numId w:val="20"/>
      </w:numPr>
      <w:suppressAutoHyphens/>
      <w:spacing w:after="120"/>
      <w:ind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customStyle="1" w:styleId="H23G">
    <w:name w:val="_ H_2/3_G"/>
    <w:basedOn w:val="a"/>
    <w:next w:val="a"/>
    <w:rsid w:val="00DE1B78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1">
    <w:name w:val="heading 1"/>
    <w:aliases w:val="Table_GR"/>
    <w:basedOn w:val="a"/>
    <w:next w:val="a"/>
    <w:link w:val="10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9C6FE6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9C6FE6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9C6FE6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9C6FE6"/>
  </w:style>
  <w:style w:type="character" w:customStyle="1" w:styleId="af0">
    <w:name w:val="Текст концевой сноски Знак"/>
    <w:aliases w:val="2_GR Знак"/>
    <w:basedOn w:val="a0"/>
    <w:link w:val="af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unhideWhenUsed/>
    <w:rsid w:val="009C6FE6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9C6FE6"/>
    <w:rPr>
      <w:color w:val="800080" w:themeColor="followedHyperlink"/>
      <w:u w:val="none"/>
    </w:rPr>
  </w:style>
  <w:style w:type="paragraph" w:customStyle="1" w:styleId="Bullet1G">
    <w:name w:val="_Bullet 1_G"/>
    <w:basedOn w:val="a"/>
    <w:rsid w:val="00C96B1E"/>
    <w:pPr>
      <w:numPr>
        <w:numId w:val="19"/>
      </w:numPr>
      <w:suppressAutoHyphens/>
      <w:spacing w:after="120"/>
      <w:ind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customStyle="1" w:styleId="Bullet2G">
    <w:name w:val="_Bullet 2_G"/>
    <w:basedOn w:val="a"/>
    <w:rsid w:val="00C96B1E"/>
    <w:pPr>
      <w:numPr>
        <w:numId w:val="20"/>
      </w:numPr>
      <w:suppressAutoHyphens/>
      <w:spacing w:after="120"/>
      <w:ind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customStyle="1" w:styleId="H23G">
    <w:name w:val="_ H_2/3_G"/>
    <w:basedOn w:val="a"/>
    <w:next w:val="a"/>
    <w:rsid w:val="00DE1B78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34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header" Target="header2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36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35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4.gif"/><Relationship Id="rId1" Type="http://schemas.openxmlformats.org/officeDocument/2006/relationships/image" Target="media/image23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ece.org/rfsd2017" TargetMode="External"/><Relationship Id="rId1" Type="http://schemas.openxmlformats.org/officeDocument/2006/relationships/hyperlink" Target="https://sustainabledevelopment.un.org/vnr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0CBFB-C7EB-4021-A407-25011BFB4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2</TotalTime>
  <Pages>11</Pages>
  <Words>4332</Words>
  <Characters>29318</Characters>
  <Application>Microsoft Office Word</Application>
  <DocSecurity>0</DocSecurity>
  <Lines>540</Lines>
  <Paragraphs>73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ECE/CEP/2017/15</vt:lpstr>
      <vt:lpstr>A/</vt:lpstr>
    </vt:vector>
  </TitlesOfParts>
  <Company>DCM</Company>
  <LinksUpToDate>false</LinksUpToDate>
  <CharactersWithSpaces>33595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ECE/CEP/2017/15</dc:title>
  <dc:subject/>
  <dc:creator>Kisseleva</dc:creator>
  <cp:keywords/>
  <cp:lastModifiedBy>Kisseleva</cp:lastModifiedBy>
  <cp:revision>3</cp:revision>
  <cp:lastPrinted>2017-09-25T09:27:00Z</cp:lastPrinted>
  <dcterms:created xsi:type="dcterms:W3CDTF">2017-09-25T09:27:00Z</dcterms:created>
  <dcterms:modified xsi:type="dcterms:W3CDTF">2017-09-25T09:29:00Z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