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F674163" w14:textId="77777777" w:rsidTr="009E6CB7">
        <w:trPr>
          <w:cantSplit/>
          <w:trHeight w:hRule="exact" w:val="851"/>
        </w:trPr>
        <w:tc>
          <w:tcPr>
            <w:tcW w:w="1276" w:type="dxa"/>
            <w:tcBorders>
              <w:bottom w:val="single" w:sz="4" w:space="0" w:color="auto"/>
            </w:tcBorders>
            <w:vAlign w:val="bottom"/>
          </w:tcPr>
          <w:p w14:paraId="40B586C0" w14:textId="77777777" w:rsidR="009E6CB7" w:rsidRDefault="009E6CB7" w:rsidP="009E6CB7">
            <w:pPr>
              <w:spacing w:after="80"/>
            </w:pPr>
          </w:p>
        </w:tc>
        <w:tc>
          <w:tcPr>
            <w:tcW w:w="2268" w:type="dxa"/>
            <w:tcBorders>
              <w:bottom w:val="single" w:sz="4" w:space="0" w:color="auto"/>
            </w:tcBorders>
            <w:vAlign w:val="bottom"/>
          </w:tcPr>
          <w:p w14:paraId="0EFF505D"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BAC6BD" w14:textId="77777777" w:rsidR="009E6CB7" w:rsidRPr="00D47EEA" w:rsidRDefault="00890272" w:rsidP="00890272">
            <w:pPr>
              <w:jc w:val="right"/>
            </w:pPr>
            <w:r w:rsidRPr="00890272">
              <w:rPr>
                <w:sz w:val="40"/>
              </w:rPr>
              <w:t>ECE</w:t>
            </w:r>
            <w:r>
              <w:t>/CEP/2017/10</w:t>
            </w:r>
          </w:p>
        </w:tc>
      </w:tr>
      <w:tr w:rsidR="009E6CB7" w14:paraId="6183ED4E" w14:textId="77777777" w:rsidTr="009E6CB7">
        <w:trPr>
          <w:cantSplit/>
          <w:trHeight w:hRule="exact" w:val="2835"/>
        </w:trPr>
        <w:tc>
          <w:tcPr>
            <w:tcW w:w="1276" w:type="dxa"/>
            <w:tcBorders>
              <w:top w:val="single" w:sz="4" w:space="0" w:color="auto"/>
              <w:bottom w:val="single" w:sz="12" w:space="0" w:color="auto"/>
            </w:tcBorders>
          </w:tcPr>
          <w:p w14:paraId="17444F34" w14:textId="77777777" w:rsidR="009E6CB7" w:rsidRDefault="00BC7F91" w:rsidP="009E6CB7">
            <w:pPr>
              <w:spacing w:before="120"/>
            </w:pPr>
            <w:r>
              <w:rPr>
                <w:noProof/>
                <w:lang w:val="en-US" w:eastAsia="zh-CN"/>
              </w:rPr>
              <w:drawing>
                <wp:inline distT="0" distB="0" distL="0" distR="0" wp14:anchorId="10F41E0D" wp14:editId="003188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9F485F"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A82D1F" w14:textId="77777777" w:rsidR="009E6CB7" w:rsidRDefault="00890272" w:rsidP="00890272">
            <w:pPr>
              <w:spacing w:before="240" w:line="240" w:lineRule="exact"/>
            </w:pPr>
            <w:r>
              <w:t>Distr.: General</w:t>
            </w:r>
          </w:p>
          <w:p w14:paraId="05D7B21E" w14:textId="4C06AD35" w:rsidR="00890272" w:rsidRDefault="00453ECA" w:rsidP="00890272">
            <w:pPr>
              <w:spacing w:line="240" w:lineRule="exact"/>
            </w:pPr>
            <w:r>
              <w:t>24</w:t>
            </w:r>
            <w:r w:rsidR="00890272">
              <w:t xml:space="preserve"> August 2017</w:t>
            </w:r>
          </w:p>
          <w:p w14:paraId="3ED8D0B0" w14:textId="77777777" w:rsidR="00890272" w:rsidRDefault="00890272" w:rsidP="00890272">
            <w:pPr>
              <w:spacing w:line="240" w:lineRule="exact"/>
            </w:pPr>
          </w:p>
          <w:p w14:paraId="1ECAB4B9" w14:textId="77777777" w:rsidR="00890272" w:rsidRDefault="00890272" w:rsidP="00890272">
            <w:pPr>
              <w:spacing w:line="240" w:lineRule="exact"/>
            </w:pPr>
            <w:r>
              <w:t>Original: English</w:t>
            </w:r>
          </w:p>
        </w:tc>
      </w:tr>
    </w:tbl>
    <w:p w14:paraId="1D33A9D9" w14:textId="77777777" w:rsidR="00890272" w:rsidRPr="00673BC2" w:rsidRDefault="00890272" w:rsidP="00890272">
      <w:pPr>
        <w:spacing w:before="120"/>
        <w:rPr>
          <w:b/>
          <w:sz w:val="28"/>
          <w:szCs w:val="28"/>
        </w:rPr>
      </w:pPr>
      <w:r w:rsidRPr="00673BC2">
        <w:rPr>
          <w:b/>
          <w:sz w:val="28"/>
          <w:szCs w:val="28"/>
        </w:rPr>
        <w:t>Economic Commission for Europe</w:t>
      </w:r>
    </w:p>
    <w:p w14:paraId="62079B82" w14:textId="00F8025F" w:rsidR="00890272" w:rsidRPr="00673BC2" w:rsidRDefault="00890272" w:rsidP="00890272">
      <w:pPr>
        <w:spacing w:before="120" w:line="240" w:lineRule="auto"/>
        <w:rPr>
          <w:bCs/>
          <w:sz w:val="28"/>
          <w:szCs w:val="28"/>
        </w:rPr>
      </w:pPr>
      <w:r w:rsidRPr="00673BC2">
        <w:rPr>
          <w:bCs/>
          <w:sz w:val="28"/>
          <w:szCs w:val="28"/>
        </w:rPr>
        <w:t>Committee on Environmental Policy</w:t>
      </w:r>
    </w:p>
    <w:p w14:paraId="58E5B479" w14:textId="77777777" w:rsidR="00890272" w:rsidRPr="00673BC2" w:rsidRDefault="00890272" w:rsidP="00890272">
      <w:pPr>
        <w:tabs>
          <w:tab w:val="left" w:pos="3261"/>
        </w:tabs>
        <w:spacing w:before="120"/>
        <w:rPr>
          <w:b/>
        </w:rPr>
      </w:pPr>
      <w:r w:rsidRPr="00673BC2">
        <w:rPr>
          <w:b/>
        </w:rPr>
        <w:t>Twenty-</w:t>
      </w:r>
      <w:r>
        <w:rPr>
          <w:b/>
        </w:rPr>
        <w:t>third</w:t>
      </w:r>
      <w:r w:rsidRPr="00673BC2">
        <w:rPr>
          <w:b/>
        </w:rPr>
        <w:t xml:space="preserve"> </w:t>
      </w:r>
      <w:proofErr w:type="gramStart"/>
      <w:r w:rsidRPr="00673BC2">
        <w:rPr>
          <w:b/>
        </w:rPr>
        <w:t>session</w:t>
      </w:r>
      <w:proofErr w:type="gramEnd"/>
    </w:p>
    <w:p w14:paraId="7F497586" w14:textId="77777777" w:rsidR="00890272" w:rsidRPr="00673BC2" w:rsidRDefault="00890272" w:rsidP="00890272">
      <w:r w:rsidRPr="00673BC2">
        <w:t xml:space="preserve">Geneva, </w:t>
      </w:r>
      <w:r>
        <w:t>14</w:t>
      </w:r>
      <w:r w:rsidRPr="00673BC2">
        <w:t>–</w:t>
      </w:r>
      <w:r>
        <w:t>1</w:t>
      </w:r>
      <w:r w:rsidRPr="00673BC2">
        <w:t xml:space="preserve">7 </w:t>
      </w:r>
      <w:r>
        <w:t>November</w:t>
      </w:r>
      <w:r w:rsidRPr="00673BC2">
        <w:t xml:space="preserve"> 2017</w:t>
      </w:r>
    </w:p>
    <w:p w14:paraId="402E8147" w14:textId="77777777" w:rsidR="00890272" w:rsidRPr="00673BC2" w:rsidRDefault="00890272" w:rsidP="00890272">
      <w:bookmarkStart w:id="0" w:name="_GoBack"/>
      <w:r w:rsidRPr="00673BC2">
        <w:t>I</w:t>
      </w:r>
      <w:bookmarkEnd w:id="0"/>
      <w:r w:rsidRPr="00673BC2">
        <w:t xml:space="preserve">tem </w:t>
      </w:r>
      <w:r>
        <w:t>9</w:t>
      </w:r>
      <w:r w:rsidRPr="00673BC2">
        <w:t xml:space="preserve"> </w:t>
      </w:r>
      <w:r w:rsidR="005134D0">
        <w:t xml:space="preserve">(d) </w:t>
      </w:r>
      <w:r w:rsidRPr="00673BC2">
        <w:t>of the provisional agenda</w:t>
      </w:r>
    </w:p>
    <w:p w14:paraId="53225456" w14:textId="7B989766" w:rsidR="001C6663" w:rsidRDefault="00890272" w:rsidP="00890272">
      <w:pPr>
        <w:rPr>
          <w:b/>
        </w:rPr>
      </w:pPr>
      <w:r w:rsidRPr="00763FC1">
        <w:rPr>
          <w:b/>
        </w:rPr>
        <w:t xml:space="preserve">Programme of work of the Environment </w:t>
      </w:r>
      <w:proofErr w:type="spellStart"/>
      <w:r w:rsidRPr="00763FC1">
        <w:rPr>
          <w:b/>
        </w:rPr>
        <w:t>subprogramme</w:t>
      </w:r>
      <w:proofErr w:type="spellEnd"/>
      <w:proofErr w:type="gramStart"/>
      <w:r>
        <w:rPr>
          <w:b/>
        </w:rPr>
        <w:t>:</w:t>
      </w:r>
      <w:proofErr w:type="gramEnd"/>
      <w:r>
        <w:rPr>
          <w:b/>
        </w:rPr>
        <w:br/>
      </w:r>
      <w:r w:rsidR="005134D0">
        <w:rPr>
          <w:b/>
        </w:rPr>
        <w:t>p</w:t>
      </w:r>
      <w:r w:rsidRPr="00F068EF">
        <w:rPr>
          <w:b/>
        </w:rPr>
        <w:t xml:space="preserve">roposed strategic framework </w:t>
      </w:r>
      <w:r w:rsidR="00812ACE">
        <w:rPr>
          <w:b/>
        </w:rPr>
        <w:t>for</w:t>
      </w:r>
      <w:r w:rsidR="00812ACE" w:rsidRPr="00F068EF">
        <w:rPr>
          <w:b/>
        </w:rPr>
        <w:t xml:space="preserve"> </w:t>
      </w:r>
      <w:r w:rsidRPr="00F068EF">
        <w:rPr>
          <w:b/>
        </w:rPr>
        <w:t xml:space="preserve">the Environment </w:t>
      </w:r>
      <w:r>
        <w:rPr>
          <w:b/>
        </w:rPr>
        <w:br/>
      </w:r>
      <w:proofErr w:type="spellStart"/>
      <w:r w:rsidRPr="00F068EF">
        <w:rPr>
          <w:b/>
        </w:rPr>
        <w:t>subprogramme</w:t>
      </w:r>
      <w:proofErr w:type="spellEnd"/>
      <w:r w:rsidRPr="00F068EF">
        <w:rPr>
          <w:b/>
        </w:rPr>
        <w:t xml:space="preserve"> for 2020-2021</w:t>
      </w:r>
    </w:p>
    <w:p w14:paraId="670A5562" w14:textId="77777777" w:rsidR="00890272" w:rsidRDefault="00890272" w:rsidP="00890272">
      <w:pPr>
        <w:pStyle w:val="HChG"/>
      </w:pPr>
      <w:r>
        <w:tab/>
      </w:r>
      <w:r>
        <w:tab/>
        <w:t xml:space="preserve">Draft proposed strategic framework of the Environment </w:t>
      </w:r>
      <w:proofErr w:type="spellStart"/>
      <w:r>
        <w:t>subprogramme</w:t>
      </w:r>
      <w:proofErr w:type="spellEnd"/>
      <w:r>
        <w:t xml:space="preserve"> for 2020-2021</w:t>
      </w:r>
    </w:p>
    <w:p w14:paraId="127A9142" w14:textId="77777777" w:rsidR="00890272" w:rsidRDefault="00890272" w:rsidP="00890272">
      <w:pPr>
        <w:pStyle w:val="H1G"/>
      </w:pPr>
      <w:r>
        <w:tab/>
      </w:r>
      <w:r>
        <w:tab/>
      </w:r>
      <w:r w:rsidRPr="00890272">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90272" w14:paraId="7A50CFF5" w14:textId="77777777" w:rsidTr="00890272">
        <w:trPr>
          <w:jc w:val="center"/>
        </w:trPr>
        <w:tc>
          <w:tcPr>
            <w:tcW w:w="9637" w:type="dxa"/>
            <w:shd w:val="clear" w:color="auto" w:fill="auto"/>
          </w:tcPr>
          <w:p w14:paraId="03233FBC" w14:textId="77777777" w:rsidR="00890272" w:rsidRPr="00890272" w:rsidRDefault="00890272" w:rsidP="00890272">
            <w:pPr>
              <w:spacing w:before="240" w:after="120"/>
              <w:ind w:left="255"/>
              <w:rPr>
                <w:i/>
                <w:sz w:val="24"/>
              </w:rPr>
            </w:pPr>
            <w:r w:rsidRPr="00890272">
              <w:rPr>
                <w:i/>
                <w:sz w:val="24"/>
              </w:rPr>
              <w:t>Summary</w:t>
            </w:r>
          </w:p>
        </w:tc>
      </w:tr>
      <w:tr w:rsidR="00890272" w14:paraId="4FDC2C5F" w14:textId="77777777" w:rsidTr="00890272">
        <w:trPr>
          <w:jc w:val="center"/>
        </w:trPr>
        <w:tc>
          <w:tcPr>
            <w:tcW w:w="9637" w:type="dxa"/>
            <w:shd w:val="clear" w:color="auto" w:fill="auto"/>
          </w:tcPr>
          <w:p w14:paraId="0946E0D9" w14:textId="1FB34579" w:rsidR="00890272" w:rsidRDefault="00890272" w:rsidP="006B36F7">
            <w:pPr>
              <w:pStyle w:val="SingleTxtG"/>
            </w:pPr>
            <w:r>
              <w:tab/>
              <w:t xml:space="preserve">The </w:t>
            </w:r>
            <w:r w:rsidR="005134D0">
              <w:t>s</w:t>
            </w:r>
            <w:r>
              <w:t xml:space="preserve">trategic </w:t>
            </w:r>
            <w:r w:rsidR="005134D0">
              <w:t>f</w:t>
            </w:r>
            <w:r>
              <w:t>ramework for the United Nations is prepared on a biennial basis in accordance with the Regulations and Rules Governing Programme Planning, the Programme Aspects of the Budget, the Monitoring of Implementation and the Methods of Evaluation (ST/SGB/20</w:t>
            </w:r>
            <w:r w:rsidR="007150E4">
              <w:t>16</w:t>
            </w:r>
            <w:r>
              <w:t>/</w:t>
            </w:r>
            <w:r w:rsidR="00283DCC">
              <w:t>6</w:t>
            </w:r>
            <w:r>
              <w:t>).</w:t>
            </w:r>
          </w:p>
          <w:p w14:paraId="7F2C8C2A" w14:textId="41E31F06" w:rsidR="00890272" w:rsidRDefault="00890272" w:rsidP="00890272">
            <w:pPr>
              <w:pStyle w:val="SingleTxtG"/>
            </w:pPr>
            <w:r>
              <w:tab/>
              <w:t xml:space="preserve">The present document contains a draft of the proposed strategic framework of the Environment </w:t>
            </w:r>
            <w:proofErr w:type="spellStart"/>
            <w:r>
              <w:t>subprogramme</w:t>
            </w:r>
            <w:proofErr w:type="spellEnd"/>
            <w:r>
              <w:t xml:space="preserve"> for 2020-2021, as a component part of the United Nations Economic Commission for Europe (ECE) </w:t>
            </w:r>
            <w:r w:rsidR="005134D0">
              <w:t>s</w:t>
            </w:r>
            <w:r>
              <w:t xml:space="preserve">trategic </w:t>
            </w:r>
            <w:r w:rsidR="005134D0">
              <w:t>f</w:t>
            </w:r>
            <w:r>
              <w:t>ramework for that period. The draft is being submitted for the consideration of the Committee on Environmental Policy and subsequent forwarding to the ECE Executive Committee for further consideration. A final draft will be submitted to the United Nations General Assembly for adoption at its seventy-third session.</w:t>
            </w:r>
          </w:p>
          <w:p w14:paraId="6B0A3552" w14:textId="00FCA870" w:rsidR="00890272" w:rsidRDefault="00890272" w:rsidP="00890272">
            <w:pPr>
              <w:pStyle w:val="SingleTxtG"/>
            </w:pPr>
            <w:r>
              <w:tab/>
              <w:t>The draft document was prepared by the secretariat and was considered by the Bureau at its meeting in Lisbon on 28</w:t>
            </w:r>
            <w:r w:rsidR="005134D0">
              <w:t xml:space="preserve"> and </w:t>
            </w:r>
            <w:r>
              <w:t>29 June 2017.</w:t>
            </w:r>
          </w:p>
          <w:p w14:paraId="01AC739E" w14:textId="77777777" w:rsidR="00890272" w:rsidRDefault="00890272" w:rsidP="00890272">
            <w:pPr>
              <w:pStyle w:val="SingleTxtG"/>
            </w:pPr>
            <w:r>
              <w:tab/>
              <w:t xml:space="preserve">The Committee is invited to review the proposed strategic framework of the Environment </w:t>
            </w:r>
            <w:proofErr w:type="spellStart"/>
            <w:r>
              <w:t>subprogramme</w:t>
            </w:r>
            <w:proofErr w:type="spellEnd"/>
            <w:r>
              <w:t xml:space="preserve"> for 2020-2021.</w:t>
            </w:r>
          </w:p>
        </w:tc>
      </w:tr>
      <w:tr w:rsidR="00890272" w14:paraId="0BC12432" w14:textId="77777777" w:rsidTr="00890272">
        <w:trPr>
          <w:jc w:val="center"/>
        </w:trPr>
        <w:tc>
          <w:tcPr>
            <w:tcW w:w="9637" w:type="dxa"/>
            <w:shd w:val="clear" w:color="auto" w:fill="auto"/>
          </w:tcPr>
          <w:p w14:paraId="4C9F064A" w14:textId="77777777" w:rsidR="00890272" w:rsidRDefault="00890272" w:rsidP="00890272"/>
        </w:tc>
      </w:tr>
    </w:tbl>
    <w:p w14:paraId="0B964771" w14:textId="77777777" w:rsidR="00890272" w:rsidRPr="00890272" w:rsidRDefault="00890272" w:rsidP="00890272"/>
    <w:p w14:paraId="1F3F7326" w14:textId="77777777" w:rsidR="00890272" w:rsidRDefault="00890272">
      <w:pPr>
        <w:suppressAutoHyphens w:val="0"/>
        <w:spacing w:line="240" w:lineRule="auto"/>
      </w:pPr>
      <w:r>
        <w:br w:type="page"/>
      </w:r>
    </w:p>
    <w:p w14:paraId="60313C04" w14:textId="77777777" w:rsidR="00890272" w:rsidRPr="00673BC2" w:rsidRDefault="00890272" w:rsidP="00C704F1">
      <w:pPr>
        <w:pStyle w:val="HChG"/>
        <w:spacing w:line="240" w:lineRule="auto"/>
      </w:pPr>
      <w:r>
        <w:lastRenderedPageBreak/>
        <w:tab/>
      </w:r>
      <w:r w:rsidRPr="00673BC2">
        <w:t>I.</w:t>
      </w:r>
      <w:r w:rsidRPr="00673BC2">
        <w:tab/>
      </w:r>
      <w:r>
        <w:t>Introduction</w:t>
      </w:r>
    </w:p>
    <w:p w14:paraId="5BD83CAB" w14:textId="6F675682" w:rsidR="00890272" w:rsidRPr="00240C54" w:rsidRDefault="00890272" w:rsidP="00283DCC">
      <w:pPr>
        <w:pStyle w:val="SingleTxtG"/>
      </w:pPr>
      <w:r w:rsidRPr="00240C54">
        <w:t>1.</w:t>
      </w:r>
      <w:r w:rsidRPr="00240C54">
        <w:tab/>
        <w:t xml:space="preserve">The </w:t>
      </w:r>
      <w:r w:rsidR="00E30552">
        <w:t>s</w:t>
      </w:r>
      <w:r w:rsidRPr="00240C54">
        <w:t xml:space="preserve">trategic </w:t>
      </w:r>
      <w:r w:rsidR="00E30552">
        <w:t>f</w:t>
      </w:r>
      <w:r w:rsidRPr="00240C54">
        <w:t xml:space="preserve">ramework </w:t>
      </w:r>
      <w:r>
        <w:t xml:space="preserve">of the United Nations — </w:t>
      </w:r>
      <w:r w:rsidRPr="00240C54">
        <w:t xml:space="preserve">the principal policy directive of the </w:t>
      </w:r>
      <w:r>
        <w:t>Organization —</w:t>
      </w:r>
      <w:r w:rsidR="00E1131E">
        <w:t xml:space="preserve"> </w:t>
      </w:r>
      <w:r w:rsidRPr="00240C54">
        <w:t>is prepared in accordance with the Regulations and Rules Governing Programme Planning, the Programme Aspects of the Budget, the Monitoring of Implementation and the Methods of Evaluation (ST/SGB/20</w:t>
      </w:r>
      <w:r w:rsidR="007150E4">
        <w:t>16</w:t>
      </w:r>
      <w:r w:rsidRPr="00240C54">
        <w:t>/</w:t>
      </w:r>
      <w:r w:rsidR="00283DCC">
        <w:t>6</w:t>
      </w:r>
      <w:r w:rsidRPr="00240C54">
        <w:t>).</w:t>
      </w:r>
      <w:r>
        <w:t xml:space="preserve"> It </w:t>
      </w:r>
      <w:r w:rsidRPr="00240C54">
        <w:t xml:space="preserve">reflects the </w:t>
      </w:r>
      <w:r>
        <w:t>o</w:t>
      </w:r>
      <w:r w:rsidRPr="00240C54">
        <w:t>rganizational priorities of the United Nations Member States, and translates legislative mandates into programmes (</w:t>
      </w:r>
      <w:r>
        <w:t>d</w:t>
      </w:r>
      <w:r w:rsidRPr="00240C54">
        <w:t xml:space="preserve">epartments) and </w:t>
      </w:r>
      <w:proofErr w:type="spellStart"/>
      <w:r w:rsidRPr="00240C54">
        <w:t>subprogrammes</w:t>
      </w:r>
      <w:proofErr w:type="spellEnd"/>
      <w:r w:rsidRPr="00240C54">
        <w:t xml:space="preserve"> (substantive areas of work) financed by the regular budget. The </w:t>
      </w:r>
      <w:r w:rsidR="00E1131E">
        <w:t>s</w:t>
      </w:r>
      <w:r w:rsidRPr="00240C54">
        <w:t xml:space="preserve">trategic </w:t>
      </w:r>
      <w:r w:rsidR="00E1131E">
        <w:t>f</w:t>
      </w:r>
      <w:r w:rsidRPr="00240C54">
        <w:t>ramework covers two years (a biennium) and serves as the basis for the preparation of the proposed programme budget.</w:t>
      </w:r>
    </w:p>
    <w:p w14:paraId="119C5673" w14:textId="16CDB660" w:rsidR="00890272" w:rsidRPr="00240C54" w:rsidRDefault="00890272" w:rsidP="001B795B">
      <w:pPr>
        <w:pStyle w:val="SingleTxtG"/>
        <w:spacing w:line="240" w:lineRule="auto"/>
      </w:pPr>
      <w:r w:rsidRPr="00240C54">
        <w:t>2.</w:t>
      </w:r>
      <w:r w:rsidRPr="00240C54">
        <w:tab/>
        <w:t xml:space="preserve">The </w:t>
      </w:r>
      <w:r>
        <w:t>s</w:t>
      </w:r>
      <w:r w:rsidRPr="00240C54">
        <w:t xml:space="preserve">trategic </w:t>
      </w:r>
      <w:r>
        <w:t>f</w:t>
      </w:r>
      <w:r w:rsidRPr="00240C54">
        <w:t xml:space="preserve">ramework of each United Nations </w:t>
      </w:r>
      <w:r>
        <w:t>d</w:t>
      </w:r>
      <w:r w:rsidRPr="00240C54">
        <w:t xml:space="preserve">epartment contains a short narrative highlighting the main themes of programmatic activity (overall orientation) </w:t>
      </w:r>
      <w:r w:rsidR="007257F6">
        <w:t xml:space="preserve">and </w:t>
      </w:r>
      <w:r w:rsidRPr="00240C54">
        <w:t>logical frameworks (</w:t>
      </w:r>
      <w:proofErr w:type="spellStart"/>
      <w:r w:rsidRPr="00240C54">
        <w:t>logframes</w:t>
      </w:r>
      <w:proofErr w:type="spellEnd"/>
      <w:r w:rsidRPr="00240C54">
        <w:t xml:space="preserve">) of its constituent </w:t>
      </w:r>
      <w:proofErr w:type="spellStart"/>
      <w:r w:rsidRPr="00240C54">
        <w:t>subprogrammes</w:t>
      </w:r>
      <w:proofErr w:type="spellEnd"/>
      <w:r w:rsidRPr="00240C54">
        <w:t xml:space="preserve">. </w:t>
      </w:r>
      <w:r w:rsidR="00E1131E">
        <w:t xml:space="preserve">The </w:t>
      </w:r>
      <w:proofErr w:type="spellStart"/>
      <w:r w:rsidRPr="00240C54">
        <w:t>logframe</w:t>
      </w:r>
      <w:proofErr w:type="spellEnd"/>
      <w:r w:rsidRPr="00240C54">
        <w:t xml:space="preserve"> </w:t>
      </w:r>
      <w:r w:rsidR="00E1131E">
        <w:t xml:space="preserve">of each </w:t>
      </w:r>
      <w:proofErr w:type="spellStart"/>
      <w:r w:rsidR="00E1131E">
        <w:t>subprogramme</w:t>
      </w:r>
      <w:proofErr w:type="spellEnd"/>
      <w:r w:rsidR="00E1131E">
        <w:t xml:space="preserve"> </w:t>
      </w:r>
      <w:r w:rsidRPr="00240C54">
        <w:t xml:space="preserve">follows </w:t>
      </w:r>
      <w:r w:rsidR="00E1131E">
        <w:t xml:space="preserve">a </w:t>
      </w:r>
      <w:r w:rsidRPr="00240C54">
        <w:t>results-based approach and articulates its objective, expected accomplishments, indicators of achievement, performance measures,</w:t>
      </w:r>
      <w:r>
        <w:t xml:space="preserve"> strategy and external factors.</w:t>
      </w:r>
    </w:p>
    <w:p w14:paraId="35AD2397" w14:textId="0BA7E9E1" w:rsidR="00890272" w:rsidRPr="00240C54" w:rsidRDefault="00890272" w:rsidP="00301FCF">
      <w:pPr>
        <w:pStyle w:val="SingleTxtG"/>
        <w:spacing w:line="240" w:lineRule="auto"/>
      </w:pPr>
      <w:r w:rsidRPr="00240C54">
        <w:t>3.</w:t>
      </w:r>
      <w:r w:rsidRPr="00240C54">
        <w:tab/>
        <w:t xml:space="preserve">The United Nations Economic Commission for Europe (ECE) Committee on Environmental Policy </w:t>
      </w:r>
      <w:r>
        <w:t>reviewed and provided comments to</w:t>
      </w:r>
      <w:r w:rsidRPr="00240C54">
        <w:t xml:space="preserve"> the </w:t>
      </w:r>
      <w:r>
        <w:t>d</w:t>
      </w:r>
      <w:r w:rsidRPr="00240C54">
        <w:t xml:space="preserve">raft </w:t>
      </w:r>
      <w:r>
        <w:t>s</w:t>
      </w:r>
      <w:r w:rsidRPr="00240C54">
        <w:t xml:space="preserve">trategic </w:t>
      </w:r>
      <w:r>
        <w:t>f</w:t>
      </w:r>
      <w:r w:rsidRPr="00240C54">
        <w:t xml:space="preserve">ramework of the Environment </w:t>
      </w:r>
      <w:proofErr w:type="spellStart"/>
      <w:r w:rsidRPr="00240C54">
        <w:t>subprogramme</w:t>
      </w:r>
      <w:proofErr w:type="spellEnd"/>
      <w:r w:rsidRPr="00240C54">
        <w:t xml:space="preserve"> for 20</w:t>
      </w:r>
      <w:r>
        <w:t>18-</w:t>
      </w:r>
      <w:r w:rsidRPr="00240C54">
        <w:t>20</w:t>
      </w:r>
      <w:r>
        <w:t>19</w:t>
      </w:r>
      <w:r w:rsidRPr="00240C54">
        <w:t xml:space="preserve"> (</w:t>
      </w:r>
      <w:r>
        <w:t>ECE/CEP/2015/7</w:t>
      </w:r>
      <w:r w:rsidRPr="00240C54">
        <w:t>)</w:t>
      </w:r>
      <w:r w:rsidR="00E1131E" w:rsidRPr="00240C54">
        <w:rPr>
          <w:rStyle w:val="FootnoteReference"/>
        </w:rPr>
        <w:footnoteReference w:id="2"/>
      </w:r>
      <w:r w:rsidRPr="00240C54">
        <w:t xml:space="preserve"> at its </w:t>
      </w:r>
      <w:r>
        <w:t>twenty-first</w:t>
      </w:r>
      <w:r w:rsidRPr="00240C54">
        <w:t xml:space="preserve"> session in October 201</w:t>
      </w:r>
      <w:r>
        <w:t>5</w:t>
      </w:r>
      <w:r w:rsidRPr="00240C54">
        <w:t>.</w:t>
      </w:r>
    </w:p>
    <w:p w14:paraId="4E3B18F8" w14:textId="60CB5F7F" w:rsidR="00890272" w:rsidRDefault="00890272" w:rsidP="00301FCF">
      <w:pPr>
        <w:pStyle w:val="SingleTxtG"/>
        <w:spacing w:line="240" w:lineRule="auto"/>
      </w:pPr>
      <w:r w:rsidRPr="00240C54">
        <w:t>4.</w:t>
      </w:r>
      <w:r w:rsidRPr="00240C54">
        <w:tab/>
        <w:t xml:space="preserve">The present document contains the </w:t>
      </w:r>
      <w:r>
        <w:t>d</w:t>
      </w:r>
      <w:r w:rsidRPr="00240C54">
        <w:t xml:space="preserve">raft </w:t>
      </w:r>
      <w:r>
        <w:t>s</w:t>
      </w:r>
      <w:r w:rsidRPr="00240C54">
        <w:t xml:space="preserve">trategic </w:t>
      </w:r>
      <w:r>
        <w:t>f</w:t>
      </w:r>
      <w:r w:rsidRPr="00240C54">
        <w:t xml:space="preserve">ramework </w:t>
      </w:r>
      <w:r>
        <w:t xml:space="preserve">of </w:t>
      </w:r>
      <w:r w:rsidRPr="00240C54">
        <w:t xml:space="preserve">the Environment </w:t>
      </w:r>
      <w:proofErr w:type="spellStart"/>
      <w:r w:rsidRPr="00240C54">
        <w:t>subprogramme</w:t>
      </w:r>
      <w:proofErr w:type="spellEnd"/>
      <w:r w:rsidRPr="00240C54">
        <w:t xml:space="preserve"> for 20</w:t>
      </w:r>
      <w:r>
        <w:t>20-</w:t>
      </w:r>
      <w:r w:rsidRPr="00240C54">
        <w:t>20</w:t>
      </w:r>
      <w:r>
        <w:t>21</w:t>
      </w:r>
      <w:r w:rsidRPr="00240C54">
        <w:t xml:space="preserve">, as a component part of the ECE </w:t>
      </w:r>
      <w:r w:rsidR="00E1131E">
        <w:t>s</w:t>
      </w:r>
      <w:r w:rsidRPr="00240C54">
        <w:t xml:space="preserve">trategic </w:t>
      </w:r>
      <w:r w:rsidR="00E1131E">
        <w:t>f</w:t>
      </w:r>
      <w:r w:rsidRPr="00240C54">
        <w:t xml:space="preserve">ramework for the </w:t>
      </w:r>
      <w:r>
        <w:t xml:space="preserve">same </w:t>
      </w:r>
      <w:r w:rsidRPr="00240C54">
        <w:t xml:space="preserve">biennium. </w:t>
      </w:r>
      <w:r w:rsidR="00DF6EC6">
        <w:t xml:space="preserve">After consideration by the </w:t>
      </w:r>
      <w:r>
        <w:t>Committee on Environmental Policy</w:t>
      </w:r>
      <w:r w:rsidR="00DF6EC6">
        <w:t xml:space="preserve">, the draft will be forwarded to </w:t>
      </w:r>
      <w:r w:rsidRPr="00240C54">
        <w:t>the ECE Executive Committee</w:t>
      </w:r>
      <w:r w:rsidR="00DF6EC6">
        <w:t xml:space="preserve">. A </w:t>
      </w:r>
      <w:r w:rsidRPr="00240C54">
        <w:t xml:space="preserve">final draft will </w:t>
      </w:r>
      <w:r w:rsidR="00DF6EC6">
        <w:t xml:space="preserve">then </w:t>
      </w:r>
      <w:r w:rsidRPr="00240C54">
        <w:t>be submitted to the United Nations General Assembly for adoption at its seventy-</w:t>
      </w:r>
      <w:r>
        <w:t>third</w:t>
      </w:r>
      <w:r w:rsidRPr="00240C54">
        <w:t xml:space="preserve"> session, which convenes </w:t>
      </w:r>
      <w:r>
        <w:t>in</w:t>
      </w:r>
      <w:r w:rsidRPr="00240C54">
        <w:t xml:space="preserve"> September 201</w:t>
      </w:r>
      <w:r>
        <w:t>8</w:t>
      </w:r>
      <w:r w:rsidRPr="00240C54">
        <w:t>.</w:t>
      </w:r>
    </w:p>
    <w:p w14:paraId="4C39B603" w14:textId="751B7F46" w:rsidR="00890272" w:rsidRPr="00240C54" w:rsidRDefault="00890272" w:rsidP="00301FCF">
      <w:pPr>
        <w:pStyle w:val="SingleTxtG"/>
        <w:spacing w:line="240" w:lineRule="auto"/>
      </w:pPr>
      <w:r>
        <w:t>5.</w:t>
      </w:r>
      <w:r>
        <w:tab/>
        <w:t xml:space="preserve">The draft document was prepared by the secretariat and was considered by the </w:t>
      </w:r>
      <w:r w:rsidR="00DF6EC6">
        <w:t xml:space="preserve">Committee’s </w:t>
      </w:r>
      <w:r>
        <w:rPr>
          <w:rFonts w:eastAsia="ヒラギノ角ゴ Pro W3"/>
          <w:lang w:eastAsia="en-GB"/>
        </w:rPr>
        <w:t>Bureau</w:t>
      </w:r>
      <w:r w:rsidRPr="009B4CC0">
        <w:rPr>
          <w:rFonts w:eastAsia="ヒラギノ角ゴ Pro W3"/>
          <w:lang w:eastAsia="en-GB"/>
        </w:rPr>
        <w:t xml:space="preserve"> </w:t>
      </w:r>
      <w:r>
        <w:rPr>
          <w:rFonts w:eastAsia="ヒラギノ角ゴ Pro W3"/>
          <w:lang w:eastAsia="en-GB"/>
        </w:rPr>
        <w:t>at its meeting in Lisbon, on 28</w:t>
      </w:r>
      <w:r w:rsidR="00DF6EC6">
        <w:rPr>
          <w:rFonts w:eastAsia="ヒラギノ角ゴ Pro W3"/>
          <w:lang w:eastAsia="en-GB"/>
        </w:rPr>
        <w:t xml:space="preserve"> and </w:t>
      </w:r>
      <w:r>
        <w:rPr>
          <w:rFonts w:eastAsia="ヒラギノ角ゴ Pro W3"/>
          <w:lang w:eastAsia="en-GB"/>
        </w:rPr>
        <w:t>29 June 2017.</w:t>
      </w:r>
    </w:p>
    <w:p w14:paraId="5D087BB6" w14:textId="52600935" w:rsidR="00890272" w:rsidRPr="00240C54" w:rsidRDefault="00890272" w:rsidP="00301FCF">
      <w:pPr>
        <w:pStyle w:val="SingleTxtG"/>
        <w:spacing w:line="240" w:lineRule="auto"/>
      </w:pPr>
      <w:r>
        <w:t>6</w:t>
      </w:r>
      <w:r w:rsidRPr="00240C54">
        <w:t>.</w:t>
      </w:r>
      <w:r w:rsidRPr="00240C54">
        <w:tab/>
      </w:r>
      <w:r>
        <w:t>The Committee</w:t>
      </w:r>
      <w:r w:rsidRPr="00240C54">
        <w:t xml:space="preserve"> </w:t>
      </w:r>
      <w:r w:rsidR="00DF6EC6">
        <w:t xml:space="preserve">is </w:t>
      </w:r>
      <w:r w:rsidRPr="00240C54">
        <w:t>invited to consider the document with a view to provid</w:t>
      </w:r>
      <w:r>
        <w:t>ing</w:t>
      </w:r>
      <w:r w:rsidRPr="00240C54">
        <w:t xml:space="preserve"> recommendations</w:t>
      </w:r>
      <w:r>
        <w:t>,</w:t>
      </w:r>
      <w:r w:rsidRPr="00240C54">
        <w:t xml:space="preserve"> as appropriate.</w:t>
      </w:r>
    </w:p>
    <w:p w14:paraId="297EE12A" w14:textId="75F9157E" w:rsidR="00890272" w:rsidRPr="00240C54" w:rsidRDefault="00890272" w:rsidP="00890272">
      <w:pPr>
        <w:pStyle w:val="HChG"/>
      </w:pPr>
      <w:r w:rsidRPr="00240C54">
        <w:tab/>
        <w:t>II.</w:t>
      </w:r>
      <w:r w:rsidRPr="00240C54">
        <w:tab/>
        <w:t xml:space="preserve">Draft proposed strategic framework </w:t>
      </w:r>
      <w:r>
        <w:t xml:space="preserve">of </w:t>
      </w:r>
      <w:r w:rsidRPr="00240C54">
        <w:t xml:space="preserve">the Environment </w:t>
      </w:r>
      <w:proofErr w:type="spellStart"/>
      <w:r w:rsidRPr="00240C54">
        <w:t>subprogramme</w:t>
      </w:r>
      <w:proofErr w:type="spellEnd"/>
      <w:r w:rsidRPr="00240C54">
        <w:t xml:space="preserve"> for </w:t>
      </w:r>
      <w:r w:rsidR="00235480">
        <w:t>2020-2021</w:t>
      </w:r>
    </w:p>
    <w:p w14:paraId="0390DF41" w14:textId="77777777" w:rsidR="00F507EC" w:rsidRDefault="00890272" w:rsidP="00890272">
      <w:pPr>
        <w:pStyle w:val="H1G"/>
        <w:rPr>
          <w:rFonts w:eastAsia="Calibri"/>
          <w:w w:val="103"/>
        </w:rPr>
      </w:pPr>
      <w:r w:rsidRPr="00240C54">
        <w:rPr>
          <w:rFonts w:eastAsia="Calibri"/>
          <w:w w:val="103"/>
        </w:rPr>
        <w:tab/>
        <w:t>A.</w:t>
      </w:r>
      <w:r w:rsidRPr="00240C54">
        <w:rPr>
          <w:rFonts w:eastAsia="Calibri"/>
          <w:w w:val="103"/>
        </w:rPr>
        <w:tab/>
        <w:t>Objectives for the biennium, expected accomplishments, indicators of achievement and performance measures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16"/>
        <w:gridCol w:w="2676"/>
        <w:gridCol w:w="797"/>
        <w:gridCol w:w="840"/>
        <w:gridCol w:w="911"/>
        <w:gridCol w:w="14"/>
        <w:gridCol w:w="861"/>
      </w:tblGrid>
      <w:tr w:rsidR="00890272" w14:paraId="68B5CFA8" w14:textId="77777777" w:rsidTr="000125F5">
        <w:trPr>
          <w:gridAfter w:val="1"/>
          <w:wAfter w:w="861" w:type="dxa"/>
          <w:trHeight w:hRule="exact" w:val="240"/>
          <w:jc w:val="center"/>
        </w:trPr>
        <w:tc>
          <w:tcPr>
            <w:tcW w:w="7654" w:type="dxa"/>
            <w:gridSpan w:val="6"/>
            <w:tcBorders>
              <w:top w:val="single" w:sz="4" w:space="0" w:color="auto"/>
            </w:tcBorders>
            <w:shd w:val="clear" w:color="auto" w:fill="auto"/>
          </w:tcPr>
          <w:p w14:paraId="67D16FAB" w14:textId="77777777" w:rsidR="00890272" w:rsidRDefault="00890272" w:rsidP="00890272">
            <w:pPr>
              <w:suppressAutoHyphens w:val="0"/>
              <w:spacing w:line="240" w:lineRule="auto"/>
            </w:pPr>
          </w:p>
        </w:tc>
      </w:tr>
      <w:tr w:rsidR="00890272" w14:paraId="5757B3B4" w14:textId="77777777" w:rsidTr="000125F5">
        <w:trPr>
          <w:gridAfter w:val="1"/>
          <w:wAfter w:w="861" w:type="dxa"/>
          <w:jc w:val="center"/>
        </w:trPr>
        <w:tc>
          <w:tcPr>
            <w:tcW w:w="7654" w:type="dxa"/>
            <w:gridSpan w:val="6"/>
            <w:tcBorders>
              <w:bottom w:val="nil"/>
            </w:tcBorders>
            <w:shd w:val="clear" w:color="auto" w:fill="auto"/>
            <w:tcMar>
              <w:left w:w="142" w:type="dxa"/>
              <w:right w:w="142" w:type="dxa"/>
            </w:tcMar>
          </w:tcPr>
          <w:p w14:paraId="21EC4663" w14:textId="77777777" w:rsidR="000125F5" w:rsidRDefault="000125F5" w:rsidP="000125F5">
            <w:pPr>
              <w:spacing w:after="120"/>
              <w:ind w:left="482" w:right="482"/>
              <w:jc w:val="both"/>
              <w:rPr>
                <w:b/>
              </w:rPr>
            </w:pPr>
            <w:r>
              <w:rPr>
                <w:b/>
              </w:rPr>
              <w:t>Objective of the Organization</w:t>
            </w:r>
          </w:p>
          <w:p w14:paraId="0054FC17" w14:textId="30533550" w:rsidR="00890272" w:rsidRDefault="000125F5" w:rsidP="00627106">
            <w:pPr>
              <w:spacing w:after="120"/>
              <w:ind w:left="482" w:right="482"/>
              <w:jc w:val="both"/>
            </w:pPr>
            <w:r w:rsidRPr="00462C52">
              <w:t xml:space="preserve">To improve environmental governance and performance throughout the region </w:t>
            </w:r>
            <w:r w:rsidR="00DF6EC6">
              <w:t xml:space="preserve">to </w:t>
            </w:r>
            <w:r w:rsidRPr="00462C52">
              <w:t>safeguard the environment and health</w:t>
            </w:r>
          </w:p>
        </w:tc>
      </w:tr>
      <w:tr w:rsidR="000125F5" w14:paraId="43C4D3C4" w14:textId="77777777" w:rsidTr="000125F5">
        <w:trPr>
          <w:gridAfter w:val="1"/>
          <w:wAfter w:w="861" w:type="dxa"/>
          <w:jc w:val="center"/>
        </w:trPr>
        <w:tc>
          <w:tcPr>
            <w:tcW w:w="7654" w:type="dxa"/>
            <w:gridSpan w:val="6"/>
            <w:tcBorders>
              <w:bottom w:val="nil"/>
            </w:tcBorders>
            <w:shd w:val="clear" w:color="auto" w:fill="auto"/>
            <w:tcMar>
              <w:left w:w="142" w:type="dxa"/>
              <w:right w:w="142" w:type="dxa"/>
            </w:tcMar>
          </w:tcPr>
          <w:p w14:paraId="5A95E6D1" w14:textId="77777777" w:rsidR="000125F5" w:rsidRDefault="000125F5" w:rsidP="00C47007">
            <w:pPr>
              <w:ind w:left="482" w:right="482"/>
              <w:jc w:val="both"/>
              <w:rPr>
                <w:b/>
              </w:rPr>
            </w:pPr>
          </w:p>
        </w:tc>
      </w:tr>
      <w:tr w:rsidR="00890272" w14:paraId="2F1DA3D3" w14:textId="77777777" w:rsidTr="000125F5">
        <w:trPr>
          <w:gridAfter w:val="1"/>
          <w:wAfter w:w="861" w:type="dxa"/>
          <w:trHeight w:hRule="exact" w:val="20"/>
          <w:jc w:val="center"/>
        </w:trPr>
        <w:tc>
          <w:tcPr>
            <w:tcW w:w="7654" w:type="dxa"/>
            <w:gridSpan w:val="6"/>
            <w:tcBorders>
              <w:bottom w:val="single" w:sz="4" w:space="0" w:color="auto"/>
            </w:tcBorders>
            <w:shd w:val="clear" w:color="auto" w:fill="auto"/>
          </w:tcPr>
          <w:p w14:paraId="70FCD8FF" w14:textId="77777777" w:rsidR="00890272" w:rsidRDefault="00890272" w:rsidP="00890272">
            <w:pPr>
              <w:suppressAutoHyphens w:val="0"/>
              <w:spacing w:line="240" w:lineRule="auto"/>
            </w:pPr>
          </w:p>
        </w:tc>
      </w:tr>
      <w:tr w:rsidR="000125F5" w:rsidRPr="00240C54" w14:paraId="28ECE1FC"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trHeight w:val="278"/>
          <w:jc w:val="center"/>
        </w:trPr>
        <w:tc>
          <w:tcPr>
            <w:tcW w:w="2416" w:type="dxa"/>
            <w:vMerge w:val="restart"/>
            <w:tcBorders>
              <w:top w:val="single" w:sz="4" w:space="0" w:color="auto"/>
              <w:bottom w:val="single" w:sz="12" w:space="0" w:color="auto"/>
            </w:tcBorders>
            <w:shd w:val="clear" w:color="auto" w:fill="auto"/>
            <w:vAlign w:val="bottom"/>
          </w:tcPr>
          <w:p w14:paraId="1F22B2CA" w14:textId="77777777" w:rsidR="000125F5" w:rsidRPr="00240C54" w:rsidRDefault="000125F5" w:rsidP="00167F8D">
            <w:pPr>
              <w:pageBreakBefore/>
              <w:suppressAutoHyphens w:val="0"/>
              <w:spacing w:before="80" w:after="80" w:line="200" w:lineRule="exact"/>
              <w:ind w:right="113"/>
              <w:rPr>
                <w:i/>
                <w:sz w:val="16"/>
                <w:szCs w:val="16"/>
              </w:rPr>
            </w:pPr>
            <w:r w:rsidRPr="00240C54">
              <w:rPr>
                <w:i/>
                <w:sz w:val="16"/>
                <w:szCs w:val="16"/>
              </w:rPr>
              <w:lastRenderedPageBreak/>
              <w:t>Expected accomplishments of the secretariat</w:t>
            </w:r>
          </w:p>
        </w:tc>
        <w:tc>
          <w:tcPr>
            <w:tcW w:w="2676" w:type="dxa"/>
            <w:vMerge w:val="restart"/>
            <w:tcBorders>
              <w:top w:val="single" w:sz="4" w:space="0" w:color="auto"/>
              <w:bottom w:val="single" w:sz="12" w:space="0" w:color="auto"/>
            </w:tcBorders>
            <w:shd w:val="clear" w:color="auto" w:fill="auto"/>
            <w:vAlign w:val="bottom"/>
          </w:tcPr>
          <w:p w14:paraId="1131C0C2" w14:textId="77777777" w:rsidR="000125F5" w:rsidRPr="00240C54" w:rsidRDefault="000125F5" w:rsidP="00167F8D">
            <w:pPr>
              <w:suppressAutoHyphens w:val="0"/>
              <w:spacing w:before="80" w:after="80" w:line="200" w:lineRule="exact"/>
              <w:ind w:right="113"/>
              <w:rPr>
                <w:i/>
                <w:sz w:val="16"/>
                <w:szCs w:val="16"/>
              </w:rPr>
            </w:pPr>
            <w:r w:rsidRPr="00240C54">
              <w:rPr>
                <w:i/>
                <w:sz w:val="16"/>
                <w:szCs w:val="16"/>
              </w:rPr>
              <w:t>Indicators of achievement</w:t>
            </w:r>
          </w:p>
        </w:tc>
        <w:tc>
          <w:tcPr>
            <w:tcW w:w="3418" w:type="dxa"/>
            <w:gridSpan w:val="5"/>
            <w:tcBorders>
              <w:top w:val="single" w:sz="4" w:space="0" w:color="auto"/>
              <w:bottom w:val="single" w:sz="4" w:space="0" w:color="auto"/>
            </w:tcBorders>
            <w:shd w:val="clear" w:color="auto" w:fill="auto"/>
          </w:tcPr>
          <w:p w14:paraId="3CBC8FFE" w14:textId="77777777" w:rsidR="000125F5" w:rsidRPr="00240C54" w:rsidRDefault="000125F5" w:rsidP="00167F8D">
            <w:pPr>
              <w:suppressAutoHyphens w:val="0"/>
              <w:spacing w:before="80" w:after="80" w:line="200" w:lineRule="exact"/>
              <w:ind w:right="113"/>
              <w:jc w:val="center"/>
              <w:rPr>
                <w:i/>
                <w:sz w:val="16"/>
                <w:szCs w:val="16"/>
              </w:rPr>
            </w:pPr>
            <w:r w:rsidRPr="00240C54">
              <w:rPr>
                <w:i/>
                <w:sz w:val="16"/>
                <w:szCs w:val="16"/>
              </w:rPr>
              <w:t>Performance measures</w:t>
            </w:r>
          </w:p>
        </w:tc>
      </w:tr>
      <w:tr w:rsidR="000125F5" w:rsidRPr="00240C54" w14:paraId="10180BA9"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trHeight w:val="277"/>
          <w:jc w:val="center"/>
        </w:trPr>
        <w:tc>
          <w:tcPr>
            <w:tcW w:w="2416" w:type="dxa"/>
            <w:vMerge/>
            <w:tcBorders>
              <w:top w:val="single" w:sz="4" w:space="0" w:color="auto"/>
              <w:bottom w:val="single" w:sz="12" w:space="0" w:color="auto"/>
            </w:tcBorders>
            <w:shd w:val="clear" w:color="auto" w:fill="auto"/>
          </w:tcPr>
          <w:p w14:paraId="22A64ACE" w14:textId="77777777" w:rsidR="000125F5" w:rsidRPr="00240C54" w:rsidRDefault="000125F5" w:rsidP="00167F8D">
            <w:pPr>
              <w:suppressAutoHyphens w:val="0"/>
              <w:spacing w:before="80" w:after="80" w:line="200" w:lineRule="exact"/>
              <w:ind w:right="113"/>
              <w:rPr>
                <w:i/>
                <w:sz w:val="16"/>
                <w:szCs w:val="16"/>
              </w:rPr>
            </w:pPr>
          </w:p>
        </w:tc>
        <w:tc>
          <w:tcPr>
            <w:tcW w:w="2676" w:type="dxa"/>
            <w:vMerge/>
            <w:tcBorders>
              <w:top w:val="single" w:sz="4" w:space="0" w:color="auto"/>
              <w:bottom w:val="single" w:sz="12" w:space="0" w:color="auto"/>
            </w:tcBorders>
            <w:shd w:val="clear" w:color="auto" w:fill="auto"/>
          </w:tcPr>
          <w:p w14:paraId="60907489" w14:textId="77777777" w:rsidR="000125F5" w:rsidRPr="00240C54" w:rsidRDefault="000125F5" w:rsidP="00167F8D">
            <w:pPr>
              <w:suppressAutoHyphens w:val="0"/>
              <w:spacing w:before="80" w:after="80" w:line="200" w:lineRule="exact"/>
              <w:ind w:right="113"/>
              <w:rPr>
                <w:i/>
                <w:sz w:val="16"/>
                <w:szCs w:val="16"/>
              </w:rPr>
            </w:pPr>
          </w:p>
        </w:tc>
        <w:tc>
          <w:tcPr>
            <w:tcW w:w="797" w:type="dxa"/>
            <w:tcBorders>
              <w:top w:val="single" w:sz="4" w:space="0" w:color="auto"/>
              <w:bottom w:val="single" w:sz="12" w:space="0" w:color="auto"/>
            </w:tcBorders>
            <w:shd w:val="clear" w:color="auto" w:fill="auto"/>
            <w:vAlign w:val="bottom"/>
          </w:tcPr>
          <w:p w14:paraId="20D39259" w14:textId="77777777" w:rsidR="000125F5" w:rsidRPr="00240C54" w:rsidRDefault="000125F5" w:rsidP="00167F8D">
            <w:pPr>
              <w:suppressAutoHyphens w:val="0"/>
              <w:spacing w:before="80" w:after="80" w:line="200" w:lineRule="exact"/>
              <w:ind w:right="113"/>
              <w:jc w:val="right"/>
              <w:rPr>
                <w:i/>
                <w:sz w:val="16"/>
                <w:szCs w:val="16"/>
              </w:rPr>
            </w:pPr>
          </w:p>
        </w:tc>
        <w:tc>
          <w:tcPr>
            <w:tcW w:w="840" w:type="dxa"/>
            <w:tcBorders>
              <w:top w:val="single" w:sz="4" w:space="0" w:color="auto"/>
              <w:bottom w:val="single" w:sz="12" w:space="0" w:color="auto"/>
            </w:tcBorders>
            <w:shd w:val="clear" w:color="auto" w:fill="auto"/>
          </w:tcPr>
          <w:p w14:paraId="6FA22D5B" w14:textId="77777777" w:rsidR="000125F5" w:rsidRPr="00240C54" w:rsidRDefault="000125F5" w:rsidP="00167F8D">
            <w:pPr>
              <w:suppressAutoHyphens w:val="0"/>
              <w:spacing w:before="80" w:after="80" w:line="200" w:lineRule="exact"/>
              <w:ind w:right="113"/>
              <w:jc w:val="right"/>
              <w:rPr>
                <w:i/>
                <w:sz w:val="16"/>
                <w:szCs w:val="16"/>
              </w:rPr>
            </w:pPr>
            <w:r>
              <w:rPr>
                <w:i/>
                <w:sz w:val="16"/>
                <w:szCs w:val="16"/>
              </w:rPr>
              <w:t>2020-2021</w:t>
            </w:r>
          </w:p>
        </w:tc>
        <w:tc>
          <w:tcPr>
            <w:tcW w:w="911" w:type="dxa"/>
            <w:tcBorders>
              <w:top w:val="single" w:sz="4" w:space="0" w:color="auto"/>
              <w:bottom w:val="single" w:sz="12" w:space="0" w:color="auto"/>
            </w:tcBorders>
            <w:shd w:val="clear" w:color="auto" w:fill="auto"/>
          </w:tcPr>
          <w:p w14:paraId="3BB2F1C6" w14:textId="656DFBEC" w:rsidR="000125F5" w:rsidRPr="00240C54" w:rsidRDefault="000125F5" w:rsidP="00627106">
            <w:pPr>
              <w:suppressAutoHyphens w:val="0"/>
              <w:spacing w:before="80" w:after="80" w:line="200" w:lineRule="exact"/>
              <w:ind w:right="113"/>
              <w:jc w:val="right"/>
              <w:rPr>
                <w:i/>
                <w:sz w:val="16"/>
                <w:szCs w:val="16"/>
              </w:rPr>
            </w:pPr>
            <w:r w:rsidRPr="00240C54">
              <w:rPr>
                <w:i/>
                <w:sz w:val="16"/>
                <w:szCs w:val="16"/>
              </w:rPr>
              <w:t>2018</w:t>
            </w:r>
            <w:r w:rsidR="00627106">
              <w:rPr>
                <w:i/>
                <w:sz w:val="16"/>
                <w:szCs w:val="16"/>
              </w:rPr>
              <w:t>-</w:t>
            </w:r>
            <w:r w:rsidRPr="00240C54">
              <w:rPr>
                <w:i/>
                <w:sz w:val="16"/>
                <w:szCs w:val="16"/>
              </w:rPr>
              <w:t>2019</w:t>
            </w:r>
          </w:p>
        </w:tc>
        <w:tc>
          <w:tcPr>
            <w:tcW w:w="870" w:type="dxa"/>
            <w:gridSpan w:val="2"/>
            <w:tcBorders>
              <w:top w:val="single" w:sz="4" w:space="0" w:color="auto"/>
              <w:bottom w:val="single" w:sz="12" w:space="0" w:color="auto"/>
            </w:tcBorders>
            <w:shd w:val="clear" w:color="auto" w:fill="auto"/>
          </w:tcPr>
          <w:p w14:paraId="5AF1FA31" w14:textId="47667376" w:rsidR="000125F5" w:rsidRPr="00240C54" w:rsidRDefault="000125F5" w:rsidP="00167F8D">
            <w:pPr>
              <w:suppressAutoHyphens w:val="0"/>
              <w:spacing w:before="80" w:after="80" w:line="200" w:lineRule="exact"/>
              <w:ind w:right="113"/>
              <w:jc w:val="right"/>
              <w:rPr>
                <w:i/>
                <w:sz w:val="16"/>
                <w:szCs w:val="16"/>
              </w:rPr>
            </w:pPr>
            <w:r w:rsidRPr="00240C54">
              <w:rPr>
                <w:i/>
                <w:sz w:val="16"/>
                <w:szCs w:val="16"/>
              </w:rPr>
              <w:t>2016</w:t>
            </w:r>
            <w:r w:rsidR="00627106">
              <w:rPr>
                <w:i/>
                <w:sz w:val="16"/>
                <w:szCs w:val="16"/>
              </w:rPr>
              <w:t>-</w:t>
            </w:r>
            <w:r w:rsidRPr="00240C54">
              <w:rPr>
                <w:i/>
                <w:sz w:val="16"/>
                <w:szCs w:val="16"/>
              </w:rPr>
              <w:t>2017</w:t>
            </w:r>
          </w:p>
        </w:tc>
      </w:tr>
      <w:tr w:rsidR="000125F5" w:rsidRPr="00240C54" w14:paraId="67223069"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trHeight w:hRule="exact" w:val="113"/>
          <w:jc w:val="center"/>
        </w:trPr>
        <w:tc>
          <w:tcPr>
            <w:tcW w:w="2416" w:type="dxa"/>
            <w:tcBorders>
              <w:top w:val="single" w:sz="12" w:space="0" w:color="auto"/>
            </w:tcBorders>
            <w:shd w:val="clear" w:color="auto" w:fill="auto"/>
          </w:tcPr>
          <w:p w14:paraId="05840E6A" w14:textId="77777777" w:rsidR="000125F5" w:rsidRPr="00240C54" w:rsidRDefault="000125F5" w:rsidP="00167F8D">
            <w:pPr>
              <w:suppressAutoHyphens w:val="0"/>
              <w:spacing w:before="40" w:after="120" w:line="220" w:lineRule="exact"/>
              <w:ind w:right="113"/>
              <w:rPr>
                <w:i/>
              </w:rPr>
            </w:pPr>
          </w:p>
        </w:tc>
        <w:tc>
          <w:tcPr>
            <w:tcW w:w="2676" w:type="dxa"/>
            <w:tcBorders>
              <w:top w:val="single" w:sz="12" w:space="0" w:color="auto"/>
            </w:tcBorders>
            <w:shd w:val="clear" w:color="auto" w:fill="auto"/>
          </w:tcPr>
          <w:p w14:paraId="3629BEF1" w14:textId="77777777" w:rsidR="000125F5" w:rsidRPr="00240C54" w:rsidRDefault="000125F5" w:rsidP="00167F8D">
            <w:pPr>
              <w:suppressAutoHyphens w:val="0"/>
              <w:spacing w:before="40" w:after="120" w:line="220" w:lineRule="exact"/>
              <w:ind w:right="170"/>
              <w:rPr>
                <w:i/>
              </w:rPr>
            </w:pPr>
          </w:p>
        </w:tc>
        <w:tc>
          <w:tcPr>
            <w:tcW w:w="797" w:type="dxa"/>
            <w:tcBorders>
              <w:top w:val="single" w:sz="12" w:space="0" w:color="auto"/>
            </w:tcBorders>
            <w:shd w:val="clear" w:color="auto" w:fill="auto"/>
          </w:tcPr>
          <w:p w14:paraId="7A8EF37F" w14:textId="77777777" w:rsidR="000125F5" w:rsidRPr="00240C54" w:rsidRDefault="000125F5" w:rsidP="00167F8D">
            <w:pPr>
              <w:suppressAutoHyphens w:val="0"/>
              <w:spacing w:before="40" w:after="120" w:line="220" w:lineRule="exact"/>
              <w:ind w:right="113"/>
              <w:rPr>
                <w:i/>
              </w:rPr>
            </w:pPr>
          </w:p>
        </w:tc>
        <w:tc>
          <w:tcPr>
            <w:tcW w:w="840" w:type="dxa"/>
            <w:tcBorders>
              <w:top w:val="single" w:sz="12" w:space="0" w:color="auto"/>
            </w:tcBorders>
            <w:shd w:val="clear" w:color="auto" w:fill="auto"/>
          </w:tcPr>
          <w:p w14:paraId="59204812" w14:textId="77777777" w:rsidR="000125F5" w:rsidRPr="00240C54" w:rsidRDefault="000125F5" w:rsidP="00167F8D">
            <w:pPr>
              <w:suppressAutoHyphens w:val="0"/>
              <w:spacing w:before="40" w:after="120" w:line="220" w:lineRule="exact"/>
              <w:ind w:right="113"/>
              <w:jc w:val="right"/>
              <w:rPr>
                <w:b/>
                <w:i/>
                <w:sz w:val="18"/>
                <w:szCs w:val="18"/>
              </w:rPr>
            </w:pPr>
          </w:p>
        </w:tc>
        <w:tc>
          <w:tcPr>
            <w:tcW w:w="911" w:type="dxa"/>
            <w:tcBorders>
              <w:top w:val="single" w:sz="12" w:space="0" w:color="auto"/>
            </w:tcBorders>
            <w:shd w:val="clear" w:color="auto" w:fill="auto"/>
          </w:tcPr>
          <w:p w14:paraId="4679BAF9" w14:textId="77777777" w:rsidR="000125F5" w:rsidRPr="00240C54" w:rsidRDefault="000125F5" w:rsidP="00167F8D">
            <w:pPr>
              <w:suppressAutoHyphens w:val="0"/>
              <w:spacing w:before="40" w:after="120" w:line="220" w:lineRule="exact"/>
              <w:ind w:right="113"/>
              <w:jc w:val="right"/>
              <w:rPr>
                <w:b/>
                <w:i/>
                <w:sz w:val="18"/>
                <w:szCs w:val="18"/>
              </w:rPr>
            </w:pPr>
          </w:p>
        </w:tc>
        <w:tc>
          <w:tcPr>
            <w:tcW w:w="870" w:type="dxa"/>
            <w:gridSpan w:val="2"/>
            <w:tcBorders>
              <w:top w:val="single" w:sz="12" w:space="0" w:color="auto"/>
            </w:tcBorders>
            <w:shd w:val="clear" w:color="auto" w:fill="auto"/>
          </w:tcPr>
          <w:p w14:paraId="4706B388" w14:textId="77777777" w:rsidR="000125F5" w:rsidRPr="00240C54" w:rsidRDefault="000125F5" w:rsidP="00167F8D">
            <w:pPr>
              <w:suppressAutoHyphens w:val="0"/>
              <w:spacing w:before="40" w:after="120" w:line="220" w:lineRule="exact"/>
              <w:ind w:right="113"/>
              <w:jc w:val="right"/>
              <w:rPr>
                <w:b/>
                <w:i/>
                <w:sz w:val="18"/>
                <w:szCs w:val="18"/>
              </w:rPr>
            </w:pPr>
          </w:p>
        </w:tc>
      </w:tr>
      <w:tr w:rsidR="000125F5" w:rsidRPr="00240C54" w14:paraId="501E49E0"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val="restart"/>
            <w:shd w:val="clear" w:color="auto" w:fill="auto"/>
          </w:tcPr>
          <w:p w14:paraId="25A81B57" w14:textId="77777777" w:rsidR="000125F5" w:rsidRPr="00240C54" w:rsidRDefault="000125F5" w:rsidP="00627106">
            <w:pPr>
              <w:tabs>
                <w:tab w:val="left" w:pos="280"/>
              </w:tabs>
              <w:suppressAutoHyphens w:val="0"/>
              <w:spacing w:before="40" w:after="120"/>
              <w:ind w:right="113"/>
              <w:rPr>
                <w:sz w:val="18"/>
                <w:szCs w:val="18"/>
              </w:rPr>
            </w:pPr>
            <w:r w:rsidRPr="00240C54">
              <w:rPr>
                <w:sz w:val="18"/>
                <w:szCs w:val="18"/>
              </w:rPr>
              <w:t>(a)</w:t>
            </w:r>
            <w:r w:rsidRPr="00240C54">
              <w:rPr>
                <w:sz w:val="18"/>
                <w:szCs w:val="18"/>
              </w:rPr>
              <w:tab/>
            </w:r>
            <w:r w:rsidRPr="00024EA2">
              <w:rPr>
                <w:sz w:val="18"/>
                <w:szCs w:val="18"/>
              </w:rPr>
              <w:t>Improved response to environmental challenges by ECE constituencies</w:t>
            </w:r>
          </w:p>
        </w:tc>
        <w:tc>
          <w:tcPr>
            <w:tcW w:w="2676" w:type="dxa"/>
            <w:vMerge w:val="restart"/>
            <w:shd w:val="clear" w:color="auto" w:fill="auto"/>
          </w:tcPr>
          <w:p w14:paraId="3D2DA15D" w14:textId="77777777" w:rsidR="000125F5" w:rsidRPr="00240C54" w:rsidRDefault="000125F5" w:rsidP="00627106">
            <w:pPr>
              <w:tabs>
                <w:tab w:val="left" w:pos="288"/>
              </w:tabs>
              <w:suppressAutoHyphens w:val="0"/>
              <w:spacing w:before="40" w:after="120"/>
              <w:ind w:right="113"/>
              <w:rPr>
                <w:sz w:val="18"/>
                <w:szCs w:val="18"/>
              </w:rPr>
            </w:pPr>
            <w:r w:rsidRPr="00240C54">
              <w:rPr>
                <w:sz w:val="18"/>
                <w:szCs w:val="18"/>
              </w:rPr>
              <w:t>(a)</w:t>
            </w:r>
            <w:r w:rsidRPr="00240C54">
              <w:rPr>
                <w:sz w:val="18"/>
                <w:szCs w:val="18"/>
              </w:rPr>
              <w:tab/>
            </w:r>
            <w:r w:rsidRPr="00024EA2">
              <w:rPr>
                <w:sz w:val="18"/>
                <w:szCs w:val="18"/>
              </w:rPr>
              <w:t>Number of new measures taken by ECE constituencies in response to existing and emerging environmental challenges</w:t>
            </w:r>
          </w:p>
        </w:tc>
        <w:tc>
          <w:tcPr>
            <w:tcW w:w="797" w:type="dxa"/>
            <w:shd w:val="clear" w:color="auto" w:fill="auto"/>
          </w:tcPr>
          <w:p w14:paraId="1A942E93" w14:textId="77777777" w:rsidR="000125F5" w:rsidRPr="00240C54" w:rsidRDefault="000125F5" w:rsidP="00627106">
            <w:pPr>
              <w:suppressAutoHyphens w:val="0"/>
              <w:spacing w:before="40" w:after="120"/>
              <w:ind w:right="113"/>
              <w:rPr>
                <w:sz w:val="18"/>
                <w:szCs w:val="18"/>
              </w:rPr>
            </w:pPr>
            <w:r w:rsidRPr="00240C54">
              <w:rPr>
                <w:sz w:val="18"/>
                <w:szCs w:val="18"/>
              </w:rPr>
              <w:t>Target</w:t>
            </w:r>
          </w:p>
        </w:tc>
        <w:tc>
          <w:tcPr>
            <w:tcW w:w="840" w:type="dxa"/>
            <w:shd w:val="clear" w:color="auto" w:fill="auto"/>
          </w:tcPr>
          <w:p w14:paraId="41CB8350" w14:textId="77777777" w:rsidR="000125F5" w:rsidRPr="00240C54" w:rsidRDefault="000125F5" w:rsidP="00627106">
            <w:pPr>
              <w:suppressAutoHyphens w:val="0"/>
              <w:spacing w:before="40" w:after="120"/>
              <w:ind w:right="113"/>
              <w:jc w:val="right"/>
              <w:rPr>
                <w:sz w:val="18"/>
                <w:szCs w:val="18"/>
              </w:rPr>
            </w:pPr>
            <w:r>
              <w:rPr>
                <w:sz w:val="18"/>
                <w:szCs w:val="18"/>
              </w:rPr>
              <w:t>2</w:t>
            </w:r>
          </w:p>
        </w:tc>
        <w:tc>
          <w:tcPr>
            <w:tcW w:w="911" w:type="dxa"/>
            <w:shd w:val="clear" w:color="auto" w:fill="auto"/>
          </w:tcPr>
          <w:p w14:paraId="37795999" w14:textId="77777777" w:rsidR="000125F5" w:rsidRPr="00240C54" w:rsidRDefault="000125F5" w:rsidP="00627106">
            <w:pPr>
              <w:suppressAutoHyphens w:val="0"/>
              <w:spacing w:before="40" w:after="120"/>
              <w:ind w:right="113"/>
              <w:jc w:val="right"/>
              <w:rPr>
                <w:sz w:val="18"/>
                <w:szCs w:val="18"/>
              </w:rPr>
            </w:pPr>
            <w:r w:rsidRPr="00240C54">
              <w:rPr>
                <w:sz w:val="18"/>
                <w:szCs w:val="18"/>
              </w:rPr>
              <w:t>2</w:t>
            </w:r>
          </w:p>
        </w:tc>
        <w:tc>
          <w:tcPr>
            <w:tcW w:w="870" w:type="dxa"/>
            <w:gridSpan w:val="2"/>
            <w:shd w:val="clear" w:color="auto" w:fill="auto"/>
          </w:tcPr>
          <w:p w14:paraId="456F0BA3" w14:textId="77777777" w:rsidR="000125F5" w:rsidRPr="00240C54" w:rsidRDefault="000125F5" w:rsidP="00627106">
            <w:pPr>
              <w:suppressAutoHyphens w:val="0"/>
              <w:spacing w:before="40" w:after="120"/>
              <w:ind w:right="113"/>
              <w:jc w:val="right"/>
              <w:rPr>
                <w:sz w:val="18"/>
                <w:szCs w:val="18"/>
              </w:rPr>
            </w:pPr>
            <w:r w:rsidRPr="00240C54">
              <w:rPr>
                <w:sz w:val="18"/>
                <w:szCs w:val="18"/>
              </w:rPr>
              <w:t>2</w:t>
            </w:r>
          </w:p>
        </w:tc>
      </w:tr>
      <w:tr w:rsidR="000125F5" w:rsidRPr="00240C54" w14:paraId="7D29B1A1"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3504F22A" w14:textId="77777777" w:rsidR="000125F5" w:rsidRPr="00240C54" w:rsidRDefault="000125F5" w:rsidP="00DC25C4">
            <w:pPr>
              <w:tabs>
                <w:tab w:val="left" w:pos="280"/>
              </w:tabs>
              <w:suppressAutoHyphens w:val="0"/>
              <w:spacing w:before="40" w:after="120"/>
              <w:ind w:right="113"/>
              <w:rPr>
                <w:sz w:val="18"/>
                <w:szCs w:val="18"/>
              </w:rPr>
            </w:pPr>
          </w:p>
        </w:tc>
        <w:tc>
          <w:tcPr>
            <w:tcW w:w="2676" w:type="dxa"/>
            <w:vMerge/>
            <w:shd w:val="clear" w:color="auto" w:fill="auto"/>
          </w:tcPr>
          <w:p w14:paraId="19CAFC4B" w14:textId="77777777" w:rsidR="000125F5" w:rsidRPr="00240C54" w:rsidRDefault="000125F5" w:rsidP="00DC25C4">
            <w:pPr>
              <w:tabs>
                <w:tab w:val="left" w:pos="288"/>
              </w:tabs>
              <w:suppressAutoHyphens w:val="0"/>
              <w:spacing w:before="40" w:after="120"/>
              <w:ind w:right="170"/>
              <w:rPr>
                <w:sz w:val="18"/>
                <w:szCs w:val="18"/>
              </w:rPr>
            </w:pPr>
          </w:p>
        </w:tc>
        <w:tc>
          <w:tcPr>
            <w:tcW w:w="797" w:type="dxa"/>
            <w:shd w:val="clear" w:color="auto" w:fill="auto"/>
          </w:tcPr>
          <w:p w14:paraId="1B3D8438" w14:textId="77777777" w:rsidR="000125F5" w:rsidRPr="00240C54" w:rsidRDefault="000125F5" w:rsidP="00627106">
            <w:pPr>
              <w:suppressAutoHyphens w:val="0"/>
              <w:spacing w:before="40" w:after="120"/>
              <w:ind w:right="113"/>
              <w:rPr>
                <w:sz w:val="18"/>
                <w:szCs w:val="18"/>
              </w:rPr>
            </w:pPr>
            <w:r w:rsidRPr="00240C54">
              <w:rPr>
                <w:sz w:val="18"/>
                <w:szCs w:val="18"/>
              </w:rPr>
              <w:t>Estimate</w:t>
            </w:r>
          </w:p>
        </w:tc>
        <w:tc>
          <w:tcPr>
            <w:tcW w:w="840" w:type="dxa"/>
            <w:shd w:val="clear" w:color="auto" w:fill="auto"/>
          </w:tcPr>
          <w:p w14:paraId="220609F3" w14:textId="77777777" w:rsidR="000125F5" w:rsidRPr="00240C54" w:rsidRDefault="000125F5" w:rsidP="00627106">
            <w:pPr>
              <w:suppressAutoHyphens w:val="0"/>
              <w:spacing w:before="40" w:after="120"/>
              <w:ind w:right="113"/>
              <w:jc w:val="right"/>
              <w:rPr>
                <w:sz w:val="18"/>
                <w:szCs w:val="18"/>
              </w:rPr>
            </w:pPr>
          </w:p>
        </w:tc>
        <w:tc>
          <w:tcPr>
            <w:tcW w:w="911" w:type="dxa"/>
            <w:shd w:val="clear" w:color="auto" w:fill="auto"/>
          </w:tcPr>
          <w:p w14:paraId="5CB86C31" w14:textId="67E9998B" w:rsidR="000125F5" w:rsidRPr="00240C54" w:rsidRDefault="007150E4" w:rsidP="00627106">
            <w:pPr>
              <w:suppressAutoHyphens w:val="0"/>
              <w:spacing w:before="40" w:after="120"/>
              <w:ind w:right="113"/>
              <w:jc w:val="right"/>
              <w:rPr>
                <w:sz w:val="18"/>
                <w:szCs w:val="18"/>
              </w:rPr>
            </w:pPr>
            <w:r>
              <w:rPr>
                <w:sz w:val="18"/>
                <w:szCs w:val="18"/>
              </w:rPr>
              <w:t>2</w:t>
            </w:r>
          </w:p>
        </w:tc>
        <w:tc>
          <w:tcPr>
            <w:tcW w:w="870" w:type="dxa"/>
            <w:gridSpan w:val="2"/>
            <w:shd w:val="clear" w:color="auto" w:fill="auto"/>
          </w:tcPr>
          <w:p w14:paraId="2A1B877E" w14:textId="77777777" w:rsidR="000125F5" w:rsidRPr="00240C54" w:rsidRDefault="000125F5" w:rsidP="00627106">
            <w:pPr>
              <w:suppressAutoHyphens w:val="0"/>
              <w:spacing w:before="40" w:after="120"/>
              <w:ind w:right="113"/>
              <w:jc w:val="right"/>
              <w:rPr>
                <w:sz w:val="18"/>
                <w:szCs w:val="18"/>
              </w:rPr>
            </w:pPr>
            <w:r w:rsidRPr="00240C54">
              <w:rPr>
                <w:sz w:val="18"/>
                <w:szCs w:val="18"/>
              </w:rPr>
              <w:t>2</w:t>
            </w:r>
          </w:p>
        </w:tc>
      </w:tr>
      <w:tr w:rsidR="000125F5" w:rsidRPr="00240C54" w14:paraId="6DCF4EA0"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trHeight w:val="331"/>
          <w:jc w:val="center"/>
        </w:trPr>
        <w:tc>
          <w:tcPr>
            <w:tcW w:w="2416" w:type="dxa"/>
            <w:vMerge/>
            <w:shd w:val="clear" w:color="auto" w:fill="auto"/>
          </w:tcPr>
          <w:p w14:paraId="43906AEB" w14:textId="77777777" w:rsidR="000125F5" w:rsidRPr="00240C54" w:rsidRDefault="000125F5" w:rsidP="00DC25C4">
            <w:pPr>
              <w:tabs>
                <w:tab w:val="left" w:pos="280"/>
              </w:tabs>
              <w:suppressAutoHyphens w:val="0"/>
              <w:spacing w:before="40" w:after="120"/>
              <w:ind w:right="113"/>
              <w:rPr>
                <w:sz w:val="18"/>
                <w:szCs w:val="18"/>
              </w:rPr>
            </w:pPr>
          </w:p>
        </w:tc>
        <w:tc>
          <w:tcPr>
            <w:tcW w:w="2676" w:type="dxa"/>
            <w:vMerge/>
            <w:shd w:val="clear" w:color="auto" w:fill="auto"/>
          </w:tcPr>
          <w:p w14:paraId="166295E9" w14:textId="77777777" w:rsidR="000125F5" w:rsidRPr="00240C54" w:rsidRDefault="000125F5" w:rsidP="00DC25C4">
            <w:pPr>
              <w:tabs>
                <w:tab w:val="left" w:pos="288"/>
              </w:tabs>
              <w:suppressAutoHyphens w:val="0"/>
              <w:spacing w:before="40" w:after="120"/>
              <w:ind w:right="170"/>
              <w:rPr>
                <w:sz w:val="18"/>
                <w:szCs w:val="18"/>
              </w:rPr>
            </w:pPr>
          </w:p>
        </w:tc>
        <w:tc>
          <w:tcPr>
            <w:tcW w:w="797" w:type="dxa"/>
            <w:shd w:val="clear" w:color="auto" w:fill="auto"/>
          </w:tcPr>
          <w:p w14:paraId="5F1DCBA2" w14:textId="77777777" w:rsidR="000125F5" w:rsidRPr="00240C54" w:rsidRDefault="000125F5" w:rsidP="00627106">
            <w:pPr>
              <w:suppressAutoHyphens w:val="0"/>
              <w:spacing w:before="40" w:after="120"/>
              <w:ind w:right="113"/>
              <w:rPr>
                <w:sz w:val="18"/>
                <w:szCs w:val="18"/>
              </w:rPr>
            </w:pPr>
            <w:proofErr w:type="spellStart"/>
            <w:r w:rsidRPr="00240C54">
              <w:rPr>
                <w:sz w:val="18"/>
                <w:szCs w:val="18"/>
              </w:rPr>
              <w:t>Actual</w:t>
            </w:r>
            <w:r w:rsidR="000A5EDC" w:rsidRPr="000A5EDC">
              <w:rPr>
                <w:i/>
                <w:sz w:val="18"/>
                <w:szCs w:val="18"/>
                <w:vertAlign w:val="superscript"/>
              </w:rPr>
              <w:t>a</w:t>
            </w:r>
            <w:proofErr w:type="spellEnd"/>
          </w:p>
        </w:tc>
        <w:tc>
          <w:tcPr>
            <w:tcW w:w="840" w:type="dxa"/>
            <w:shd w:val="clear" w:color="auto" w:fill="auto"/>
          </w:tcPr>
          <w:p w14:paraId="1519E457" w14:textId="77777777" w:rsidR="000125F5" w:rsidRPr="00240C54" w:rsidRDefault="000125F5" w:rsidP="00627106">
            <w:pPr>
              <w:suppressAutoHyphens w:val="0"/>
              <w:spacing w:before="40" w:after="120"/>
              <w:ind w:right="113"/>
              <w:jc w:val="right"/>
              <w:rPr>
                <w:sz w:val="18"/>
                <w:szCs w:val="18"/>
              </w:rPr>
            </w:pPr>
          </w:p>
        </w:tc>
        <w:tc>
          <w:tcPr>
            <w:tcW w:w="911" w:type="dxa"/>
            <w:shd w:val="clear" w:color="auto" w:fill="auto"/>
          </w:tcPr>
          <w:p w14:paraId="1D5992F5" w14:textId="77777777" w:rsidR="000125F5" w:rsidRPr="00240C54" w:rsidRDefault="000125F5" w:rsidP="00627106">
            <w:pPr>
              <w:suppressAutoHyphens w:val="0"/>
              <w:spacing w:before="40" w:after="120"/>
              <w:ind w:right="113"/>
              <w:jc w:val="right"/>
              <w:rPr>
                <w:sz w:val="18"/>
                <w:szCs w:val="18"/>
              </w:rPr>
            </w:pPr>
          </w:p>
        </w:tc>
        <w:tc>
          <w:tcPr>
            <w:tcW w:w="870" w:type="dxa"/>
            <w:gridSpan w:val="2"/>
            <w:shd w:val="clear" w:color="auto" w:fill="auto"/>
          </w:tcPr>
          <w:p w14:paraId="10678112" w14:textId="7CF1C27C" w:rsidR="000125F5" w:rsidRPr="00240C54" w:rsidRDefault="000125F5" w:rsidP="00D46037">
            <w:pPr>
              <w:suppressAutoHyphens w:val="0"/>
              <w:spacing w:before="40" w:after="120"/>
              <w:ind w:right="57"/>
              <w:jc w:val="right"/>
              <w:rPr>
                <w:sz w:val="18"/>
                <w:szCs w:val="18"/>
              </w:rPr>
            </w:pPr>
            <w:r w:rsidRPr="00DD6C4B">
              <w:rPr>
                <w:sz w:val="18"/>
                <w:szCs w:val="18"/>
              </w:rPr>
              <w:t>2</w:t>
            </w:r>
            <w:r w:rsidR="00D46037" w:rsidRPr="00DD6C4B">
              <w:rPr>
                <w:i/>
                <w:sz w:val="18"/>
                <w:szCs w:val="18"/>
                <w:vertAlign w:val="superscript"/>
              </w:rPr>
              <w:t>c</w:t>
            </w:r>
          </w:p>
        </w:tc>
      </w:tr>
      <w:tr w:rsidR="000125F5" w:rsidRPr="00240C54" w14:paraId="3282DEB9"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val="restart"/>
            <w:shd w:val="clear" w:color="auto" w:fill="auto"/>
          </w:tcPr>
          <w:p w14:paraId="45084E14" w14:textId="77777777" w:rsidR="000125F5" w:rsidRPr="00240C54" w:rsidRDefault="000125F5" w:rsidP="00627106">
            <w:pPr>
              <w:tabs>
                <w:tab w:val="left" w:pos="280"/>
              </w:tabs>
              <w:suppressAutoHyphens w:val="0"/>
              <w:spacing w:before="40" w:after="120"/>
              <w:ind w:right="113"/>
              <w:rPr>
                <w:sz w:val="18"/>
                <w:szCs w:val="18"/>
              </w:rPr>
            </w:pPr>
            <w:r w:rsidRPr="00240C54">
              <w:rPr>
                <w:sz w:val="18"/>
                <w:szCs w:val="18"/>
              </w:rPr>
              <w:t>(b)</w:t>
            </w:r>
            <w:r w:rsidRPr="00240C54">
              <w:rPr>
                <w:sz w:val="18"/>
                <w:szCs w:val="18"/>
              </w:rPr>
              <w:tab/>
            </w:r>
            <w:r w:rsidRPr="00024EA2">
              <w:rPr>
                <w:sz w:val="18"/>
                <w:szCs w:val="18"/>
              </w:rPr>
              <w:t>Strengthened implementation of ECE multilateral environmental commitments and increased geographical coverage</w:t>
            </w:r>
          </w:p>
        </w:tc>
        <w:tc>
          <w:tcPr>
            <w:tcW w:w="2676" w:type="dxa"/>
            <w:vMerge w:val="restart"/>
            <w:shd w:val="clear" w:color="auto" w:fill="auto"/>
          </w:tcPr>
          <w:p w14:paraId="6AA83C24" w14:textId="4395A8A2" w:rsidR="000125F5" w:rsidRPr="00240C54" w:rsidRDefault="000125F5" w:rsidP="00627106">
            <w:pPr>
              <w:tabs>
                <w:tab w:val="left" w:pos="288"/>
              </w:tabs>
              <w:suppressAutoHyphens w:val="0"/>
              <w:spacing w:before="40" w:after="120"/>
              <w:ind w:right="113"/>
              <w:rPr>
                <w:sz w:val="18"/>
                <w:szCs w:val="18"/>
              </w:rPr>
            </w:pPr>
            <w:r w:rsidRPr="00240C54">
              <w:rPr>
                <w:sz w:val="18"/>
                <w:szCs w:val="18"/>
              </w:rPr>
              <w:t>(b)</w:t>
            </w:r>
            <w:r w:rsidRPr="00240C54">
              <w:rPr>
                <w:sz w:val="18"/>
                <w:szCs w:val="18"/>
              </w:rPr>
              <w:tab/>
              <w:t>(</w:t>
            </w:r>
            <w:proofErr w:type="spellStart"/>
            <w:r w:rsidRPr="00240C54">
              <w:rPr>
                <w:sz w:val="18"/>
                <w:szCs w:val="18"/>
              </w:rPr>
              <w:t>i</w:t>
            </w:r>
            <w:proofErr w:type="spellEnd"/>
            <w:r w:rsidRPr="00240C54">
              <w:rPr>
                <w:sz w:val="18"/>
                <w:szCs w:val="18"/>
              </w:rPr>
              <w:t>)</w:t>
            </w:r>
            <w:r w:rsidRPr="00240C54">
              <w:rPr>
                <w:sz w:val="18"/>
                <w:szCs w:val="18"/>
              </w:rPr>
              <w:tab/>
            </w:r>
            <w:r w:rsidRPr="00024EA2">
              <w:rPr>
                <w:sz w:val="18"/>
                <w:szCs w:val="18"/>
              </w:rPr>
              <w:t xml:space="preserve">Increased percentage of </w:t>
            </w:r>
            <w:r w:rsidR="00627106">
              <w:rPr>
                <w:sz w:val="18"/>
                <w:szCs w:val="18"/>
              </w:rPr>
              <w:t>c</w:t>
            </w:r>
            <w:r w:rsidRPr="00024EA2">
              <w:rPr>
                <w:sz w:val="18"/>
                <w:szCs w:val="18"/>
              </w:rPr>
              <w:t xml:space="preserve">ontracting </w:t>
            </w:r>
            <w:r w:rsidR="00627106">
              <w:rPr>
                <w:sz w:val="18"/>
                <w:szCs w:val="18"/>
              </w:rPr>
              <w:t>p</w:t>
            </w:r>
            <w:r w:rsidRPr="00024EA2">
              <w:rPr>
                <w:sz w:val="18"/>
                <w:szCs w:val="18"/>
              </w:rPr>
              <w:t>arties reporting on the implementation of ECE multilateral environmental agreements</w:t>
            </w:r>
          </w:p>
        </w:tc>
        <w:tc>
          <w:tcPr>
            <w:tcW w:w="797" w:type="dxa"/>
            <w:shd w:val="clear" w:color="auto" w:fill="auto"/>
          </w:tcPr>
          <w:p w14:paraId="531819FA" w14:textId="77777777" w:rsidR="000125F5" w:rsidRPr="00240C54" w:rsidRDefault="000125F5" w:rsidP="00627106">
            <w:pPr>
              <w:suppressAutoHyphens w:val="0"/>
              <w:spacing w:before="40" w:after="120"/>
              <w:ind w:right="113"/>
              <w:rPr>
                <w:sz w:val="18"/>
                <w:szCs w:val="18"/>
              </w:rPr>
            </w:pPr>
            <w:r w:rsidRPr="00240C54">
              <w:rPr>
                <w:sz w:val="18"/>
                <w:szCs w:val="18"/>
              </w:rPr>
              <w:t>Target</w:t>
            </w:r>
          </w:p>
        </w:tc>
        <w:tc>
          <w:tcPr>
            <w:tcW w:w="840" w:type="dxa"/>
            <w:shd w:val="clear" w:color="auto" w:fill="auto"/>
          </w:tcPr>
          <w:p w14:paraId="5EA9710C" w14:textId="6215BE1C" w:rsidR="000125F5" w:rsidRPr="0059072C" w:rsidRDefault="00A561CC" w:rsidP="00627106">
            <w:pPr>
              <w:suppressAutoHyphens w:val="0"/>
              <w:spacing w:before="40" w:after="120"/>
              <w:ind w:right="113"/>
              <w:jc w:val="right"/>
              <w:rPr>
                <w:sz w:val="18"/>
                <w:szCs w:val="18"/>
              </w:rPr>
            </w:pPr>
            <w:r w:rsidRPr="0059072C">
              <w:rPr>
                <w:sz w:val="18"/>
                <w:szCs w:val="18"/>
              </w:rPr>
              <w:t>92</w:t>
            </w:r>
          </w:p>
        </w:tc>
        <w:tc>
          <w:tcPr>
            <w:tcW w:w="911" w:type="dxa"/>
            <w:shd w:val="clear" w:color="auto" w:fill="auto"/>
          </w:tcPr>
          <w:p w14:paraId="2562C269" w14:textId="77777777" w:rsidR="000125F5" w:rsidRPr="0059072C" w:rsidRDefault="000125F5" w:rsidP="00627106">
            <w:pPr>
              <w:suppressAutoHyphens w:val="0"/>
              <w:spacing w:before="40" w:after="120"/>
              <w:ind w:right="113"/>
              <w:jc w:val="right"/>
              <w:rPr>
                <w:sz w:val="18"/>
                <w:szCs w:val="18"/>
              </w:rPr>
            </w:pPr>
            <w:r w:rsidRPr="0059072C">
              <w:rPr>
                <w:sz w:val="18"/>
                <w:szCs w:val="18"/>
              </w:rPr>
              <w:t>87</w:t>
            </w:r>
          </w:p>
        </w:tc>
        <w:tc>
          <w:tcPr>
            <w:tcW w:w="870" w:type="dxa"/>
            <w:gridSpan w:val="2"/>
            <w:shd w:val="clear" w:color="auto" w:fill="auto"/>
          </w:tcPr>
          <w:p w14:paraId="58C902F2" w14:textId="77777777" w:rsidR="000125F5" w:rsidRPr="0059072C" w:rsidRDefault="000125F5" w:rsidP="00627106">
            <w:pPr>
              <w:suppressAutoHyphens w:val="0"/>
              <w:spacing w:before="40" w:after="120"/>
              <w:ind w:right="113"/>
              <w:jc w:val="right"/>
              <w:rPr>
                <w:sz w:val="18"/>
                <w:szCs w:val="18"/>
              </w:rPr>
            </w:pPr>
            <w:r w:rsidRPr="0059072C">
              <w:rPr>
                <w:sz w:val="18"/>
                <w:szCs w:val="18"/>
              </w:rPr>
              <w:t>85</w:t>
            </w:r>
          </w:p>
        </w:tc>
      </w:tr>
      <w:tr w:rsidR="000125F5" w:rsidRPr="00240C54" w14:paraId="6D724116"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61A72CC2"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shd w:val="clear" w:color="auto" w:fill="auto"/>
          </w:tcPr>
          <w:p w14:paraId="656CE83D" w14:textId="77777777" w:rsidR="000125F5" w:rsidRPr="00240C54" w:rsidRDefault="000125F5" w:rsidP="00627106">
            <w:pPr>
              <w:tabs>
                <w:tab w:val="left" w:pos="288"/>
              </w:tabs>
              <w:suppressAutoHyphens w:val="0"/>
              <w:spacing w:before="40" w:after="120"/>
              <w:ind w:right="113"/>
              <w:rPr>
                <w:sz w:val="18"/>
                <w:szCs w:val="18"/>
              </w:rPr>
            </w:pPr>
          </w:p>
        </w:tc>
        <w:tc>
          <w:tcPr>
            <w:tcW w:w="797" w:type="dxa"/>
            <w:shd w:val="clear" w:color="auto" w:fill="auto"/>
          </w:tcPr>
          <w:p w14:paraId="1E165D3B" w14:textId="77777777" w:rsidR="000125F5" w:rsidRPr="00240C54" w:rsidRDefault="000125F5" w:rsidP="00627106">
            <w:pPr>
              <w:suppressAutoHyphens w:val="0"/>
              <w:spacing w:before="40" w:after="120"/>
              <w:ind w:right="113"/>
              <w:rPr>
                <w:sz w:val="18"/>
                <w:szCs w:val="18"/>
              </w:rPr>
            </w:pPr>
            <w:r w:rsidRPr="00240C54">
              <w:rPr>
                <w:sz w:val="18"/>
                <w:szCs w:val="18"/>
              </w:rPr>
              <w:t>Estimate</w:t>
            </w:r>
          </w:p>
        </w:tc>
        <w:tc>
          <w:tcPr>
            <w:tcW w:w="840" w:type="dxa"/>
            <w:shd w:val="clear" w:color="auto" w:fill="auto"/>
          </w:tcPr>
          <w:p w14:paraId="5B035794" w14:textId="77777777" w:rsidR="000125F5" w:rsidRPr="0059072C" w:rsidRDefault="000125F5" w:rsidP="00627106">
            <w:pPr>
              <w:suppressAutoHyphens w:val="0"/>
              <w:spacing w:before="40" w:after="120"/>
              <w:ind w:right="113"/>
              <w:jc w:val="right"/>
              <w:rPr>
                <w:sz w:val="18"/>
                <w:szCs w:val="18"/>
              </w:rPr>
            </w:pPr>
          </w:p>
        </w:tc>
        <w:tc>
          <w:tcPr>
            <w:tcW w:w="911" w:type="dxa"/>
            <w:shd w:val="clear" w:color="auto" w:fill="auto"/>
          </w:tcPr>
          <w:p w14:paraId="2A43BCFB" w14:textId="63BBBCF1" w:rsidR="000125F5" w:rsidRPr="0059072C" w:rsidRDefault="007150E4" w:rsidP="00627106">
            <w:pPr>
              <w:suppressAutoHyphens w:val="0"/>
              <w:spacing w:before="40" w:after="120"/>
              <w:ind w:right="113"/>
              <w:jc w:val="right"/>
              <w:rPr>
                <w:sz w:val="18"/>
                <w:szCs w:val="18"/>
              </w:rPr>
            </w:pPr>
            <w:r w:rsidRPr="0059072C">
              <w:rPr>
                <w:sz w:val="18"/>
                <w:szCs w:val="18"/>
              </w:rPr>
              <w:t>87</w:t>
            </w:r>
          </w:p>
        </w:tc>
        <w:tc>
          <w:tcPr>
            <w:tcW w:w="870" w:type="dxa"/>
            <w:gridSpan w:val="2"/>
            <w:shd w:val="clear" w:color="auto" w:fill="auto"/>
          </w:tcPr>
          <w:p w14:paraId="03B5B876" w14:textId="77777777" w:rsidR="000125F5" w:rsidRPr="0059072C" w:rsidRDefault="000125F5" w:rsidP="00627106">
            <w:pPr>
              <w:suppressAutoHyphens w:val="0"/>
              <w:spacing w:before="40" w:after="120"/>
              <w:ind w:right="113"/>
              <w:jc w:val="right"/>
              <w:rPr>
                <w:sz w:val="18"/>
                <w:szCs w:val="18"/>
              </w:rPr>
            </w:pPr>
            <w:r w:rsidRPr="0059072C">
              <w:rPr>
                <w:sz w:val="18"/>
                <w:szCs w:val="18"/>
              </w:rPr>
              <w:t>85</w:t>
            </w:r>
          </w:p>
        </w:tc>
      </w:tr>
      <w:tr w:rsidR="000125F5" w:rsidRPr="00240C54" w14:paraId="3BD2E9B4"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5337C800"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shd w:val="clear" w:color="auto" w:fill="auto"/>
          </w:tcPr>
          <w:p w14:paraId="1E008E21" w14:textId="77777777" w:rsidR="000125F5" w:rsidRPr="00240C54" w:rsidRDefault="000125F5" w:rsidP="00627106">
            <w:pPr>
              <w:tabs>
                <w:tab w:val="left" w:pos="288"/>
              </w:tabs>
              <w:suppressAutoHyphens w:val="0"/>
              <w:spacing w:before="40" w:after="120"/>
              <w:ind w:right="113"/>
              <w:rPr>
                <w:sz w:val="18"/>
                <w:szCs w:val="18"/>
              </w:rPr>
            </w:pPr>
          </w:p>
        </w:tc>
        <w:tc>
          <w:tcPr>
            <w:tcW w:w="797" w:type="dxa"/>
            <w:shd w:val="clear" w:color="auto" w:fill="auto"/>
          </w:tcPr>
          <w:p w14:paraId="16595192" w14:textId="5F733188" w:rsidR="000125F5" w:rsidRPr="00240C54" w:rsidRDefault="000125F5" w:rsidP="00627106">
            <w:pPr>
              <w:suppressAutoHyphens w:val="0"/>
              <w:spacing w:before="40" w:after="120"/>
              <w:ind w:right="113"/>
              <w:rPr>
                <w:sz w:val="18"/>
                <w:szCs w:val="18"/>
              </w:rPr>
            </w:pPr>
            <w:proofErr w:type="spellStart"/>
            <w:r w:rsidRPr="00240C54">
              <w:rPr>
                <w:sz w:val="18"/>
                <w:szCs w:val="18"/>
              </w:rPr>
              <w:t>Actual</w:t>
            </w:r>
            <w:r w:rsidR="00627106" w:rsidRPr="000A5EDC">
              <w:rPr>
                <w:i/>
                <w:sz w:val="18"/>
                <w:szCs w:val="18"/>
                <w:vertAlign w:val="superscript"/>
              </w:rPr>
              <w:t>a</w:t>
            </w:r>
            <w:proofErr w:type="spellEnd"/>
          </w:p>
        </w:tc>
        <w:tc>
          <w:tcPr>
            <w:tcW w:w="840" w:type="dxa"/>
            <w:shd w:val="clear" w:color="auto" w:fill="auto"/>
          </w:tcPr>
          <w:p w14:paraId="7B9B0FBF" w14:textId="77777777" w:rsidR="000125F5" w:rsidRPr="0059072C" w:rsidRDefault="000125F5" w:rsidP="00627106">
            <w:pPr>
              <w:suppressAutoHyphens w:val="0"/>
              <w:spacing w:before="40" w:after="120"/>
              <w:ind w:right="113"/>
              <w:jc w:val="right"/>
              <w:rPr>
                <w:sz w:val="18"/>
                <w:szCs w:val="18"/>
              </w:rPr>
            </w:pPr>
          </w:p>
        </w:tc>
        <w:tc>
          <w:tcPr>
            <w:tcW w:w="911" w:type="dxa"/>
            <w:shd w:val="clear" w:color="auto" w:fill="auto"/>
          </w:tcPr>
          <w:p w14:paraId="06B81E0F" w14:textId="77777777" w:rsidR="000125F5" w:rsidRPr="0059072C" w:rsidRDefault="000125F5" w:rsidP="00627106">
            <w:pPr>
              <w:suppressAutoHyphens w:val="0"/>
              <w:spacing w:before="40" w:after="120"/>
              <w:ind w:right="113"/>
              <w:jc w:val="right"/>
              <w:rPr>
                <w:sz w:val="18"/>
                <w:szCs w:val="18"/>
              </w:rPr>
            </w:pPr>
          </w:p>
        </w:tc>
        <w:tc>
          <w:tcPr>
            <w:tcW w:w="870" w:type="dxa"/>
            <w:gridSpan w:val="2"/>
            <w:shd w:val="clear" w:color="auto" w:fill="auto"/>
          </w:tcPr>
          <w:p w14:paraId="6065C8BD" w14:textId="4AD2252F" w:rsidR="000125F5" w:rsidRPr="0059072C" w:rsidRDefault="000125F5" w:rsidP="00E42911">
            <w:pPr>
              <w:suppressAutoHyphens w:val="0"/>
              <w:spacing w:before="40" w:after="120"/>
              <w:ind w:right="57"/>
              <w:jc w:val="right"/>
              <w:rPr>
                <w:sz w:val="18"/>
                <w:szCs w:val="18"/>
              </w:rPr>
            </w:pPr>
            <w:r w:rsidRPr="0059072C">
              <w:rPr>
                <w:sz w:val="18"/>
                <w:szCs w:val="18"/>
              </w:rPr>
              <w:t>9</w:t>
            </w:r>
            <w:r w:rsidR="00E42911" w:rsidRPr="0059072C">
              <w:rPr>
                <w:sz w:val="18"/>
                <w:szCs w:val="18"/>
              </w:rPr>
              <w:t>1</w:t>
            </w:r>
            <w:r w:rsidR="00D46037" w:rsidRPr="0059072C">
              <w:rPr>
                <w:i/>
                <w:sz w:val="18"/>
                <w:szCs w:val="18"/>
                <w:vertAlign w:val="superscript"/>
              </w:rPr>
              <w:t>d</w:t>
            </w:r>
          </w:p>
        </w:tc>
      </w:tr>
      <w:tr w:rsidR="000125F5" w:rsidRPr="00240C54" w14:paraId="0F95BD72"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255C7F93"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val="restart"/>
            <w:shd w:val="clear" w:color="auto" w:fill="auto"/>
          </w:tcPr>
          <w:p w14:paraId="6896F46E" w14:textId="71CDFBF1" w:rsidR="000125F5" w:rsidRPr="00240C54" w:rsidRDefault="000125F5" w:rsidP="00627106">
            <w:pPr>
              <w:tabs>
                <w:tab w:val="left" w:pos="288"/>
              </w:tabs>
              <w:suppressAutoHyphens w:val="0"/>
              <w:spacing w:before="40" w:after="120"/>
              <w:ind w:right="113"/>
              <w:rPr>
                <w:sz w:val="18"/>
                <w:szCs w:val="18"/>
              </w:rPr>
            </w:pPr>
            <w:r w:rsidRPr="00240C54">
              <w:rPr>
                <w:sz w:val="18"/>
                <w:szCs w:val="18"/>
              </w:rPr>
              <w:t>(ii)</w:t>
            </w:r>
            <w:r w:rsidRPr="00240C54">
              <w:rPr>
                <w:sz w:val="18"/>
                <w:szCs w:val="18"/>
              </w:rPr>
              <w:tab/>
            </w:r>
            <w:r w:rsidRPr="00024EA2">
              <w:rPr>
                <w:sz w:val="18"/>
                <w:szCs w:val="18"/>
              </w:rPr>
              <w:t xml:space="preserve">Increased number of </w:t>
            </w:r>
            <w:r w:rsidR="00627106">
              <w:rPr>
                <w:sz w:val="18"/>
                <w:szCs w:val="18"/>
              </w:rPr>
              <w:t>c</w:t>
            </w:r>
            <w:r w:rsidRPr="00024EA2">
              <w:rPr>
                <w:sz w:val="18"/>
                <w:szCs w:val="18"/>
              </w:rPr>
              <w:t xml:space="preserve">ontracting </w:t>
            </w:r>
            <w:r w:rsidR="00627106">
              <w:rPr>
                <w:sz w:val="18"/>
                <w:szCs w:val="18"/>
              </w:rPr>
              <w:t>p</w:t>
            </w:r>
            <w:r w:rsidRPr="00024EA2">
              <w:rPr>
                <w:sz w:val="18"/>
                <w:szCs w:val="18"/>
              </w:rPr>
              <w:t>arties to the ECE multilateral environmental agreements</w:t>
            </w:r>
          </w:p>
        </w:tc>
        <w:tc>
          <w:tcPr>
            <w:tcW w:w="797" w:type="dxa"/>
            <w:shd w:val="clear" w:color="auto" w:fill="auto"/>
          </w:tcPr>
          <w:p w14:paraId="022C0B7D" w14:textId="77777777" w:rsidR="000125F5" w:rsidRPr="00240C54" w:rsidRDefault="000125F5" w:rsidP="00627106">
            <w:pPr>
              <w:suppressAutoHyphens w:val="0"/>
              <w:spacing w:before="40" w:after="120"/>
              <w:ind w:right="113"/>
              <w:rPr>
                <w:sz w:val="18"/>
                <w:szCs w:val="18"/>
              </w:rPr>
            </w:pPr>
            <w:r w:rsidRPr="00240C54">
              <w:rPr>
                <w:sz w:val="18"/>
                <w:szCs w:val="18"/>
              </w:rPr>
              <w:t>Target</w:t>
            </w:r>
          </w:p>
        </w:tc>
        <w:tc>
          <w:tcPr>
            <w:tcW w:w="840" w:type="dxa"/>
            <w:shd w:val="clear" w:color="auto" w:fill="auto"/>
          </w:tcPr>
          <w:p w14:paraId="6EC1609F" w14:textId="36361D05" w:rsidR="000125F5" w:rsidRPr="00240C54" w:rsidRDefault="000125F5" w:rsidP="00AE1E3F">
            <w:pPr>
              <w:suppressAutoHyphens w:val="0"/>
              <w:spacing w:before="40" w:after="120"/>
              <w:ind w:right="113"/>
              <w:jc w:val="right"/>
              <w:rPr>
                <w:sz w:val="18"/>
                <w:szCs w:val="18"/>
              </w:rPr>
            </w:pPr>
            <w:r>
              <w:rPr>
                <w:sz w:val="18"/>
                <w:szCs w:val="18"/>
              </w:rPr>
              <w:t>3</w:t>
            </w:r>
            <w:r w:rsidR="00AE1E3F">
              <w:rPr>
                <w:sz w:val="18"/>
                <w:szCs w:val="18"/>
              </w:rPr>
              <w:t>20</w:t>
            </w:r>
          </w:p>
        </w:tc>
        <w:tc>
          <w:tcPr>
            <w:tcW w:w="911" w:type="dxa"/>
            <w:shd w:val="clear" w:color="auto" w:fill="auto"/>
          </w:tcPr>
          <w:p w14:paraId="0BA4A609" w14:textId="777B03E4" w:rsidR="000125F5" w:rsidRPr="00240C54" w:rsidRDefault="000125F5" w:rsidP="00627106">
            <w:pPr>
              <w:suppressAutoHyphens w:val="0"/>
              <w:spacing w:before="40" w:after="120"/>
              <w:ind w:right="113"/>
              <w:jc w:val="right"/>
              <w:rPr>
                <w:sz w:val="18"/>
                <w:szCs w:val="18"/>
              </w:rPr>
            </w:pPr>
            <w:r w:rsidRPr="00240C54">
              <w:rPr>
                <w:sz w:val="18"/>
                <w:szCs w:val="18"/>
              </w:rPr>
              <w:t>31</w:t>
            </w:r>
            <w:r w:rsidR="006B3D09">
              <w:rPr>
                <w:sz w:val="18"/>
                <w:szCs w:val="18"/>
              </w:rPr>
              <w:t>8</w:t>
            </w:r>
          </w:p>
        </w:tc>
        <w:tc>
          <w:tcPr>
            <w:tcW w:w="870" w:type="dxa"/>
            <w:gridSpan w:val="2"/>
            <w:shd w:val="clear" w:color="auto" w:fill="auto"/>
          </w:tcPr>
          <w:p w14:paraId="46824B76" w14:textId="77777777" w:rsidR="000125F5" w:rsidRPr="00240C54" w:rsidRDefault="000125F5" w:rsidP="00627106">
            <w:pPr>
              <w:suppressAutoHyphens w:val="0"/>
              <w:spacing w:before="40" w:after="120"/>
              <w:ind w:right="113"/>
              <w:jc w:val="right"/>
              <w:rPr>
                <w:sz w:val="18"/>
                <w:szCs w:val="18"/>
              </w:rPr>
            </w:pPr>
            <w:r w:rsidRPr="00240C54">
              <w:rPr>
                <w:sz w:val="18"/>
                <w:szCs w:val="18"/>
              </w:rPr>
              <w:t>310</w:t>
            </w:r>
          </w:p>
        </w:tc>
      </w:tr>
      <w:tr w:rsidR="000125F5" w:rsidRPr="00240C54" w14:paraId="6283B391"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7E916E24"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shd w:val="clear" w:color="auto" w:fill="auto"/>
          </w:tcPr>
          <w:p w14:paraId="2C3B4FF8" w14:textId="77777777" w:rsidR="000125F5" w:rsidRPr="00240C54" w:rsidRDefault="000125F5" w:rsidP="00627106">
            <w:pPr>
              <w:tabs>
                <w:tab w:val="left" w:pos="288"/>
              </w:tabs>
              <w:suppressAutoHyphens w:val="0"/>
              <w:spacing w:before="40" w:after="120"/>
              <w:ind w:right="113"/>
              <w:rPr>
                <w:sz w:val="18"/>
                <w:szCs w:val="18"/>
              </w:rPr>
            </w:pPr>
          </w:p>
        </w:tc>
        <w:tc>
          <w:tcPr>
            <w:tcW w:w="797" w:type="dxa"/>
            <w:shd w:val="clear" w:color="auto" w:fill="auto"/>
          </w:tcPr>
          <w:p w14:paraId="7A779E5A" w14:textId="77777777" w:rsidR="000125F5" w:rsidRPr="00240C54" w:rsidRDefault="000125F5" w:rsidP="00627106">
            <w:pPr>
              <w:suppressAutoHyphens w:val="0"/>
              <w:spacing w:before="40" w:after="120"/>
              <w:ind w:right="113"/>
              <w:rPr>
                <w:sz w:val="18"/>
                <w:szCs w:val="18"/>
              </w:rPr>
            </w:pPr>
            <w:r w:rsidRPr="00240C54">
              <w:rPr>
                <w:sz w:val="18"/>
                <w:szCs w:val="18"/>
              </w:rPr>
              <w:t>Estimate</w:t>
            </w:r>
          </w:p>
        </w:tc>
        <w:tc>
          <w:tcPr>
            <w:tcW w:w="840" w:type="dxa"/>
            <w:shd w:val="clear" w:color="auto" w:fill="auto"/>
          </w:tcPr>
          <w:p w14:paraId="5A02EAEA" w14:textId="77777777" w:rsidR="000125F5" w:rsidRPr="00240C54" w:rsidRDefault="000125F5" w:rsidP="00627106">
            <w:pPr>
              <w:suppressAutoHyphens w:val="0"/>
              <w:spacing w:before="40" w:after="120"/>
              <w:ind w:right="113"/>
              <w:jc w:val="right"/>
              <w:rPr>
                <w:sz w:val="18"/>
                <w:szCs w:val="18"/>
              </w:rPr>
            </w:pPr>
          </w:p>
        </w:tc>
        <w:tc>
          <w:tcPr>
            <w:tcW w:w="911" w:type="dxa"/>
            <w:shd w:val="clear" w:color="auto" w:fill="auto"/>
          </w:tcPr>
          <w:p w14:paraId="3CFAF58A" w14:textId="7796C1BA" w:rsidR="000125F5" w:rsidRPr="00240C54" w:rsidRDefault="006B3D09" w:rsidP="00627106">
            <w:pPr>
              <w:suppressAutoHyphens w:val="0"/>
              <w:spacing w:before="40" w:after="120"/>
              <w:ind w:right="113"/>
              <w:jc w:val="right"/>
              <w:rPr>
                <w:sz w:val="18"/>
                <w:szCs w:val="18"/>
              </w:rPr>
            </w:pPr>
            <w:r>
              <w:rPr>
                <w:sz w:val="18"/>
                <w:szCs w:val="18"/>
              </w:rPr>
              <w:t>318</w:t>
            </w:r>
          </w:p>
        </w:tc>
        <w:tc>
          <w:tcPr>
            <w:tcW w:w="870" w:type="dxa"/>
            <w:gridSpan w:val="2"/>
            <w:shd w:val="clear" w:color="auto" w:fill="auto"/>
          </w:tcPr>
          <w:p w14:paraId="02AA8382" w14:textId="77777777" w:rsidR="000125F5" w:rsidRPr="00240C54" w:rsidRDefault="000125F5" w:rsidP="00627106">
            <w:pPr>
              <w:suppressAutoHyphens w:val="0"/>
              <w:spacing w:before="40" w:after="120"/>
              <w:ind w:right="113"/>
              <w:jc w:val="right"/>
              <w:rPr>
                <w:sz w:val="18"/>
                <w:szCs w:val="18"/>
              </w:rPr>
            </w:pPr>
            <w:r w:rsidRPr="00240C54">
              <w:rPr>
                <w:sz w:val="18"/>
                <w:szCs w:val="18"/>
              </w:rPr>
              <w:t>310</w:t>
            </w:r>
          </w:p>
        </w:tc>
      </w:tr>
      <w:tr w:rsidR="000125F5" w:rsidRPr="00240C54" w14:paraId="0E641873"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718CBB5C"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shd w:val="clear" w:color="auto" w:fill="auto"/>
          </w:tcPr>
          <w:p w14:paraId="3EFCA8AA" w14:textId="77777777" w:rsidR="000125F5" w:rsidRPr="00240C54" w:rsidRDefault="000125F5" w:rsidP="00627106">
            <w:pPr>
              <w:tabs>
                <w:tab w:val="left" w:pos="288"/>
              </w:tabs>
              <w:suppressAutoHyphens w:val="0"/>
              <w:spacing w:before="40" w:after="120"/>
              <w:ind w:right="113"/>
              <w:rPr>
                <w:sz w:val="18"/>
                <w:szCs w:val="18"/>
              </w:rPr>
            </w:pPr>
          </w:p>
        </w:tc>
        <w:tc>
          <w:tcPr>
            <w:tcW w:w="797" w:type="dxa"/>
            <w:shd w:val="clear" w:color="auto" w:fill="auto"/>
          </w:tcPr>
          <w:p w14:paraId="7DDF5F7D" w14:textId="45513392" w:rsidR="000125F5" w:rsidRPr="00240C54" w:rsidRDefault="000125F5" w:rsidP="00627106">
            <w:pPr>
              <w:suppressAutoHyphens w:val="0"/>
              <w:spacing w:before="40" w:after="120"/>
              <w:ind w:right="113"/>
              <w:rPr>
                <w:sz w:val="18"/>
                <w:szCs w:val="18"/>
              </w:rPr>
            </w:pPr>
            <w:proofErr w:type="spellStart"/>
            <w:r w:rsidRPr="00240C54">
              <w:rPr>
                <w:sz w:val="18"/>
                <w:szCs w:val="18"/>
              </w:rPr>
              <w:t>Actual</w:t>
            </w:r>
            <w:r w:rsidR="00627106" w:rsidRPr="000A5EDC">
              <w:rPr>
                <w:i/>
                <w:sz w:val="18"/>
                <w:szCs w:val="18"/>
                <w:vertAlign w:val="superscript"/>
              </w:rPr>
              <w:t>a</w:t>
            </w:r>
            <w:proofErr w:type="spellEnd"/>
          </w:p>
        </w:tc>
        <w:tc>
          <w:tcPr>
            <w:tcW w:w="840" w:type="dxa"/>
            <w:shd w:val="clear" w:color="auto" w:fill="auto"/>
          </w:tcPr>
          <w:p w14:paraId="7D5F4787" w14:textId="77777777" w:rsidR="000125F5" w:rsidRPr="00240C54" w:rsidRDefault="000125F5" w:rsidP="00627106">
            <w:pPr>
              <w:suppressAutoHyphens w:val="0"/>
              <w:spacing w:before="40" w:after="120"/>
              <w:ind w:right="113"/>
              <w:jc w:val="right"/>
              <w:rPr>
                <w:sz w:val="18"/>
                <w:szCs w:val="18"/>
              </w:rPr>
            </w:pPr>
          </w:p>
        </w:tc>
        <w:tc>
          <w:tcPr>
            <w:tcW w:w="911" w:type="dxa"/>
            <w:shd w:val="clear" w:color="auto" w:fill="auto"/>
          </w:tcPr>
          <w:p w14:paraId="4B47EF77" w14:textId="77777777" w:rsidR="000125F5" w:rsidRPr="00240C54" w:rsidRDefault="000125F5" w:rsidP="00627106">
            <w:pPr>
              <w:suppressAutoHyphens w:val="0"/>
              <w:spacing w:before="40" w:after="120"/>
              <w:ind w:right="113"/>
              <w:jc w:val="right"/>
              <w:rPr>
                <w:sz w:val="18"/>
                <w:szCs w:val="18"/>
              </w:rPr>
            </w:pPr>
          </w:p>
        </w:tc>
        <w:tc>
          <w:tcPr>
            <w:tcW w:w="870" w:type="dxa"/>
            <w:gridSpan w:val="2"/>
            <w:shd w:val="clear" w:color="auto" w:fill="auto"/>
          </w:tcPr>
          <w:p w14:paraId="21BA97F3" w14:textId="2A8959BE" w:rsidR="000125F5" w:rsidRPr="00240C54" w:rsidRDefault="000125F5" w:rsidP="00683216">
            <w:pPr>
              <w:suppressAutoHyphens w:val="0"/>
              <w:spacing w:before="40" w:after="120"/>
              <w:ind w:right="113"/>
              <w:jc w:val="right"/>
              <w:rPr>
                <w:sz w:val="18"/>
                <w:szCs w:val="18"/>
              </w:rPr>
            </w:pPr>
            <w:r w:rsidRPr="00683216">
              <w:rPr>
                <w:sz w:val="18"/>
                <w:szCs w:val="18"/>
              </w:rPr>
              <w:t>31</w:t>
            </w:r>
            <w:r w:rsidR="00683216" w:rsidRPr="00683216">
              <w:rPr>
                <w:sz w:val="18"/>
                <w:szCs w:val="18"/>
              </w:rPr>
              <w:t>8</w:t>
            </w:r>
          </w:p>
        </w:tc>
      </w:tr>
      <w:tr w:rsidR="000125F5" w:rsidRPr="00240C54" w14:paraId="324DDEB6"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val="restart"/>
            <w:shd w:val="clear" w:color="auto" w:fill="auto"/>
          </w:tcPr>
          <w:p w14:paraId="310ABF15" w14:textId="77777777" w:rsidR="000125F5" w:rsidRPr="00240C54" w:rsidRDefault="000125F5" w:rsidP="00627106">
            <w:pPr>
              <w:tabs>
                <w:tab w:val="left" w:pos="280"/>
              </w:tabs>
              <w:suppressAutoHyphens w:val="0"/>
              <w:spacing w:before="40" w:after="120"/>
              <w:ind w:right="113"/>
              <w:rPr>
                <w:sz w:val="18"/>
                <w:szCs w:val="18"/>
              </w:rPr>
            </w:pPr>
            <w:r w:rsidRPr="00240C54">
              <w:rPr>
                <w:sz w:val="18"/>
                <w:szCs w:val="18"/>
              </w:rPr>
              <w:t>(c)</w:t>
            </w:r>
            <w:r w:rsidRPr="00240C54">
              <w:rPr>
                <w:sz w:val="18"/>
                <w:szCs w:val="18"/>
              </w:rPr>
              <w:tab/>
            </w:r>
            <w:r w:rsidRPr="00024EA2">
              <w:rPr>
                <w:sz w:val="18"/>
                <w:szCs w:val="18"/>
              </w:rPr>
              <w:t>Strengthened national capacity for environmental monitoring and assessment systems in the countries of Eastern Europe, the Caucasus, Central Asia and South-Eastern Europe</w:t>
            </w:r>
            <w:r w:rsidRPr="00240C54">
              <w:rPr>
                <w:sz w:val="18"/>
                <w:szCs w:val="18"/>
              </w:rPr>
              <w:t xml:space="preserve"> </w:t>
            </w:r>
          </w:p>
        </w:tc>
        <w:tc>
          <w:tcPr>
            <w:tcW w:w="2676" w:type="dxa"/>
            <w:vMerge w:val="restart"/>
            <w:shd w:val="clear" w:color="auto" w:fill="auto"/>
          </w:tcPr>
          <w:p w14:paraId="0451512A" w14:textId="77777777" w:rsidR="000125F5" w:rsidRPr="00240C54" w:rsidRDefault="000125F5" w:rsidP="00627106">
            <w:pPr>
              <w:tabs>
                <w:tab w:val="left" w:pos="288"/>
              </w:tabs>
              <w:suppressAutoHyphens w:val="0"/>
              <w:spacing w:before="40" w:after="120"/>
              <w:ind w:right="113"/>
              <w:rPr>
                <w:sz w:val="18"/>
                <w:szCs w:val="18"/>
              </w:rPr>
            </w:pPr>
            <w:r w:rsidRPr="00240C54">
              <w:rPr>
                <w:sz w:val="18"/>
                <w:szCs w:val="18"/>
              </w:rPr>
              <w:t>(c)</w:t>
            </w:r>
            <w:r w:rsidRPr="00240C54">
              <w:rPr>
                <w:sz w:val="18"/>
                <w:szCs w:val="18"/>
              </w:rPr>
              <w:tab/>
            </w:r>
            <w:r w:rsidRPr="00024EA2">
              <w:rPr>
                <w:sz w:val="18"/>
                <w:szCs w:val="18"/>
              </w:rPr>
              <w:t>Increased percentage of implementation of ECE recommendations on environmental monitoring by member States</w:t>
            </w:r>
          </w:p>
        </w:tc>
        <w:tc>
          <w:tcPr>
            <w:tcW w:w="797" w:type="dxa"/>
            <w:shd w:val="clear" w:color="auto" w:fill="auto"/>
          </w:tcPr>
          <w:p w14:paraId="3EA36524" w14:textId="77777777" w:rsidR="000125F5" w:rsidRPr="00240C54" w:rsidRDefault="000125F5" w:rsidP="00627106">
            <w:pPr>
              <w:suppressAutoHyphens w:val="0"/>
              <w:spacing w:before="40" w:after="120"/>
              <w:ind w:right="113"/>
              <w:rPr>
                <w:sz w:val="18"/>
                <w:szCs w:val="18"/>
              </w:rPr>
            </w:pPr>
            <w:r w:rsidRPr="00240C54">
              <w:rPr>
                <w:sz w:val="18"/>
                <w:szCs w:val="18"/>
              </w:rPr>
              <w:t>Target</w:t>
            </w:r>
          </w:p>
        </w:tc>
        <w:tc>
          <w:tcPr>
            <w:tcW w:w="840" w:type="dxa"/>
            <w:shd w:val="clear" w:color="auto" w:fill="auto"/>
          </w:tcPr>
          <w:p w14:paraId="1D6BE85A" w14:textId="336032A7" w:rsidR="000125F5" w:rsidRPr="00240C54" w:rsidRDefault="000125F5" w:rsidP="00D44039">
            <w:pPr>
              <w:suppressAutoHyphens w:val="0"/>
              <w:spacing w:before="40" w:after="120"/>
              <w:ind w:right="113"/>
              <w:jc w:val="right"/>
              <w:rPr>
                <w:sz w:val="18"/>
                <w:szCs w:val="18"/>
              </w:rPr>
            </w:pPr>
            <w:r w:rsidRPr="00D44039">
              <w:rPr>
                <w:sz w:val="18"/>
                <w:szCs w:val="18"/>
              </w:rPr>
              <w:t>5</w:t>
            </w:r>
            <w:r w:rsidR="00D44039">
              <w:rPr>
                <w:sz w:val="18"/>
                <w:szCs w:val="18"/>
              </w:rPr>
              <w:t>6</w:t>
            </w:r>
          </w:p>
        </w:tc>
        <w:tc>
          <w:tcPr>
            <w:tcW w:w="911" w:type="dxa"/>
            <w:shd w:val="clear" w:color="auto" w:fill="auto"/>
          </w:tcPr>
          <w:p w14:paraId="4FBD891B" w14:textId="77777777" w:rsidR="000125F5" w:rsidRPr="00240C54" w:rsidRDefault="000125F5" w:rsidP="00627106">
            <w:pPr>
              <w:suppressAutoHyphens w:val="0"/>
              <w:spacing w:before="40" w:after="120"/>
              <w:ind w:right="113"/>
              <w:jc w:val="right"/>
              <w:rPr>
                <w:sz w:val="18"/>
                <w:szCs w:val="18"/>
              </w:rPr>
            </w:pPr>
            <w:r w:rsidRPr="00240C54">
              <w:rPr>
                <w:sz w:val="18"/>
                <w:szCs w:val="18"/>
              </w:rPr>
              <w:t>52</w:t>
            </w:r>
          </w:p>
        </w:tc>
        <w:tc>
          <w:tcPr>
            <w:tcW w:w="870" w:type="dxa"/>
            <w:gridSpan w:val="2"/>
            <w:shd w:val="clear" w:color="auto" w:fill="auto"/>
          </w:tcPr>
          <w:p w14:paraId="3541A46E" w14:textId="77777777" w:rsidR="000125F5" w:rsidRPr="00240C54" w:rsidRDefault="000125F5" w:rsidP="00627106">
            <w:pPr>
              <w:suppressAutoHyphens w:val="0"/>
              <w:spacing w:before="40" w:after="120"/>
              <w:ind w:right="113"/>
              <w:jc w:val="right"/>
              <w:rPr>
                <w:sz w:val="18"/>
                <w:szCs w:val="18"/>
              </w:rPr>
            </w:pPr>
            <w:r w:rsidRPr="00240C54">
              <w:rPr>
                <w:sz w:val="18"/>
                <w:szCs w:val="18"/>
              </w:rPr>
              <w:t>50</w:t>
            </w:r>
          </w:p>
        </w:tc>
      </w:tr>
      <w:tr w:rsidR="000125F5" w:rsidRPr="00240C54" w14:paraId="628B7CF8" w14:textId="77777777" w:rsidTr="000125F5">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shd w:val="clear" w:color="auto" w:fill="auto"/>
          </w:tcPr>
          <w:p w14:paraId="7065C248"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shd w:val="clear" w:color="auto" w:fill="auto"/>
          </w:tcPr>
          <w:p w14:paraId="0ADB4004" w14:textId="77777777" w:rsidR="000125F5" w:rsidRPr="00240C54" w:rsidRDefault="000125F5" w:rsidP="00627106">
            <w:pPr>
              <w:tabs>
                <w:tab w:val="left" w:pos="288"/>
              </w:tabs>
              <w:suppressAutoHyphens w:val="0"/>
              <w:spacing w:before="40" w:after="120"/>
              <w:ind w:right="113"/>
              <w:rPr>
                <w:sz w:val="18"/>
                <w:szCs w:val="18"/>
              </w:rPr>
            </w:pPr>
          </w:p>
        </w:tc>
        <w:tc>
          <w:tcPr>
            <w:tcW w:w="797" w:type="dxa"/>
            <w:shd w:val="clear" w:color="auto" w:fill="auto"/>
          </w:tcPr>
          <w:p w14:paraId="183396AC" w14:textId="77777777" w:rsidR="000125F5" w:rsidRPr="00240C54" w:rsidRDefault="000125F5" w:rsidP="00627106">
            <w:pPr>
              <w:suppressAutoHyphens w:val="0"/>
              <w:spacing w:before="40" w:after="120"/>
              <w:ind w:right="113"/>
              <w:rPr>
                <w:sz w:val="18"/>
                <w:szCs w:val="18"/>
              </w:rPr>
            </w:pPr>
            <w:r w:rsidRPr="00240C54">
              <w:rPr>
                <w:sz w:val="18"/>
                <w:szCs w:val="18"/>
              </w:rPr>
              <w:t>Estimate</w:t>
            </w:r>
          </w:p>
        </w:tc>
        <w:tc>
          <w:tcPr>
            <w:tcW w:w="840" w:type="dxa"/>
            <w:shd w:val="clear" w:color="auto" w:fill="auto"/>
          </w:tcPr>
          <w:p w14:paraId="0E280753" w14:textId="77777777" w:rsidR="000125F5" w:rsidRPr="00240C54" w:rsidRDefault="000125F5" w:rsidP="00627106">
            <w:pPr>
              <w:suppressAutoHyphens w:val="0"/>
              <w:spacing w:before="40" w:after="120"/>
              <w:ind w:right="113"/>
              <w:jc w:val="right"/>
              <w:rPr>
                <w:sz w:val="18"/>
                <w:szCs w:val="18"/>
              </w:rPr>
            </w:pPr>
          </w:p>
        </w:tc>
        <w:tc>
          <w:tcPr>
            <w:tcW w:w="911" w:type="dxa"/>
            <w:shd w:val="clear" w:color="auto" w:fill="auto"/>
          </w:tcPr>
          <w:p w14:paraId="30ADAF87" w14:textId="018407E3" w:rsidR="000125F5" w:rsidRPr="00240C54" w:rsidRDefault="006B3D09" w:rsidP="00627106">
            <w:pPr>
              <w:suppressAutoHyphens w:val="0"/>
              <w:spacing w:before="40" w:after="120"/>
              <w:ind w:right="113"/>
              <w:jc w:val="right"/>
              <w:rPr>
                <w:sz w:val="18"/>
                <w:szCs w:val="18"/>
              </w:rPr>
            </w:pPr>
            <w:r>
              <w:rPr>
                <w:sz w:val="18"/>
                <w:szCs w:val="18"/>
              </w:rPr>
              <w:t>52</w:t>
            </w:r>
          </w:p>
        </w:tc>
        <w:tc>
          <w:tcPr>
            <w:tcW w:w="870" w:type="dxa"/>
            <w:gridSpan w:val="2"/>
            <w:shd w:val="clear" w:color="auto" w:fill="auto"/>
          </w:tcPr>
          <w:p w14:paraId="1233A69D" w14:textId="77777777" w:rsidR="000125F5" w:rsidRPr="00240C54" w:rsidRDefault="000125F5" w:rsidP="00627106">
            <w:pPr>
              <w:suppressAutoHyphens w:val="0"/>
              <w:spacing w:before="40" w:after="120"/>
              <w:ind w:right="113"/>
              <w:jc w:val="right"/>
              <w:rPr>
                <w:sz w:val="18"/>
                <w:szCs w:val="18"/>
              </w:rPr>
            </w:pPr>
            <w:r w:rsidRPr="00240C54">
              <w:rPr>
                <w:sz w:val="18"/>
                <w:szCs w:val="18"/>
              </w:rPr>
              <w:t>50</w:t>
            </w:r>
          </w:p>
        </w:tc>
      </w:tr>
      <w:tr w:rsidR="000125F5" w:rsidRPr="00240C54" w14:paraId="01DB30E4" w14:textId="77777777" w:rsidTr="000A5EDC">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tcBorders>
              <w:bottom w:val="nil"/>
            </w:tcBorders>
            <w:shd w:val="clear" w:color="auto" w:fill="auto"/>
          </w:tcPr>
          <w:p w14:paraId="1C462F2E" w14:textId="77777777" w:rsidR="000125F5" w:rsidRPr="00240C54" w:rsidRDefault="000125F5" w:rsidP="00627106">
            <w:pPr>
              <w:tabs>
                <w:tab w:val="left" w:pos="280"/>
              </w:tabs>
              <w:suppressAutoHyphens w:val="0"/>
              <w:spacing w:before="40" w:after="120"/>
              <w:ind w:right="113"/>
              <w:rPr>
                <w:sz w:val="18"/>
                <w:szCs w:val="18"/>
              </w:rPr>
            </w:pPr>
          </w:p>
        </w:tc>
        <w:tc>
          <w:tcPr>
            <w:tcW w:w="2676" w:type="dxa"/>
            <w:vMerge/>
            <w:tcBorders>
              <w:bottom w:val="nil"/>
            </w:tcBorders>
            <w:shd w:val="clear" w:color="auto" w:fill="auto"/>
          </w:tcPr>
          <w:p w14:paraId="4B8CBF91" w14:textId="77777777" w:rsidR="000125F5" w:rsidRPr="00240C54" w:rsidRDefault="000125F5" w:rsidP="00627106">
            <w:pPr>
              <w:tabs>
                <w:tab w:val="left" w:pos="288"/>
              </w:tabs>
              <w:suppressAutoHyphens w:val="0"/>
              <w:spacing w:before="40" w:after="120"/>
              <w:ind w:right="113"/>
              <w:rPr>
                <w:sz w:val="18"/>
                <w:szCs w:val="18"/>
              </w:rPr>
            </w:pPr>
          </w:p>
        </w:tc>
        <w:tc>
          <w:tcPr>
            <w:tcW w:w="797" w:type="dxa"/>
            <w:tcBorders>
              <w:bottom w:val="nil"/>
            </w:tcBorders>
            <w:shd w:val="clear" w:color="auto" w:fill="auto"/>
          </w:tcPr>
          <w:p w14:paraId="719DFEEE" w14:textId="61CF3696" w:rsidR="000125F5" w:rsidRPr="00240C54" w:rsidRDefault="000125F5" w:rsidP="00D46037">
            <w:pPr>
              <w:suppressAutoHyphens w:val="0"/>
              <w:spacing w:before="40" w:after="120"/>
              <w:ind w:right="113"/>
              <w:rPr>
                <w:sz w:val="18"/>
                <w:szCs w:val="18"/>
              </w:rPr>
            </w:pPr>
            <w:proofErr w:type="spellStart"/>
            <w:r w:rsidRPr="00240C54">
              <w:rPr>
                <w:sz w:val="18"/>
                <w:szCs w:val="18"/>
              </w:rPr>
              <w:t>Actual</w:t>
            </w:r>
            <w:r w:rsidR="00D46037">
              <w:rPr>
                <w:i/>
                <w:sz w:val="18"/>
                <w:szCs w:val="18"/>
                <w:vertAlign w:val="superscript"/>
              </w:rPr>
              <w:t>b</w:t>
            </w:r>
            <w:proofErr w:type="spellEnd"/>
          </w:p>
        </w:tc>
        <w:tc>
          <w:tcPr>
            <w:tcW w:w="840" w:type="dxa"/>
            <w:tcBorders>
              <w:bottom w:val="nil"/>
            </w:tcBorders>
            <w:shd w:val="clear" w:color="auto" w:fill="auto"/>
          </w:tcPr>
          <w:p w14:paraId="5549E7D2" w14:textId="77777777" w:rsidR="000125F5" w:rsidRPr="00240C54" w:rsidRDefault="000125F5" w:rsidP="00627106">
            <w:pPr>
              <w:suppressAutoHyphens w:val="0"/>
              <w:spacing w:before="40" w:after="120"/>
              <w:ind w:right="113"/>
              <w:jc w:val="right"/>
              <w:rPr>
                <w:sz w:val="18"/>
                <w:szCs w:val="18"/>
              </w:rPr>
            </w:pPr>
          </w:p>
        </w:tc>
        <w:tc>
          <w:tcPr>
            <w:tcW w:w="911" w:type="dxa"/>
            <w:tcBorders>
              <w:bottom w:val="nil"/>
            </w:tcBorders>
            <w:shd w:val="clear" w:color="auto" w:fill="auto"/>
          </w:tcPr>
          <w:p w14:paraId="0F4F4AC5" w14:textId="77777777" w:rsidR="000125F5" w:rsidRPr="00240C54" w:rsidRDefault="000125F5" w:rsidP="00627106">
            <w:pPr>
              <w:suppressAutoHyphens w:val="0"/>
              <w:spacing w:before="40" w:after="120"/>
              <w:ind w:right="113"/>
              <w:jc w:val="right"/>
              <w:rPr>
                <w:sz w:val="18"/>
                <w:szCs w:val="18"/>
              </w:rPr>
            </w:pPr>
          </w:p>
        </w:tc>
        <w:tc>
          <w:tcPr>
            <w:tcW w:w="870" w:type="dxa"/>
            <w:gridSpan w:val="2"/>
            <w:tcBorders>
              <w:bottom w:val="nil"/>
            </w:tcBorders>
            <w:shd w:val="clear" w:color="auto" w:fill="auto"/>
          </w:tcPr>
          <w:p w14:paraId="6FF4151F" w14:textId="77777777" w:rsidR="000125F5" w:rsidRPr="00240C54" w:rsidRDefault="000125F5" w:rsidP="00627106">
            <w:pPr>
              <w:suppressAutoHyphens w:val="0"/>
              <w:spacing w:before="40" w:after="120"/>
              <w:ind w:right="113"/>
              <w:jc w:val="right"/>
              <w:rPr>
                <w:sz w:val="18"/>
                <w:szCs w:val="18"/>
              </w:rPr>
            </w:pPr>
            <w:r w:rsidRPr="00DD6C4B">
              <w:rPr>
                <w:sz w:val="18"/>
                <w:szCs w:val="18"/>
              </w:rPr>
              <w:t>54</w:t>
            </w:r>
          </w:p>
        </w:tc>
      </w:tr>
      <w:tr w:rsidR="000125F5" w:rsidRPr="00240C54" w14:paraId="72802ABF" w14:textId="77777777" w:rsidTr="000A5EDC">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val="restart"/>
            <w:tcBorders>
              <w:top w:val="nil"/>
              <w:bottom w:val="nil"/>
            </w:tcBorders>
            <w:shd w:val="clear" w:color="auto" w:fill="auto"/>
          </w:tcPr>
          <w:p w14:paraId="50EF3A39" w14:textId="77777777" w:rsidR="000125F5" w:rsidRPr="00240C54" w:rsidRDefault="000125F5" w:rsidP="00627106">
            <w:pPr>
              <w:tabs>
                <w:tab w:val="left" w:pos="280"/>
              </w:tabs>
              <w:suppressAutoHyphens w:val="0"/>
              <w:spacing w:before="40" w:after="120"/>
              <w:ind w:right="113"/>
              <w:rPr>
                <w:sz w:val="18"/>
                <w:szCs w:val="18"/>
              </w:rPr>
            </w:pPr>
            <w:r w:rsidRPr="00240C54">
              <w:rPr>
                <w:sz w:val="18"/>
                <w:szCs w:val="18"/>
              </w:rPr>
              <w:t>(d)</w:t>
            </w:r>
            <w:r w:rsidRPr="00240C54">
              <w:rPr>
                <w:sz w:val="18"/>
                <w:szCs w:val="18"/>
              </w:rPr>
              <w:tab/>
            </w:r>
            <w:r w:rsidRPr="00024EA2">
              <w:rPr>
                <w:sz w:val="18"/>
                <w:szCs w:val="18"/>
              </w:rPr>
              <w:t>Improved environmental performance of interested countries</w:t>
            </w:r>
          </w:p>
        </w:tc>
        <w:tc>
          <w:tcPr>
            <w:tcW w:w="2676" w:type="dxa"/>
            <w:vMerge w:val="restart"/>
            <w:tcBorders>
              <w:top w:val="nil"/>
              <w:bottom w:val="nil"/>
            </w:tcBorders>
            <w:shd w:val="clear" w:color="auto" w:fill="auto"/>
          </w:tcPr>
          <w:p w14:paraId="04997AAC" w14:textId="77777777" w:rsidR="000125F5" w:rsidRPr="00240C54" w:rsidRDefault="000125F5" w:rsidP="00627106">
            <w:pPr>
              <w:tabs>
                <w:tab w:val="left" w:pos="288"/>
              </w:tabs>
              <w:suppressAutoHyphens w:val="0"/>
              <w:spacing w:before="40" w:after="120"/>
              <w:ind w:right="113"/>
              <w:rPr>
                <w:sz w:val="18"/>
                <w:szCs w:val="18"/>
              </w:rPr>
            </w:pPr>
            <w:r w:rsidRPr="00240C54">
              <w:rPr>
                <w:sz w:val="18"/>
                <w:szCs w:val="18"/>
              </w:rPr>
              <w:t>(d)</w:t>
            </w:r>
            <w:r w:rsidRPr="00240C54">
              <w:rPr>
                <w:sz w:val="18"/>
                <w:szCs w:val="18"/>
              </w:rPr>
              <w:tab/>
            </w:r>
            <w:r w:rsidRPr="00024EA2">
              <w:rPr>
                <w:sz w:val="18"/>
                <w:szCs w:val="18"/>
              </w:rPr>
              <w:t>Percentage of environmental performance review recommendations implemented by countries reviewed during a biennium</w:t>
            </w:r>
          </w:p>
        </w:tc>
        <w:tc>
          <w:tcPr>
            <w:tcW w:w="797" w:type="dxa"/>
            <w:tcBorders>
              <w:top w:val="nil"/>
              <w:bottom w:val="nil"/>
            </w:tcBorders>
            <w:shd w:val="clear" w:color="auto" w:fill="auto"/>
          </w:tcPr>
          <w:p w14:paraId="0F03DA6D" w14:textId="77777777" w:rsidR="000125F5" w:rsidRPr="00240C54" w:rsidRDefault="000125F5" w:rsidP="00627106">
            <w:pPr>
              <w:suppressAutoHyphens w:val="0"/>
              <w:spacing w:before="40" w:after="120"/>
              <w:ind w:right="113"/>
              <w:rPr>
                <w:sz w:val="18"/>
                <w:szCs w:val="18"/>
              </w:rPr>
            </w:pPr>
            <w:r w:rsidRPr="00240C54">
              <w:rPr>
                <w:sz w:val="18"/>
                <w:szCs w:val="18"/>
              </w:rPr>
              <w:t>Target</w:t>
            </w:r>
          </w:p>
        </w:tc>
        <w:tc>
          <w:tcPr>
            <w:tcW w:w="840" w:type="dxa"/>
            <w:tcBorders>
              <w:top w:val="nil"/>
              <w:bottom w:val="nil"/>
            </w:tcBorders>
            <w:shd w:val="clear" w:color="auto" w:fill="auto"/>
          </w:tcPr>
          <w:p w14:paraId="21DF3515" w14:textId="77777777" w:rsidR="000125F5" w:rsidRPr="00240C54" w:rsidRDefault="000125F5" w:rsidP="00627106">
            <w:pPr>
              <w:suppressAutoHyphens w:val="0"/>
              <w:spacing w:before="40" w:after="120"/>
              <w:ind w:right="113"/>
              <w:jc w:val="right"/>
              <w:rPr>
                <w:sz w:val="18"/>
                <w:szCs w:val="18"/>
              </w:rPr>
            </w:pPr>
            <w:r>
              <w:rPr>
                <w:sz w:val="18"/>
                <w:szCs w:val="18"/>
              </w:rPr>
              <w:t>65</w:t>
            </w:r>
          </w:p>
        </w:tc>
        <w:tc>
          <w:tcPr>
            <w:tcW w:w="911" w:type="dxa"/>
            <w:tcBorders>
              <w:top w:val="nil"/>
              <w:bottom w:val="nil"/>
            </w:tcBorders>
            <w:shd w:val="clear" w:color="auto" w:fill="auto"/>
          </w:tcPr>
          <w:p w14:paraId="0B0423EC" w14:textId="77777777" w:rsidR="000125F5" w:rsidRPr="00240C54" w:rsidRDefault="000125F5" w:rsidP="00627106">
            <w:pPr>
              <w:suppressAutoHyphens w:val="0"/>
              <w:spacing w:before="40" w:after="120"/>
              <w:ind w:right="113"/>
              <w:jc w:val="right"/>
              <w:rPr>
                <w:sz w:val="18"/>
                <w:szCs w:val="18"/>
              </w:rPr>
            </w:pPr>
            <w:r w:rsidRPr="00240C54">
              <w:rPr>
                <w:sz w:val="18"/>
                <w:szCs w:val="18"/>
              </w:rPr>
              <w:t>65</w:t>
            </w:r>
          </w:p>
        </w:tc>
        <w:tc>
          <w:tcPr>
            <w:tcW w:w="870" w:type="dxa"/>
            <w:gridSpan w:val="2"/>
            <w:tcBorders>
              <w:top w:val="nil"/>
              <w:bottom w:val="nil"/>
            </w:tcBorders>
            <w:shd w:val="clear" w:color="auto" w:fill="auto"/>
          </w:tcPr>
          <w:p w14:paraId="38E2DE8A" w14:textId="77777777" w:rsidR="000125F5" w:rsidRPr="00240C54" w:rsidRDefault="000125F5" w:rsidP="00627106">
            <w:pPr>
              <w:suppressAutoHyphens w:val="0"/>
              <w:spacing w:before="40" w:after="120"/>
              <w:ind w:right="113"/>
              <w:jc w:val="right"/>
              <w:rPr>
                <w:sz w:val="18"/>
                <w:szCs w:val="18"/>
              </w:rPr>
            </w:pPr>
            <w:r w:rsidRPr="00240C54">
              <w:rPr>
                <w:sz w:val="18"/>
                <w:szCs w:val="18"/>
              </w:rPr>
              <w:t>65</w:t>
            </w:r>
          </w:p>
        </w:tc>
      </w:tr>
      <w:tr w:rsidR="000125F5" w:rsidRPr="00240C54" w14:paraId="1558FD7B" w14:textId="77777777" w:rsidTr="000A5EDC">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tcBorders>
              <w:top w:val="nil"/>
              <w:bottom w:val="nil"/>
            </w:tcBorders>
            <w:shd w:val="clear" w:color="auto" w:fill="auto"/>
          </w:tcPr>
          <w:p w14:paraId="39F4E0B1" w14:textId="77777777" w:rsidR="000125F5" w:rsidRPr="00240C54" w:rsidRDefault="000125F5" w:rsidP="00627106">
            <w:pPr>
              <w:suppressAutoHyphens w:val="0"/>
              <w:spacing w:before="40" w:after="120"/>
              <w:ind w:right="113"/>
              <w:rPr>
                <w:sz w:val="18"/>
                <w:szCs w:val="18"/>
              </w:rPr>
            </w:pPr>
          </w:p>
        </w:tc>
        <w:tc>
          <w:tcPr>
            <w:tcW w:w="2676" w:type="dxa"/>
            <w:vMerge/>
            <w:tcBorders>
              <w:top w:val="nil"/>
              <w:bottom w:val="nil"/>
            </w:tcBorders>
            <w:shd w:val="clear" w:color="auto" w:fill="auto"/>
          </w:tcPr>
          <w:p w14:paraId="025CB129" w14:textId="77777777" w:rsidR="000125F5" w:rsidRPr="00240C54" w:rsidRDefault="000125F5" w:rsidP="00627106">
            <w:pPr>
              <w:suppressAutoHyphens w:val="0"/>
              <w:spacing w:before="40" w:after="120"/>
              <w:ind w:right="113"/>
              <w:rPr>
                <w:sz w:val="18"/>
                <w:szCs w:val="18"/>
              </w:rPr>
            </w:pPr>
          </w:p>
        </w:tc>
        <w:tc>
          <w:tcPr>
            <w:tcW w:w="797" w:type="dxa"/>
            <w:tcBorders>
              <w:top w:val="nil"/>
              <w:bottom w:val="nil"/>
            </w:tcBorders>
            <w:shd w:val="clear" w:color="auto" w:fill="auto"/>
          </w:tcPr>
          <w:p w14:paraId="3905109E" w14:textId="77777777" w:rsidR="000125F5" w:rsidRPr="00240C54" w:rsidRDefault="000125F5" w:rsidP="00627106">
            <w:pPr>
              <w:suppressAutoHyphens w:val="0"/>
              <w:spacing w:before="40" w:after="120"/>
              <w:ind w:right="113"/>
              <w:rPr>
                <w:sz w:val="18"/>
                <w:szCs w:val="18"/>
              </w:rPr>
            </w:pPr>
            <w:r w:rsidRPr="00240C54">
              <w:rPr>
                <w:sz w:val="18"/>
                <w:szCs w:val="18"/>
              </w:rPr>
              <w:t>Estimate</w:t>
            </w:r>
          </w:p>
        </w:tc>
        <w:tc>
          <w:tcPr>
            <w:tcW w:w="840" w:type="dxa"/>
            <w:tcBorders>
              <w:top w:val="nil"/>
              <w:bottom w:val="nil"/>
            </w:tcBorders>
            <w:shd w:val="clear" w:color="auto" w:fill="auto"/>
          </w:tcPr>
          <w:p w14:paraId="125B4303" w14:textId="77777777" w:rsidR="000125F5" w:rsidRPr="00240C54" w:rsidRDefault="000125F5" w:rsidP="00627106">
            <w:pPr>
              <w:suppressAutoHyphens w:val="0"/>
              <w:spacing w:before="40" w:after="120"/>
              <w:ind w:right="113"/>
              <w:jc w:val="right"/>
              <w:rPr>
                <w:sz w:val="18"/>
                <w:szCs w:val="18"/>
              </w:rPr>
            </w:pPr>
          </w:p>
        </w:tc>
        <w:tc>
          <w:tcPr>
            <w:tcW w:w="911" w:type="dxa"/>
            <w:tcBorders>
              <w:top w:val="nil"/>
              <w:bottom w:val="nil"/>
            </w:tcBorders>
            <w:shd w:val="clear" w:color="auto" w:fill="auto"/>
          </w:tcPr>
          <w:p w14:paraId="52268AC1" w14:textId="53AEA40C" w:rsidR="000125F5" w:rsidRPr="00240C54" w:rsidRDefault="006B3D09" w:rsidP="00627106">
            <w:pPr>
              <w:suppressAutoHyphens w:val="0"/>
              <w:spacing w:before="40" w:after="120"/>
              <w:ind w:right="113"/>
              <w:jc w:val="right"/>
              <w:rPr>
                <w:sz w:val="18"/>
                <w:szCs w:val="18"/>
              </w:rPr>
            </w:pPr>
            <w:r>
              <w:rPr>
                <w:sz w:val="18"/>
                <w:szCs w:val="18"/>
              </w:rPr>
              <w:t>65</w:t>
            </w:r>
          </w:p>
        </w:tc>
        <w:tc>
          <w:tcPr>
            <w:tcW w:w="870" w:type="dxa"/>
            <w:gridSpan w:val="2"/>
            <w:tcBorders>
              <w:top w:val="nil"/>
              <w:bottom w:val="nil"/>
            </w:tcBorders>
            <w:shd w:val="clear" w:color="auto" w:fill="auto"/>
          </w:tcPr>
          <w:p w14:paraId="2BA5DE96" w14:textId="77777777" w:rsidR="000125F5" w:rsidRPr="00240C54" w:rsidRDefault="000125F5" w:rsidP="00627106">
            <w:pPr>
              <w:suppressAutoHyphens w:val="0"/>
              <w:spacing w:before="40" w:after="120"/>
              <w:ind w:right="113"/>
              <w:jc w:val="right"/>
              <w:rPr>
                <w:sz w:val="18"/>
                <w:szCs w:val="18"/>
              </w:rPr>
            </w:pPr>
            <w:r w:rsidRPr="00240C54">
              <w:rPr>
                <w:sz w:val="18"/>
                <w:szCs w:val="18"/>
              </w:rPr>
              <w:t>65</w:t>
            </w:r>
          </w:p>
        </w:tc>
      </w:tr>
      <w:tr w:rsidR="000125F5" w:rsidRPr="00240C54" w14:paraId="278F5027" w14:textId="77777777" w:rsidTr="000A5EDC">
        <w:tblPrEx>
          <w:tblBorders>
            <w:top w:val="single" w:sz="4" w:space="0" w:color="auto"/>
            <w:left w:val="none" w:sz="0" w:space="0" w:color="auto"/>
            <w:bottom w:val="single" w:sz="12" w:space="0" w:color="auto"/>
            <w:right w:val="none" w:sz="0" w:space="0" w:color="auto"/>
          </w:tblBorders>
          <w:tblLook w:val="04A0" w:firstRow="1" w:lastRow="0" w:firstColumn="1" w:lastColumn="0" w:noHBand="0" w:noVBand="1"/>
        </w:tblPrEx>
        <w:trPr>
          <w:jc w:val="center"/>
        </w:trPr>
        <w:tc>
          <w:tcPr>
            <w:tcW w:w="2416" w:type="dxa"/>
            <w:vMerge/>
            <w:tcBorders>
              <w:top w:val="nil"/>
              <w:bottom w:val="single" w:sz="12" w:space="0" w:color="auto"/>
            </w:tcBorders>
            <w:shd w:val="clear" w:color="auto" w:fill="auto"/>
          </w:tcPr>
          <w:p w14:paraId="12011B1F" w14:textId="77777777" w:rsidR="000125F5" w:rsidRPr="00240C54" w:rsidRDefault="000125F5" w:rsidP="00627106">
            <w:pPr>
              <w:suppressAutoHyphens w:val="0"/>
              <w:spacing w:before="40" w:after="120"/>
              <w:ind w:right="113"/>
              <w:rPr>
                <w:sz w:val="18"/>
                <w:szCs w:val="18"/>
              </w:rPr>
            </w:pPr>
          </w:p>
        </w:tc>
        <w:tc>
          <w:tcPr>
            <w:tcW w:w="2676" w:type="dxa"/>
            <w:vMerge/>
            <w:tcBorders>
              <w:top w:val="nil"/>
              <w:bottom w:val="single" w:sz="12" w:space="0" w:color="auto"/>
            </w:tcBorders>
            <w:shd w:val="clear" w:color="auto" w:fill="auto"/>
          </w:tcPr>
          <w:p w14:paraId="4F7A3A05" w14:textId="77777777" w:rsidR="000125F5" w:rsidRPr="00240C54" w:rsidRDefault="000125F5" w:rsidP="00627106">
            <w:pPr>
              <w:suppressAutoHyphens w:val="0"/>
              <w:spacing w:before="40" w:after="120"/>
              <w:ind w:right="113"/>
              <w:rPr>
                <w:sz w:val="18"/>
                <w:szCs w:val="18"/>
              </w:rPr>
            </w:pPr>
          </w:p>
        </w:tc>
        <w:tc>
          <w:tcPr>
            <w:tcW w:w="797" w:type="dxa"/>
            <w:tcBorders>
              <w:top w:val="nil"/>
              <w:bottom w:val="single" w:sz="12" w:space="0" w:color="auto"/>
            </w:tcBorders>
            <w:shd w:val="clear" w:color="auto" w:fill="auto"/>
          </w:tcPr>
          <w:p w14:paraId="1F10AFC7" w14:textId="6A7760BA" w:rsidR="000125F5" w:rsidRPr="00240C54" w:rsidRDefault="000125F5" w:rsidP="00D46037">
            <w:pPr>
              <w:suppressAutoHyphens w:val="0"/>
              <w:spacing w:before="40" w:after="120"/>
              <w:ind w:right="113"/>
              <w:rPr>
                <w:sz w:val="18"/>
                <w:szCs w:val="18"/>
              </w:rPr>
            </w:pPr>
            <w:proofErr w:type="spellStart"/>
            <w:r w:rsidRPr="00240C54">
              <w:rPr>
                <w:sz w:val="18"/>
                <w:szCs w:val="18"/>
              </w:rPr>
              <w:t>Actual</w:t>
            </w:r>
            <w:r w:rsidR="00D46037">
              <w:rPr>
                <w:i/>
                <w:sz w:val="18"/>
                <w:szCs w:val="18"/>
                <w:vertAlign w:val="superscript"/>
              </w:rPr>
              <w:t>b</w:t>
            </w:r>
            <w:proofErr w:type="spellEnd"/>
          </w:p>
        </w:tc>
        <w:tc>
          <w:tcPr>
            <w:tcW w:w="840" w:type="dxa"/>
            <w:tcBorders>
              <w:top w:val="nil"/>
              <w:bottom w:val="single" w:sz="12" w:space="0" w:color="auto"/>
            </w:tcBorders>
            <w:shd w:val="clear" w:color="auto" w:fill="auto"/>
          </w:tcPr>
          <w:p w14:paraId="5E343697" w14:textId="77777777" w:rsidR="000125F5" w:rsidRPr="00240C54" w:rsidRDefault="000125F5" w:rsidP="00627106">
            <w:pPr>
              <w:suppressAutoHyphens w:val="0"/>
              <w:spacing w:before="40" w:after="120"/>
              <w:ind w:right="113"/>
              <w:jc w:val="right"/>
              <w:rPr>
                <w:sz w:val="18"/>
                <w:szCs w:val="18"/>
              </w:rPr>
            </w:pPr>
          </w:p>
        </w:tc>
        <w:tc>
          <w:tcPr>
            <w:tcW w:w="911" w:type="dxa"/>
            <w:tcBorders>
              <w:top w:val="nil"/>
              <w:bottom w:val="single" w:sz="12" w:space="0" w:color="auto"/>
            </w:tcBorders>
            <w:shd w:val="clear" w:color="auto" w:fill="auto"/>
          </w:tcPr>
          <w:p w14:paraId="141F1BC5" w14:textId="77777777" w:rsidR="000125F5" w:rsidRPr="00240C54" w:rsidRDefault="000125F5" w:rsidP="00627106">
            <w:pPr>
              <w:suppressAutoHyphens w:val="0"/>
              <w:spacing w:before="40" w:after="120"/>
              <w:ind w:right="113"/>
              <w:jc w:val="right"/>
              <w:rPr>
                <w:sz w:val="18"/>
                <w:szCs w:val="18"/>
              </w:rPr>
            </w:pPr>
          </w:p>
        </w:tc>
        <w:tc>
          <w:tcPr>
            <w:tcW w:w="870" w:type="dxa"/>
            <w:gridSpan w:val="2"/>
            <w:tcBorders>
              <w:top w:val="nil"/>
              <w:bottom w:val="single" w:sz="12" w:space="0" w:color="auto"/>
            </w:tcBorders>
            <w:shd w:val="clear" w:color="auto" w:fill="auto"/>
          </w:tcPr>
          <w:p w14:paraId="0879110A" w14:textId="787A9750" w:rsidR="000125F5" w:rsidRPr="00240C54" w:rsidRDefault="000125F5" w:rsidP="00D46037">
            <w:pPr>
              <w:suppressAutoHyphens w:val="0"/>
              <w:spacing w:before="40" w:after="120"/>
              <w:ind w:right="57"/>
              <w:jc w:val="right"/>
              <w:rPr>
                <w:sz w:val="18"/>
                <w:szCs w:val="18"/>
              </w:rPr>
            </w:pPr>
            <w:r w:rsidRPr="00DD6C4B">
              <w:rPr>
                <w:sz w:val="18"/>
                <w:szCs w:val="18"/>
              </w:rPr>
              <w:t>75</w:t>
            </w:r>
            <w:r w:rsidR="00D46037" w:rsidRPr="00DD6C4B">
              <w:rPr>
                <w:i/>
                <w:sz w:val="18"/>
                <w:szCs w:val="18"/>
                <w:vertAlign w:val="superscript"/>
              </w:rPr>
              <w:t>e</w:t>
            </w:r>
          </w:p>
        </w:tc>
      </w:tr>
    </w:tbl>
    <w:p w14:paraId="73D2AE08" w14:textId="1663CDAD" w:rsidR="00D46037" w:rsidRPr="00F77D59" w:rsidRDefault="000125F5" w:rsidP="00D46037">
      <w:pPr>
        <w:spacing w:before="120" w:line="220" w:lineRule="exact"/>
        <w:ind w:left="567" w:right="851" w:firstLine="170"/>
        <w:rPr>
          <w:sz w:val="18"/>
          <w:szCs w:val="18"/>
        </w:rPr>
      </w:pPr>
      <w:proofErr w:type="spellStart"/>
      <w:proofErr w:type="gramStart"/>
      <w:r w:rsidRPr="000A5EDC">
        <w:rPr>
          <w:i/>
          <w:sz w:val="18"/>
          <w:szCs w:val="18"/>
          <w:vertAlign w:val="superscript"/>
        </w:rPr>
        <w:t>a</w:t>
      </w:r>
      <w:proofErr w:type="spellEnd"/>
      <w:r w:rsidR="000A5EDC">
        <w:rPr>
          <w:i/>
          <w:vertAlign w:val="superscript"/>
        </w:rPr>
        <w:t xml:space="preserve">  </w:t>
      </w:r>
      <w:r w:rsidRPr="000A5EDC">
        <w:rPr>
          <w:sz w:val="18"/>
          <w:szCs w:val="18"/>
        </w:rPr>
        <w:t>Int</w:t>
      </w:r>
      <w:r w:rsidRPr="00F77D59">
        <w:rPr>
          <w:sz w:val="18"/>
          <w:szCs w:val="18"/>
        </w:rPr>
        <w:t>erim</w:t>
      </w:r>
      <w:proofErr w:type="gramEnd"/>
      <w:r w:rsidRPr="00F77D59">
        <w:rPr>
          <w:sz w:val="18"/>
          <w:szCs w:val="18"/>
        </w:rPr>
        <w:t xml:space="preserve"> figure, as at </w:t>
      </w:r>
      <w:r w:rsidR="006B3D09" w:rsidRPr="00F77D59">
        <w:rPr>
          <w:sz w:val="18"/>
          <w:szCs w:val="18"/>
        </w:rPr>
        <w:t xml:space="preserve">15 August </w:t>
      </w:r>
      <w:r w:rsidR="006E03FD">
        <w:rPr>
          <w:sz w:val="18"/>
          <w:szCs w:val="18"/>
        </w:rPr>
        <w:t>2017.</w:t>
      </w:r>
    </w:p>
    <w:p w14:paraId="2D685293" w14:textId="6674168A" w:rsidR="00D46037" w:rsidRDefault="00D46037" w:rsidP="00D46037">
      <w:pPr>
        <w:spacing w:line="220" w:lineRule="exact"/>
        <w:ind w:left="567" w:right="851" w:firstLine="170"/>
        <w:rPr>
          <w:sz w:val="18"/>
          <w:szCs w:val="18"/>
        </w:rPr>
      </w:pPr>
      <w:proofErr w:type="gramStart"/>
      <w:r w:rsidRPr="00F77D59">
        <w:rPr>
          <w:i/>
          <w:sz w:val="18"/>
          <w:szCs w:val="18"/>
          <w:vertAlign w:val="superscript"/>
        </w:rPr>
        <w:t>b</w:t>
      </w:r>
      <w:proofErr w:type="gramEnd"/>
      <w:r w:rsidRPr="00F77D59">
        <w:rPr>
          <w:i/>
          <w:sz w:val="18"/>
          <w:szCs w:val="18"/>
          <w:vertAlign w:val="superscript"/>
        </w:rPr>
        <w:t xml:space="preserve"> </w:t>
      </w:r>
      <w:r w:rsidRPr="00F77D59">
        <w:rPr>
          <w:sz w:val="18"/>
          <w:szCs w:val="18"/>
        </w:rPr>
        <w:t xml:space="preserve">Interim figure, as at </w:t>
      </w:r>
      <w:r w:rsidR="00F77D59" w:rsidRPr="00F77D59">
        <w:rPr>
          <w:sz w:val="18"/>
          <w:szCs w:val="18"/>
        </w:rPr>
        <w:t>31</w:t>
      </w:r>
      <w:r w:rsidRPr="00F77D59">
        <w:rPr>
          <w:sz w:val="18"/>
          <w:szCs w:val="18"/>
        </w:rPr>
        <w:t xml:space="preserve"> </w:t>
      </w:r>
      <w:r w:rsidR="00F77D59" w:rsidRPr="00F77D59">
        <w:rPr>
          <w:sz w:val="18"/>
          <w:szCs w:val="18"/>
        </w:rPr>
        <w:t xml:space="preserve">December </w:t>
      </w:r>
      <w:r w:rsidRPr="00F77D59">
        <w:rPr>
          <w:sz w:val="18"/>
          <w:szCs w:val="18"/>
        </w:rPr>
        <w:t>201</w:t>
      </w:r>
      <w:r w:rsidR="00F77D59" w:rsidRPr="00F77D59">
        <w:rPr>
          <w:sz w:val="18"/>
          <w:szCs w:val="18"/>
        </w:rPr>
        <w:t>6</w:t>
      </w:r>
      <w:r w:rsidRPr="00F77D59">
        <w:rPr>
          <w:sz w:val="18"/>
          <w:szCs w:val="18"/>
        </w:rPr>
        <w:t>.</w:t>
      </w:r>
    </w:p>
    <w:p w14:paraId="064C04FF" w14:textId="107C878D" w:rsidR="00D46037" w:rsidRDefault="00D46037" w:rsidP="00D46037">
      <w:pPr>
        <w:spacing w:line="220" w:lineRule="exact"/>
        <w:ind w:left="567" w:right="851" w:firstLine="170"/>
      </w:pPr>
      <w:r w:rsidRPr="00D46037">
        <w:rPr>
          <w:i/>
          <w:sz w:val="18"/>
          <w:szCs w:val="18"/>
          <w:vertAlign w:val="superscript"/>
        </w:rPr>
        <w:t>c</w:t>
      </w:r>
      <w:r w:rsidR="000A5EDC">
        <w:rPr>
          <w:i/>
          <w:vertAlign w:val="superscript"/>
        </w:rPr>
        <w:t xml:space="preserve"> </w:t>
      </w:r>
      <w:r w:rsidR="000A5EDC" w:rsidRPr="000A5EDC">
        <w:rPr>
          <w:sz w:val="18"/>
          <w:szCs w:val="18"/>
        </w:rPr>
        <w:t>T</w:t>
      </w:r>
      <w:r w:rsidR="008942BF">
        <w:rPr>
          <w:sz w:val="18"/>
          <w:szCs w:val="18"/>
        </w:rPr>
        <w:t>he t</w:t>
      </w:r>
      <w:r w:rsidR="000A5EDC" w:rsidRPr="000A5EDC">
        <w:rPr>
          <w:sz w:val="18"/>
          <w:szCs w:val="18"/>
        </w:rPr>
        <w:t xml:space="preserve">wo measures include: (a) </w:t>
      </w:r>
      <w:r w:rsidR="008942BF">
        <w:rPr>
          <w:sz w:val="18"/>
          <w:szCs w:val="18"/>
        </w:rPr>
        <w:t xml:space="preserve">the </w:t>
      </w:r>
      <w:r w:rsidR="00627106" w:rsidRPr="00627106">
        <w:rPr>
          <w:sz w:val="18"/>
          <w:szCs w:val="18"/>
        </w:rPr>
        <w:t>Pan-European Strategic</w:t>
      </w:r>
      <w:r w:rsidR="00627106">
        <w:rPr>
          <w:sz w:val="18"/>
          <w:szCs w:val="18"/>
        </w:rPr>
        <w:t xml:space="preserve"> </w:t>
      </w:r>
      <w:r w:rsidR="00627106" w:rsidRPr="00627106">
        <w:rPr>
          <w:sz w:val="18"/>
          <w:szCs w:val="18"/>
        </w:rPr>
        <w:t>Framework for Greening the Economy</w:t>
      </w:r>
      <w:r w:rsidR="008942BF">
        <w:rPr>
          <w:sz w:val="18"/>
          <w:szCs w:val="18"/>
        </w:rPr>
        <w:t>, along with its implementing</w:t>
      </w:r>
      <w:r w:rsidR="00627106" w:rsidRPr="00627106" w:rsidDel="00627106">
        <w:rPr>
          <w:sz w:val="18"/>
          <w:szCs w:val="18"/>
        </w:rPr>
        <w:t xml:space="preserve"> </w:t>
      </w:r>
      <w:r w:rsidR="008942BF">
        <w:rPr>
          <w:sz w:val="18"/>
          <w:szCs w:val="18"/>
        </w:rPr>
        <w:t>Batumi Initiative on Green Economy</w:t>
      </w:r>
      <w:r w:rsidR="000A5EDC" w:rsidRPr="000A5EDC">
        <w:rPr>
          <w:sz w:val="18"/>
          <w:szCs w:val="18"/>
        </w:rPr>
        <w:t xml:space="preserve">; and (b) </w:t>
      </w:r>
      <w:r w:rsidR="008942BF">
        <w:rPr>
          <w:sz w:val="18"/>
          <w:szCs w:val="18"/>
        </w:rPr>
        <w:t>the Batumi Action for Cleaner Air</w:t>
      </w:r>
      <w:r w:rsidR="000A5EDC" w:rsidRPr="000A5EDC">
        <w:rPr>
          <w:sz w:val="18"/>
          <w:szCs w:val="18"/>
        </w:rPr>
        <w:t>.</w:t>
      </w:r>
    </w:p>
    <w:p w14:paraId="67A540F5" w14:textId="5904455A" w:rsidR="000A5EDC" w:rsidRDefault="00D46037" w:rsidP="00627106">
      <w:pPr>
        <w:spacing w:line="220" w:lineRule="exact"/>
        <w:ind w:left="567" w:right="850" w:firstLine="170"/>
      </w:pPr>
      <w:r>
        <w:rPr>
          <w:i/>
          <w:sz w:val="18"/>
          <w:szCs w:val="18"/>
          <w:vertAlign w:val="superscript"/>
        </w:rPr>
        <w:t>d</w:t>
      </w:r>
      <w:r w:rsidR="000A5EDC">
        <w:rPr>
          <w:i/>
          <w:vertAlign w:val="superscript"/>
        </w:rPr>
        <w:t xml:space="preserve"> </w:t>
      </w:r>
      <w:r w:rsidR="008942BF" w:rsidRPr="00121B33">
        <w:rPr>
          <w:sz w:val="18"/>
          <w:szCs w:val="18"/>
        </w:rPr>
        <w:t>The</w:t>
      </w:r>
      <w:r w:rsidR="008942BF" w:rsidRPr="008942BF">
        <w:rPr>
          <w:sz w:val="18"/>
          <w:szCs w:val="18"/>
        </w:rPr>
        <w:t xml:space="preserve"> </w:t>
      </w:r>
      <w:r w:rsidR="000A5EDC" w:rsidRPr="00E42911">
        <w:rPr>
          <w:sz w:val="18"/>
          <w:szCs w:val="18"/>
        </w:rPr>
        <w:t>9</w:t>
      </w:r>
      <w:r w:rsidR="00E42911" w:rsidRPr="00E42911">
        <w:rPr>
          <w:sz w:val="18"/>
          <w:szCs w:val="18"/>
        </w:rPr>
        <w:t>1</w:t>
      </w:r>
      <w:r w:rsidR="000A5EDC" w:rsidRPr="00E42911">
        <w:rPr>
          <w:sz w:val="18"/>
          <w:szCs w:val="18"/>
        </w:rPr>
        <w:t xml:space="preserve"> per</w:t>
      </w:r>
      <w:r w:rsidR="008942BF" w:rsidRPr="00E42911">
        <w:rPr>
          <w:sz w:val="18"/>
          <w:szCs w:val="18"/>
        </w:rPr>
        <w:t xml:space="preserve"> </w:t>
      </w:r>
      <w:r w:rsidR="000A5EDC" w:rsidRPr="00E42911">
        <w:rPr>
          <w:sz w:val="18"/>
          <w:szCs w:val="18"/>
        </w:rPr>
        <w:t>cent</w:t>
      </w:r>
      <w:r w:rsidR="00C70867">
        <w:rPr>
          <w:sz w:val="18"/>
          <w:szCs w:val="18"/>
        </w:rPr>
        <w:t xml:space="preserve"> increase </w:t>
      </w:r>
      <w:r w:rsidR="000A5EDC" w:rsidRPr="000A5EDC">
        <w:rPr>
          <w:sz w:val="18"/>
          <w:szCs w:val="18"/>
        </w:rPr>
        <w:t>include</w:t>
      </w:r>
      <w:r w:rsidR="008942BF">
        <w:rPr>
          <w:sz w:val="18"/>
          <w:szCs w:val="18"/>
        </w:rPr>
        <w:t>s</w:t>
      </w:r>
      <w:r w:rsidR="000A5EDC" w:rsidRPr="000A5EDC">
        <w:rPr>
          <w:sz w:val="18"/>
          <w:szCs w:val="18"/>
        </w:rPr>
        <w:t xml:space="preserve"> the average of </w:t>
      </w:r>
      <w:r w:rsidR="008942BF">
        <w:rPr>
          <w:sz w:val="18"/>
          <w:szCs w:val="18"/>
        </w:rPr>
        <w:t xml:space="preserve">the </w:t>
      </w:r>
      <w:r w:rsidR="000A5EDC" w:rsidRPr="000A5EDC">
        <w:rPr>
          <w:sz w:val="18"/>
          <w:szCs w:val="18"/>
        </w:rPr>
        <w:t>reporting rate in 2016</w:t>
      </w:r>
      <w:r w:rsidR="0003099D">
        <w:rPr>
          <w:sz w:val="18"/>
          <w:szCs w:val="18"/>
        </w:rPr>
        <w:t xml:space="preserve"> and 2017 (as at 15 August)</w:t>
      </w:r>
      <w:r w:rsidR="000A5EDC" w:rsidRPr="000A5EDC">
        <w:rPr>
          <w:sz w:val="18"/>
          <w:szCs w:val="18"/>
        </w:rPr>
        <w:t xml:space="preserve"> under: (a) </w:t>
      </w:r>
      <w:r w:rsidR="008942BF">
        <w:rPr>
          <w:sz w:val="18"/>
          <w:szCs w:val="18"/>
        </w:rPr>
        <w:t>the Convention on Long-range Transboundary Air Pollution</w:t>
      </w:r>
      <w:r w:rsidR="000A5EDC" w:rsidRPr="000A5EDC">
        <w:rPr>
          <w:sz w:val="18"/>
          <w:szCs w:val="18"/>
        </w:rPr>
        <w:t xml:space="preserve">; </w:t>
      </w:r>
      <w:r w:rsidR="0003099D">
        <w:rPr>
          <w:sz w:val="18"/>
          <w:szCs w:val="18"/>
        </w:rPr>
        <w:t xml:space="preserve"> (b) the</w:t>
      </w:r>
      <w:r w:rsidR="0003099D" w:rsidRPr="0003099D">
        <w:rPr>
          <w:sz w:val="18"/>
          <w:szCs w:val="18"/>
        </w:rPr>
        <w:t xml:space="preserve"> </w:t>
      </w:r>
      <w:r w:rsidR="0003099D">
        <w:rPr>
          <w:sz w:val="18"/>
          <w:szCs w:val="18"/>
        </w:rPr>
        <w:t xml:space="preserve">Convention on the Protection and Use of Transboundary Watercourses and International Lakes (Water Convention); </w:t>
      </w:r>
      <w:r w:rsidR="000A5EDC" w:rsidRPr="000A5EDC">
        <w:rPr>
          <w:sz w:val="18"/>
          <w:szCs w:val="18"/>
        </w:rPr>
        <w:t>(</w:t>
      </w:r>
      <w:r w:rsidR="0003099D">
        <w:rPr>
          <w:sz w:val="18"/>
          <w:szCs w:val="18"/>
        </w:rPr>
        <w:t>c</w:t>
      </w:r>
      <w:r w:rsidR="000A5EDC" w:rsidRPr="000A5EDC">
        <w:rPr>
          <w:sz w:val="18"/>
          <w:szCs w:val="18"/>
        </w:rPr>
        <w:t xml:space="preserve">) </w:t>
      </w:r>
      <w:r w:rsidR="008942BF">
        <w:rPr>
          <w:sz w:val="18"/>
          <w:szCs w:val="18"/>
        </w:rPr>
        <w:t xml:space="preserve">the </w:t>
      </w:r>
      <w:r w:rsidR="000A5EDC" w:rsidRPr="000A5EDC">
        <w:rPr>
          <w:sz w:val="18"/>
          <w:szCs w:val="18"/>
        </w:rPr>
        <w:t>Protocol on Water and Health</w:t>
      </w:r>
      <w:r w:rsidR="008942BF">
        <w:rPr>
          <w:sz w:val="18"/>
          <w:szCs w:val="18"/>
        </w:rPr>
        <w:t xml:space="preserve"> to the</w:t>
      </w:r>
      <w:r w:rsidR="0003099D">
        <w:rPr>
          <w:sz w:val="18"/>
          <w:szCs w:val="18"/>
        </w:rPr>
        <w:t xml:space="preserve"> Water Convention; </w:t>
      </w:r>
      <w:r w:rsidR="000A5EDC" w:rsidRPr="000A5EDC">
        <w:rPr>
          <w:sz w:val="18"/>
          <w:szCs w:val="18"/>
        </w:rPr>
        <w:t>(</w:t>
      </w:r>
      <w:r w:rsidR="0003099D">
        <w:rPr>
          <w:sz w:val="18"/>
          <w:szCs w:val="18"/>
        </w:rPr>
        <w:t>d</w:t>
      </w:r>
      <w:r w:rsidR="000A5EDC" w:rsidRPr="000A5EDC">
        <w:rPr>
          <w:sz w:val="18"/>
          <w:szCs w:val="18"/>
        </w:rPr>
        <w:t xml:space="preserve">) </w:t>
      </w:r>
      <w:r w:rsidR="008942BF">
        <w:rPr>
          <w:sz w:val="18"/>
          <w:szCs w:val="18"/>
        </w:rPr>
        <w:t>the Convention on the Transboundary Effects of Industrial Accidents</w:t>
      </w:r>
      <w:r w:rsidR="0003099D">
        <w:rPr>
          <w:sz w:val="18"/>
          <w:szCs w:val="18"/>
        </w:rPr>
        <w:t xml:space="preserve">; (e) </w:t>
      </w:r>
      <w:r w:rsidR="008942BF">
        <w:rPr>
          <w:sz w:val="18"/>
          <w:szCs w:val="18"/>
        </w:rPr>
        <w:t>the Convention on Access to Information, Public Participation in Decision-making and Access to Justice in Environmental Matters (Aarhus Convention)</w:t>
      </w:r>
      <w:r w:rsidR="000A5EDC" w:rsidRPr="000A5EDC">
        <w:rPr>
          <w:sz w:val="18"/>
          <w:szCs w:val="18"/>
        </w:rPr>
        <w:t>; and (</w:t>
      </w:r>
      <w:r w:rsidR="0003099D">
        <w:rPr>
          <w:sz w:val="18"/>
          <w:szCs w:val="18"/>
        </w:rPr>
        <w:t>f</w:t>
      </w:r>
      <w:r w:rsidR="000A5EDC" w:rsidRPr="000A5EDC">
        <w:rPr>
          <w:sz w:val="18"/>
          <w:szCs w:val="18"/>
        </w:rPr>
        <w:t xml:space="preserve">) </w:t>
      </w:r>
      <w:r w:rsidR="008942BF">
        <w:rPr>
          <w:sz w:val="18"/>
          <w:szCs w:val="18"/>
        </w:rPr>
        <w:t xml:space="preserve">the </w:t>
      </w:r>
      <w:r w:rsidR="000A5EDC" w:rsidRPr="000A5EDC">
        <w:rPr>
          <w:sz w:val="18"/>
          <w:szCs w:val="18"/>
        </w:rPr>
        <w:t xml:space="preserve">Protocol on </w:t>
      </w:r>
      <w:r w:rsidR="008942BF">
        <w:rPr>
          <w:sz w:val="18"/>
          <w:szCs w:val="18"/>
        </w:rPr>
        <w:t>Pollutant Release and Transfer Registers to the Aarhus Convention</w:t>
      </w:r>
      <w:r w:rsidR="006E03FD">
        <w:rPr>
          <w:sz w:val="18"/>
          <w:szCs w:val="18"/>
        </w:rPr>
        <w:t>.</w:t>
      </w:r>
    </w:p>
    <w:p w14:paraId="49B9D7F6" w14:textId="6B66CE0A" w:rsidR="000A5EDC" w:rsidRDefault="00D46037" w:rsidP="00627106">
      <w:pPr>
        <w:spacing w:line="220" w:lineRule="exact"/>
        <w:ind w:left="567" w:right="850" w:firstLine="170"/>
        <w:rPr>
          <w:sz w:val="18"/>
          <w:szCs w:val="18"/>
        </w:rPr>
      </w:pPr>
      <w:proofErr w:type="gramStart"/>
      <w:r>
        <w:rPr>
          <w:i/>
          <w:sz w:val="18"/>
          <w:szCs w:val="18"/>
          <w:vertAlign w:val="superscript"/>
        </w:rPr>
        <w:t>e</w:t>
      </w:r>
      <w:proofErr w:type="gramEnd"/>
      <w:r w:rsidR="000A5EDC">
        <w:rPr>
          <w:i/>
          <w:vertAlign w:val="superscript"/>
        </w:rPr>
        <w:t xml:space="preserve"> </w:t>
      </w:r>
      <w:r w:rsidR="008942BF" w:rsidRPr="00AB70F9">
        <w:rPr>
          <w:sz w:val="18"/>
          <w:szCs w:val="18"/>
        </w:rPr>
        <w:t xml:space="preserve">The </w:t>
      </w:r>
      <w:r w:rsidR="000A5EDC" w:rsidRPr="00155CA1">
        <w:rPr>
          <w:sz w:val="18"/>
          <w:szCs w:val="18"/>
        </w:rPr>
        <w:t xml:space="preserve">75 percent </w:t>
      </w:r>
      <w:r w:rsidR="00C70867">
        <w:rPr>
          <w:sz w:val="18"/>
          <w:szCs w:val="18"/>
        </w:rPr>
        <w:t xml:space="preserve">increase </w:t>
      </w:r>
      <w:r w:rsidR="000A5EDC" w:rsidRPr="000A5EDC">
        <w:rPr>
          <w:sz w:val="18"/>
          <w:szCs w:val="18"/>
        </w:rPr>
        <w:t>include</w:t>
      </w:r>
      <w:r w:rsidR="008942BF">
        <w:rPr>
          <w:sz w:val="18"/>
          <w:szCs w:val="18"/>
        </w:rPr>
        <w:t>s</w:t>
      </w:r>
      <w:r w:rsidR="000A5EDC" w:rsidRPr="000A5EDC">
        <w:rPr>
          <w:sz w:val="18"/>
          <w:szCs w:val="18"/>
        </w:rPr>
        <w:t xml:space="preserve"> the implementation rate of recommendations by Tajikistan, reviewed in 2016. In 2017 the following implementation rates will be added to the average: (a) Albania; and (b) Bosnia and Herzegovina. Consequently, the final average for 2016-2017 may </w:t>
      </w:r>
      <w:r w:rsidR="00C0786E">
        <w:rPr>
          <w:sz w:val="18"/>
          <w:szCs w:val="18"/>
        </w:rPr>
        <w:t>change</w:t>
      </w:r>
      <w:r w:rsidR="000A5EDC" w:rsidRPr="000A5EDC">
        <w:rPr>
          <w:sz w:val="18"/>
          <w:szCs w:val="18"/>
        </w:rPr>
        <w:t>.</w:t>
      </w:r>
    </w:p>
    <w:p w14:paraId="799ED3DA" w14:textId="77777777" w:rsidR="000A5EDC" w:rsidRDefault="000A5EDC" w:rsidP="000A5EDC">
      <w:pPr>
        <w:pStyle w:val="H1G"/>
      </w:pPr>
      <w:r>
        <w:tab/>
      </w:r>
      <w:r w:rsidRPr="00240C54">
        <w:t>B.</w:t>
      </w:r>
      <w:r w:rsidRPr="00240C54">
        <w:tab/>
        <w:t>Strategy</w:t>
      </w:r>
    </w:p>
    <w:p w14:paraId="5D324A14" w14:textId="71074F6E" w:rsidR="000A5EDC" w:rsidRPr="00240C54" w:rsidRDefault="000A5EDC" w:rsidP="000A5EDC">
      <w:pPr>
        <w:pStyle w:val="SingleTxtG"/>
      </w:pPr>
      <w:r>
        <w:t>7</w:t>
      </w:r>
      <w:r w:rsidRPr="00240C54">
        <w:t>.</w:t>
      </w:r>
      <w:r w:rsidRPr="00240C54">
        <w:tab/>
      </w:r>
      <w:r w:rsidRPr="00E177D9">
        <w:t xml:space="preserve">The Environment Division is responsible for implementing the </w:t>
      </w:r>
      <w:r w:rsidR="00510843">
        <w:t xml:space="preserve">Environment </w:t>
      </w:r>
      <w:proofErr w:type="spellStart"/>
      <w:r w:rsidRPr="00E177D9">
        <w:t>subprogramme</w:t>
      </w:r>
      <w:proofErr w:type="spellEnd"/>
      <w:r w:rsidRPr="00E177D9">
        <w:t xml:space="preserve">. The </w:t>
      </w:r>
      <w:proofErr w:type="spellStart"/>
      <w:r w:rsidRPr="00E177D9">
        <w:t>subprogramme</w:t>
      </w:r>
      <w:proofErr w:type="spellEnd"/>
      <w:r w:rsidRPr="00E177D9">
        <w:t xml:space="preserve"> will contribute to the implementation of outcomes of global and regio</w:t>
      </w:r>
      <w:r>
        <w:t xml:space="preserve">nal summits and conferences on </w:t>
      </w:r>
      <w:r w:rsidRPr="00E177D9">
        <w:t xml:space="preserve">environment and sustainable development, </w:t>
      </w:r>
      <w:proofErr w:type="gramStart"/>
      <w:r w:rsidRPr="00E177D9">
        <w:t>in</w:t>
      </w:r>
      <w:proofErr w:type="gramEnd"/>
      <w:r w:rsidRPr="00E177D9">
        <w:t xml:space="preserve"> particular the 2030 Agenda for Sustainable Development. Given that the environment represents one of the dimensions of sustainable development, the </w:t>
      </w:r>
      <w:proofErr w:type="spellStart"/>
      <w:r w:rsidRPr="00E177D9">
        <w:t>subprogramme</w:t>
      </w:r>
      <w:proofErr w:type="spellEnd"/>
      <w:r w:rsidRPr="00E177D9">
        <w:t xml:space="preserve"> will support the achievement of all Sustainable Development Goals, </w:t>
      </w:r>
      <w:r w:rsidR="00510843">
        <w:t xml:space="preserve">and </w:t>
      </w:r>
      <w:r w:rsidRPr="00E177D9">
        <w:t xml:space="preserve">especially Goals 3, 4, 6, </w:t>
      </w:r>
      <w:r>
        <w:t xml:space="preserve">9, </w:t>
      </w:r>
      <w:r w:rsidRPr="00E177D9">
        <w:t xml:space="preserve">11, 12, 13, </w:t>
      </w:r>
      <w:r>
        <w:t xml:space="preserve">15, </w:t>
      </w:r>
      <w:r w:rsidRPr="00E177D9">
        <w:t>16 and 17. The work will be carried out through international policy dialogue, normative work, capacity-building and the dissemination of best practices and lessons learned in the areas of air quality, water, industrial safety, public participation, environmental assessment, monitoring and performance, education for sustainable development and mainstreaming of environmental concerns into other dimensions of sustainable development.</w:t>
      </w:r>
    </w:p>
    <w:p w14:paraId="6D50D314" w14:textId="77777777" w:rsidR="000A5EDC" w:rsidRPr="00240C54" w:rsidRDefault="000A5EDC" w:rsidP="000A5EDC">
      <w:pPr>
        <w:pStyle w:val="SingleTxtG"/>
      </w:pPr>
      <w:r>
        <w:t>8</w:t>
      </w:r>
      <w:r w:rsidRPr="00240C54">
        <w:t>.</w:t>
      </w:r>
      <w:r w:rsidRPr="00240C54">
        <w:tab/>
      </w:r>
      <w:r w:rsidRPr="00E177D9">
        <w:t>Using a country needs-based approach, the work will focus on strengthening the capacity of the countries from the Caucasus, Central Asia and Eastern and South-Eastern Europe in environmental policymaking and management, including for the effective implementation of environmental legislation.</w:t>
      </w:r>
    </w:p>
    <w:p w14:paraId="50BEA318" w14:textId="53FA6CFC" w:rsidR="000A5EDC" w:rsidRPr="00240C54" w:rsidRDefault="000A5EDC" w:rsidP="000A5EDC">
      <w:pPr>
        <w:pStyle w:val="SingleTxtG"/>
      </w:pPr>
      <w:r>
        <w:t>9</w:t>
      </w:r>
      <w:r w:rsidRPr="00240C54">
        <w:t>.</w:t>
      </w:r>
      <w:r w:rsidRPr="00240C54">
        <w:tab/>
      </w:r>
      <w:r w:rsidRPr="00E177D9">
        <w:t xml:space="preserve">The </w:t>
      </w:r>
      <w:proofErr w:type="spellStart"/>
      <w:r w:rsidRPr="00E177D9">
        <w:t>subprogramme</w:t>
      </w:r>
      <w:proofErr w:type="spellEnd"/>
      <w:r w:rsidRPr="00E177D9">
        <w:t xml:space="preserve"> will work on enhancing environmental governance in the region and cross-border cooperation between countries. It will further strengthen integration of environmental concerns into sectoral policies through the implementation of ECE policy tools, education for sustainable development,</w:t>
      </w:r>
      <w:r w:rsidR="0031179A">
        <w:t xml:space="preserve"> the Transport, Health and Environment Pan-European Programme</w:t>
      </w:r>
      <w:r w:rsidRPr="00E177D9">
        <w:t xml:space="preserve">, the ECE multilateral environmental agreements and the sharing of information (e.g., through the Shared Environmental Information System), experiences and good practices in the ECE region. Cross-sectoral work will also include the promotion of synergies between ECE legal instruments. </w:t>
      </w:r>
      <w:r w:rsidR="007257F6">
        <w:t>W</w:t>
      </w:r>
      <w:r w:rsidRPr="00E177D9">
        <w:t xml:space="preserve">ork </w:t>
      </w:r>
      <w:r w:rsidR="007257F6">
        <w:t xml:space="preserve">will also be undertaken </w:t>
      </w:r>
      <w:r w:rsidRPr="00E177D9">
        <w:t>with interested non-ECE countries, in particular those interested in joining the multilateral environmental agreements that are open to global accession</w:t>
      </w:r>
      <w:r w:rsidRPr="00240C54">
        <w:t>.</w:t>
      </w:r>
    </w:p>
    <w:p w14:paraId="3C83C13C" w14:textId="4933D1E5" w:rsidR="000A5EDC" w:rsidRPr="00240C54" w:rsidRDefault="000A5EDC" w:rsidP="000A5EDC">
      <w:pPr>
        <w:pStyle w:val="SingleTxtG"/>
      </w:pPr>
      <w:r>
        <w:t>10</w:t>
      </w:r>
      <w:r w:rsidRPr="00240C54">
        <w:t>.</w:t>
      </w:r>
      <w:r w:rsidRPr="00240C54">
        <w:tab/>
      </w:r>
      <w:r w:rsidRPr="00E177D9">
        <w:t xml:space="preserve">The </w:t>
      </w:r>
      <w:proofErr w:type="spellStart"/>
      <w:r w:rsidRPr="00E177D9">
        <w:t>subprogramme</w:t>
      </w:r>
      <w:proofErr w:type="spellEnd"/>
      <w:r w:rsidRPr="00E177D9">
        <w:t xml:space="preserve"> will continue to conduct environmental performance reviews, assist member States in the implementation of the recommendations from those reviews and monitor the impact of the recommendations on national policies. </w:t>
      </w:r>
      <w:r w:rsidR="007257F6">
        <w:t xml:space="preserve">It </w:t>
      </w:r>
      <w:r w:rsidRPr="00E177D9">
        <w:t>will also strengthen the capacity of member States to implement ECE guidelines and recommendations for environmental monitoring and assessment</w:t>
      </w:r>
      <w:r w:rsidRPr="00240C54">
        <w:t>.</w:t>
      </w:r>
    </w:p>
    <w:p w14:paraId="2598FBC2" w14:textId="77777777" w:rsidR="000A5EDC" w:rsidRPr="00240C54" w:rsidRDefault="000A5EDC" w:rsidP="000A5EDC">
      <w:pPr>
        <w:pStyle w:val="H1G"/>
      </w:pPr>
      <w:r w:rsidRPr="00240C54">
        <w:tab/>
        <w:t>C.</w:t>
      </w:r>
      <w:r w:rsidRPr="00240C54">
        <w:tab/>
      </w:r>
      <w:r w:rsidRPr="000A5EDC">
        <w:t>External</w:t>
      </w:r>
      <w:r w:rsidRPr="00240C54">
        <w:t xml:space="preserve"> factors</w:t>
      </w:r>
    </w:p>
    <w:p w14:paraId="78FEF699" w14:textId="77777777" w:rsidR="000A5EDC" w:rsidRDefault="000A5EDC" w:rsidP="000A5EDC">
      <w:pPr>
        <w:pStyle w:val="SingleTxtG"/>
      </w:pPr>
      <w:r w:rsidRPr="00240C54">
        <w:t>1</w:t>
      </w:r>
      <w:r>
        <w:t>1</w:t>
      </w:r>
      <w:r w:rsidRPr="00240C54">
        <w:t>.</w:t>
      </w:r>
      <w:r w:rsidRPr="00240C54">
        <w:tab/>
      </w:r>
      <w:r w:rsidRPr="00562374">
        <w:t xml:space="preserve">The </w:t>
      </w:r>
      <w:proofErr w:type="spellStart"/>
      <w:r w:rsidRPr="00562374">
        <w:t>subprogramme</w:t>
      </w:r>
      <w:proofErr w:type="spellEnd"/>
      <w:r w:rsidRPr="00562374">
        <w:t xml:space="preserve"> is expected to achieve its objective and expected accomplishments on the assumption that, at the country level, there is: (a) political will and sufficient capacity to integrate the environmental dimension in policy formulation and to implement national legislation in accordance with the ECE multilateral environmental agreements; (b) sufficient awareness of environmental issues and the active support of the public in the implementation of national and regional policies; and (c) no critical impact on resource availability owing to global, regional or national economic developments.</w:t>
      </w:r>
    </w:p>
    <w:p w14:paraId="68474377" w14:textId="77777777" w:rsidR="000A5EDC" w:rsidRPr="000A5EDC" w:rsidRDefault="000A5EDC" w:rsidP="000A5EDC">
      <w:pPr>
        <w:pStyle w:val="SingleTxtG"/>
        <w:spacing w:before="240" w:after="0"/>
        <w:jc w:val="center"/>
        <w:rPr>
          <w:u w:val="single"/>
        </w:rPr>
      </w:pPr>
      <w:r>
        <w:rPr>
          <w:u w:val="single"/>
        </w:rPr>
        <w:tab/>
      </w:r>
      <w:r>
        <w:rPr>
          <w:u w:val="single"/>
        </w:rPr>
        <w:tab/>
      </w:r>
      <w:r>
        <w:rPr>
          <w:u w:val="single"/>
        </w:rPr>
        <w:tab/>
      </w:r>
    </w:p>
    <w:sectPr w:rsidR="000A5EDC" w:rsidRPr="000A5EDC" w:rsidSect="0045108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5FB40" w16cid:durableId="1D357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56DEB" w14:textId="77777777" w:rsidR="00513782" w:rsidRDefault="00513782"/>
  </w:endnote>
  <w:endnote w:type="continuationSeparator" w:id="0">
    <w:p w14:paraId="75441614" w14:textId="77777777" w:rsidR="00513782" w:rsidRDefault="00513782"/>
  </w:endnote>
  <w:endnote w:type="continuationNotice" w:id="1">
    <w:p w14:paraId="0CDE1FFD" w14:textId="77777777" w:rsidR="00513782" w:rsidRDefault="00513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E8DE" w14:textId="287238FC" w:rsidR="00890272" w:rsidRPr="00890272" w:rsidRDefault="00890272" w:rsidP="00890272">
    <w:pPr>
      <w:pStyle w:val="Footer"/>
      <w:tabs>
        <w:tab w:val="right" w:pos="9638"/>
      </w:tabs>
      <w:rPr>
        <w:sz w:val="18"/>
      </w:rPr>
    </w:pPr>
    <w:r w:rsidRPr="00890272">
      <w:rPr>
        <w:b/>
        <w:sz w:val="18"/>
      </w:rPr>
      <w:fldChar w:fldCharType="begin"/>
    </w:r>
    <w:r w:rsidRPr="00890272">
      <w:rPr>
        <w:b/>
        <w:sz w:val="18"/>
      </w:rPr>
      <w:instrText xml:space="preserve"> PAGE  \* MERGEFORMAT </w:instrText>
    </w:r>
    <w:r w:rsidRPr="00890272">
      <w:rPr>
        <w:b/>
        <w:sz w:val="18"/>
      </w:rPr>
      <w:fldChar w:fldCharType="separate"/>
    </w:r>
    <w:r w:rsidR="00917320">
      <w:rPr>
        <w:b/>
        <w:noProof/>
        <w:sz w:val="18"/>
      </w:rPr>
      <w:t>2</w:t>
    </w:r>
    <w:r w:rsidRPr="0089027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91A8" w14:textId="495DF52F" w:rsidR="00890272" w:rsidRPr="00890272" w:rsidRDefault="00890272" w:rsidP="00890272">
    <w:pPr>
      <w:pStyle w:val="Footer"/>
      <w:tabs>
        <w:tab w:val="right" w:pos="9638"/>
      </w:tabs>
      <w:rPr>
        <w:b/>
        <w:sz w:val="18"/>
      </w:rPr>
    </w:pPr>
    <w:r>
      <w:tab/>
    </w:r>
    <w:r w:rsidRPr="00890272">
      <w:rPr>
        <w:b/>
        <w:sz w:val="18"/>
      </w:rPr>
      <w:fldChar w:fldCharType="begin"/>
    </w:r>
    <w:r w:rsidRPr="00890272">
      <w:rPr>
        <w:b/>
        <w:sz w:val="18"/>
      </w:rPr>
      <w:instrText xml:space="preserve"> PAGE  \* MERGEFORMAT </w:instrText>
    </w:r>
    <w:r w:rsidRPr="00890272">
      <w:rPr>
        <w:b/>
        <w:sz w:val="18"/>
      </w:rPr>
      <w:fldChar w:fldCharType="separate"/>
    </w:r>
    <w:r w:rsidR="00507FE2">
      <w:rPr>
        <w:b/>
        <w:noProof/>
        <w:sz w:val="18"/>
      </w:rPr>
      <w:t>3</w:t>
    </w:r>
    <w:r w:rsidRPr="008902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F36F" w14:textId="201D3195" w:rsidR="00507FE2" w:rsidRDefault="00507FE2" w:rsidP="00507FE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A375AFD" wp14:editId="1B03DE59">
          <wp:simplePos x="0" y="0"/>
          <wp:positionH relativeFrom="margin">
            <wp:posOffset>5278755</wp:posOffset>
          </wp:positionH>
          <wp:positionV relativeFrom="margin">
            <wp:posOffset>7931150</wp:posOffset>
          </wp:positionV>
          <wp:extent cx="641985" cy="641985"/>
          <wp:effectExtent l="0" t="0" r="5715" b="5715"/>
          <wp:wrapNone/>
          <wp:docPr id="2" name="Picture 1" descr="https://undocs.org/m2/QRCode.ashx?DS=ECE/CEP/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D84EB89" wp14:editId="7F8F7C14">
          <wp:simplePos x="0" y="0"/>
          <wp:positionH relativeFrom="margin">
            <wp:posOffset>4298315</wp:posOffset>
          </wp:positionH>
          <wp:positionV relativeFrom="margin">
            <wp:posOffset>8207375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3A943" w14:textId="57C6D60E" w:rsidR="00507FE2" w:rsidRDefault="00507FE2" w:rsidP="00507FE2">
    <w:pPr>
      <w:pStyle w:val="Footer"/>
      <w:ind w:right="1134"/>
      <w:rPr>
        <w:sz w:val="20"/>
      </w:rPr>
    </w:pPr>
    <w:r>
      <w:rPr>
        <w:sz w:val="20"/>
      </w:rPr>
      <w:t>GE.17-14663(E)</w:t>
    </w:r>
  </w:p>
  <w:p w14:paraId="020ECE4D" w14:textId="2CA70FFD" w:rsidR="00507FE2" w:rsidRPr="00507FE2" w:rsidRDefault="00507FE2" w:rsidP="00507F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FEE1" w14:textId="77777777" w:rsidR="00513782" w:rsidRPr="000B175B" w:rsidRDefault="00513782" w:rsidP="000B175B">
      <w:pPr>
        <w:tabs>
          <w:tab w:val="right" w:pos="2155"/>
        </w:tabs>
        <w:spacing w:after="80"/>
        <w:ind w:left="680"/>
        <w:rPr>
          <w:u w:val="single"/>
        </w:rPr>
      </w:pPr>
      <w:r>
        <w:rPr>
          <w:u w:val="single"/>
        </w:rPr>
        <w:tab/>
      </w:r>
    </w:p>
  </w:footnote>
  <w:footnote w:type="continuationSeparator" w:id="0">
    <w:p w14:paraId="5240748F" w14:textId="77777777" w:rsidR="00513782" w:rsidRPr="00FC68B7" w:rsidRDefault="00513782" w:rsidP="00FC68B7">
      <w:pPr>
        <w:tabs>
          <w:tab w:val="left" w:pos="2155"/>
        </w:tabs>
        <w:spacing w:after="80"/>
        <w:ind w:left="680"/>
        <w:rPr>
          <w:u w:val="single"/>
        </w:rPr>
      </w:pPr>
      <w:r>
        <w:rPr>
          <w:u w:val="single"/>
        </w:rPr>
        <w:tab/>
      </w:r>
    </w:p>
  </w:footnote>
  <w:footnote w:type="continuationNotice" w:id="1">
    <w:p w14:paraId="475BC888" w14:textId="77777777" w:rsidR="00513782" w:rsidRDefault="00513782"/>
  </w:footnote>
  <w:footnote w:id="2">
    <w:p w14:paraId="18D41F2F" w14:textId="03FB33F3" w:rsidR="00E1131E" w:rsidRPr="00102B3D" w:rsidRDefault="00E1131E" w:rsidP="00E1131E">
      <w:pPr>
        <w:pStyle w:val="FootnoteText"/>
        <w:widowControl w:val="0"/>
        <w:tabs>
          <w:tab w:val="clear" w:pos="1021"/>
          <w:tab w:val="right" w:pos="1020"/>
        </w:tabs>
      </w:pPr>
      <w:r>
        <w:tab/>
      </w:r>
      <w:r>
        <w:rPr>
          <w:rStyle w:val="FootnoteReference"/>
        </w:rPr>
        <w:footnoteRef/>
      </w:r>
      <w:r>
        <w:tab/>
      </w:r>
      <w:proofErr w:type="gramStart"/>
      <w:r>
        <w:t xml:space="preserve">Available from </w:t>
      </w:r>
      <w:hyperlink r:id="rId1" w:anchor="/" w:history="1">
        <w:r w:rsidRPr="00B542CF">
          <w:rPr>
            <w:rStyle w:val="Hyperlink"/>
          </w:rPr>
          <w:t>www.unece.org/index.php?id=38470</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1426" w14:textId="77777777" w:rsidR="00890272" w:rsidRPr="00890272" w:rsidRDefault="00890272">
    <w:pPr>
      <w:pStyle w:val="Header"/>
    </w:pPr>
    <w:r>
      <w:t>ECE/CEP/2017/10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18BD" w14:textId="77777777" w:rsidR="00890272" w:rsidRPr="00890272" w:rsidRDefault="00890272" w:rsidP="00890272">
    <w:pPr>
      <w:pStyle w:val="Header"/>
      <w:jc w:val="right"/>
    </w:pPr>
    <w:r>
      <w:t>ECE/CEP/2017/10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72"/>
    <w:rsid w:val="00002A7D"/>
    <w:rsid w:val="000038A8"/>
    <w:rsid w:val="00006790"/>
    <w:rsid w:val="000125F5"/>
    <w:rsid w:val="00027624"/>
    <w:rsid w:val="0003099D"/>
    <w:rsid w:val="00050F6B"/>
    <w:rsid w:val="000678CD"/>
    <w:rsid w:val="00072C8C"/>
    <w:rsid w:val="00081CE0"/>
    <w:rsid w:val="00084D30"/>
    <w:rsid w:val="00090320"/>
    <w:rsid w:val="000931C0"/>
    <w:rsid w:val="000A2E09"/>
    <w:rsid w:val="000A5EDC"/>
    <w:rsid w:val="000B175B"/>
    <w:rsid w:val="000B3A0F"/>
    <w:rsid w:val="000E0415"/>
    <w:rsid w:val="000F47F1"/>
    <w:rsid w:val="000F7715"/>
    <w:rsid w:val="00102B3D"/>
    <w:rsid w:val="00105628"/>
    <w:rsid w:val="001157A6"/>
    <w:rsid w:val="00121B33"/>
    <w:rsid w:val="00155C56"/>
    <w:rsid w:val="00155CA1"/>
    <w:rsid w:val="00156B99"/>
    <w:rsid w:val="001646AF"/>
    <w:rsid w:val="00166124"/>
    <w:rsid w:val="00184DDA"/>
    <w:rsid w:val="001900CD"/>
    <w:rsid w:val="001A0452"/>
    <w:rsid w:val="001B4B04"/>
    <w:rsid w:val="001B5875"/>
    <w:rsid w:val="001B795B"/>
    <w:rsid w:val="001C4B9C"/>
    <w:rsid w:val="001C6663"/>
    <w:rsid w:val="001C7895"/>
    <w:rsid w:val="001D26DF"/>
    <w:rsid w:val="001F1599"/>
    <w:rsid w:val="001F19C4"/>
    <w:rsid w:val="002043F0"/>
    <w:rsid w:val="00211E0B"/>
    <w:rsid w:val="00232575"/>
    <w:rsid w:val="00235480"/>
    <w:rsid w:val="00247258"/>
    <w:rsid w:val="00257CAC"/>
    <w:rsid w:val="0027237A"/>
    <w:rsid w:val="00283DCC"/>
    <w:rsid w:val="002974E9"/>
    <w:rsid w:val="002979BA"/>
    <w:rsid w:val="002A7F94"/>
    <w:rsid w:val="002B109A"/>
    <w:rsid w:val="002C6D45"/>
    <w:rsid w:val="002D6E53"/>
    <w:rsid w:val="002F046D"/>
    <w:rsid w:val="00301764"/>
    <w:rsid w:val="00301FCF"/>
    <w:rsid w:val="0031179A"/>
    <w:rsid w:val="003229D8"/>
    <w:rsid w:val="00336C97"/>
    <w:rsid w:val="00337F88"/>
    <w:rsid w:val="00342432"/>
    <w:rsid w:val="0035223F"/>
    <w:rsid w:val="00352D4B"/>
    <w:rsid w:val="0035638C"/>
    <w:rsid w:val="003672C4"/>
    <w:rsid w:val="00380278"/>
    <w:rsid w:val="003A46BB"/>
    <w:rsid w:val="003A4EC7"/>
    <w:rsid w:val="003A5FBB"/>
    <w:rsid w:val="003A7295"/>
    <w:rsid w:val="003B1F60"/>
    <w:rsid w:val="003C2CC4"/>
    <w:rsid w:val="003D0F70"/>
    <w:rsid w:val="003D21FE"/>
    <w:rsid w:val="003D4B23"/>
    <w:rsid w:val="003E278A"/>
    <w:rsid w:val="00413520"/>
    <w:rsid w:val="004325CB"/>
    <w:rsid w:val="00440A07"/>
    <w:rsid w:val="00451086"/>
    <w:rsid w:val="00453ECA"/>
    <w:rsid w:val="00462880"/>
    <w:rsid w:val="00475466"/>
    <w:rsid w:val="00476F24"/>
    <w:rsid w:val="004C3EF9"/>
    <w:rsid w:val="004C55B0"/>
    <w:rsid w:val="004E2B0E"/>
    <w:rsid w:val="004F6BA0"/>
    <w:rsid w:val="00503BEA"/>
    <w:rsid w:val="00507FE2"/>
    <w:rsid w:val="00510843"/>
    <w:rsid w:val="00511975"/>
    <w:rsid w:val="005134D0"/>
    <w:rsid w:val="00513782"/>
    <w:rsid w:val="00533616"/>
    <w:rsid w:val="00535ABA"/>
    <w:rsid w:val="0053768B"/>
    <w:rsid w:val="005420F2"/>
    <w:rsid w:val="0054285C"/>
    <w:rsid w:val="005832D7"/>
    <w:rsid w:val="00584173"/>
    <w:rsid w:val="0059072C"/>
    <w:rsid w:val="00595520"/>
    <w:rsid w:val="005A1ED0"/>
    <w:rsid w:val="005A44B9"/>
    <w:rsid w:val="005A6368"/>
    <w:rsid w:val="005B1BA0"/>
    <w:rsid w:val="005B3DB3"/>
    <w:rsid w:val="005D15CA"/>
    <w:rsid w:val="005F3066"/>
    <w:rsid w:val="005F3E61"/>
    <w:rsid w:val="00604DDD"/>
    <w:rsid w:val="006115CC"/>
    <w:rsid w:val="00611FC4"/>
    <w:rsid w:val="006176FB"/>
    <w:rsid w:val="00627106"/>
    <w:rsid w:val="00630FCB"/>
    <w:rsid w:val="00640B26"/>
    <w:rsid w:val="00662BEF"/>
    <w:rsid w:val="006770B2"/>
    <w:rsid w:val="00683216"/>
    <w:rsid w:val="006940E1"/>
    <w:rsid w:val="006A3C72"/>
    <w:rsid w:val="006A7392"/>
    <w:rsid w:val="006A751D"/>
    <w:rsid w:val="006B03A1"/>
    <w:rsid w:val="006B36F7"/>
    <w:rsid w:val="006B3D09"/>
    <w:rsid w:val="006B67D9"/>
    <w:rsid w:val="006C5535"/>
    <w:rsid w:val="006D0589"/>
    <w:rsid w:val="006E03FD"/>
    <w:rsid w:val="006E564B"/>
    <w:rsid w:val="006E7154"/>
    <w:rsid w:val="007003CD"/>
    <w:rsid w:val="0070701E"/>
    <w:rsid w:val="007150E4"/>
    <w:rsid w:val="007257F6"/>
    <w:rsid w:val="0072632A"/>
    <w:rsid w:val="00733C32"/>
    <w:rsid w:val="007358E8"/>
    <w:rsid w:val="00736ECE"/>
    <w:rsid w:val="0074533B"/>
    <w:rsid w:val="007512A8"/>
    <w:rsid w:val="007643BC"/>
    <w:rsid w:val="007959FE"/>
    <w:rsid w:val="007A0CF1"/>
    <w:rsid w:val="007B6BA5"/>
    <w:rsid w:val="007C3390"/>
    <w:rsid w:val="007C42D8"/>
    <w:rsid w:val="007C4F4B"/>
    <w:rsid w:val="007D7362"/>
    <w:rsid w:val="007F5CE2"/>
    <w:rsid w:val="007F6611"/>
    <w:rsid w:val="00810BAC"/>
    <w:rsid w:val="00812ACE"/>
    <w:rsid w:val="00815987"/>
    <w:rsid w:val="008175E9"/>
    <w:rsid w:val="008242D7"/>
    <w:rsid w:val="0082577B"/>
    <w:rsid w:val="00837821"/>
    <w:rsid w:val="00866893"/>
    <w:rsid w:val="00866F02"/>
    <w:rsid w:val="00867D18"/>
    <w:rsid w:val="00871F9A"/>
    <w:rsid w:val="00871FD5"/>
    <w:rsid w:val="0088172E"/>
    <w:rsid w:val="00881EFA"/>
    <w:rsid w:val="008879CB"/>
    <w:rsid w:val="00890272"/>
    <w:rsid w:val="008942BF"/>
    <w:rsid w:val="008979B1"/>
    <w:rsid w:val="008A3411"/>
    <w:rsid w:val="008A6B25"/>
    <w:rsid w:val="008A6C4F"/>
    <w:rsid w:val="008B389E"/>
    <w:rsid w:val="008D045E"/>
    <w:rsid w:val="008D3F25"/>
    <w:rsid w:val="008D4D82"/>
    <w:rsid w:val="008E0E46"/>
    <w:rsid w:val="008E7116"/>
    <w:rsid w:val="008F143B"/>
    <w:rsid w:val="008F3882"/>
    <w:rsid w:val="008F4B7C"/>
    <w:rsid w:val="00917320"/>
    <w:rsid w:val="00926E47"/>
    <w:rsid w:val="00946B65"/>
    <w:rsid w:val="00947162"/>
    <w:rsid w:val="009610D0"/>
    <w:rsid w:val="0096375C"/>
    <w:rsid w:val="009662E6"/>
    <w:rsid w:val="0097095E"/>
    <w:rsid w:val="00982BDF"/>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61CC"/>
    <w:rsid w:val="00A66E3B"/>
    <w:rsid w:val="00A72F22"/>
    <w:rsid w:val="00A733BC"/>
    <w:rsid w:val="00A748A6"/>
    <w:rsid w:val="00A76A69"/>
    <w:rsid w:val="00A879A4"/>
    <w:rsid w:val="00A91A07"/>
    <w:rsid w:val="00AA0FF8"/>
    <w:rsid w:val="00AB70F9"/>
    <w:rsid w:val="00AC0F2C"/>
    <w:rsid w:val="00AC502A"/>
    <w:rsid w:val="00AE1E3F"/>
    <w:rsid w:val="00AF58C1"/>
    <w:rsid w:val="00B04A3F"/>
    <w:rsid w:val="00B06643"/>
    <w:rsid w:val="00B15055"/>
    <w:rsid w:val="00B30179"/>
    <w:rsid w:val="00B37B15"/>
    <w:rsid w:val="00B45C02"/>
    <w:rsid w:val="00B72A1E"/>
    <w:rsid w:val="00B81E12"/>
    <w:rsid w:val="00B871EF"/>
    <w:rsid w:val="00BA339B"/>
    <w:rsid w:val="00BB4148"/>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6E"/>
    <w:rsid w:val="00C148C4"/>
    <w:rsid w:val="00C463DD"/>
    <w:rsid w:val="00C47007"/>
    <w:rsid w:val="00C704F1"/>
    <w:rsid w:val="00C70867"/>
    <w:rsid w:val="00C745C3"/>
    <w:rsid w:val="00C82AC6"/>
    <w:rsid w:val="00C86B1B"/>
    <w:rsid w:val="00CA24A4"/>
    <w:rsid w:val="00CA47FE"/>
    <w:rsid w:val="00CB348D"/>
    <w:rsid w:val="00CD46F5"/>
    <w:rsid w:val="00CD58B7"/>
    <w:rsid w:val="00CE4A8F"/>
    <w:rsid w:val="00CE4F2A"/>
    <w:rsid w:val="00CF071D"/>
    <w:rsid w:val="00D13C8C"/>
    <w:rsid w:val="00D15B04"/>
    <w:rsid w:val="00D2031B"/>
    <w:rsid w:val="00D25FE2"/>
    <w:rsid w:val="00D37DA9"/>
    <w:rsid w:val="00D406A7"/>
    <w:rsid w:val="00D43252"/>
    <w:rsid w:val="00D44039"/>
    <w:rsid w:val="00D44D86"/>
    <w:rsid w:val="00D46037"/>
    <w:rsid w:val="00D50B7D"/>
    <w:rsid w:val="00D52012"/>
    <w:rsid w:val="00D704E5"/>
    <w:rsid w:val="00D72727"/>
    <w:rsid w:val="00D83489"/>
    <w:rsid w:val="00D978C6"/>
    <w:rsid w:val="00DA0956"/>
    <w:rsid w:val="00DA357F"/>
    <w:rsid w:val="00DA3E12"/>
    <w:rsid w:val="00DC18AD"/>
    <w:rsid w:val="00DC25C4"/>
    <w:rsid w:val="00DD6C4B"/>
    <w:rsid w:val="00DF6EC6"/>
    <w:rsid w:val="00DF7CAE"/>
    <w:rsid w:val="00E1131E"/>
    <w:rsid w:val="00E30552"/>
    <w:rsid w:val="00E423C0"/>
    <w:rsid w:val="00E42911"/>
    <w:rsid w:val="00E6414C"/>
    <w:rsid w:val="00E7260F"/>
    <w:rsid w:val="00E8702D"/>
    <w:rsid w:val="00E90EBF"/>
    <w:rsid w:val="00E916A9"/>
    <w:rsid w:val="00E916DE"/>
    <w:rsid w:val="00E925AD"/>
    <w:rsid w:val="00E96340"/>
    <w:rsid w:val="00E96630"/>
    <w:rsid w:val="00ED18DC"/>
    <w:rsid w:val="00ED2D6E"/>
    <w:rsid w:val="00ED6201"/>
    <w:rsid w:val="00ED7A2A"/>
    <w:rsid w:val="00EF1D7F"/>
    <w:rsid w:val="00F0137E"/>
    <w:rsid w:val="00F21786"/>
    <w:rsid w:val="00F3742B"/>
    <w:rsid w:val="00F41FDB"/>
    <w:rsid w:val="00F507EC"/>
    <w:rsid w:val="00F56D63"/>
    <w:rsid w:val="00F57591"/>
    <w:rsid w:val="00F609A9"/>
    <w:rsid w:val="00F77D5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99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ußnote Char,Footnote Text Char Char Char,single space Char,footnote text Char"/>
    <w:basedOn w:val="DefaultParagraphFont"/>
    <w:link w:val="FootnoteText"/>
    <w:rsid w:val="00890272"/>
    <w:rPr>
      <w:sz w:val="18"/>
      <w:lang w:eastAsia="en-US"/>
    </w:rPr>
  </w:style>
  <w:style w:type="character" w:customStyle="1" w:styleId="SingleTxtGChar">
    <w:name w:val="_ Single Txt_G Char"/>
    <w:link w:val="SingleTxtG"/>
    <w:rsid w:val="00890272"/>
    <w:rPr>
      <w:lang w:eastAsia="en-US"/>
    </w:rPr>
  </w:style>
  <w:style w:type="character" w:customStyle="1" w:styleId="HChGChar">
    <w:name w:val="_ H _Ch_G Char"/>
    <w:link w:val="HChG"/>
    <w:rsid w:val="00890272"/>
    <w:rPr>
      <w:b/>
      <w:sz w:val="28"/>
      <w:lang w:eastAsia="en-US"/>
    </w:rPr>
  </w:style>
  <w:style w:type="character" w:customStyle="1" w:styleId="H1GChar">
    <w:name w:val="_ H_1_G Char"/>
    <w:link w:val="H1G"/>
    <w:rsid w:val="000A5EDC"/>
    <w:rPr>
      <w:b/>
      <w:sz w:val="24"/>
      <w:lang w:eastAsia="en-US"/>
    </w:rPr>
  </w:style>
  <w:style w:type="character" w:styleId="CommentReference">
    <w:name w:val="annotation reference"/>
    <w:basedOn w:val="DefaultParagraphFont"/>
    <w:semiHidden/>
    <w:unhideWhenUsed/>
    <w:rsid w:val="005134D0"/>
    <w:rPr>
      <w:sz w:val="16"/>
      <w:szCs w:val="16"/>
    </w:rPr>
  </w:style>
  <w:style w:type="paragraph" w:styleId="CommentText">
    <w:name w:val="annotation text"/>
    <w:basedOn w:val="Normal"/>
    <w:link w:val="CommentTextChar"/>
    <w:unhideWhenUsed/>
    <w:rsid w:val="005134D0"/>
    <w:pPr>
      <w:spacing w:line="240" w:lineRule="auto"/>
    </w:pPr>
  </w:style>
  <w:style w:type="character" w:customStyle="1" w:styleId="CommentTextChar">
    <w:name w:val="Comment Text Char"/>
    <w:basedOn w:val="DefaultParagraphFont"/>
    <w:link w:val="CommentText"/>
    <w:rsid w:val="005134D0"/>
    <w:rPr>
      <w:lang w:eastAsia="en-US"/>
    </w:rPr>
  </w:style>
  <w:style w:type="paragraph" w:styleId="CommentSubject">
    <w:name w:val="annotation subject"/>
    <w:basedOn w:val="CommentText"/>
    <w:next w:val="CommentText"/>
    <w:link w:val="CommentSubjectChar"/>
    <w:semiHidden/>
    <w:unhideWhenUsed/>
    <w:rsid w:val="005134D0"/>
    <w:rPr>
      <w:b/>
      <w:bCs/>
    </w:rPr>
  </w:style>
  <w:style w:type="character" w:customStyle="1" w:styleId="CommentSubjectChar">
    <w:name w:val="Comment Subject Char"/>
    <w:basedOn w:val="CommentTextChar"/>
    <w:link w:val="CommentSubject"/>
    <w:semiHidden/>
    <w:rsid w:val="005134D0"/>
    <w:rPr>
      <w:b/>
      <w:bCs/>
      <w:lang w:eastAsia="en-US"/>
    </w:rPr>
  </w:style>
  <w:style w:type="paragraph" w:styleId="Revision">
    <w:name w:val="Revision"/>
    <w:hidden/>
    <w:uiPriority w:val="99"/>
    <w:semiHidden/>
    <w:rsid w:val="005134D0"/>
    <w:rPr>
      <w:lang w:eastAsia="en-US"/>
    </w:rPr>
  </w:style>
  <w:style w:type="paragraph" w:styleId="BalloonText">
    <w:name w:val="Balloon Text"/>
    <w:basedOn w:val="Normal"/>
    <w:link w:val="BalloonTextChar"/>
    <w:semiHidden/>
    <w:unhideWhenUsed/>
    <w:rsid w:val="005134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34D0"/>
    <w:rPr>
      <w:rFonts w:ascii="Segoe UI" w:hAnsi="Segoe UI" w:cs="Segoe UI"/>
      <w:sz w:val="18"/>
      <w:szCs w:val="18"/>
      <w:lang w:eastAsia="en-US"/>
    </w:rPr>
  </w:style>
  <w:style w:type="paragraph" w:styleId="NormalWeb">
    <w:name w:val="Normal (Web)"/>
    <w:basedOn w:val="Normal"/>
    <w:uiPriority w:val="99"/>
    <w:semiHidden/>
    <w:unhideWhenUsed/>
    <w:rsid w:val="00627106"/>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627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Fußnote Char,Footnote Text Char Char Char,single space Char,footnote text Char"/>
    <w:basedOn w:val="DefaultParagraphFont"/>
    <w:link w:val="FootnoteText"/>
    <w:rsid w:val="00890272"/>
    <w:rPr>
      <w:sz w:val="18"/>
      <w:lang w:eastAsia="en-US"/>
    </w:rPr>
  </w:style>
  <w:style w:type="character" w:customStyle="1" w:styleId="SingleTxtGChar">
    <w:name w:val="_ Single Txt_G Char"/>
    <w:link w:val="SingleTxtG"/>
    <w:rsid w:val="00890272"/>
    <w:rPr>
      <w:lang w:eastAsia="en-US"/>
    </w:rPr>
  </w:style>
  <w:style w:type="character" w:customStyle="1" w:styleId="HChGChar">
    <w:name w:val="_ H _Ch_G Char"/>
    <w:link w:val="HChG"/>
    <w:rsid w:val="00890272"/>
    <w:rPr>
      <w:b/>
      <w:sz w:val="28"/>
      <w:lang w:eastAsia="en-US"/>
    </w:rPr>
  </w:style>
  <w:style w:type="character" w:customStyle="1" w:styleId="H1GChar">
    <w:name w:val="_ H_1_G Char"/>
    <w:link w:val="H1G"/>
    <w:rsid w:val="000A5EDC"/>
    <w:rPr>
      <w:b/>
      <w:sz w:val="24"/>
      <w:lang w:eastAsia="en-US"/>
    </w:rPr>
  </w:style>
  <w:style w:type="character" w:styleId="CommentReference">
    <w:name w:val="annotation reference"/>
    <w:basedOn w:val="DefaultParagraphFont"/>
    <w:semiHidden/>
    <w:unhideWhenUsed/>
    <w:rsid w:val="005134D0"/>
    <w:rPr>
      <w:sz w:val="16"/>
      <w:szCs w:val="16"/>
    </w:rPr>
  </w:style>
  <w:style w:type="paragraph" w:styleId="CommentText">
    <w:name w:val="annotation text"/>
    <w:basedOn w:val="Normal"/>
    <w:link w:val="CommentTextChar"/>
    <w:unhideWhenUsed/>
    <w:rsid w:val="005134D0"/>
    <w:pPr>
      <w:spacing w:line="240" w:lineRule="auto"/>
    </w:pPr>
  </w:style>
  <w:style w:type="character" w:customStyle="1" w:styleId="CommentTextChar">
    <w:name w:val="Comment Text Char"/>
    <w:basedOn w:val="DefaultParagraphFont"/>
    <w:link w:val="CommentText"/>
    <w:rsid w:val="005134D0"/>
    <w:rPr>
      <w:lang w:eastAsia="en-US"/>
    </w:rPr>
  </w:style>
  <w:style w:type="paragraph" w:styleId="CommentSubject">
    <w:name w:val="annotation subject"/>
    <w:basedOn w:val="CommentText"/>
    <w:next w:val="CommentText"/>
    <w:link w:val="CommentSubjectChar"/>
    <w:semiHidden/>
    <w:unhideWhenUsed/>
    <w:rsid w:val="005134D0"/>
    <w:rPr>
      <w:b/>
      <w:bCs/>
    </w:rPr>
  </w:style>
  <w:style w:type="character" w:customStyle="1" w:styleId="CommentSubjectChar">
    <w:name w:val="Comment Subject Char"/>
    <w:basedOn w:val="CommentTextChar"/>
    <w:link w:val="CommentSubject"/>
    <w:semiHidden/>
    <w:rsid w:val="005134D0"/>
    <w:rPr>
      <w:b/>
      <w:bCs/>
      <w:lang w:eastAsia="en-US"/>
    </w:rPr>
  </w:style>
  <w:style w:type="paragraph" w:styleId="Revision">
    <w:name w:val="Revision"/>
    <w:hidden/>
    <w:uiPriority w:val="99"/>
    <w:semiHidden/>
    <w:rsid w:val="005134D0"/>
    <w:rPr>
      <w:lang w:eastAsia="en-US"/>
    </w:rPr>
  </w:style>
  <w:style w:type="paragraph" w:styleId="BalloonText">
    <w:name w:val="Balloon Text"/>
    <w:basedOn w:val="Normal"/>
    <w:link w:val="BalloonTextChar"/>
    <w:semiHidden/>
    <w:unhideWhenUsed/>
    <w:rsid w:val="005134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134D0"/>
    <w:rPr>
      <w:rFonts w:ascii="Segoe UI" w:hAnsi="Segoe UI" w:cs="Segoe UI"/>
      <w:sz w:val="18"/>
      <w:szCs w:val="18"/>
      <w:lang w:eastAsia="en-US"/>
    </w:rPr>
  </w:style>
  <w:style w:type="paragraph" w:styleId="NormalWeb">
    <w:name w:val="Normal (Web)"/>
    <w:basedOn w:val="Normal"/>
    <w:uiPriority w:val="99"/>
    <w:semiHidden/>
    <w:unhideWhenUsed/>
    <w:rsid w:val="00627106"/>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627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0981">
      <w:bodyDiv w:val="1"/>
      <w:marLeft w:val="0"/>
      <w:marRight w:val="0"/>
      <w:marTop w:val="0"/>
      <w:marBottom w:val="0"/>
      <w:divBdr>
        <w:top w:val="none" w:sz="0" w:space="0" w:color="auto"/>
        <w:left w:val="none" w:sz="0" w:space="0" w:color="auto"/>
        <w:bottom w:val="none" w:sz="0" w:space="0" w:color="auto"/>
        <w:right w:val="none" w:sz="0" w:space="0" w:color="auto"/>
      </w:divBdr>
      <w:divsChild>
        <w:div w:id="134875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38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4</Pages>
  <Words>1362</Words>
  <Characters>8308</Characters>
  <Application>Microsoft Office Word</Application>
  <DocSecurity>0</DocSecurity>
  <Lines>271</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1714663</dc:title>
  <dc:subject>ECE/CEP/2017/10</dc:subject>
  <dc:creator>ECE/MP.PP/C.1/2015/3</dc:creator>
  <cp:keywords/>
  <dc:description/>
  <cp:lastModifiedBy>PDF ENG</cp:lastModifiedBy>
  <cp:revision>2</cp:revision>
  <cp:lastPrinted>2009-02-18T09:36:00Z</cp:lastPrinted>
  <dcterms:created xsi:type="dcterms:W3CDTF">2017-09-06T12:47:00Z</dcterms:created>
  <dcterms:modified xsi:type="dcterms:W3CDTF">2017-09-06T12:47:00Z</dcterms:modified>
</cp:coreProperties>
</file>