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Pr="00083257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bookmarkStart w:id="0" w:name="_GoBack"/>
      <w:bookmarkEnd w:id="0"/>
      <w:r w:rsidRPr="004326BF">
        <w:rPr>
          <w:sz w:val="40"/>
          <w:szCs w:val="40"/>
          <w:lang w:val="en-GB"/>
        </w:rPr>
        <w:t>ECE</w:t>
      </w:r>
      <w:r w:rsidR="00CF5594">
        <w:rPr>
          <w:lang w:val="en-GB"/>
        </w:rPr>
        <w:t>/</w:t>
      </w:r>
      <w:r w:rsidR="00833C74" w:rsidRPr="00FA63DD">
        <w:rPr>
          <w:rFonts w:eastAsia="Times New Roman" w:cs="Times New Roman"/>
          <w:szCs w:val="20"/>
        </w:rPr>
        <w:t>BATUMI.CONF/2016/2/Add.4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F7769" w:rsidRDefault="00DF7769" w:rsidP="00DF7769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0550C">
      <w:pPr>
        <w:pStyle w:val="HMGR"/>
        <w:spacing w:before="1920"/>
        <w:rPr>
          <w:w w:val="100"/>
        </w:rPr>
      </w:pPr>
      <w:r w:rsidRPr="004326BF">
        <w:rPr>
          <w:w w:val="100"/>
        </w:rPr>
        <w:tab/>
      </w:r>
      <w:r w:rsidRPr="003E049B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3E049B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FA63DD" w:rsidRPr="00FA63DD" w:rsidRDefault="00FA63DD" w:rsidP="00FA63DD">
      <w:pPr>
        <w:pStyle w:val="H1GR"/>
        <w:rPr>
          <w:sz w:val="28"/>
        </w:rPr>
      </w:pPr>
      <w:r w:rsidRPr="00FA63DD">
        <w:rPr>
          <w:sz w:val="28"/>
        </w:rPr>
        <w:tab/>
      </w:r>
      <w:r w:rsidRPr="00FA63DD">
        <w:rPr>
          <w:sz w:val="28"/>
        </w:rPr>
        <w:tab/>
      </w:r>
      <w:r w:rsidRPr="00FA63DD">
        <w:rPr>
          <w:bCs/>
          <w:sz w:val="28"/>
        </w:rPr>
        <w:t xml:space="preserve">Доклад о работе восьмой Конференции министров </w:t>
      </w:r>
      <w:r>
        <w:rPr>
          <w:bCs/>
          <w:sz w:val="28"/>
        </w:rPr>
        <w:t>«</w:t>
      </w:r>
      <w:r w:rsidRPr="00FA63DD">
        <w:rPr>
          <w:bCs/>
          <w:sz w:val="28"/>
        </w:rPr>
        <w:t>Окружающая среда для Европы</w:t>
      </w:r>
      <w:r>
        <w:rPr>
          <w:bCs/>
          <w:sz w:val="28"/>
        </w:rPr>
        <w:t>»</w:t>
      </w:r>
      <w:r w:rsidRPr="00FA63DD">
        <w:rPr>
          <w:sz w:val="28"/>
        </w:rPr>
        <w:t xml:space="preserve"> </w:t>
      </w:r>
    </w:p>
    <w:p w:rsidR="00FA63DD" w:rsidRPr="00FA63DD" w:rsidRDefault="00FA63DD" w:rsidP="00FA63DD">
      <w:pPr>
        <w:pStyle w:val="H1GR"/>
        <w:rPr>
          <w:sz w:val="28"/>
        </w:rPr>
      </w:pPr>
      <w:r w:rsidRPr="00FA63DD">
        <w:rPr>
          <w:sz w:val="28"/>
        </w:rPr>
        <w:tab/>
      </w:r>
      <w:r w:rsidRPr="00FA63DD">
        <w:rPr>
          <w:sz w:val="28"/>
        </w:rPr>
        <w:tab/>
      </w:r>
      <w:r w:rsidRPr="00FA63DD">
        <w:rPr>
          <w:bCs/>
          <w:sz w:val="28"/>
        </w:rPr>
        <w:t>Добавление</w:t>
      </w:r>
      <w:r w:rsidRPr="00FA63DD">
        <w:rPr>
          <w:sz w:val="28"/>
        </w:rPr>
        <w:t xml:space="preserve"> </w:t>
      </w:r>
    </w:p>
    <w:p w:rsidR="00FA63DD" w:rsidRPr="00FA63DD" w:rsidRDefault="00FA63DD" w:rsidP="00FA63DD">
      <w:pPr>
        <w:pStyle w:val="H1GR"/>
        <w:rPr>
          <w:sz w:val="28"/>
        </w:rPr>
      </w:pPr>
      <w:r w:rsidRPr="00FA63DD">
        <w:rPr>
          <w:sz w:val="28"/>
        </w:rPr>
        <w:tab/>
      </w:r>
      <w:r w:rsidRPr="00FA63DD">
        <w:rPr>
          <w:sz w:val="28"/>
        </w:rPr>
        <w:tab/>
      </w:r>
      <w:r w:rsidRPr="00FA63DD">
        <w:rPr>
          <w:bCs/>
          <w:sz w:val="28"/>
        </w:rPr>
        <w:t xml:space="preserve">Резюме </w:t>
      </w:r>
      <w:r>
        <w:rPr>
          <w:bCs/>
          <w:sz w:val="28"/>
        </w:rPr>
        <w:t>С</w:t>
      </w:r>
      <w:r w:rsidRPr="00FA63DD">
        <w:rPr>
          <w:bCs/>
          <w:sz w:val="28"/>
        </w:rPr>
        <w:t xml:space="preserve">овещания высокого уровня представителей министерств образования и окружающей среды, подготовленное </w:t>
      </w:r>
      <w:r>
        <w:rPr>
          <w:bCs/>
          <w:sz w:val="28"/>
        </w:rPr>
        <w:t>С</w:t>
      </w:r>
      <w:r w:rsidRPr="00FA63DD">
        <w:rPr>
          <w:bCs/>
          <w:sz w:val="28"/>
        </w:rPr>
        <w:t>опредседателями</w:t>
      </w:r>
    </w:p>
    <w:p w:rsidR="00083257" w:rsidRPr="00083257" w:rsidRDefault="00083257" w:rsidP="00083257">
      <w:pPr>
        <w:pStyle w:val="H1GR"/>
      </w:pPr>
    </w:p>
    <w:p w:rsidR="00083257" w:rsidRPr="00FA63DD" w:rsidRDefault="00083257" w:rsidP="00083257">
      <w:pPr>
        <w:rPr>
          <w:lang w:eastAsia="ru-RU"/>
        </w:rPr>
      </w:pPr>
    </w:p>
    <w:p w:rsidR="00CF5594" w:rsidRPr="00853B46" w:rsidRDefault="00CF5594" w:rsidP="00CF5594">
      <w:pPr>
        <w:rPr>
          <w:lang w:eastAsia="ru-RU"/>
        </w:rPr>
      </w:pPr>
    </w:p>
    <w:p w:rsidR="00CF5594" w:rsidRPr="00853B46" w:rsidRDefault="00CF5594" w:rsidP="00CF5594">
      <w:pPr>
        <w:rPr>
          <w:lang w:eastAsia="ru-RU"/>
        </w:rPr>
        <w:sectPr w:rsidR="00CF5594" w:rsidRPr="00853B46" w:rsidSect="009174A1">
          <w:headerReference w:type="default" r:id="rId9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CC4B7D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="00FA63DD" w:rsidRPr="00FA63DD">
              <w:rPr>
                <w:rFonts w:eastAsia="Times New Roman" w:cs="Times New Roman"/>
                <w:szCs w:val="20"/>
              </w:rPr>
              <w:t>BATUMI.CONF/2016/2/Add.4</w:t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754BB027" wp14:editId="73B1BA6E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Distr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.: </w:t>
            </w:r>
            <w:bookmarkStart w:id="1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9C7C77">
              <w:rPr>
                <w:rFonts w:eastAsia="Times New Roman" w:cs="Times New Roman"/>
                <w:szCs w:val="20"/>
              </w:rPr>
            </w:r>
            <w:r w:rsidR="009C7C77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FA63DD">
              <w:rPr>
                <w:rFonts w:eastAsia="Times New Roman" w:cs="Times New Roman"/>
                <w:szCs w:val="20"/>
              </w:rPr>
              <w:t xml:space="preserve">12 </w:t>
            </w:r>
            <w:r w:rsidR="00FA63DD">
              <w:rPr>
                <w:rFonts w:eastAsia="Times New Roman" w:cs="Times New Roman"/>
                <w:szCs w:val="20"/>
                <w:lang w:val="en-US"/>
              </w:rPr>
              <w:t>August</w:t>
            </w:r>
            <w:r w:rsidR="003B69DD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Original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: </w:t>
            </w:r>
            <w:bookmarkStart w:id="2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9C7C77">
              <w:rPr>
                <w:rFonts w:eastAsia="Times New Roman" w:cs="Times New Roman"/>
                <w:szCs w:val="20"/>
              </w:rPr>
            </w:r>
            <w:r w:rsidR="009C7C77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2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067736">
      <w:pPr>
        <w:suppressAutoHyphens/>
        <w:spacing w:before="8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DF1CCC" w:rsidP="006F1973">
      <w:pPr>
        <w:suppressAutoHyphens/>
        <w:spacing w:before="6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«Окружающая среда для Европы»</w:t>
      </w:r>
    </w:p>
    <w:p w:rsidR="00B115AD" w:rsidRPr="00A77543" w:rsidRDefault="0067680F" w:rsidP="00B115AD">
      <w:pPr>
        <w:spacing w:before="120"/>
        <w:rPr>
          <w:w w:val="100"/>
          <w:kern w:val="0"/>
        </w:rPr>
      </w:pPr>
      <w:r w:rsidRPr="0067680F">
        <w:rPr>
          <w:w w:val="100"/>
          <w:kern w:val="0"/>
        </w:rPr>
        <w:t>Батуми, Грузия, 8–10 июня 2016 года</w:t>
      </w:r>
    </w:p>
    <w:p w:rsidR="00FA63DD" w:rsidRPr="00FA63DD" w:rsidRDefault="00FA63DD" w:rsidP="00B115AD">
      <w:pPr>
        <w:pStyle w:val="HChGR"/>
      </w:pPr>
      <w:r w:rsidRPr="00FA63DD">
        <w:tab/>
      </w:r>
      <w:r w:rsidRPr="00FA63DD">
        <w:tab/>
        <w:t xml:space="preserve">Доклад о работе восьмой Конференции министров </w:t>
      </w:r>
      <w:r w:rsidR="004E5227">
        <w:t>«</w:t>
      </w:r>
      <w:r w:rsidRPr="00FA63DD">
        <w:t>Окружающая среда для Европы</w:t>
      </w:r>
      <w:r w:rsidR="004E5227">
        <w:t>»</w:t>
      </w:r>
      <w:r w:rsidRPr="00FA63DD">
        <w:t xml:space="preserve"> </w:t>
      </w:r>
    </w:p>
    <w:p w:rsidR="00FA63DD" w:rsidRPr="00FA63DD" w:rsidRDefault="00FA63DD" w:rsidP="00B115AD">
      <w:pPr>
        <w:pStyle w:val="H1GR"/>
      </w:pPr>
      <w:r w:rsidRPr="00FA63DD">
        <w:tab/>
      </w:r>
      <w:r w:rsidRPr="00FA63DD">
        <w:tab/>
        <w:t xml:space="preserve">Добавление </w:t>
      </w:r>
    </w:p>
    <w:p w:rsidR="00FA63DD" w:rsidRPr="00FA63DD" w:rsidRDefault="00FA63DD" w:rsidP="00B115AD">
      <w:pPr>
        <w:pStyle w:val="HChGR"/>
      </w:pPr>
      <w:r w:rsidRPr="00FA63DD">
        <w:tab/>
      </w:r>
      <w:r w:rsidRPr="00FA63DD">
        <w:tab/>
        <w:t xml:space="preserve">Резюме </w:t>
      </w:r>
      <w:r w:rsidR="00B115AD">
        <w:t>С</w:t>
      </w:r>
      <w:r w:rsidRPr="00FA63DD">
        <w:t xml:space="preserve">овещания высокого уровня представителей министерств образования и окружающей среды, подготовленное </w:t>
      </w:r>
      <w:r w:rsidR="00B115AD">
        <w:t>С</w:t>
      </w:r>
      <w:r w:rsidRPr="00FA63DD">
        <w:t xml:space="preserve">опредседателями </w:t>
      </w:r>
    </w:p>
    <w:p w:rsidR="00FA63DD" w:rsidRPr="00FA63DD" w:rsidRDefault="00FA63DD" w:rsidP="00B115AD">
      <w:pPr>
        <w:pStyle w:val="HChGR"/>
      </w:pPr>
      <w:bookmarkStart w:id="3" w:name="_Toc454010778"/>
      <w:r w:rsidRPr="00FA63DD">
        <w:tab/>
      </w:r>
      <w:r w:rsidRPr="00FA63DD">
        <w:tab/>
        <w:t>Введение</w:t>
      </w:r>
      <w:bookmarkEnd w:id="3"/>
    </w:p>
    <w:p w:rsidR="00FA63DD" w:rsidRPr="00FA63DD" w:rsidRDefault="00FA63DD" w:rsidP="00FA63DD">
      <w:pPr>
        <w:pStyle w:val="SingleTxtGR"/>
      </w:pPr>
      <w:r w:rsidRPr="00FA63DD">
        <w:t>1.</w:t>
      </w:r>
      <w:r w:rsidRPr="00FA63DD">
        <w:tab/>
        <w:t xml:space="preserve">Второе совещание высокого уровня представителей министерств образования и окружающей среды состоялось 8 июня 2016 года в Батуми, Грузия, в рамках восьмой Конференции министров </w:t>
      </w:r>
      <w:r w:rsidR="00B115AD">
        <w:t>«</w:t>
      </w:r>
      <w:r w:rsidRPr="00FA63DD">
        <w:t>Окружающая среда для Европы</w:t>
      </w:r>
      <w:r w:rsidR="00B115AD">
        <w:t>»</w:t>
      </w:r>
      <w:r w:rsidRPr="00FA63DD">
        <w:t xml:space="preserve">. Совещание прошло под совместным председательством </w:t>
      </w:r>
      <w:r w:rsidR="00B115AD">
        <w:t>М</w:t>
      </w:r>
      <w:r w:rsidRPr="00FA63DD">
        <w:t xml:space="preserve">инистра образования и науки и </w:t>
      </w:r>
      <w:r w:rsidR="00B115AD">
        <w:t>М</w:t>
      </w:r>
      <w:r w:rsidRPr="00FA63DD">
        <w:t xml:space="preserve">инистра охраны окружающей среды и природных ресурсов Грузии. </w:t>
      </w:r>
    </w:p>
    <w:p w:rsidR="00FA63DD" w:rsidRPr="00FA63DD" w:rsidRDefault="00FA63DD" w:rsidP="00FA63DD">
      <w:pPr>
        <w:pStyle w:val="SingleTxtGR"/>
      </w:pPr>
      <w:r w:rsidRPr="00FA63DD">
        <w:t>2.</w:t>
      </w:r>
      <w:r w:rsidRPr="00FA63DD">
        <w:tab/>
      </w:r>
      <w:proofErr w:type="gramStart"/>
      <w:r w:rsidRPr="00FA63DD">
        <w:t>В</w:t>
      </w:r>
      <w:proofErr w:type="gramEnd"/>
      <w:r w:rsidRPr="00FA63DD">
        <w:t xml:space="preserve"> ходе совещания был рассмотрен прогресс, достигнутый государствами-членами за первые </w:t>
      </w:r>
      <w:r w:rsidR="00B115AD">
        <w:t>десять</w:t>
      </w:r>
      <w:r w:rsidRPr="00FA63DD">
        <w:t xml:space="preserve"> лет осуществления Стратегии ЕЭК ООН для образования в интересах устойчивого развития, с тем чтобы вновь подтвердить их приверженность ей путем принятия Основ будущего осуществления Стратегии и Батумского заявления министров по образованию в интересах устойчивого развития.</w:t>
      </w:r>
    </w:p>
    <w:p w:rsidR="00FA63DD" w:rsidRPr="00FA63DD" w:rsidRDefault="00FA63DD" w:rsidP="00B115AD">
      <w:pPr>
        <w:pStyle w:val="HChGR"/>
      </w:pPr>
      <w:bookmarkStart w:id="4" w:name="_Toc454010779"/>
      <w:r w:rsidRPr="00FA63DD">
        <w:tab/>
        <w:t>I.</w:t>
      </w:r>
      <w:r w:rsidRPr="00FA63DD">
        <w:tab/>
        <w:t xml:space="preserve">На пути к формированию нового общества: </w:t>
      </w:r>
      <w:r w:rsidR="00482F53">
        <w:t>десять</w:t>
      </w:r>
      <w:r w:rsidRPr="00FA63DD">
        <w:t xml:space="preserve"> лет образованию в интересах устойчивого развития</w:t>
      </w:r>
      <w:bookmarkEnd w:id="4"/>
    </w:p>
    <w:p w:rsidR="00FA63DD" w:rsidRPr="00FA63DD" w:rsidRDefault="00FA63DD" w:rsidP="00FA63DD">
      <w:pPr>
        <w:pStyle w:val="SingleTxtGR"/>
      </w:pPr>
      <w:r w:rsidRPr="00FA63DD">
        <w:t>3.</w:t>
      </w:r>
      <w:r w:rsidRPr="00FA63DD">
        <w:tab/>
        <w:t xml:space="preserve">В своем вступительном слове </w:t>
      </w:r>
      <w:r w:rsidR="00482F53">
        <w:t>М</w:t>
      </w:r>
      <w:r w:rsidRPr="00FA63DD">
        <w:t xml:space="preserve">инистр образования и науки рассказал о достижениях Грузии в сфере образования в интересах устойчивого развития, включая введение стандартов для преподавателей дошкольных учреждений, направленных на повышение общей осведомленности, и увеличение объемов финансирования профессионального и высшего образования по естественным дисциплинам. Министр охраны окружающей среды и природных ресурсов отметил, что осуществление инициатив в сфере образования будет способствовать повышению осведомленности о последствиях изменения климата, и призвал к заключению имеющего обязательную юридическую силу международного соглашения по образованию в интересах устойчивого развития. </w:t>
      </w:r>
    </w:p>
    <w:p w:rsidR="00FA63DD" w:rsidRPr="00FA63DD" w:rsidRDefault="00FA63DD" w:rsidP="00FA63DD">
      <w:pPr>
        <w:pStyle w:val="SingleTxtGR"/>
      </w:pPr>
      <w:r w:rsidRPr="00FA63DD">
        <w:t>4.</w:t>
      </w:r>
      <w:r w:rsidRPr="00FA63DD">
        <w:tab/>
      </w:r>
      <w:proofErr w:type="gramStart"/>
      <w:r w:rsidRPr="00FA63DD">
        <w:t>В</w:t>
      </w:r>
      <w:proofErr w:type="gramEnd"/>
      <w:r w:rsidRPr="00FA63DD">
        <w:t xml:space="preserve"> своем основном докладе </w:t>
      </w:r>
      <w:r w:rsidR="00482F53">
        <w:t>М</w:t>
      </w:r>
      <w:r w:rsidRPr="00FA63DD">
        <w:t xml:space="preserve">инистр образования и культуры Кипра подчеркнул роль Стратегии ЕЭК ООН для </w:t>
      </w:r>
      <w:r w:rsidR="00482F53">
        <w:t xml:space="preserve">развития </w:t>
      </w:r>
      <w:r w:rsidRPr="00FA63DD">
        <w:t>образования в интересах устойчивого развития как ключевого фактора развития такого образования и</w:t>
      </w:r>
      <w:r w:rsidR="00482F53">
        <w:t xml:space="preserve"> для</w:t>
      </w:r>
      <w:r w:rsidRPr="00FA63DD">
        <w:t xml:space="preserve"> его внедрения на всех уровнях образования, </w:t>
      </w:r>
      <w:r w:rsidR="00482F53">
        <w:t xml:space="preserve">для </w:t>
      </w:r>
      <w:r w:rsidRPr="00FA63DD">
        <w:t xml:space="preserve">изменения подхода к обучению и </w:t>
      </w:r>
      <w:r w:rsidR="00482F53">
        <w:t xml:space="preserve">для </w:t>
      </w:r>
      <w:r w:rsidRPr="00FA63DD">
        <w:t xml:space="preserve">привлечения более широкого круга заинтересованных лиц в целях эффективной реализации образования в интересах устойчивого развития в регионе. Для этого необходимо определить приоритеты на уровне министерств и обеспечить наличие соответствующего финансирования. В заключение он пригласил министров </w:t>
      </w:r>
      <w:r w:rsidR="00482F53">
        <w:t>принять участие</w:t>
      </w:r>
      <w:r w:rsidRPr="00FA63DD">
        <w:t xml:space="preserve"> в Совещании министров по принятию Плана действий к Средиземноморской стратегии образования в интересах устойчивого развития, которое будет проведено в декабре 2016 года на Кипре.</w:t>
      </w:r>
    </w:p>
    <w:p w:rsidR="00FA63DD" w:rsidRPr="00FA63DD" w:rsidRDefault="00FA63DD" w:rsidP="00FA63DD">
      <w:pPr>
        <w:pStyle w:val="SingleTxtGR"/>
      </w:pPr>
      <w:r w:rsidRPr="00FA63DD">
        <w:t>5.</w:t>
      </w:r>
      <w:r w:rsidRPr="00FA63DD">
        <w:tab/>
        <w:t xml:space="preserve">Министр  инфраструктуры и окружающей среды Нидерландов подчеркнула важность формального, неформального и информального образования для перехода к устойчивому развитию, а также роль образования в интересах устойчивого развития для понимания сложных экологических проблем, преодоления факторов неопределенности и приспособления к меняющимся ценностям. Всем странам следует объединить свои усилия по поощрению образования в интересах устойчивого развития и стремиться к расширению возможностей обучения для обеспечения устойчивого будущего. </w:t>
      </w:r>
    </w:p>
    <w:p w:rsidR="00FA63DD" w:rsidRPr="00FA63DD" w:rsidRDefault="00FA63DD" w:rsidP="00FA63DD">
      <w:pPr>
        <w:pStyle w:val="SingleTxtGR"/>
      </w:pPr>
      <w:r w:rsidRPr="00FA63DD">
        <w:t>6.</w:t>
      </w:r>
      <w:r w:rsidRPr="00FA63DD">
        <w:tab/>
        <w:t>В своем основном докладе, представленном в форме видеообращения, помощник по вопросам образования</w:t>
      </w:r>
      <w:r w:rsidR="00482F53" w:rsidRPr="00482F53">
        <w:t xml:space="preserve"> </w:t>
      </w:r>
      <w:r w:rsidR="00482F53" w:rsidRPr="00FA63DD">
        <w:t>Генерального директора</w:t>
      </w:r>
      <w:r w:rsidRPr="00FA63DD">
        <w:t xml:space="preserve"> Организации Объединенных Наций по вопросам образования, науки и культуры (ЮНЕСКО) подчеркнул важность Основ будущего осуществления Стратегии ЕЭК ООН для активизации деятельности по </w:t>
      </w:r>
      <w:r w:rsidR="00482F53">
        <w:t>образованию</w:t>
      </w:r>
      <w:r w:rsidRPr="00FA63DD">
        <w:t xml:space="preserve"> в интересах устойчивого развития в контексте Глобальной программы действий по образованию в интересах устойчивого развития, которая является продолжением Десятилетия образования в интересах устойчивого развития Организации Объединенных Наций. Он настоятельно призвал страны к укреплению сотрудничества по осуществлению Глобальной программы действий и </w:t>
      </w:r>
      <w:r w:rsidR="00482F53">
        <w:t>П</w:t>
      </w:r>
      <w:r w:rsidRPr="00FA63DD">
        <w:t xml:space="preserve">овестки дня в области устойчивого развития на период до 2030 года. </w:t>
      </w:r>
    </w:p>
    <w:p w:rsidR="00FA63DD" w:rsidRPr="00FA63DD" w:rsidRDefault="00FA63DD" w:rsidP="00FA63DD">
      <w:pPr>
        <w:pStyle w:val="SingleTxtGR"/>
      </w:pPr>
      <w:r w:rsidRPr="00FA63DD">
        <w:t>7.</w:t>
      </w:r>
      <w:r w:rsidRPr="00FA63DD">
        <w:tab/>
        <w:t xml:space="preserve">Исполнительный секретарь Европейской экономической комиссии Организации Объединенных Наций (ЕЭК) подчеркнул, что участники должны будут принять решение относительно дальнейших шагов, которые необходимо предпринять для содействия образованию в интересах устойчивого развития на основе сотрудничества между различными секторами, государствами-членами, международными организациями и учреждениями, неправительственными организациями и другими заинтересованными сторонами в регионе. Он обратил внимание на важные достижения в осуществлении стратегии за последние </w:t>
      </w:r>
      <w:r w:rsidR="00482F53">
        <w:t>десять</w:t>
      </w:r>
      <w:r w:rsidRPr="00FA63DD">
        <w:t xml:space="preserve"> лет и с удовлетворением отметил, что процесс дальнейшего развития стратегий, планов и механизмов образования в интересах устойчивого развития продолжается на национальном уровне.</w:t>
      </w:r>
    </w:p>
    <w:p w:rsidR="00FA63DD" w:rsidRPr="00FA63DD" w:rsidRDefault="00FA63DD" w:rsidP="00FA63DD">
      <w:pPr>
        <w:pStyle w:val="SingleTxtGR"/>
      </w:pPr>
      <w:r w:rsidRPr="00FA63DD">
        <w:t xml:space="preserve">8. </w:t>
      </w:r>
      <w:r w:rsidRPr="00FA63DD">
        <w:tab/>
        <w:t>Председатель Руководящего комитета ЕЭК по образованию в интересах устойчивого развития представил выводы доклада о ходе осуществления Страте</w:t>
      </w:r>
      <w:r w:rsidR="00482F53">
        <w:t>гии в период с 2005 по 2015 год</w:t>
      </w:r>
      <w:r w:rsidRPr="00FA63DD">
        <w:t>, которые были приняты во внимание при разработке Основ будущего осуществления и Батумского заявления министров по образованию в интересах устойчивого развития.</w:t>
      </w:r>
    </w:p>
    <w:p w:rsidR="00FA63DD" w:rsidRPr="00FA63DD" w:rsidRDefault="00FA63DD" w:rsidP="00FA63DD">
      <w:pPr>
        <w:pStyle w:val="SingleTxtGR"/>
      </w:pPr>
      <w:r w:rsidRPr="00FA63DD">
        <w:t>9.</w:t>
      </w:r>
      <w:r w:rsidRPr="00FA63DD">
        <w:tab/>
        <w:t>Политическое и административное руководство почти всех участвовавших в Конференции государств-членов поддержало продвижение образования в интересах устойчивого развития. Эта поддержка явилась и будет являться одним из решающих факторов успешного осуществления Стратегии.</w:t>
      </w:r>
    </w:p>
    <w:p w:rsidR="00FA63DD" w:rsidRPr="00FA63DD" w:rsidRDefault="00FA63DD" w:rsidP="00FA63DD">
      <w:pPr>
        <w:pStyle w:val="SingleTxtGR"/>
      </w:pPr>
      <w:r w:rsidRPr="00FA63DD">
        <w:t>10.</w:t>
      </w:r>
      <w:r w:rsidRPr="00FA63DD">
        <w:tab/>
        <w:t>В рамках Стратегии были достигнуты важные подвижки в том, что касается интеграции политики, учебных планов, ресурсов и сетевого взаимодействия. Например, подавляющее большинство государств-членов сообщили, что образование в интересах устойчивого развития и соответствующие компетенции и результаты обучения были включены в национальные  рамочные учебные планы для начальных и средних учебных заведений. Это в меньшей степени относится к высшим учебным заведениям, хотя их участие в продвижении образования в интересах устойчивого развития также стало более широким.</w:t>
      </w:r>
    </w:p>
    <w:p w:rsidR="00FA63DD" w:rsidRPr="00FA63DD" w:rsidRDefault="00FA63DD" w:rsidP="00FA63DD">
      <w:pPr>
        <w:pStyle w:val="SingleTxtGR"/>
      </w:pPr>
      <w:r w:rsidRPr="00FA63DD">
        <w:t>11.</w:t>
      </w:r>
      <w:r w:rsidRPr="00FA63DD">
        <w:tab/>
        <w:t>Был</w:t>
      </w:r>
      <w:r w:rsidR="00482F53">
        <w:t>о отмечено, что</w:t>
      </w:r>
      <w:r w:rsidRPr="00FA63DD">
        <w:t xml:space="preserve"> приоритетны</w:t>
      </w:r>
      <w:r w:rsidR="00482F53">
        <w:t>е</w:t>
      </w:r>
      <w:r w:rsidRPr="00FA63DD">
        <w:t xml:space="preserve"> задач</w:t>
      </w:r>
      <w:r w:rsidR="00482F53">
        <w:t>и</w:t>
      </w:r>
      <w:r w:rsidRPr="00FA63DD">
        <w:t xml:space="preserve"> этапа III осуществления Стратегии</w:t>
      </w:r>
      <w:r w:rsidR="00482F53">
        <w:t xml:space="preserve"> –</w:t>
      </w:r>
      <w:r w:rsidRPr="00FA63DD">
        <w:t xml:space="preserve"> школьны</w:t>
      </w:r>
      <w:r w:rsidR="00482F53">
        <w:t>е</w:t>
      </w:r>
      <w:r w:rsidRPr="00FA63DD">
        <w:t xml:space="preserve"> программ</w:t>
      </w:r>
      <w:r w:rsidR="00482F53">
        <w:t>ы</w:t>
      </w:r>
      <w:r w:rsidRPr="00FA63DD">
        <w:t xml:space="preserve"> по образованию в интересах устойчивого развития; компетен</w:t>
      </w:r>
      <w:r w:rsidR="0070742F">
        <w:t>тность</w:t>
      </w:r>
      <w:r w:rsidRPr="00FA63DD">
        <w:t xml:space="preserve"> учителей и образовани</w:t>
      </w:r>
      <w:r w:rsidR="0070742F">
        <w:t>е</w:t>
      </w:r>
      <w:r w:rsidRPr="00FA63DD">
        <w:t xml:space="preserve"> в интересах устойчивого развития в сфере профессионально-технического обучения и подготовки</w:t>
      </w:r>
      <w:r w:rsidR="0070742F">
        <w:t xml:space="preserve"> представляют собой как вызовы, так и </w:t>
      </w:r>
      <w:r w:rsidRPr="00FA63DD">
        <w:t>необходимы</w:t>
      </w:r>
      <w:r w:rsidR="0070742F">
        <w:t>е</w:t>
      </w:r>
      <w:r w:rsidRPr="00FA63DD">
        <w:t xml:space="preserve"> мобилизующи</w:t>
      </w:r>
      <w:r w:rsidR="0070742F">
        <w:t>е</w:t>
      </w:r>
      <w:r w:rsidRPr="00FA63DD">
        <w:t xml:space="preserve"> фактор</w:t>
      </w:r>
      <w:r w:rsidR="0070742F">
        <w:t>ы для</w:t>
      </w:r>
      <w:r w:rsidRPr="00FA63DD">
        <w:t xml:space="preserve"> преобразования всей системы. Почти три четверти государств-членов поощряли применение </w:t>
      </w:r>
      <w:proofErr w:type="spellStart"/>
      <w:r w:rsidRPr="00FA63DD">
        <w:t>общеучрежденских</w:t>
      </w:r>
      <w:proofErr w:type="spellEnd"/>
      <w:r w:rsidRPr="00FA63DD">
        <w:t xml:space="preserve"> подходов. Это является обнадеживающим фактором, так как такое поощрение обеспечит более прочную основу для осуществления и поддержания усилий в области образования в интересах устойчивого развития в этих учреждениях. Некоторые государства (но по-прежнему меньшинство) определили новые компетенции и навыки, разработали новые учебные курсы и пересмотрели существующие программы профессионально-технического обучения и подготовки.</w:t>
      </w:r>
    </w:p>
    <w:p w:rsidR="00FA63DD" w:rsidRPr="00FA63DD" w:rsidRDefault="00FA63DD" w:rsidP="00FA63DD">
      <w:pPr>
        <w:pStyle w:val="SingleTxtGR"/>
      </w:pPr>
      <w:r w:rsidRPr="00FA63DD">
        <w:t>12.</w:t>
      </w:r>
      <w:r w:rsidRPr="00FA63DD">
        <w:tab/>
        <w:t xml:space="preserve">Тем не менее, несмотря на значительный прогресс, достигнутый как на политическом, так и на практическом уровнях, признание того факта, что образование в интересах устойчивого развития является центральным элементом самой цели образования, до сих </w:t>
      </w:r>
      <w:r w:rsidR="00833C74">
        <w:t xml:space="preserve">пор </w:t>
      </w:r>
      <w:r w:rsidRPr="00FA63DD">
        <w:t>связано с серьезными трудностями и препятствиями. Это относится также и к обеспечению наличия стабильного руководства и политической воли среди основных директивных органов для перехода от политики к практике путем проведения структурной реформы систем образования и включения образования в интересах устойчивого развития в основные бюджеты.</w:t>
      </w:r>
    </w:p>
    <w:p w:rsidR="00FA63DD" w:rsidRPr="00FA63DD" w:rsidRDefault="00FA63DD" w:rsidP="00FA63DD">
      <w:pPr>
        <w:pStyle w:val="SingleTxtGR"/>
      </w:pPr>
      <w:r w:rsidRPr="00FA63DD">
        <w:t>13.</w:t>
      </w:r>
      <w:r w:rsidRPr="00FA63DD">
        <w:tab/>
        <w:t>Делегации многих стран, а также представители Европейского ЭКО-Форума, Регионального экологического центра для Центральной и Восточной Европы и Программы Организации Объединенных Наций по окружающей среде выступили с заявлениями об осуществлении Стратегии и рассказали об основных достижениях, извлеченных уроках, проблемах и планах на будущее. Региональный экологический центр для Центральной Азии представил письменное заявление, содержащее резюме деятельности по поощрению образования, лидерства и укрепления потенциала в интересах устойчивого развития в субрегионе.</w:t>
      </w:r>
    </w:p>
    <w:p w:rsidR="00FA63DD" w:rsidRPr="00FA63DD" w:rsidRDefault="00FA63DD" w:rsidP="0070742F">
      <w:pPr>
        <w:pStyle w:val="HChGR"/>
      </w:pPr>
      <w:bookmarkStart w:id="5" w:name="_Toc454010780"/>
      <w:r w:rsidRPr="00FA63DD">
        <w:tab/>
        <w:t>II.</w:t>
      </w:r>
      <w:r w:rsidRPr="00FA63DD">
        <w:tab/>
        <w:t>Утверждение итогов совещания высокого уровня</w:t>
      </w:r>
      <w:bookmarkEnd w:id="5"/>
    </w:p>
    <w:p w:rsidR="00FA63DD" w:rsidRPr="00FA63DD" w:rsidRDefault="00FA63DD" w:rsidP="00FA63DD">
      <w:pPr>
        <w:pStyle w:val="SingleTxtGR"/>
      </w:pPr>
      <w:r w:rsidRPr="00FA63DD">
        <w:t>14.</w:t>
      </w:r>
      <w:r w:rsidRPr="00FA63DD">
        <w:tab/>
        <w:t>Сопредседатель представил Основы будущего осуществления Стратегии и проект Батумского заявления министров по образованию в интересах устойчивого развития, подготовленны</w:t>
      </w:r>
      <w:r w:rsidR="0070742F">
        <w:t>е</w:t>
      </w:r>
      <w:r w:rsidRPr="00FA63DD">
        <w:t xml:space="preserve"> после проведения переговоров между правительствами и содержащи</w:t>
      </w:r>
      <w:r w:rsidR="0070742F">
        <w:t>е</w:t>
      </w:r>
      <w:r w:rsidRPr="00FA63DD">
        <w:t xml:space="preserve"> комментарии неправительственных организаций и других заинтересованных сторон.</w:t>
      </w:r>
    </w:p>
    <w:p w:rsidR="00FA63DD" w:rsidRPr="00FA63DD" w:rsidRDefault="00FA63DD" w:rsidP="00FA63DD">
      <w:pPr>
        <w:pStyle w:val="SingleTxtGR"/>
      </w:pPr>
      <w:r w:rsidRPr="00FA63DD">
        <w:t>15.</w:t>
      </w:r>
      <w:r w:rsidRPr="00FA63DD">
        <w:tab/>
        <w:t>Основы будущего осуществления Стратегии стали продолжением рамок по осуществлению, которые были приняты представителями министерств окружающей</w:t>
      </w:r>
      <w:r w:rsidR="0070742F">
        <w:t xml:space="preserve"> среды и образования государств – </w:t>
      </w:r>
      <w:r w:rsidRPr="00FA63DD">
        <w:t>членов ЕЭК в 2005 году в Вильнюсе. В них отражены основные элементы, определенные Руководящим комитетом. Кроме того, они основываются на Глобальной программе действий ЮНЕСКО по образованию в интересах устойчивого развития и согласуются с ней. Основы также включают в себя предлагаемый круг ведения Руководящего комитета на период 2016</w:t>
      </w:r>
      <w:r w:rsidR="0070742F">
        <w:t>–</w:t>
      </w:r>
      <w:r w:rsidRPr="00FA63DD">
        <w:t xml:space="preserve">2030 годов, с тем чтобы он мог контролировать процесс осуществления Стратегии. </w:t>
      </w:r>
    </w:p>
    <w:p w:rsidR="00FA63DD" w:rsidRPr="00FA63DD" w:rsidRDefault="00FA63DD" w:rsidP="00FA63DD">
      <w:pPr>
        <w:pStyle w:val="SingleTxtGR"/>
      </w:pPr>
      <w:r w:rsidRPr="00FA63DD">
        <w:t>16.</w:t>
      </w:r>
      <w:r w:rsidRPr="00FA63DD">
        <w:tab/>
        <w:t xml:space="preserve">Заявление министров представляет собой документ, нацеленный на перспективу, а именно </w:t>
      </w:r>
      <w:r w:rsidR="0070742F">
        <w:t>–</w:t>
      </w:r>
      <w:r w:rsidRPr="00FA63DD">
        <w:t xml:space="preserve"> общее обязательство государств-членов продолжать осуществление Стратегии на национальном уровне для достижения устойчивого развития.</w:t>
      </w:r>
    </w:p>
    <w:p w:rsidR="00FA63DD" w:rsidRPr="00FA63DD" w:rsidRDefault="00FA63DD" w:rsidP="00FA63DD">
      <w:pPr>
        <w:pStyle w:val="SingleTxtGR"/>
      </w:pPr>
      <w:r w:rsidRPr="00FA63DD">
        <w:t>17.</w:t>
      </w:r>
      <w:r w:rsidRPr="00FA63DD">
        <w:tab/>
        <w:t>Министры и главы делегаций приняли Основы будущего осуществления Стратегии ЕЭК ООН для образования в интересах устойчивого развития и Батумское заявление министров по образованию в интересах устойчивого развития. Кроме того, Грузия объявила о своем намерении обсудить с международным сообществом возможность разработки нового имеющего обязательную юридическую силу соглашения по образованию в интересах устойчивого развития.</w:t>
      </w:r>
    </w:p>
    <w:p w:rsidR="00FA63DD" w:rsidRDefault="00FA63DD" w:rsidP="00FA63DD">
      <w:pPr>
        <w:pStyle w:val="SingleTxtGR"/>
      </w:pPr>
      <w:r w:rsidRPr="00FA63DD">
        <w:t>18.</w:t>
      </w:r>
      <w:r w:rsidRPr="00FA63DD">
        <w:tab/>
        <w:t xml:space="preserve">Сопредседатели выразили признательность странам и организациям, участвовавшим в </w:t>
      </w:r>
      <w:r w:rsidR="0070742F">
        <w:t>С</w:t>
      </w:r>
      <w:r w:rsidRPr="00FA63DD">
        <w:t>овещании высокого уровня, за принятие двух итоговых документов, которые станут ориентиром при дальнейшем осуществлении инициатив по образованию в интересах устойчивого развития в регионе.</w:t>
      </w:r>
    </w:p>
    <w:p w:rsidR="0070742F" w:rsidRPr="0070742F" w:rsidRDefault="0070742F" w:rsidP="007074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42F" w:rsidRPr="0070742F" w:rsidSect="009B2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33" w:rsidRDefault="002F7733" w:rsidP="00B471C5">
      <w:r>
        <w:separator/>
      </w:r>
    </w:p>
  </w:endnote>
  <w:endnote w:type="continuationSeparator" w:id="0">
    <w:p w:rsidR="002F7733" w:rsidRDefault="002F773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Pr="0067680F" w:rsidRDefault="009C7C77" w:rsidP="00A57166">
    <w:pPr>
      <w:pStyle w:val="Footer"/>
      <w:rPr>
        <w:b/>
        <w:sz w:val="18"/>
        <w:szCs w:val="18"/>
      </w:rPr>
    </w:pPr>
    <w:sdt>
      <w:sdtPr>
        <w:id w:val="-148060776"/>
        <w:docPartObj>
          <w:docPartGallery w:val="Page Numbers (Bottom of Page)"/>
          <w:docPartUnique/>
        </w:docPartObj>
      </w:sdtPr>
      <w:sdtEndPr>
        <w:rPr>
          <w:b/>
          <w:sz w:val="18"/>
          <w:szCs w:val="18"/>
        </w:rPr>
      </w:sdtEndPr>
      <w:sdtContent>
        <w:r w:rsidR="002F7733" w:rsidRPr="0067680F">
          <w:rPr>
            <w:b/>
            <w:sz w:val="18"/>
            <w:szCs w:val="18"/>
          </w:rPr>
          <w:fldChar w:fldCharType="begin"/>
        </w:r>
        <w:r w:rsidR="002F7733" w:rsidRPr="0067680F">
          <w:rPr>
            <w:b/>
            <w:sz w:val="18"/>
            <w:szCs w:val="18"/>
          </w:rPr>
          <w:instrText>PAGE   \* MERGEFORMAT</w:instrText>
        </w:r>
        <w:r w:rsidR="002F7733" w:rsidRPr="0067680F">
          <w:rPr>
            <w:b/>
            <w:sz w:val="18"/>
            <w:szCs w:val="18"/>
          </w:rPr>
          <w:fldChar w:fldCharType="separate"/>
        </w:r>
        <w:r w:rsidRPr="009C7C77">
          <w:rPr>
            <w:b/>
            <w:noProof/>
            <w:sz w:val="18"/>
            <w:szCs w:val="18"/>
            <w:lang w:val="ru-RU"/>
          </w:rPr>
          <w:t>4</w:t>
        </w:r>
        <w:r w:rsidR="002F7733" w:rsidRPr="0067680F">
          <w:rPr>
            <w:b/>
            <w:sz w:val="18"/>
            <w:szCs w:val="18"/>
          </w:rPr>
          <w:fldChar w:fldCharType="end"/>
        </w:r>
        <w:r w:rsidR="002F7733">
          <w:rPr>
            <w:lang w:val="ru-RU"/>
          </w:rPr>
          <w:tab/>
          <w:t>GE.16-</w:t>
        </w:r>
        <w:r w:rsidR="0052606D">
          <w:rPr>
            <w:lang w:val="ru-RU"/>
          </w:rPr>
          <w:t>14017</w:t>
        </w:r>
      </w:sdtContent>
    </w:sdt>
  </w:p>
  <w:p w:rsidR="002F7733" w:rsidRDefault="002F7733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Pr="0067680F" w:rsidRDefault="009C7C77" w:rsidP="00A57166">
    <w:pPr>
      <w:pStyle w:val="Footer"/>
      <w:rPr>
        <w:b/>
        <w:sz w:val="18"/>
        <w:szCs w:val="18"/>
      </w:rPr>
    </w:pPr>
    <w:sdt>
      <w:sdtPr>
        <w:id w:val="-1109277783"/>
        <w:docPartObj>
          <w:docPartGallery w:val="Page Numbers (Bottom of Page)"/>
          <w:docPartUnique/>
        </w:docPartObj>
      </w:sdtPr>
      <w:sdtEndPr>
        <w:rPr>
          <w:b/>
          <w:sz w:val="18"/>
          <w:szCs w:val="18"/>
        </w:rPr>
      </w:sdtEndPr>
      <w:sdtContent>
        <w:r w:rsidR="00934269">
          <w:rPr>
            <w:lang w:val="ru-RU"/>
          </w:rPr>
          <w:t>GE.16-</w:t>
        </w:r>
        <w:r w:rsidR="0052606D">
          <w:rPr>
            <w:lang w:val="ru-RU"/>
          </w:rPr>
          <w:t>14017</w:t>
        </w:r>
        <w:r w:rsidR="00934269">
          <w:rPr>
            <w:b/>
            <w:sz w:val="18"/>
            <w:szCs w:val="18"/>
            <w:lang w:val="ru-RU"/>
          </w:rPr>
          <w:tab/>
        </w:r>
        <w:r w:rsidR="002F7733" w:rsidRPr="0067680F">
          <w:rPr>
            <w:b/>
            <w:sz w:val="18"/>
            <w:szCs w:val="18"/>
          </w:rPr>
          <w:fldChar w:fldCharType="begin"/>
        </w:r>
        <w:r w:rsidR="002F7733" w:rsidRPr="0067680F">
          <w:rPr>
            <w:b/>
            <w:sz w:val="18"/>
            <w:szCs w:val="18"/>
          </w:rPr>
          <w:instrText>PAGE   \* MERGEFORMAT</w:instrText>
        </w:r>
        <w:r w:rsidR="002F7733" w:rsidRPr="0067680F">
          <w:rPr>
            <w:b/>
            <w:sz w:val="18"/>
            <w:szCs w:val="18"/>
          </w:rPr>
          <w:fldChar w:fldCharType="separate"/>
        </w:r>
        <w:r w:rsidRPr="009C7C77">
          <w:rPr>
            <w:b/>
            <w:noProof/>
            <w:sz w:val="18"/>
            <w:szCs w:val="18"/>
            <w:lang w:val="ru-RU"/>
          </w:rPr>
          <w:t>3</w:t>
        </w:r>
        <w:r w:rsidR="002F7733" w:rsidRPr="0067680F">
          <w:rPr>
            <w:b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F7733" w:rsidRPr="009B2237" w:rsidTr="002F773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7733" w:rsidRPr="0052606D" w:rsidRDefault="002F7733" w:rsidP="0052606D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eastAsia="ru-RU"/>
            </w:rPr>
          </w:pPr>
          <w:r w:rsidRPr="009B2237">
            <w:rPr>
              <w:rFonts w:eastAsia="Times New Roman" w:cs="Times New Roman"/>
              <w:szCs w:val="20"/>
              <w:lang w:val="en-US"/>
            </w:rPr>
            <w:t>GE.16-</w:t>
          </w:r>
          <w:r w:rsidR="0052606D">
            <w:rPr>
              <w:rFonts w:eastAsia="Times New Roman" w:cs="Times New Roman"/>
              <w:szCs w:val="20"/>
            </w:rPr>
            <w:t>14017</w:t>
          </w:r>
          <w:r w:rsidRPr="009B2237">
            <w:rPr>
              <w:rFonts w:eastAsia="Times New Roman" w:cs="Times New Roman"/>
              <w:szCs w:val="20"/>
              <w:lang w:val="en-US"/>
            </w:rPr>
            <w:t xml:space="preserve">  (R)  </w:t>
          </w:r>
          <w:r w:rsidR="0052606D">
            <w:rPr>
              <w:rFonts w:eastAsia="Times New Roman" w:cs="Times New Roman"/>
              <w:szCs w:val="20"/>
            </w:rPr>
            <w:t>111016   111016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F7733" w:rsidRPr="009B2237" w:rsidRDefault="002F7733" w:rsidP="009B2237">
          <w:pPr>
            <w:jc w:val="right"/>
            <w:rPr>
              <w:rFonts w:eastAsia="Times New Roman" w:cs="Times New Roman"/>
              <w:szCs w:val="20"/>
            </w:rPr>
          </w:pPr>
          <w:r w:rsidRPr="009B2237">
            <w:rPr>
              <w:rFonts w:eastAsia="Times New Roman" w:cs="Times New Roman"/>
              <w:b/>
              <w:noProof/>
              <w:szCs w:val="20"/>
              <w:lang w:val="en-US"/>
            </w:rPr>
            <w:drawing>
              <wp:inline distT="0" distB="0" distL="0" distR="0" wp14:anchorId="1F07A0CB" wp14:editId="02B04226">
                <wp:extent cx="2655481" cy="277586"/>
                <wp:effectExtent l="0" t="0" r="0" b="8255"/>
                <wp:docPr id="19" name="Рисунок 19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F7733" w:rsidRPr="009B2237" w:rsidRDefault="0052606D" w:rsidP="009B2237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val="en-US"/>
            </w:rPr>
            <w:drawing>
              <wp:inline distT="0" distB="0" distL="0" distR="0">
                <wp:extent cx="577850" cy="577850"/>
                <wp:effectExtent l="0" t="0" r="0" b="0"/>
                <wp:docPr id="4" name="Рисунок 4" descr="http://undocs.org/m2/QRCode.ashx?DS=ECE/BATUMI.CONF/2016/2/Add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2/Add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733" w:rsidRPr="009B2237" w:rsidTr="002F773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7733" w:rsidRPr="0052606D" w:rsidRDefault="0052606D" w:rsidP="009B2237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2606D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F7733" w:rsidRPr="009B2237" w:rsidRDefault="002F7733" w:rsidP="009B2237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F7733" w:rsidRPr="009B2237" w:rsidRDefault="002F7733" w:rsidP="009B2237">
          <w:pPr>
            <w:rPr>
              <w:rFonts w:eastAsia="Times New Roman" w:cs="Times New Roman"/>
              <w:szCs w:val="20"/>
            </w:rPr>
          </w:pPr>
        </w:p>
      </w:tc>
    </w:tr>
  </w:tbl>
  <w:p w:rsidR="002F7733" w:rsidRPr="009B2237" w:rsidRDefault="002F7733" w:rsidP="009B2237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33" w:rsidRPr="009141DC" w:rsidRDefault="002F773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F7733" w:rsidRPr="00D1261C" w:rsidRDefault="002F773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Default="002F7733" w:rsidP="007D70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Pr="007E0FD2" w:rsidRDefault="002F7733" w:rsidP="009B2237">
    <w:pPr>
      <w:pStyle w:val="Header"/>
      <w:pBdr>
        <w:bottom w:val="single" w:sz="4" w:space="1" w:color="auto"/>
      </w:pBdr>
      <w:rPr>
        <w:lang w:val="en-US"/>
      </w:rPr>
    </w:pPr>
    <w:r w:rsidRPr="009B2237">
      <w:rPr>
        <w:lang w:val="en-US"/>
      </w:rPr>
      <w:t>ECE/</w:t>
    </w:r>
    <w:r w:rsidR="0052606D" w:rsidRPr="0052606D">
      <w:rPr>
        <w:lang w:val="en-US"/>
      </w:rPr>
      <w:t>BATUMI.CONF/2016/2/Add.4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Default="002F7733" w:rsidP="009B2237">
    <w:pPr>
      <w:pStyle w:val="Header"/>
      <w:pBdr>
        <w:bottom w:val="single" w:sz="4" w:space="1" w:color="auto"/>
      </w:pBdr>
      <w:jc w:val="right"/>
    </w:pPr>
    <w:r w:rsidRPr="00A57166">
      <w:rPr>
        <w:lang w:val="en-US"/>
      </w:rPr>
      <w:t>ECE/</w:t>
    </w:r>
    <w:r w:rsidR="0052606D" w:rsidRPr="0052606D">
      <w:rPr>
        <w:lang w:val="en-US"/>
      </w:rPr>
      <w:t>BATUMI.CONF/2016/2/Add.4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33" w:rsidRDefault="002F7733" w:rsidP="002619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4"/>
  </w:num>
  <w:num w:numId="5">
    <w:abstractNumId w:val="19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7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015FC"/>
    <w:rsid w:val="00011175"/>
    <w:rsid w:val="0001204D"/>
    <w:rsid w:val="000450D1"/>
    <w:rsid w:val="00055DE4"/>
    <w:rsid w:val="00067736"/>
    <w:rsid w:val="0008221A"/>
    <w:rsid w:val="00083257"/>
    <w:rsid w:val="000B7E20"/>
    <w:rsid w:val="000C6D8A"/>
    <w:rsid w:val="000F2A4F"/>
    <w:rsid w:val="000F429C"/>
    <w:rsid w:val="00104B35"/>
    <w:rsid w:val="0010550C"/>
    <w:rsid w:val="0010595F"/>
    <w:rsid w:val="001320A7"/>
    <w:rsid w:val="00153487"/>
    <w:rsid w:val="001F20F1"/>
    <w:rsid w:val="001F6EA9"/>
    <w:rsid w:val="00203F84"/>
    <w:rsid w:val="002041D4"/>
    <w:rsid w:val="00213BA6"/>
    <w:rsid w:val="0021755C"/>
    <w:rsid w:val="002606D1"/>
    <w:rsid w:val="00261901"/>
    <w:rsid w:val="00263458"/>
    <w:rsid w:val="00275188"/>
    <w:rsid w:val="00282D44"/>
    <w:rsid w:val="0028687D"/>
    <w:rsid w:val="002B091C"/>
    <w:rsid w:val="002B3D40"/>
    <w:rsid w:val="002C3A3A"/>
    <w:rsid w:val="002D0CCB"/>
    <w:rsid w:val="002E687B"/>
    <w:rsid w:val="002F7733"/>
    <w:rsid w:val="003052A8"/>
    <w:rsid w:val="00316428"/>
    <w:rsid w:val="003404FF"/>
    <w:rsid w:val="00345C79"/>
    <w:rsid w:val="00355BD6"/>
    <w:rsid w:val="00366A39"/>
    <w:rsid w:val="003705BE"/>
    <w:rsid w:val="00395F8A"/>
    <w:rsid w:val="003B69DD"/>
    <w:rsid w:val="003C59AC"/>
    <w:rsid w:val="003C59D5"/>
    <w:rsid w:val="003E049B"/>
    <w:rsid w:val="003F7389"/>
    <w:rsid w:val="004325DF"/>
    <w:rsid w:val="004326BF"/>
    <w:rsid w:val="00436190"/>
    <w:rsid w:val="00454D4C"/>
    <w:rsid w:val="004679E6"/>
    <w:rsid w:val="0048005C"/>
    <w:rsid w:val="00482F53"/>
    <w:rsid w:val="004A161D"/>
    <w:rsid w:val="004B4B1D"/>
    <w:rsid w:val="004C2F1A"/>
    <w:rsid w:val="004E242B"/>
    <w:rsid w:val="004E5227"/>
    <w:rsid w:val="004F2A3E"/>
    <w:rsid w:val="005239A8"/>
    <w:rsid w:val="0052606D"/>
    <w:rsid w:val="005442D5"/>
    <w:rsid w:val="00544379"/>
    <w:rsid w:val="00552B64"/>
    <w:rsid w:val="00552EBC"/>
    <w:rsid w:val="005551FF"/>
    <w:rsid w:val="00566944"/>
    <w:rsid w:val="00580315"/>
    <w:rsid w:val="005B6A7F"/>
    <w:rsid w:val="005D56BF"/>
    <w:rsid w:val="0060682F"/>
    <w:rsid w:val="0062027E"/>
    <w:rsid w:val="00630D64"/>
    <w:rsid w:val="00665D8D"/>
    <w:rsid w:val="0067680F"/>
    <w:rsid w:val="0068201D"/>
    <w:rsid w:val="006A7A3B"/>
    <w:rsid w:val="006B6B57"/>
    <w:rsid w:val="006E0AEE"/>
    <w:rsid w:val="006E58BB"/>
    <w:rsid w:val="006F0937"/>
    <w:rsid w:val="006F1973"/>
    <w:rsid w:val="00705394"/>
    <w:rsid w:val="0070742F"/>
    <w:rsid w:val="00743F62"/>
    <w:rsid w:val="00760D3A"/>
    <w:rsid w:val="00770D0A"/>
    <w:rsid w:val="00773BA8"/>
    <w:rsid w:val="007A1F42"/>
    <w:rsid w:val="007A34EA"/>
    <w:rsid w:val="007B1A6B"/>
    <w:rsid w:val="007D1243"/>
    <w:rsid w:val="007D70B7"/>
    <w:rsid w:val="007D76DD"/>
    <w:rsid w:val="007E0FD2"/>
    <w:rsid w:val="007E4738"/>
    <w:rsid w:val="007F2394"/>
    <w:rsid w:val="007F251D"/>
    <w:rsid w:val="00812167"/>
    <w:rsid w:val="00833C74"/>
    <w:rsid w:val="00853B46"/>
    <w:rsid w:val="008717E8"/>
    <w:rsid w:val="0088757E"/>
    <w:rsid w:val="008D01AE"/>
    <w:rsid w:val="008E0423"/>
    <w:rsid w:val="008F02D7"/>
    <w:rsid w:val="008F57B3"/>
    <w:rsid w:val="009027C4"/>
    <w:rsid w:val="009141DC"/>
    <w:rsid w:val="009174A1"/>
    <w:rsid w:val="00925A7B"/>
    <w:rsid w:val="00934269"/>
    <w:rsid w:val="009342DF"/>
    <w:rsid w:val="009551B3"/>
    <w:rsid w:val="00981718"/>
    <w:rsid w:val="0098674D"/>
    <w:rsid w:val="00997ACA"/>
    <w:rsid w:val="009B2237"/>
    <w:rsid w:val="009B6893"/>
    <w:rsid w:val="009C5E4E"/>
    <w:rsid w:val="009C6F5F"/>
    <w:rsid w:val="009C7C77"/>
    <w:rsid w:val="009E2DF2"/>
    <w:rsid w:val="00A03FB7"/>
    <w:rsid w:val="00A044CC"/>
    <w:rsid w:val="00A0503E"/>
    <w:rsid w:val="00A24131"/>
    <w:rsid w:val="00A321E1"/>
    <w:rsid w:val="00A34DE8"/>
    <w:rsid w:val="00A57166"/>
    <w:rsid w:val="00A75A11"/>
    <w:rsid w:val="00A77543"/>
    <w:rsid w:val="00A80F3B"/>
    <w:rsid w:val="00A90109"/>
    <w:rsid w:val="00A945AE"/>
    <w:rsid w:val="00AD7EAD"/>
    <w:rsid w:val="00AF1C67"/>
    <w:rsid w:val="00AF459D"/>
    <w:rsid w:val="00B005B9"/>
    <w:rsid w:val="00B115AD"/>
    <w:rsid w:val="00B1750F"/>
    <w:rsid w:val="00B2328D"/>
    <w:rsid w:val="00B23FA9"/>
    <w:rsid w:val="00B35A32"/>
    <w:rsid w:val="00B4176C"/>
    <w:rsid w:val="00B432C6"/>
    <w:rsid w:val="00B471C5"/>
    <w:rsid w:val="00B538EB"/>
    <w:rsid w:val="00B616A9"/>
    <w:rsid w:val="00B61C5C"/>
    <w:rsid w:val="00B6474A"/>
    <w:rsid w:val="00B65E8A"/>
    <w:rsid w:val="00B81535"/>
    <w:rsid w:val="00B96AE4"/>
    <w:rsid w:val="00BA6592"/>
    <w:rsid w:val="00BB6292"/>
    <w:rsid w:val="00BE1742"/>
    <w:rsid w:val="00BE27B1"/>
    <w:rsid w:val="00BE3C42"/>
    <w:rsid w:val="00C31AE1"/>
    <w:rsid w:val="00C54026"/>
    <w:rsid w:val="00C6618D"/>
    <w:rsid w:val="00C67EAF"/>
    <w:rsid w:val="00C71A4F"/>
    <w:rsid w:val="00C9237D"/>
    <w:rsid w:val="00CC428E"/>
    <w:rsid w:val="00CC4B7D"/>
    <w:rsid w:val="00CE130A"/>
    <w:rsid w:val="00CF06D0"/>
    <w:rsid w:val="00CF2CF8"/>
    <w:rsid w:val="00CF5594"/>
    <w:rsid w:val="00D1261C"/>
    <w:rsid w:val="00D26030"/>
    <w:rsid w:val="00D54699"/>
    <w:rsid w:val="00D63AF7"/>
    <w:rsid w:val="00D64E78"/>
    <w:rsid w:val="00D75DCE"/>
    <w:rsid w:val="00DA5622"/>
    <w:rsid w:val="00DC46A3"/>
    <w:rsid w:val="00DD35AC"/>
    <w:rsid w:val="00DD479F"/>
    <w:rsid w:val="00DE4327"/>
    <w:rsid w:val="00DF1CCC"/>
    <w:rsid w:val="00DF7769"/>
    <w:rsid w:val="00E12FEE"/>
    <w:rsid w:val="00E15E48"/>
    <w:rsid w:val="00E264FB"/>
    <w:rsid w:val="00E309CD"/>
    <w:rsid w:val="00E35510"/>
    <w:rsid w:val="00E53800"/>
    <w:rsid w:val="00E63830"/>
    <w:rsid w:val="00E73730"/>
    <w:rsid w:val="00E84A9F"/>
    <w:rsid w:val="00EA4BD2"/>
    <w:rsid w:val="00EB0723"/>
    <w:rsid w:val="00EB2957"/>
    <w:rsid w:val="00EE6F37"/>
    <w:rsid w:val="00F1599F"/>
    <w:rsid w:val="00F31EF2"/>
    <w:rsid w:val="00F375F1"/>
    <w:rsid w:val="00F611D8"/>
    <w:rsid w:val="00F749E1"/>
    <w:rsid w:val="00F8591D"/>
    <w:rsid w:val="00FA63DD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6622072-0690-448E-AA03-9B15978E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05BE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05BE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705BE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705BE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705BE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705BE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705BE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705BE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,Header1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,Header1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3705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3705B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3705B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3705B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3705B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3705B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3705B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3705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3705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3705BE"/>
    <w:pPr>
      <w:shd w:val="clear" w:color="auto" w:fill="000080"/>
      <w:suppressAutoHyphens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705BE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70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F911-DF11-4213-B8B1-CBF2E10C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8980</Characters>
  <Application>Microsoft Office Word</Application>
  <DocSecurity>4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Maricar De_La_Cruz</cp:lastModifiedBy>
  <cp:revision>2</cp:revision>
  <cp:lastPrinted>2016-10-11T15:13:00Z</cp:lastPrinted>
  <dcterms:created xsi:type="dcterms:W3CDTF">2016-11-09T10:17:00Z</dcterms:created>
  <dcterms:modified xsi:type="dcterms:W3CDTF">2016-11-09T10:17:00Z</dcterms:modified>
</cp:coreProperties>
</file>