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997DBF6" w14:textId="77777777" w:rsidTr="00B20551">
        <w:trPr>
          <w:cantSplit/>
          <w:trHeight w:hRule="exact" w:val="851"/>
        </w:trPr>
        <w:tc>
          <w:tcPr>
            <w:tcW w:w="1276" w:type="dxa"/>
            <w:tcBorders>
              <w:bottom w:val="single" w:sz="4" w:space="0" w:color="auto"/>
            </w:tcBorders>
            <w:vAlign w:val="bottom"/>
          </w:tcPr>
          <w:p w14:paraId="5F85E255" w14:textId="77777777" w:rsidR="009E6CB7" w:rsidRDefault="009E6CB7" w:rsidP="00B20551">
            <w:pPr>
              <w:spacing w:after="80"/>
            </w:pPr>
          </w:p>
        </w:tc>
        <w:tc>
          <w:tcPr>
            <w:tcW w:w="2268" w:type="dxa"/>
            <w:tcBorders>
              <w:bottom w:val="single" w:sz="4" w:space="0" w:color="auto"/>
            </w:tcBorders>
            <w:vAlign w:val="bottom"/>
          </w:tcPr>
          <w:p w14:paraId="2E48C639"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8E94F66" w14:textId="77777777" w:rsidR="009E6CB7" w:rsidRPr="00D47EEA" w:rsidRDefault="00F64C5C" w:rsidP="00F64C5C">
            <w:pPr>
              <w:jc w:val="right"/>
            </w:pPr>
            <w:r w:rsidRPr="00F64C5C">
              <w:rPr>
                <w:sz w:val="40"/>
              </w:rPr>
              <w:t>ECE</w:t>
            </w:r>
            <w:r>
              <w:t>/ENERGY/133</w:t>
            </w:r>
          </w:p>
        </w:tc>
      </w:tr>
      <w:tr w:rsidR="009E6CB7" w14:paraId="32604936" w14:textId="77777777" w:rsidTr="00B20551">
        <w:trPr>
          <w:cantSplit/>
          <w:trHeight w:hRule="exact" w:val="2835"/>
        </w:trPr>
        <w:tc>
          <w:tcPr>
            <w:tcW w:w="1276" w:type="dxa"/>
            <w:tcBorders>
              <w:top w:val="single" w:sz="4" w:space="0" w:color="auto"/>
              <w:bottom w:val="single" w:sz="12" w:space="0" w:color="auto"/>
            </w:tcBorders>
          </w:tcPr>
          <w:p w14:paraId="01DE5964" w14:textId="77777777" w:rsidR="009E6CB7" w:rsidRDefault="00686A48" w:rsidP="00B20551">
            <w:pPr>
              <w:spacing w:before="120"/>
            </w:pPr>
            <w:r>
              <w:rPr>
                <w:noProof/>
                <w:lang w:val="fr-CH" w:eastAsia="fr-CH"/>
              </w:rPr>
              <w:drawing>
                <wp:inline distT="0" distB="0" distL="0" distR="0" wp14:anchorId="2906AC48" wp14:editId="000BFDA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A180FD1"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823B181" w14:textId="77777777" w:rsidR="009E6CB7" w:rsidRDefault="00F64C5C" w:rsidP="00F64C5C">
            <w:pPr>
              <w:spacing w:before="240" w:line="240" w:lineRule="exact"/>
            </w:pPr>
            <w:r>
              <w:t>Distr.: General</w:t>
            </w:r>
          </w:p>
          <w:p w14:paraId="2C5D4D8C" w14:textId="77777777" w:rsidR="00F64C5C" w:rsidRPr="00193C6A" w:rsidRDefault="00F64C5C" w:rsidP="00F64C5C">
            <w:pPr>
              <w:spacing w:line="240" w:lineRule="exact"/>
              <w:rPr>
                <w:color w:val="FF0000"/>
              </w:rPr>
            </w:pPr>
            <w:r w:rsidRPr="00193C6A">
              <w:rPr>
                <w:color w:val="FF0000"/>
              </w:rPr>
              <w:t>Version 5 at close of meeting on 27 November 2020</w:t>
            </w:r>
          </w:p>
          <w:p w14:paraId="1274C9BB" w14:textId="77777777" w:rsidR="00F64C5C" w:rsidRDefault="00F64C5C" w:rsidP="00F64C5C">
            <w:pPr>
              <w:spacing w:line="240" w:lineRule="exact"/>
            </w:pPr>
          </w:p>
          <w:p w14:paraId="256BC48E" w14:textId="77777777" w:rsidR="00F64C5C" w:rsidRDefault="00F64C5C" w:rsidP="00F64C5C">
            <w:pPr>
              <w:spacing w:line="240" w:lineRule="exact"/>
            </w:pPr>
            <w:r>
              <w:t>Original: English</w:t>
            </w:r>
          </w:p>
        </w:tc>
      </w:tr>
    </w:tbl>
    <w:p w14:paraId="0C8DE665" w14:textId="77777777" w:rsidR="00F64C5C" w:rsidRPr="00856EFB" w:rsidRDefault="00F64C5C" w:rsidP="000615C9">
      <w:pPr>
        <w:spacing w:before="120"/>
        <w:rPr>
          <w:b/>
          <w:sz w:val="28"/>
          <w:szCs w:val="28"/>
        </w:rPr>
      </w:pPr>
      <w:r w:rsidRPr="0044290E">
        <w:rPr>
          <w:b/>
          <w:sz w:val="28"/>
          <w:szCs w:val="28"/>
        </w:rPr>
        <w:t>Economic Commission for Europe</w:t>
      </w:r>
    </w:p>
    <w:p w14:paraId="3ACC661E" w14:textId="77777777" w:rsidR="00F64C5C" w:rsidRPr="0044290E" w:rsidRDefault="00F64C5C" w:rsidP="000615C9">
      <w:pPr>
        <w:spacing w:before="120"/>
        <w:rPr>
          <w:sz w:val="28"/>
          <w:szCs w:val="28"/>
        </w:rPr>
      </w:pPr>
      <w:r w:rsidRPr="0044290E">
        <w:rPr>
          <w:sz w:val="28"/>
          <w:szCs w:val="28"/>
        </w:rPr>
        <w:t>Committee on Sustainable Energy</w:t>
      </w:r>
    </w:p>
    <w:p w14:paraId="4E7653EE" w14:textId="02BE73D1" w:rsidR="00F64C5C" w:rsidRPr="0044290E" w:rsidRDefault="00F64C5C" w:rsidP="000615C9">
      <w:pPr>
        <w:tabs>
          <w:tab w:val="left" w:pos="2310"/>
        </w:tabs>
        <w:spacing w:before="120"/>
        <w:rPr>
          <w:b/>
          <w:bCs/>
        </w:rPr>
      </w:pPr>
      <w:r>
        <w:rPr>
          <w:b/>
          <w:bCs/>
        </w:rPr>
        <w:t xml:space="preserve">Twenty-ninth </w:t>
      </w:r>
      <w:r w:rsidRPr="0044290E">
        <w:rPr>
          <w:b/>
          <w:bCs/>
        </w:rPr>
        <w:t>session</w:t>
      </w:r>
    </w:p>
    <w:p w14:paraId="2C7EB2CB" w14:textId="2EEC4D88" w:rsidR="00F64C5C" w:rsidRDefault="00F64C5C" w:rsidP="000615C9">
      <w:r w:rsidRPr="0044290E">
        <w:t xml:space="preserve">Geneva, </w:t>
      </w:r>
      <w:r>
        <w:t>25-27 November 2020</w:t>
      </w:r>
    </w:p>
    <w:p w14:paraId="231E5424" w14:textId="195158E2" w:rsidR="00277935" w:rsidRDefault="00277935" w:rsidP="00277935">
      <w:pPr>
        <w:pStyle w:val="HChG"/>
      </w:pPr>
      <w:r>
        <w:tab/>
      </w:r>
      <w:r>
        <w:tab/>
      </w:r>
      <w:r w:rsidR="001A3FCC" w:rsidRPr="001A3FCC">
        <w:rPr>
          <w:highlight w:val="yellow"/>
        </w:rPr>
        <w:t>FINAL DRAFT</w:t>
      </w:r>
      <w:r w:rsidR="001A3FCC">
        <w:t xml:space="preserve"> </w:t>
      </w:r>
      <w:r w:rsidRPr="00277935">
        <w:t>Report of the Committee on Sustainable Energy on its twenty-ninth session</w:t>
      </w:r>
    </w:p>
    <w:p w14:paraId="021A148B" w14:textId="77777777" w:rsidR="00277935" w:rsidRDefault="00277935" w:rsidP="00277935">
      <w:pPr>
        <w:spacing w:after="120"/>
        <w:rPr>
          <w:sz w:val="28"/>
        </w:rPr>
      </w:pPr>
      <w:r>
        <w:rPr>
          <w:sz w:val="28"/>
        </w:rPr>
        <w:t>Contents</w:t>
      </w:r>
    </w:p>
    <w:p w14:paraId="3D92DC75" w14:textId="77777777" w:rsidR="00277935" w:rsidRPr="006E178E" w:rsidRDefault="00277935" w:rsidP="00277935">
      <w:pPr>
        <w:tabs>
          <w:tab w:val="right" w:pos="8929"/>
          <w:tab w:val="right" w:pos="9638"/>
        </w:tabs>
        <w:spacing w:after="120"/>
        <w:ind w:left="283"/>
      </w:pPr>
      <w:r>
        <w:rPr>
          <w:i/>
          <w:sz w:val="18"/>
        </w:rPr>
        <w:tab/>
        <w:t>Paragraphs</w:t>
      </w:r>
      <w:r>
        <w:rPr>
          <w:i/>
          <w:sz w:val="18"/>
        </w:rPr>
        <w:tab/>
        <w:t>Page</w:t>
      </w:r>
    </w:p>
    <w:p w14:paraId="462044AE" w14:textId="77777777" w:rsidR="00277935" w:rsidRPr="00642EED" w:rsidRDefault="00277935" w:rsidP="00277935">
      <w:pPr>
        <w:tabs>
          <w:tab w:val="right" w:pos="850"/>
          <w:tab w:val="left" w:pos="1134"/>
          <w:tab w:val="left" w:pos="1559"/>
          <w:tab w:val="left" w:pos="1984"/>
          <w:tab w:val="left" w:leader="dot" w:pos="7654"/>
          <w:tab w:val="right" w:pos="8929"/>
          <w:tab w:val="right" w:pos="9638"/>
        </w:tabs>
        <w:spacing w:after="120" w:line="200" w:lineRule="exact"/>
      </w:pPr>
      <w:r w:rsidRPr="00642EED">
        <w:tab/>
        <w:t>I.</w:t>
      </w:r>
      <w:r w:rsidRPr="00642EED">
        <w:tab/>
        <w:t>Introduction and attendance</w:t>
      </w:r>
      <w:r w:rsidRPr="00642EED">
        <w:tab/>
      </w:r>
      <w:r>
        <w:tab/>
        <w:t>1-5</w:t>
      </w:r>
      <w:r>
        <w:tab/>
        <w:t>3</w:t>
      </w:r>
    </w:p>
    <w:p w14:paraId="5EF79F53" w14:textId="77777777" w:rsidR="00277935" w:rsidRPr="00642EED" w:rsidRDefault="00277935" w:rsidP="00277935">
      <w:pPr>
        <w:tabs>
          <w:tab w:val="right" w:pos="850"/>
          <w:tab w:val="left" w:pos="1134"/>
          <w:tab w:val="left" w:pos="1559"/>
          <w:tab w:val="left" w:pos="1984"/>
          <w:tab w:val="left" w:leader="dot" w:pos="7654"/>
          <w:tab w:val="right" w:pos="8929"/>
          <w:tab w:val="right" w:pos="9638"/>
        </w:tabs>
        <w:spacing w:after="120" w:line="200" w:lineRule="exact"/>
      </w:pPr>
      <w:r w:rsidRPr="00642EED">
        <w:tab/>
        <w:t>II.</w:t>
      </w:r>
      <w:r w:rsidRPr="00642EED">
        <w:tab/>
        <w:t>Opening and adoption of the agenda (agenda item 1)</w:t>
      </w:r>
      <w:r w:rsidRPr="00642EED">
        <w:tab/>
      </w:r>
      <w:r>
        <w:tab/>
        <w:t>6-10</w:t>
      </w:r>
      <w:r w:rsidRPr="00642EED">
        <w:tab/>
      </w:r>
      <w:r>
        <w:t>3</w:t>
      </w:r>
    </w:p>
    <w:p w14:paraId="5CA8245E" w14:textId="77777777" w:rsidR="00277935" w:rsidRPr="00642EED" w:rsidRDefault="00277935" w:rsidP="00277935">
      <w:pPr>
        <w:tabs>
          <w:tab w:val="right" w:pos="850"/>
          <w:tab w:val="left" w:pos="1134"/>
          <w:tab w:val="left" w:pos="1559"/>
          <w:tab w:val="left" w:pos="1984"/>
          <w:tab w:val="left" w:leader="dot" w:pos="7654"/>
          <w:tab w:val="right" w:pos="8929"/>
          <w:tab w:val="right" w:pos="9638"/>
        </w:tabs>
        <w:spacing w:after="120" w:line="200" w:lineRule="exact"/>
        <w:ind w:left="1128" w:hanging="1128"/>
      </w:pPr>
      <w:r w:rsidRPr="00642EED">
        <w:tab/>
        <w:t>III.</w:t>
      </w:r>
      <w:r w:rsidRPr="00642EED">
        <w:tab/>
      </w:r>
      <w:r w:rsidRPr="00066C80">
        <w:t>Organisation of the Committee on Sustainable Energy twenty-ninth session</w:t>
      </w:r>
      <w:r>
        <w:br/>
      </w:r>
      <w:r w:rsidRPr="00642EED">
        <w:t>(agenda item 2)</w:t>
      </w:r>
      <w:r w:rsidRPr="00642EED">
        <w:tab/>
      </w:r>
      <w:r>
        <w:tab/>
      </w:r>
      <w:r w:rsidRPr="00642EED">
        <w:tab/>
      </w:r>
      <w:r>
        <w:t>4</w:t>
      </w:r>
    </w:p>
    <w:p w14:paraId="39881599" w14:textId="77777777" w:rsidR="00277935" w:rsidRDefault="00277935" w:rsidP="00277935">
      <w:pPr>
        <w:tabs>
          <w:tab w:val="right" w:pos="850"/>
          <w:tab w:val="left" w:pos="1134"/>
          <w:tab w:val="left" w:pos="1559"/>
          <w:tab w:val="left" w:pos="1984"/>
          <w:tab w:val="left" w:leader="dot" w:pos="7654"/>
          <w:tab w:val="right" w:pos="8929"/>
          <w:tab w:val="right" w:pos="9638"/>
        </w:tabs>
        <w:spacing w:after="120" w:line="200" w:lineRule="exact"/>
      </w:pPr>
      <w:r w:rsidRPr="00642EED">
        <w:tab/>
      </w:r>
      <w:r w:rsidRPr="00642EED">
        <w:tab/>
        <w:t>A.</w:t>
      </w:r>
      <w:r w:rsidRPr="00642EED">
        <w:tab/>
        <w:t>Election of officers</w:t>
      </w:r>
      <w:r w:rsidRPr="00642EED">
        <w:tab/>
      </w:r>
      <w:r w:rsidRPr="00642EED">
        <w:tab/>
      </w:r>
      <w:r>
        <w:t>11-14</w:t>
      </w:r>
      <w:r>
        <w:tab/>
        <w:t>4</w:t>
      </w:r>
    </w:p>
    <w:p w14:paraId="34B15431" w14:textId="77777777" w:rsidR="00277935" w:rsidRPr="00642EED" w:rsidRDefault="00277935" w:rsidP="00277935">
      <w:pPr>
        <w:tabs>
          <w:tab w:val="right" w:pos="850"/>
          <w:tab w:val="left" w:pos="1134"/>
          <w:tab w:val="left" w:pos="1559"/>
          <w:tab w:val="left" w:pos="1984"/>
          <w:tab w:val="left" w:leader="dot" w:pos="7654"/>
          <w:tab w:val="right" w:pos="8929"/>
          <w:tab w:val="right" w:pos="9638"/>
        </w:tabs>
        <w:spacing w:after="120" w:line="200" w:lineRule="exact"/>
      </w:pPr>
      <w:r w:rsidRPr="00642EED">
        <w:tab/>
      </w:r>
      <w:r w:rsidRPr="00642EED">
        <w:tab/>
      </w:r>
      <w:r>
        <w:t>B</w:t>
      </w:r>
      <w:r w:rsidRPr="00642EED">
        <w:t>.</w:t>
      </w:r>
      <w:r w:rsidRPr="00642EED">
        <w:tab/>
      </w:r>
      <w:r w:rsidRPr="00A95FA9">
        <w:t>Implications of COVID-19 for future meetings</w:t>
      </w:r>
      <w:r w:rsidRPr="00642EED">
        <w:tab/>
      </w:r>
      <w:r w:rsidRPr="00642EED">
        <w:tab/>
      </w:r>
      <w:r>
        <w:t>15-16</w:t>
      </w:r>
      <w:r>
        <w:tab/>
        <w:t>4</w:t>
      </w:r>
    </w:p>
    <w:p w14:paraId="11F7ABD4" w14:textId="77777777" w:rsidR="00277935" w:rsidRPr="00642EED" w:rsidRDefault="00277935" w:rsidP="00277935">
      <w:pPr>
        <w:tabs>
          <w:tab w:val="right" w:pos="850"/>
          <w:tab w:val="left" w:pos="1134"/>
          <w:tab w:val="left" w:pos="1559"/>
          <w:tab w:val="left" w:pos="1984"/>
          <w:tab w:val="left" w:leader="dot" w:pos="7654"/>
          <w:tab w:val="right" w:pos="8929"/>
          <w:tab w:val="right" w:pos="9638"/>
        </w:tabs>
        <w:spacing w:after="120" w:line="200" w:lineRule="exact"/>
        <w:ind w:left="1128" w:hanging="1128"/>
      </w:pPr>
      <w:r w:rsidRPr="00642EED">
        <w:tab/>
        <w:t>IV.</w:t>
      </w:r>
      <w:r w:rsidRPr="00642EED">
        <w:tab/>
      </w:r>
      <w:r>
        <w:t>High-level segment</w:t>
      </w:r>
      <w:r w:rsidRPr="00A95FA9">
        <w:t xml:space="preserve"> Strategic review of the sustainable energy subprogramme</w:t>
      </w:r>
      <w:r>
        <w:br/>
      </w:r>
      <w:r w:rsidRPr="00642EED">
        <w:t>(agenda item 3)</w:t>
      </w:r>
      <w:r w:rsidRPr="00642EED">
        <w:tab/>
      </w:r>
      <w:r>
        <w:tab/>
      </w:r>
      <w:r>
        <w:tab/>
        <w:t>5</w:t>
      </w:r>
    </w:p>
    <w:p w14:paraId="65879731" w14:textId="77777777" w:rsidR="00277935" w:rsidRPr="00642EED" w:rsidRDefault="00277935" w:rsidP="00277935">
      <w:pPr>
        <w:tabs>
          <w:tab w:val="right" w:pos="850"/>
          <w:tab w:val="left" w:pos="1134"/>
          <w:tab w:val="left" w:pos="1559"/>
          <w:tab w:val="left" w:pos="1984"/>
          <w:tab w:val="left" w:leader="dot" w:pos="7654"/>
          <w:tab w:val="right" w:pos="8929"/>
          <w:tab w:val="right" w:pos="9638"/>
        </w:tabs>
        <w:spacing w:after="120" w:line="200" w:lineRule="exact"/>
      </w:pPr>
      <w:r w:rsidRPr="00642EED">
        <w:tab/>
      </w:r>
      <w:r w:rsidRPr="00642EED">
        <w:tab/>
        <w:t>A.</w:t>
      </w:r>
      <w:r w:rsidRPr="00642EED">
        <w:tab/>
      </w:r>
      <w:r w:rsidRPr="00A95FA9">
        <w:t>Rethinking energy: Considerations from the six subsidiary bodies</w:t>
      </w:r>
      <w:r w:rsidRPr="00642EED">
        <w:tab/>
      </w:r>
      <w:r>
        <w:tab/>
        <w:t>17-24</w:t>
      </w:r>
      <w:r>
        <w:tab/>
        <w:t>5</w:t>
      </w:r>
    </w:p>
    <w:p w14:paraId="1DC00EF7" w14:textId="4A619C05" w:rsidR="00277935" w:rsidRDefault="00277935" w:rsidP="00277935">
      <w:pPr>
        <w:tabs>
          <w:tab w:val="right" w:pos="850"/>
          <w:tab w:val="left" w:pos="1134"/>
          <w:tab w:val="left" w:pos="1559"/>
          <w:tab w:val="left" w:pos="1984"/>
          <w:tab w:val="left" w:leader="dot" w:pos="7654"/>
          <w:tab w:val="right" w:pos="8929"/>
          <w:tab w:val="right" w:pos="9638"/>
        </w:tabs>
        <w:spacing w:after="120" w:line="200" w:lineRule="exact"/>
        <w:ind w:left="1559" w:hanging="1559"/>
      </w:pPr>
      <w:r w:rsidRPr="00642EED">
        <w:tab/>
      </w:r>
      <w:r w:rsidRPr="00642EED">
        <w:tab/>
        <w:t>B.</w:t>
      </w:r>
      <w:r w:rsidRPr="00642EED">
        <w:tab/>
      </w:r>
      <w:r w:rsidRPr="00A95FA9">
        <w:t xml:space="preserve">Implications for work of the Committee on Sustainable Energy and the </w:t>
      </w:r>
      <w:r>
        <w:br/>
      </w:r>
      <w:r w:rsidRPr="00A95FA9">
        <w:t>sustainable energy subprogramme</w:t>
      </w:r>
      <w:r w:rsidRPr="00642EED">
        <w:tab/>
      </w:r>
      <w:r w:rsidRPr="00642EED">
        <w:tab/>
      </w:r>
      <w:r>
        <w:t>25</w:t>
      </w:r>
      <w:r>
        <w:tab/>
      </w:r>
      <w:r w:rsidR="00D35934">
        <w:t>9</w:t>
      </w:r>
    </w:p>
    <w:p w14:paraId="6C0ADD3D" w14:textId="77777777" w:rsidR="00277935" w:rsidRDefault="00277935" w:rsidP="00277935">
      <w:pPr>
        <w:tabs>
          <w:tab w:val="right" w:pos="850"/>
          <w:tab w:val="left" w:pos="1134"/>
          <w:tab w:val="left" w:pos="1559"/>
          <w:tab w:val="left" w:pos="1984"/>
          <w:tab w:val="left" w:leader="dot" w:pos="7654"/>
          <w:tab w:val="right" w:pos="8929"/>
          <w:tab w:val="right" w:pos="9638"/>
        </w:tabs>
        <w:spacing w:after="120" w:line="200" w:lineRule="exact"/>
        <w:ind w:left="1559" w:hanging="1559"/>
      </w:pPr>
      <w:r w:rsidRPr="00642EED">
        <w:tab/>
      </w:r>
      <w:r w:rsidRPr="00642EED">
        <w:tab/>
      </w:r>
      <w:r>
        <w:t>C</w:t>
      </w:r>
      <w:r w:rsidRPr="00642EED">
        <w:t>.</w:t>
      </w:r>
      <w:r w:rsidRPr="00642EED">
        <w:tab/>
      </w:r>
      <w:r>
        <w:t>Ways of working</w:t>
      </w:r>
      <w:r w:rsidRPr="00642EED">
        <w:tab/>
      </w:r>
      <w:r w:rsidRPr="00642EED">
        <w:tab/>
      </w:r>
      <w:r>
        <w:t>26</w:t>
      </w:r>
      <w:r>
        <w:tab/>
        <w:t>9</w:t>
      </w:r>
    </w:p>
    <w:p w14:paraId="77D6603F" w14:textId="77777777" w:rsidR="00277935" w:rsidRPr="00642EED" w:rsidRDefault="00277935" w:rsidP="00277935">
      <w:pPr>
        <w:tabs>
          <w:tab w:val="right" w:pos="850"/>
          <w:tab w:val="left" w:pos="1134"/>
          <w:tab w:val="left" w:pos="1559"/>
          <w:tab w:val="left" w:pos="1984"/>
          <w:tab w:val="left" w:leader="dot" w:pos="7654"/>
          <w:tab w:val="right" w:pos="8929"/>
          <w:tab w:val="right" w:pos="9638"/>
        </w:tabs>
        <w:spacing w:after="120" w:line="200" w:lineRule="exact"/>
      </w:pPr>
      <w:r w:rsidRPr="00642EED">
        <w:tab/>
        <w:t>V.</w:t>
      </w:r>
      <w:r w:rsidRPr="00642EED">
        <w:tab/>
      </w:r>
      <w:r w:rsidRPr="00A95FA9">
        <w:t xml:space="preserve">Carbon neutrality as a pathway to sustainable energy </w:t>
      </w:r>
      <w:r w:rsidRPr="00642EED">
        <w:t>(agenda item 4)</w:t>
      </w:r>
      <w:r w:rsidRPr="00642EED">
        <w:tab/>
      </w:r>
      <w:r w:rsidRPr="00642EED">
        <w:tab/>
      </w:r>
      <w:r>
        <w:t>27-28</w:t>
      </w:r>
      <w:r>
        <w:tab/>
        <w:t>9</w:t>
      </w:r>
    </w:p>
    <w:p w14:paraId="76375116" w14:textId="77777777" w:rsidR="00277935" w:rsidRPr="00642EED" w:rsidRDefault="00277935" w:rsidP="00277935">
      <w:pPr>
        <w:tabs>
          <w:tab w:val="right" w:pos="850"/>
          <w:tab w:val="left" w:pos="1134"/>
          <w:tab w:val="left" w:pos="1559"/>
          <w:tab w:val="left" w:pos="1985"/>
          <w:tab w:val="left" w:leader="dot" w:pos="7654"/>
          <w:tab w:val="right" w:pos="8929"/>
          <w:tab w:val="right" w:pos="9638"/>
        </w:tabs>
        <w:spacing w:after="120" w:line="200" w:lineRule="exact"/>
      </w:pPr>
      <w:r w:rsidRPr="00642EED">
        <w:tab/>
      </w:r>
      <w:r w:rsidRPr="00642EED">
        <w:tab/>
        <w:t>A.</w:t>
      </w:r>
      <w:r w:rsidRPr="00642EED">
        <w:tab/>
      </w:r>
      <w:r w:rsidRPr="00A95FA9">
        <w:t>Pathways to sustainable energy</w:t>
      </w:r>
      <w:r w:rsidRPr="00642EED">
        <w:tab/>
      </w:r>
      <w:r>
        <w:tab/>
        <w:t>29</w:t>
      </w:r>
      <w:r w:rsidRPr="00642EED">
        <w:tab/>
      </w:r>
      <w:r>
        <w:t>10</w:t>
      </w:r>
    </w:p>
    <w:p w14:paraId="432EB11A" w14:textId="77777777" w:rsidR="00277935" w:rsidRDefault="00277935" w:rsidP="00277935">
      <w:pPr>
        <w:tabs>
          <w:tab w:val="right" w:pos="850"/>
          <w:tab w:val="left" w:pos="1134"/>
          <w:tab w:val="left" w:pos="1559"/>
          <w:tab w:val="left" w:pos="1985"/>
          <w:tab w:val="left" w:leader="dot" w:pos="7654"/>
          <w:tab w:val="right" w:pos="8929"/>
          <w:tab w:val="right" w:pos="9638"/>
        </w:tabs>
        <w:spacing w:after="120" w:line="200" w:lineRule="exact"/>
      </w:pPr>
      <w:r w:rsidRPr="00642EED">
        <w:tab/>
      </w:r>
      <w:r w:rsidRPr="00642EED">
        <w:tab/>
        <w:t>B.</w:t>
      </w:r>
      <w:r w:rsidRPr="00642EED">
        <w:tab/>
      </w:r>
      <w:r w:rsidRPr="00A95FA9">
        <w:t>Framework on carbon neutrality</w:t>
      </w:r>
      <w:r w:rsidRPr="00642EED">
        <w:tab/>
      </w:r>
      <w:r>
        <w:tab/>
        <w:t>30</w:t>
      </w:r>
      <w:r w:rsidRPr="00642EED">
        <w:tab/>
      </w:r>
      <w:r>
        <w:t>10</w:t>
      </w:r>
    </w:p>
    <w:p w14:paraId="714D12E0" w14:textId="77777777" w:rsidR="00277935" w:rsidRPr="00642EED" w:rsidRDefault="00277935" w:rsidP="00277935">
      <w:pPr>
        <w:tabs>
          <w:tab w:val="right" w:pos="850"/>
          <w:tab w:val="left" w:pos="1134"/>
          <w:tab w:val="left" w:pos="1559"/>
          <w:tab w:val="left" w:pos="1985"/>
          <w:tab w:val="left" w:leader="dot" w:pos="7654"/>
          <w:tab w:val="right" w:pos="8929"/>
          <w:tab w:val="right" w:pos="9638"/>
        </w:tabs>
        <w:spacing w:after="120" w:line="200" w:lineRule="exact"/>
      </w:pPr>
      <w:r w:rsidRPr="00642EED">
        <w:tab/>
      </w:r>
      <w:r w:rsidRPr="00642EED">
        <w:tab/>
      </w:r>
      <w:r>
        <w:t>C</w:t>
      </w:r>
      <w:r w:rsidRPr="00642EED">
        <w:t>.</w:t>
      </w:r>
      <w:r w:rsidRPr="00642EED">
        <w:tab/>
      </w:r>
      <w:r w:rsidRPr="00A95FA9">
        <w:t>Next steps and future phases</w:t>
      </w:r>
      <w:r w:rsidRPr="00642EED">
        <w:tab/>
      </w:r>
      <w:r>
        <w:tab/>
        <w:t>31</w:t>
      </w:r>
      <w:r w:rsidRPr="00642EED">
        <w:tab/>
      </w:r>
      <w:r>
        <w:t>11</w:t>
      </w:r>
    </w:p>
    <w:p w14:paraId="34DA12D0" w14:textId="77777777" w:rsidR="00277935" w:rsidRPr="00642EED" w:rsidRDefault="00277935" w:rsidP="00277935">
      <w:pPr>
        <w:tabs>
          <w:tab w:val="right" w:pos="850"/>
          <w:tab w:val="left" w:pos="1134"/>
          <w:tab w:val="left" w:pos="1559"/>
          <w:tab w:val="left" w:pos="1984"/>
          <w:tab w:val="left" w:leader="dot" w:pos="7654"/>
          <w:tab w:val="right" w:pos="8929"/>
          <w:tab w:val="right" w:pos="9638"/>
        </w:tabs>
        <w:spacing w:after="120" w:line="200" w:lineRule="exact"/>
      </w:pPr>
      <w:r w:rsidRPr="00642EED">
        <w:tab/>
        <w:t>VI.</w:t>
      </w:r>
      <w:r w:rsidRPr="00642EED">
        <w:tab/>
      </w:r>
      <w:r w:rsidRPr="00A95FA9">
        <w:t xml:space="preserve">Action agenda for the Economic Commission for Europe </w:t>
      </w:r>
      <w:r w:rsidRPr="00642EED">
        <w:t>(agenda item 5)  ….</w:t>
      </w:r>
      <w:r w:rsidRPr="00642EED">
        <w:tab/>
      </w:r>
      <w:r>
        <w:tab/>
      </w:r>
      <w:r w:rsidRPr="00642EED">
        <w:tab/>
      </w:r>
      <w:r>
        <w:t>12</w:t>
      </w:r>
    </w:p>
    <w:p w14:paraId="2D107DB8" w14:textId="77777777" w:rsidR="00277935" w:rsidRPr="00642EED" w:rsidRDefault="00277935" w:rsidP="00277935">
      <w:pPr>
        <w:tabs>
          <w:tab w:val="right" w:pos="850"/>
          <w:tab w:val="left" w:pos="1134"/>
          <w:tab w:val="left" w:pos="1559"/>
          <w:tab w:val="left" w:pos="1984"/>
          <w:tab w:val="left" w:leader="dot" w:pos="7654"/>
          <w:tab w:val="right" w:pos="8929"/>
          <w:tab w:val="right" w:pos="9638"/>
        </w:tabs>
        <w:spacing w:after="120" w:line="200" w:lineRule="exact"/>
        <w:ind w:left="1559" w:hanging="1559"/>
      </w:pPr>
      <w:r w:rsidRPr="00642EED">
        <w:tab/>
      </w:r>
      <w:r w:rsidRPr="00642EED">
        <w:tab/>
        <w:t>A.</w:t>
      </w:r>
      <w:r w:rsidRPr="00642EED">
        <w:tab/>
      </w:r>
      <w:r w:rsidRPr="00A95FA9">
        <w:t>International Centres of Excellence</w:t>
      </w:r>
      <w:r w:rsidRPr="00642EED">
        <w:tab/>
      </w:r>
      <w:r>
        <w:tab/>
        <w:t>32</w:t>
      </w:r>
      <w:r w:rsidRPr="00642EED">
        <w:tab/>
      </w:r>
      <w:r>
        <w:t>12</w:t>
      </w:r>
    </w:p>
    <w:p w14:paraId="6CB3D29C" w14:textId="77777777" w:rsidR="00277935" w:rsidRDefault="00277935" w:rsidP="00277935">
      <w:pPr>
        <w:tabs>
          <w:tab w:val="right" w:pos="850"/>
          <w:tab w:val="left" w:pos="1134"/>
          <w:tab w:val="left" w:pos="1559"/>
          <w:tab w:val="left" w:pos="1984"/>
          <w:tab w:val="left" w:leader="dot" w:pos="7654"/>
          <w:tab w:val="right" w:pos="8929"/>
          <w:tab w:val="right" w:pos="9638"/>
        </w:tabs>
        <w:spacing w:after="120" w:line="200" w:lineRule="exact"/>
      </w:pPr>
      <w:r w:rsidRPr="00642EED">
        <w:tab/>
      </w:r>
      <w:r w:rsidRPr="00642EED">
        <w:tab/>
        <w:t>B.</w:t>
      </w:r>
      <w:r w:rsidRPr="00642EED">
        <w:tab/>
      </w:r>
      <w:r w:rsidRPr="00A95FA9">
        <w:t>International decade of methane management</w:t>
      </w:r>
      <w:r w:rsidRPr="00642EED">
        <w:tab/>
      </w:r>
      <w:r>
        <w:tab/>
        <w:t>33</w:t>
      </w:r>
      <w:r w:rsidRPr="00642EED">
        <w:tab/>
      </w:r>
      <w:r>
        <w:t>12</w:t>
      </w:r>
    </w:p>
    <w:p w14:paraId="49A3918C" w14:textId="77777777" w:rsidR="00277935" w:rsidRDefault="00277935" w:rsidP="00277935">
      <w:pPr>
        <w:tabs>
          <w:tab w:val="right" w:pos="850"/>
          <w:tab w:val="left" w:pos="1134"/>
          <w:tab w:val="left" w:pos="1559"/>
          <w:tab w:val="left" w:pos="1984"/>
          <w:tab w:val="left" w:leader="dot" w:pos="7654"/>
          <w:tab w:val="right" w:pos="8929"/>
          <w:tab w:val="right" w:pos="9638"/>
        </w:tabs>
        <w:spacing w:after="120" w:line="200" w:lineRule="exact"/>
      </w:pPr>
      <w:r w:rsidRPr="00642EED">
        <w:tab/>
      </w:r>
      <w:r w:rsidRPr="00642EED">
        <w:tab/>
      </w:r>
      <w:r>
        <w:t>C</w:t>
      </w:r>
      <w:r w:rsidRPr="00642EED">
        <w:t>.</w:t>
      </w:r>
      <w:r w:rsidRPr="00642EED">
        <w:tab/>
      </w:r>
      <w:r w:rsidRPr="00A95FA9">
        <w:t>High-performance buildings initiative</w:t>
      </w:r>
      <w:r>
        <w:tab/>
      </w:r>
      <w:r>
        <w:tab/>
        <w:t>34</w:t>
      </w:r>
      <w:r>
        <w:tab/>
        <w:t>12</w:t>
      </w:r>
    </w:p>
    <w:p w14:paraId="231390D6" w14:textId="77777777" w:rsidR="00277935" w:rsidRDefault="00277935" w:rsidP="00277935">
      <w:pPr>
        <w:tabs>
          <w:tab w:val="right" w:pos="850"/>
          <w:tab w:val="left" w:pos="1134"/>
          <w:tab w:val="left" w:pos="1559"/>
          <w:tab w:val="left" w:pos="1984"/>
          <w:tab w:val="left" w:leader="dot" w:pos="7654"/>
          <w:tab w:val="right" w:pos="8929"/>
          <w:tab w:val="right" w:pos="9638"/>
        </w:tabs>
        <w:spacing w:after="120" w:line="200" w:lineRule="exact"/>
        <w:ind w:left="1559" w:hanging="1559"/>
      </w:pPr>
      <w:r w:rsidRPr="00642EED">
        <w:tab/>
      </w:r>
      <w:r w:rsidRPr="00642EED">
        <w:tab/>
      </w:r>
      <w:r>
        <w:t>D</w:t>
      </w:r>
      <w:r w:rsidRPr="00642EED">
        <w:t>.</w:t>
      </w:r>
      <w:r w:rsidRPr="00642EED">
        <w:tab/>
      </w:r>
      <w:r w:rsidRPr="00A95FA9">
        <w:t xml:space="preserve">United Nations Framework Classification for Resources and sustainable </w:t>
      </w:r>
      <w:r>
        <w:br/>
      </w:r>
      <w:r w:rsidRPr="00A95FA9">
        <w:t>resource management</w:t>
      </w:r>
      <w:r w:rsidRPr="00642EED">
        <w:tab/>
      </w:r>
      <w:r>
        <w:tab/>
        <w:t>35</w:t>
      </w:r>
      <w:r w:rsidRPr="00642EED">
        <w:tab/>
      </w:r>
      <w:r>
        <w:t>11</w:t>
      </w:r>
    </w:p>
    <w:p w14:paraId="40A82793" w14:textId="77777777" w:rsidR="00277935" w:rsidRPr="00642EED" w:rsidRDefault="00277935" w:rsidP="00277935">
      <w:pPr>
        <w:tabs>
          <w:tab w:val="right" w:pos="850"/>
          <w:tab w:val="left" w:pos="1134"/>
          <w:tab w:val="left" w:pos="1559"/>
          <w:tab w:val="left" w:pos="1984"/>
          <w:tab w:val="left" w:leader="dot" w:pos="7654"/>
          <w:tab w:val="right" w:pos="8929"/>
          <w:tab w:val="right" w:pos="9638"/>
        </w:tabs>
        <w:spacing w:after="120" w:line="200" w:lineRule="exact"/>
        <w:ind w:left="1559" w:hanging="1559"/>
      </w:pPr>
      <w:r>
        <w:tab/>
      </w:r>
      <w:r>
        <w:tab/>
        <w:t>E</w:t>
      </w:r>
      <w:r w:rsidRPr="00642EED">
        <w:t>.</w:t>
      </w:r>
      <w:r w:rsidRPr="00642EED">
        <w:tab/>
      </w:r>
      <w:r w:rsidRPr="00A95FA9">
        <w:t>Key messages and policy recommendations for the Economic Commission</w:t>
      </w:r>
      <w:r>
        <w:br/>
      </w:r>
      <w:r w:rsidRPr="00A95FA9">
        <w:t>for Europe</w:t>
      </w:r>
      <w:r w:rsidRPr="00642EED">
        <w:tab/>
      </w:r>
      <w:r>
        <w:tab/>
        <w:t>36</w:t>
      </w:r>
      <w:r w:rsidRPr="00642EED">
        <w:tab/>
      </w:r>
      <w:r>
        <w:t>13</w:t>
      </w:r>
    </w:p>
    <w:p w14:paraId="0E031756" w14:textId="4E76B162" w:rsidR="00277935" w:rsidRPr="00642EED" w:rsidRDefault="00277935" w:rsidP="00277935">
      <w:pPr>
        <w:tabs>
          <w:tab w:val="right" w:pos="850"/>
          <w:tab w:val="left" w:pos="1134"/>
          <w:tab w:val="left" w:pos="1559"/>
          <w:tab w:val="left" w:pos="1984"/>
          <w:tab w:val="left" w:leader="dot" w:pos="7654"/>
          <w:tab w:val="right" w:pos="8929"/>
          <w:tab w:val="right" w:pos="9638"/>
        </w:tabs>
        <w:spacing w:before="80" w:line="200" w:lineRule="exact"/>
        <w:ind w:left="567"/>
        <w:rPr>
          <w:lang w:eastAsia="en-GB"/>
        </w:rPr>
      </w:pPr>
      <w:r>
        <w:rPr>
          <w:lang w:eastAsia="en-GB"/>
        </w:rPr>
        <w:t>VII</w:t>
      </w:r>
      <w:r w:rsidRPr="00642EED">
        <w:rPr>
          <w:lang w:eastAsia="en-GB"/>
        </w:rPr>
        <w:t>.</w:t>
      </w:r>
      <w:r>
        <w:rPr>
          <w:lang w:eastAsia="en-GB"/>
        </w:rPr>
        <w:tab/>
      </w:r>
      <w:r w:rsidRPr="00642EED">
        <w:rPr>
          <w:lang w:eastAsia="en-GB"/>
        </w:rPr>
        <w:t xml:space="preserve">Future work of the Committee on Sustainable Energy (agenda item </w:t>
      </w:r>
      <w:r>
        <w:rPr>
          <w:lang w:eastAsia="en-GB"/>
        </w:rPr>
        <w:t>6</w:t>
      </w:r>
      <w:r w:rsidRPr="00642EED">
        <w:rPr>
          <w:lang w:eastAsia="en-GB"/>
        </w:rPr>
        <w:t>)</w:t>
      </w:r>
      <w:r w:rsidRPr="00642EED">
        <w:rPr>
          <w:lang w:eastAsia="en-GB"/>
        </w:rPr>
        <w:tab/>
      </w:r>
      <w:r>
        <w:rPr>
          <w:lang w:eastAsia="en-GB"/>
        </w:rPr>
        <w:tab/>
        <w:t>37</w:t>
      </w:r>
      <w:r w:rsidRPr="00642EED">
        <w:rPr>
          <w:lang w:eastAsia="en-GB"/>
        </w:rPr>
        <w:tab/>
      </w:r>
      <w:r>
        <w:rPr>
          <w:lang w:eastAsia="en-GB"/>
        </w:rPr>
        <w:t>1</w:t>
      </w:r>
      <w:r w:rsidR="00D35934">
        <w:rPr>
          <w:lang w:eastAsia="en-GB"/>
        </w:rPr>
        <w:t>4</w:t>
      </w:r>
    </w:p>
    <w:p w14:paraId="27A2E50F" w14:textId="77777777" w:rsidR="00277935" w:rsidRPr="00642EED" w:rsidRDefault="00277935" w:rsidP="00277935">
      <w:pPr>
        <w:tabs>
          <w:tab w:val="right" w:pos="850"/>
          <w:tab w:val="left" w:pos="1134"/>
          <w:tab w:val="left" w:pos="1559"/>
          <w:tab w:val="left" w:pos="1984"/>
          <w:tab w:val="left" w:leader="dot" w:pos="7654"/>
          <w:tab w:val="right" w:pos="8929"/>
          <w:tab w:val="right" w:pos="9638"/>
        </w:tabs>
        <w:spacing w:before="80" w:line="200" w:lineRule="exact"/>
        <w:ind w:left="1559" w:hanging="992"/>
        <w:rPr>
          <w:lang w:eastAsia="en-GB"/>
        </w:rPr>
      </w:pPr>
      <w:r w:rsidRPr="00642EED">
        <w:rPr>
          <w:lang w:eastAsia="en-GB"/>
        </w:rPr>
        <w:tab/>
      </w:r>
      <w:r w:rsidRPr="00642EED">
        <w:rPr>
          <w:lang w:eastAsia="en-GB"/>
        </w:rPr>
        <w:tab/>
        <w:t>A.</w:t>
      </w:r>
      <w:r w:rsidRPr="00642EED">
        <w:rPr>
          <w:lang w:eastAsia="en-GB"/>
        </w:rPr>
        <w:tab/>
      </w:r>
      <w:r w:rsidRPr="0099613B">
        <w:rPr>
          <w:lang w:eastAsia="en-GB"/>
        </w:rPr>
        <w:t xml:space="preserve">Preparations for the thirtieth anniversary of the Committee on Sustainable </w:t>
      </w:r>
      <w:r>
        <w:rPr>
          <w:lang w:eastAsia="en-GB"/>
        </w:rPr>
        <w:br/>
      </w:r>
      <w:r w:rsidRPr="0099613B">
        <w:rPr>
          <w:lang w:eastAsia="en-GB"/>
        </w:rPr>
        <w:t>Energy</w:t>
      </w:r>
      <w:r w:rsidRPr="00642EED">
        <w:rPr>
          <w:lang w:eastAsia="en-GB"/>
        </w:rPr>
        <w:tab/>
      </w:r>
      <w:r>
        <w:rPr>
          <w:lang w:eastAsia="en-GB"/>
        </w:rPr>
        <w:tab/>
        <w:t>38</w:t>
      </w:r>
      <w:r w:rsidRPr="00642EED">
        <w:rPr>
          <w:lang w:eastAsia="en-GB"/>
        </w:rPr>
        <w:tab/>
      </w:r>
      <w:r>
        <w:rPr>
          <w:lang w:eastAsia="en-GB"/>
        </w:rPr>
        <w:t>14</w:t>
      </w:r>
    </w:p>
    <w:p w14:paraId="2F3A275F" w14:textId="77777777" w:rsidR="00277935" w:rsidRDefault="00277935" w:rsidP="00277935">
      <w:pPr>
        <w:tabs>
          <w:tab w:val="right" w:pos="850"/>
          <w:tab w:val="left" w:pos="1134"/>
          <w:tab w:val="left" w:pos="1559"/>
          <w:tab w:val="left" w:pos="1984"/>
          <w:tab w:val="left" w:leader="dot" w:pos="7654"/>
          <w:tab w:val="right" w:pos="8929"/>
          <w:tab w:val="right" w:pos="9638"/>
        </w:tabs>
        <w:spacing w:before="80" w:line="200" w:lineRule="exact"/>
        <w:ind w:left="567"/>
        <w:rPr>
          <w:lang w:eastAsia="en-GB"/>
        </w:rPr>
      </w:pPr>
      <w:r w:rsidRPr="00642EED">
        <w:rPr>
          <w:lang w:eastAsia="en-GB"/>
        </w:rPr>
        <w:tab/>
      </w:r>
      <w:r w:rsidRPr="00642EED">
        <w:rPr>
          <w:lang w:eastAsia="en-GB"/>
        </w:rPr>
        <w:tab/>
        <w:t>B.</w:t>
      </w:r>
      <w:r w:rsidRPr="00642EED">
        <w:rPr>
          <w:lang w:eastAsia="en-GB"/>
        </w:rPr>
        <w:tab/>
      </w:r>
      <w:r w:rsidRPr="0099613B">
        <w:rPr>
          <w:lang w:eastAsia="en-GB"/>
        </w:rPr>
        <w:t>Review of the subprogramme performance and planning</w:t>
      </w:r>
      <w:r w:rsidRPr="00642EED">
        <w:rPr>
          <w:lang w:eastAsia="en-GB"/>
        </w:rPr>
        <w:tab/>
      </w:r>
      <w:r>
        <w:rPr>
          <w:lang w:eastAsia="en-GB"/>
        </w:rPr>
        <w:tab/>
        <w:t>39</w:t>
      </w:r>
      <w:r w:rsidRPr="00642EED">
        <w:rPr>
          <w:lang w:eastAsia="en-GB"/>
        </w:rPr>
        <w:tab/>
      </w:r>
      <w:r>
        <w:rPr>
          <w:lang w:eastAsia="en-GB"/>
        </w:rPr>
        <w:t>14</w:t>
      </w:r>
    </w:p>
    <w:p w14:paraId="650546D2" w14:textId="624FDBF8" w:rsidR="00277935" w:rsidRDefault="00277935" w:rsidP="00277935">
      <w:pPr>
        <w:tabs>
          <w:tab w:val="right" w:pos="850"/>
          <w:tab w:val="left" w:pos="1134"/>
          <w:tab w:val="left" w:pos="1559"/>
          <w:tab w:val="left" w:pos="1984"/>
          <w:tab w:val="left" w:leader="dot" w:pos="7654"/>
          <w:tab w:val="right" w:pos="8929"/>
          <w:tab w:val="right" w:pos="9638"/>
        </w:tabs>
        <w:spacing w:before="80" w:line="200" w:lineRule="exact"/>
        <w:ind w:left="567"/>
        <w:rPr>
          <w:lang w:eastAsia="en-GB"/>
        </w:rPr>
      </w:pPr>
      <w:r w:rsidRPr="00642EED">
        <w:rPr>
          <w:lang w:eastAsia="en-GB"/>
        </w:rPr>
        <w:lastRenderedPageBreak/>
        <w:tab/>
      </w:r>
      <w:r w:rsidRPr="00642EED">
        <w:rPr>
          <w:lang w:eastAsia="en-GB"/>
        </w:rPr>
        <w:tab/>
      </w:r>
      <w:r>
        <w:rPr>
          <w:lang w:eastAsia="en-GB"/>
        </w:rPr>
        <w:t>C</w:t>
      </w:r>
      <w:r w:rsidRPr="00642EED">
        <w:rPr>
          <w:lang w:eastAsia="en-GB"/>
        </w:rPr>
        <w:t>.</w:t>
      </w:r>
      <w:r w:rsidRPr="00642EED">
        <w:rPr>
          <w:lang w:eastAsia="en-GB"/>
        </w:rPr>
        <w:tab/>
      </w:r>
      <w:r w:rsidRPr="0099613B">
        <w:rPr>
          <w:lang w:eastAsia="en-GB"/>
        </w:rPr>
        <w:t>Approval of documents</w:t>
      </w:r>
      <w:r w:rsidRPr="00642EED">
        <w:rPr>
          <w:lang w:eastAsia="en-GB"/>
        </w:rPr>
        <w:tab/>
      </w:r>
      <w:r>
        <w:rPr>
          <w:lang w:eastAsia="en-GB"/>
        </w:rPr>
        <w:tab/>
        <w:t>40</w:t>
      </w:r>
      <w:r w:rsidRPr="00642EED">
        <w:rPr>
          <w:lang w:eastAsia="en-GB"/>
        </w:rPr>
        <w:tab/>
      </w:r>
      <w:r>
        <w:rPr>
          <w:lang w:eastAsia="en-GB"/>
        </w:rPr>
        <w:t>1</w:t>
      </w:r>
      <w:r w:rsidR="00D35934">
        <w:rPr>
          <w:lang w:eastAsia="en-GB"/>
        </w:rPr>
        <w:t>5</w:t>
      </w:r>
    </w:p>
    <w:p w14:paraId="167AC1EE" w14:textId="77777777" w:rsidR="00277935" w:rsidRPr="00642EED" w:rsidRDefault="00277935" w:rsidP="00277935">
      <w:pPr>
        <w:tabs>
          <w:tab w:val="right" w:pos="850"/>
          <w:tab w:val="left" w:pos="1134"/>
          <w:tab w:val="left" w:pos="1559"/>
          <w:tab w:val="left" w:pos="1984"/>
          <w:tab w:val="left" w:leader="dot" w:pos="7654"/>
          <w:tab w:val="right" w:pos="8929"/>
          <w:tab w:val="right" w:pos="9638"/>
        </w:tabs>
        <w:spacing w:before="80" w:line="200" w:lineRule="exact"/>
        <w:ind w:left="567"/>
        <w:rPr>
          <w:lang w:eastAsia="en-GB"/>
        </w:rPr>
      </w:pPr>
      <w:r w:rsidRPr="00642EED">
        <w:rPr>
          <w:lang w:eastAsia="en-GB"/>
        </w:rPr>
        <w:tab/>
      </w:r>
      <w:r w:rsidRPr="00642EED">
        <w:rPr>
          <w:lang w:eastAsia="en-GB"/>
        </w:rPr>
        <w:tab/>
      </w:r>
      <w:r>
        <w:rPr>
          <w:lang w:eastAsia="en-GB"/>
        </w:rPr>
        <w:t>D</w:t>
      </w:r>
      <w:r w:rsidRPr="00642EED">
        <w:rPr>
          <w:lang w:eastAsia="en-GB"/>
        </w:rPr>
        <w:t>.</w:t>
      </w:r>
      <w:r w:rsidRPr="00642EED">
        <w:rPr>
          <w:lang w:eastAsia="en-GB"/>
        </w:rPr>
        <w:tab/>
        <w:t>Any other business</w:t>
      </w:r>
      <w:r w:rsidRPr="00642EED">
        <w:rPr>
          <w:lang w:eastAsia="en-GB"/>
        </w:rPr>
        <w:tab/>
      </w:r>
      <w:r>
        <w:rPr>
          <w:lang w:eastAsia="en-GB"/>
        </w:rPr>
        <w:tab/>
        <w:t>41</w:t>
      </w:r>
      <w:r>
        <w:rPr>
          <w:lang w:eastAsia="en-GB"/>
        </w:rPr>
        <w:tab/>
        <w:t>15</w:t>
      </w:r>
    </w:p>
    <w:p w14:paraId="7E6E808E" w14:textId="749CBC12" w:rsidR="00277935" w:rsidRDefault="00277935" w:rsidP="00277935">
      <w:pPr>
        <w:tabs>
          <w:tab w:val="right" w:pos="850"/>
          <w:tab w:val="left" w:pos="1134"/>
          <w:tab w:val="left" w:pos="1559"/>
          <w:tab w:val="left" w:pos="1984"/>
          <w:tab w:val="left" w:leader="dot" w:pos="7654"/>
          <w:tab w:val="right" w:pos="8929"/>
          <w:tab w:val="right" w:pos="9638"/>
        </w:tabs>
        <w:spacing w:before="80" w:line="200" w:lineRule="exact"/>
        <w:ind w:left="567"/>
        <w:rPr>
          <w:lang w:eastAsia="en-GB"/>
        </w:rPr>
      </w:pPr>
      <w:r w:rsidRPr="00642EED">
        <w:rPr>
          <w:lang w:eastAsia="en-GB"/>
        </w:rPr>
        <w:tab/>
      </w:r>
      <w:r w:rsidRPr="00642EED">
        <w:rPr>
          <w:lang w:eastAsia="en-GB"/>
        </w:rPr>
        <w:tab/>
      </w:r>
      <w:r>
        <w:rPr>
          <w:lang w:eastAsia="en-GB"/>
        </w:rPr>
        <w:t>E</w:t>
      </w:r>
      <w:r w:rsidRPr="00642EED">
        <w:rPr>
          <w:lang w:eastAsia="en-GB"/>
        </w:rPr>
        <w:t>.</w:t>
      </w:r>
      <w:r w:rsidRPr="00642EED">
        <w:rPr>
          <w:lang w:eastAsia="en-GB"/>
        </w:rPr>
        <w:tab/>
        <w:t>Adoption of the report and close of the meeting</w:t>
      </w:r>
      <w:r w:rsidRPr="00642EED">
        <w:rPr>
          <w:lang w:eastAsia="en-GB"/>
        </w:rPr>
        <w:tab/>
      </w:r>
      <w:r>
        <w:rPr>
          <w:lang w:eastAsia="en-GB"/>
        </w:rPr>
        <w:tab/>
        <w:t>42-44</w:t>
      </w:r>
      <w:r>
        <w:rPr>
          <w:lang w:eastAsia="en-GB"/>
        </w:rPr>
        <w:tab/>
        <w:t>1</w:t>
      </w:r>
      <w:r w:rsidR="00D35934">
        <w:rPr>
          <w:lang w:eastAsia="en-GB"/>
        </w:rPr>
        <w:t>6</w:t>
      </w:r>
    </w:p>
    <w:p w14:paraId="7046B128" w14:textId="77777777" w:rsidR="00277935" w:rsidRDefault="00277935" w:rsidP="00277935">
      <w:pPr>
        <w:tabs>
          <w:tab w:val="right" w:pos="850"/>
          <w:tab w:val="left" w:pos="1134"/>
          <w:tab w:val="left" w:pos="1559"/>
          <w:tab w:val="left" w:pos="1984"/>
          <w:tab w:val="left" w:leader="dot" w:pos="7654"/>
          <w:tab w:val="right" w:pos="8929"/>
          <w:tab w:val="right" w:pos="9638"/>
        </w:tabs>
        <w:spacing w:before="80" w:line="200" w:lineRule="exact"/>
        <w:ind w:left="567"/>
        <w:rPr>
          <w:lang w:eastAsia="en-GB"/>
        </w:rPr>
      </w:pPr>
      <w:r>
        <w:rPr>
          <w:lang w:eastAsia="en-GB"/>
        </w:rPr>
        <w:t>Annexes</w:t>
      </w:r>
    </w:p>
    <w:p w14:paraId="6307492F" w14:textId="55EC4BA5" w:rsidR="00277935" w:rsidRDefault="00E478D8" w:rsidP="00277935">
      <w:pPr>
        <w:tabs>
          <w:tab w:val="right" w:pos="850"/>
          <w:tab w:val="left" w:pos="1134"/>
          <w:tab w:val="left" w:pos="1559"/>
          <w:tab w:val="left" w:pos="1984"/>
          <w:tab w:val="left" w:leader="dot" w:pos="7654"/>
          <w:tab w:val="right" w:pos="8929"/>
          <w:tab w:val="right" w:pos="9638"/>
        </w:tabs>
        <w:spacing w:before="80" w:after="120" w:line="200" w:lineRule="exact"/>
        <w:ind w:left="567"/>
        <w:rPr>
          <w:lang w:eastAsia="en-GB"/>
        </w:rPr>
      </w:pPr>
      <w:r>
        <w:rPr>
          <w:lang w:eastAsia="en-GB"/>
        </w:rPr>
        <w:t>I.</w:t>
      </w:r>
      <w:r>
        <w:rPr>
          <w:lang w:eastAsia="en-GB"/>
        </w:rPr>
        <w:tab/>
      </w:r>
      <w:r>
        <w:rPr>
          <w:lang w:eastAsia="en-GB"/>
        </w:rPr>
        <w:tab/>
      </w:r>
      <w:r w:rsidR="00277935">
        <w:rPr>
          <w:lang w:eastAsia="en-GB"/>
        </w:rPr>
        <w:t>Rules of procedure of the Committee on Sustainable Energy</w:t>
      </w:r>
      <w:r w:rsidR="00277935">
        <w:rPr>
          <w:lang w:eastAsia="en-GB"/>
        </w:rPr>
        <w:tab/>
      </w:r>
      <w:r w:rsidR="00277935">
        <w:rPr>
          <w:lang w:eastAsia="en-GB"/>
        </w:rPr>
        <w:tab/>
      </w:r>
      <w:r w:rsidR="00277935">
        <w:rPr>
          <w:lang w:eastAsia="en-GB"/>
        </w:rPr>
        <w:tab/>
        <w:t>1</w:t>
      </w:r>
      <w:r w:rsidR="00D35934">
        <w:rPr>
          <w:lang w:eastAsia="en-GB"/>
        </w:rPr>
        <w:t>7</w:t>
      </w:r>
    </w:p>
    <w:p w14:paraId="5297B691" w14:textId="7B7438B4" w:rsidR="003D07DA" w:rsidRDefault="00E478D8" w:rsidP="003D07DA">
      <w:pPr>
        <w:tabs>
          <w:tab w:val="right" w:pos="850"/>
          <w:tab w:val="left" w:pos="1134"/>
          <w:tab w:val="left" w:pos="1559"/>
          <w:tab w:val="left" w:pos="1984"/>
          <w:tab w:val="left" w:leader="dot" w:pos="7654"/>
          <w:tab w:val="right" w:pos="8929"/>
          <w:tab w:val="right" w:pos="9638"/>
        </w:tabs>
        <w:spacing w:after="120" w:line="200" w:lineRule="exact"/>
        <w:ind w:left="567"/>
      </w:pPr>
      <w:r>
        <w:t>II.</w:t>
      </w:r>
      <w:r>
        <w:tab/>
      </w:r>
      <w:r w:rsidR="00277935">
        <w:tab/>
      </w:r>
      <w:r w:rsidR="003D07DA">
        <w:t>Revised publication plans for 2020 and 2021 and publication plan for 2022</w:t>
      </w:r>
      <w:r w:rsidR="003D07DA">
        <w:tab/>
      </w:r>
      <w:r w:rsidR="003D07DA">
        <w:tab/>
      </w:r>
      <w:r w:rsidR="003D07DA">
        <w:tab/>
        <w:t>2</w:t>
      </w:r>
      <w:r w:rsidR="00346F33">
        <w:t>0</w:t>
      </w:r>
    </w:p>
    <w:p w14:paraId="298F8171" w14:textId="1124DB12" w:rsidR="00277935" w:rsidRDefault="00E478D8" w:rsidP="00E478D8">
      <w:pPr>
        <w:tabs>
          <w:tab w:val="right" w:pos="850"/>
          <w:tab w:val="left" w:pos="1134"/>
          <w:tab w:val="left" w:pos="1559"/>
          <w:tab w:val="left" w:pos="1984"/>
          <w:tab w:val="left" w:leader="dot" w:pos="7654"/>
          <w:tab w:val="right" w:pos="8929"/>
          <w:tab w:val="right" w:pos="9638"/>
        </w:tabs>
        <w:spacing w:after="120" w:line="200" w:lineRule="exact"/>
        <w:ind w:left="567"/>
        <w:rPr>
          <w:lang w:eastAsia="en-GB"/>
        </w:rPr>
      </w:pPr>
      <w:r>
        <w:tab/>
      </w:r>
      <w:r>
        <w:tab/>
      </w:r>
    </w:p>
    <w:p w14:paraId="7CA39854" w14:textId="77777777" w:rsidR="00E478D8" w:rsidRPr="00E478D8" w:rsidRDefault="00E478D8" w:rsidP="00E478D8"/>
    <w:p w14:paraId="32945945" w14:textId="77777777" w:rsidR="00277935" w:rsidRDefault="00277935" w:rsidP="00277935">
      <w:pPr>
        <w:suppressAutoHyphens w:val="0"/>
        <w:spacing w:line="240" w:lineRule="auto"/>
        <w:rPr>
          <w:b/>
          <w:sz w:val="28"/>
        </w:rPr>
      </w:pPr>
      <w:r>
        <w:br w:type="page"/>
      </w:r>
    </w:p>
    <w:p w14:paraId="5620BD2F" w14:textId="3F6B5517" w:rsidR="00277935" w:rsidRDefault="00277935" w:rsidP="00277935">
      <w:pPr>
        <w:pStyle w:val="HChG"/>
      </w:pPr>
      <w:r>
        <w:lastRenderedPageBreak/>
        <w:tab/>
        <w:t>I.</w:t>
      </w:r>
      <w:r w:rsidRPr="00457EAA">
        <w:tab/>
        <w:t>Introduction and attendance</w:t>
      </w:r>
    </w:p>
    <w:p w14:paraId="4C662A55" w14:textId="77777777" w:rsidR="00277935" w:rsidRPr="00F70089" w:rsidRDefault="00277935" w:rsidP="00277935">
      <w:pPr>
        <w:pStyle w:val="SingleTxtG"/>
        <w:rPr>
          <w:lang w:eastAsia="en-US"/>
        </w:rPr>
      </w:pPr>
      <w:r w:rsidRPr="00F70089">
        <w:rPr>
          <w:lang w:eastAsia="en-US"/>
        </w:rPr>
        <w:t>1.</w:t>
      </w:r>
      <w:r w:rsidRPr="00F70089">
        <w:rPr>
          <w:lang w:eastAsia="en-US"/>
        </w:rPr>
        <w:tab/>
        <w:t>The work of the United Nations Economic Commission for Europe (ECE) on sustainable energy is designed to improve access to affordable and clean energy for all and help reduce greenhouse gas</w:t>
      </w:r>
      <w:r>
        <w:rPr>
          <w:lang w:eastAsia="en-US"/>
        </w:rPr>
        <w:t xml:space="preserve"> (GHG)</w:t>
      </w:r>
      <w:r w:rsidRPr="00F70089">
        <w:rPr>
          <w:lang w:eastAsia="en-US"/>
        </w:rPr>
        <w:t xml:space="preserve"> emissions and the carbon footprint of the energy sector in the region. It promotes international policy dialogue and cooperation among governments, energy industries and other stakeholders. The current focus of the Committee on Sustainable Energy (the Committee) is on energy efficiency, renewable energy, cleaner electricity systems, coal mine methane, natural gas, and sustainable resource management through the work of </w:t>
      </w:r>
      <w:r>
        <w:rPr>
          <w:lang w:eastAsia="en-US"/>
        </w:rPr>
        <w:t xml:space="preserve">its </w:t>
      </w:r>
      <w:r w:rsidRPr="00F70089">
        <w:rPr>
          <w:lang w:eastAsia="en-US"/>
        </w:rPr>
        <w:t xml:space="preserve">six subsidiary bodies. </w:t>
      </w:r>
    </w:p>
    <w:p w14:paraId="0672D174" w14:textId="77777777" w:rsidR="00277935" w:rsidRPr="00F70089" w:rsidRDefault="00277935" w:rsidP="00277935">
      <w:pPr>
        <w:pStyle w:val="SingleTxtG"/>
        <w:rPr>
          <w:lang w:eastAsia="en-US"/>
        </w:rPr>
      </w:pPr>
      <w:r w:rsidRPr="00F70089">
        <w:rPr>
          <w:lang w:eastAsia="en-US"/>
        </w:rPr>
        <w:t>2.</w:t>
      </w:r>
      <w:r w:rsidRPr="00F70089">
        <w:rPr>
          <w:lang w:eastAsia="en-US"/>
        </w:rPr>
        <w:tab/>
      </w:r>
      <w:r>
        <w:rPr>
          <w:lang w:eastAsia="en-US"/>
        </w:rPr>
        <w:t>At its</w:t>
      </w:r>
      <w:r w:rsidRPr="00F70089">
        <w:rPr>
          <w:lang w:eastAsia="en-US"/>
        </w:rPr>
        <w:t xml:space="preserve"> twenty-</w:t>
      </w:r>
      <w:r>
        <w:rPr>
          <w:lang w:eastAsia="en-US"/>
        </w:rPr>
        <w:t>nin</w:t>
      </w:r>
      <w:r w:rsidRPr="00F70089">
        <w:rPr>
          <w:lang w:eastAsia="en-US"/>
        </w:rPr>
        <w:t xml:space="preserve">th session, the Committee exchanged views </w:t>
      </w:r>
      <w:r>
        <w:rPr>
          <w:lang w:eastAsia="en-US"/>
        </w:rPr>
        <w:t>on pursuing carbon neutrality to advance the energy</w:t>
      </w:r>
      <w:r w:rsidRPr="00F70089">
        <w:rPr>
          <w:lang w:eastAsia="en-US"/>
        </w:rPr>
        <w:t xml:space="preserve"> transition and the role that the Committee and its six subsidiary bodies could play </w:t>
      </w:r>
      <w:r w:rsidRPr="00F70089">
        <w:rPr>
          <w:noProof/>
          <w:lang w:eastAsia="en-US"/>
        </w:rPr>
        <w:t xml:space="preserve">to accelerate </w:t>
      </w:r>
      <w:r w:rsidRPr="00F70089">
        <w:rPr>
          <w:lang w:eastAsia="en-US"/>
        </w:rPr>
        <w:t xml:space="preserve">and deepen </w:t>
      </w:r>
      <w:r>
        <w:rPr>
          <w:lang w:eastAsia="en-US"/>
        </w:rPr>
        <w:t>the</w:t>
      </w:r>
      <w:r w:rsidRPr="00F70089">
        <w:rPr>
          <w:lang w:eastAsia="en-US"/>
        </w:rPr>
        <w:t xml:space="preserve"> </w:t>
      </w:r>
      <w:r w:rsidRPr="00F70089">
        <w:rPr>
          <w:noProof/>
          <w:lang w:eastAsia="en-US"/>
        </w:rPr>
        <w:t>transition</w:t>
      </w:r>
      <w:r w:rsidRPr="00F70089">
        <w:rPr>
          <w:lang w:eastAsia="en-US"/>
        </w:rPr>
        <w:t xml:space="preserve"> to sustainable energy systems. The session was held in Geneva on 25–27 </w:t>
      </w:r>
      <w:r>
        <w:rPr>
          <w:lang w:eastAsia="en-US"/>
        </w:rPr>
        <w:t>November 2020. Due to</w:t>
      </w:r>
      <w:r w:rsidRPr="00C76D7A">
        <w:rPr>
          <w:lang w:eastAsia="en-US"/>
        </w:rPr>
        <w:t xml:space="preserve"> the unprecedented circumstances caused by the COVID-19 pandemic</w:t>
      </w:r>
      <w:r>
        <w:rPr>
          <w:lang w:eastAsia="en-US"/>
        </w:rPr>
        <w:t>,</w:t>
      </w:r>
      <w:r w:rsidRPr="00C76D7A">
        <w:rPr>
          <w:lang w:eastAsia="en-US"/>
        </w:rPr>
        <w:t xml:space="preserve"> the session </w:t>
      </w:r>
      <w:r>
        <w:rPr>
          <w:lang w:eastAsia="en-US"/>
        </w:rPr>
        <w:t>was</w:t>
      </w:r>
      <w:r w:rsidRPr="00C76D7A">
        <w:rPr>
          <w:lang w:eastAsia="en-US"/>
        </w:rPr>
        <w:t xml:space="preserve"> organi</w:t>
      </w:r>
      <w:r>
        <w:rPr>
          <w:lang w:eastAsia="en-US"/>
        </w:rPr>
        <w:t>z</w:t>
      </w:r>
      <w:r w:rsidRPr="00C76D7A">
        <w:rPr>
          <w:lang w:eastAsia="en-US"/>
        </w:rPr>
        <w:t>ed in a different and reduced format.</w:t>
      </w:r>
    </w:p>
    <w:p w14:paraId="7DDA090F" w14:textId="743B8968" w:rsidR="00277935" w:rsidRDefault="00277935" w:rsidP="00277935">
      <w:pPr>
        <w:pStyle w:val="SingleTxtG"/>
        <w:rPr>
          <w:lang w:eastAsia="en-US"/>
        </w:rPr>
      </w:pPr>
      <w:r w:rsidRPr="00F70089">
        <w:rPr>
          <w:lang w:eastAsia="en-US"/>
        </w:rPr>
        <w:t>3.</w:t>
      </w:r>
      <w:r w:rsidRPr="00F70089">
        <w:rPr>
          <w:lang w:eastAsia="en-US"/>
        </w:rPr>
        <w:tab/>
      </w:r>
      <w:r w:rsidRPr="00875D6C">
        <w:rPr>
          <w:lang w:eastAsia="en-US"/>
        </w:rPr>
        <w:t xml:space="preserve">More </w:t>
      </w:r>
      <w:r w:rsidRPr="00E10B84">
        <w:rPr>
          <w:lang w:eastAsia="en-US"/>
        </w:rPr>
        <w:t xml:space="preserve">than </w:t>
      </w:r>
      <w:r w:rsidR="00602DEB" w:rsidRPr="00E10B84">
        <w:rPr>
          <w:lang w:eastAsia="en-US"/>
        </w:rPr>
        <w:t xml:space="preserve">40 </w:t>
      </w:r>
      <w:r w:rsidRPr="00E10B84">
        <w:rPr>
          <w:lang w:eastAsia="en-US"/>
        </w:rPr>
        <w:t xml:space="preserve">experts </w:t>
      </w:r>
      <w:r w:rsidRPr="00F70089">
        <w:rPr>
          <w:lang w:eastAsia="en-US"/>
        </w:rPr>
        <w:t>from the following ECE member States participated:</w:t>
      </w:r>
      <w:r>
        <w:rPr>
          <w:lang w:eastAsia="en-US"/>
        </w:rPr>
        <w:t xml:space="preserve"> Armenia, </w:t>
      </w:r>
      <w:r w:rsidRPr="00AA0768">
        <w:rPr>
          <w:lang w:eastAsia="en-US"/>
        </w:rPr>
        <w:t xml:space="preserve">Austria, </w:t>
      </w:r>
      <w:r>
        <w:rPr>
          <w:lang w:eastAsia="en-US"/>
        </w:rPr>
        <w:t>Bosnia and Herzegovina,</w:t>
      </w:r>
      <w:bookmarkStart w:id="0" w:name="_GoBack"/>
      <w:bookmarkEnd w:id="0"/>
      <w:r>
        <w:rPr>
          <w:lang w:eastAsia="en-US"/>
        </w:rPr>
        <w:t xml:space="preserve"> Czech Republic, Georgia, </w:t>
      </w:r>
      <w:r w:rsidRPr="00AA0768">
        <w:rPr>
          <w:lang w:eastAsia="en-US"/>
        </w:rPr>
        <w:t xml:space="preserve">Germany, Greece, </w:t>
      </w:r>
      <w:r>
        <w:rPr>
          <w:lang w:eastAsia="en-US"/>
        </w:rPr>
        <w:t xml:space="preserve">Ireland, </w:t>
      </w:r>
      <w:r w:rsidRPr="00AA0768">
        <w:rPr>
          <w:lang w:eastAsia="en-US"/>
        </w:rPr>
        <w:t xml:space="preserve">Italy, Kazakhstan, </w:t>
      </w:r>
      <w:r>
        <w:rPr>
          <w:lang w:eastAsia="en-US"/>
        </w:rPr>
        <w:t xml:space="preserve">Latvia, </w:t>
      </w:r>
      <w:r w:rsidRPr="00AA0768">
        <w:rPr>
          <w:lang w:eastAsia="en-US"/>
        </w:rPr>
        <w:t xml:space="preserve">Monaco, </w:t>
      </w:r>
      <w:r>
        <w:rPr>
          <w:lang w:eastAsia="en-US"/>
        </w:rPr>
        <w:t xml:space="preserve">Norway, Poland, </w:t>
      </w:r>
      <w:r w:rsidRPr="00AA0768">
        <w:rPr>
          <w:lang w:eastAsia="en-US"/>
        </w:rPr>
        <w:t xml:space="preserve">Romania, Russian Federation, Serbia, </w:t>
      </w:r>
      <w:r>
        <w:rPr>
          <w:lang w:eastAsia="en-US"/>
        </w:rPr>
        <w:t xml:space="preserve">Spain, </w:t>
      </w:r>
      <w:r w:rsidRPr="00AA0768">
        <w:rPr>
          <w:lang w:eastAsia="en-US"/>
        </w:rPr>
        <w:t xml:space="preserve">Switzerland, </w:t>
      </w:r>
      <w:r>
        <w:rPr>
          <w:lang w:eastAsia="en-US"/>
        </w:rPr>
        <w:t xml:space="preserve">Turkey, </w:t>
      </w:r>
      <w:r w:rsidRPr="00AA0768">
        <w:rPr>
          <w:lang w:eastAsia="en-US"/>
        </w:rPr>
        <w:t>Ukraine and United States of America</w:t>
      </w:r>
      <w:r>
        <w:rPr>
          <w:lang w:eastAsia="en-US"/>
        </w:rPr>
        <w:t>. R</w:t>
      </w:r>
      <w:r w:rsidRPr="00F70089">
        <w:rPr>
          <w:lang w:eastAsia="en-US"/>
        </w:rPr>
        <w:t>epresentative</w:t>
      </w:r>
      <w:r>
        <w:rPr>
          <w:lang w:eastAsia="en-US"/>
        </w:rPr>
        <w:t>s</w:t>
      </w:r>
      <w:r w:rsidRPr="00F70089">
        <w:rPr>
          <w:lang w:eastAsia="en-US"/>
        </w:rPr>
        <w:t xml:space="preserve"> of the European Union also participated.</w:t>
      </w:r>
      <w:r>
        <w:rPr>
          <w:lang w:eastAsia="en-US"/>
        </w:rPr>
        <w:t xml:space="preserve"> Experts from Brazil, Cameroon, India, Iran (Islamic Republic of) and Lebanon </w:t>
      </w:r>
      <w:r w:rsidRPr="008913B1">
        <w:rPr>
          <w:lang w:eastAsia="en-US"/>
        </w:rPr>
        <w:t>participated under Article 11 of the Commission’s Terms of Reference.</w:t>
      </w:r>
      <w:r>
        <w:rPr>
          <w:lang w:eastAsia="en-US"/>
        </w:rPr>
        <w:t xml:space="preserve"> </w:t>
      </w:r>
    </w:p>
    <w:p w14:paraId="309A6DF3" w14:textId="4B67B773" w:rsidR="00277935" w:rsidRDefault="00277935" w:rsidP="00277935">
      <w:pPr>
        <w:pStyle w:val="SingleTxtG"/>
        <w:rPr>
          <w:lang w:eastAsia="en-US"/>
        </w:rPr>
      </w:pPr>
      <w:r w:rsidRPr="00F70089">
        <w:rPr>
          <w:lang w:eastAsia="en-US"/>
        </w:rPr>
        <w:t>4.</w:t>
      </w:r>
      <w:r w:rsidRPr="00F70089">
        <w:rPr>
          <w:lang w:eastAsia="en-US"/>
        </w:rPr>
        <w:tab/>
      </w:r>
      <w:r w:rsidRPr="00F70089">
        <w:rPr>
          <w:noProof/>
          <w:lang w:eastAsia="en-US"/>
        </w:rPr>
        <w:t>The following intergovernmental and non-governmental organizations and academic institutions were in attendance:</w:t>
      </w:r>
      <w:r>
        <w:rPr>
          <w:noProof/>
          <w:lang w:eastAsia="en-US"/>
        </w:rPr>
        <w:t xml:space="preserve"> </w:t>
      </w:r>
      <w:r w:rsidRPr="002A5E29">
        <w:rPr>
          <w:noProof/>
          <w:lang w:eastAsia="en-US"/>
        </w:rPr>
        <w:t>International Human Rights Council</w:t>
      </w:r>
      <w:r>
        <w:rPr>
          <w:noProof/>
          <w:lang w:eastAsia="en-US"/>
        </w:rPr>
        <w:t xml:space="preserve">, </w:t>
      </w:r>
      <w:r w:rsidRPr="00CC49B6">
        <w:rPr>
          <w:noProof/>
          <w:lang w:eastAsia="en-US"/>
        </w:rPr>
        <w:t>Assocarboni General Association of Coal Operators</w:t>
      </w:r>
      <w:r>
        <w:rPr>
          <w:noProof/>
          <w:lang w:eastAsia="en-US"/>
        </w:rPr>
        <w:t xml:space="preserve">, </w:t>
      </w:r>
      <w:r w:rsidRPr="009463A8">
        <w:rPr>
          <w:noProof/>
          <w:lang w:eastAsia="en-US"/>
        </w:rPr>
        <w:t>Fraunhofer Institute for Manufacturing Engineering and Automation</w:t>
      </w:r>
      <w:r>
        <w:rPr>
          <w:noProof/>
          <w:lang w:eastAsia="en-US"/>
        </w:rPr>
        <w:t xml:space="preserve">, International Energy Agency (IEA) Clean Coal Centre (IEACCC), </w:t>
      </w:r>
      <w:r w:rsidRPr="009463A8">
        <w:rPr>
          <w:noProof/>
          <w:lang w:eastAsia="en-US"/>
        </w:rPr>
        <w:t>Institute for Advanced Sustainability Studies e.V.</w:t>
      </w:r>
      <w:r>
        <w:rPr>
          <w:noProof/>
          <w:lang w:eastAsia="en-US"/>
        </w:rPr>
        <w:t xml:space="preserve">, </w:t>
      </w:r>
      <w:r w:rsidRPr="009463A8">
        <w:rPr>
          <w:noProof/>
          <w:lang w:eastAsia="en-US"/>
        </w:rPr>
        <w:t>Institute for Energy Efficiency in Production (EEP)</w:t>
      </w:r>
      <w:r>
        <w:rPr>
          <w:noProof/>
          <w:lang w:eastAsia="en-US"/>
        </w:rPr>
        <w:t xml:space="preserve">, </w:t>
      </w:r>
      <w:r w:rsidRPr="009463A8">
        <w:rPr>
          <w:noProof/>
          <w:lang w:eastAsia="en-US"/>
        </w:rPr>
        <w:t>Institution of Chemical Engineers (IChemE)</w:t>
      </w:r>
      <w:r>
        <w:rPr>
          <w:noProof/>
          <w:lang w:eastAsia="en-US"/>
        </w:rPr>
        <w:t xml:space="preserve">, </w:t>
      </w:r>
      <w:r w:rsidRPr="00CC49B6">
        <w:rPr>
          <w:noProof/>
          <w:lang w:eastAsia="en-US"/>
        </w:rPr>
        <w:t>International Institute for Applied Systems Analysis (IIASA</w:t>
      </w:r>
      <w:r>
        <w:rPr>
          <w:noProof/>
          <w:lang w:eastAsia="en-US"/>
        </w:rPr>
        <w:t xml:space="preserve">), </w:t>
      </w:r>
      <w:r w:rsidRPr="003148F3">
        <w:rPr>
          <w:noProof/>
          <w:lang w:eastAsia="en-US"/>
        </w:rPr>
        <w:t>IPIECA</w:t>
      </w:r>
      <w:r>
        <w:rPr>
          <w:noProof/>
          <w:lang w:eastAsia="en-US"/>
        </w:rPr>
        <w:t xml:space="preserve">, World Nuclear Association, </w:t>
      </w:r>
      <w:r w:rsidRPr="002A5E29">
        <w:rPr>
          <w:noProof/>
          <w:lang w:eastAsia="en-US"/>
        </w:rPr>
        <w:t>Dalhousie University</w:t>
      </w:r>
      <w:r>
        <w:rPr>
          <w:noProof/>
          <w:lang w:eastAsia="en-US"/>
        </w:rPr>
        <w:t xml:space="preserve"> (Canada), </w:t>
      </w:r>
      <w:r w:rsidR="00594C64" w:rsidRPr="00594C64">
        <w:rPr>
          <w:noProof/>
          <w:lang w:eastAsia="en-US"/>
        </w:rPr>
        <w:t>European University at St.Petersburg</w:t>
      </w:r>
      <w:r w:rsidR="00594C64">
        <w:rPr>
          <w:noProof/>
          <w:lang w:eastAsia="en-US"/>
        </w:rPr>
        <w:t xml:space="preserve"> (Russian Federation), </w:t>
      </w:r>
      <w:r>
        <w:rPr>
          <w:noProof/>
          <w:lang w:eastAsia="en-US"/>
        </w:rPr>
        <w:t xml:space="preserve">Imperial College London (United Kingdom), </w:t>
      </w:r>
      <w:r w:rsidRPr="009463A8">
        <w:rPr>
          <w:noProof/>
          <w:lang w:eastAsia="en-US"/>
        </w:rPr>
        <w:t>London School of Economics and Political Science</w:t>
      </w:r>
      <w:r>
        <w:rPr>
          <w:noProof/>
          <w:lang w:eastAsia="en-US"/>
        </w:rPr>
        <w:t xml:space="preserve"> (United Kingdom), </w:t>
      </w:r>
      <w:r w:rsidRPr="009463A8">
        <w:rPr>
          <w:noProof/>
          <w:lang w:eastAsia="en-US"/>
        </w:rPr>
        <w:t>Novosibirsk State Technical University (Russian Federation)</w:t>
      </w:r>
      <w:r>
        <w:rPr>
          <w:noProof/>
          <w:lang w:eastAsia="en-US"/>
        </w:rPr>
        <w:t xml:space="preserve">, </w:t>
      </w:r>
      <w:r w:rsidRPr="009463A8">
        <w:rPr>
          <w:noProof/>
          <w:lang w:eastAsia="en-US"/>
        </w:rPr>
        <w:t>Université Gaston Berger de Saint-Louis (Sénégal)</w:t>
      </w:r>
      <w:r>
        <w:rPr>
          <w:noProof/>
          <w:lang w:eastAsia="en-US"/>
        </w:rPr>
        <w:t xml:space="preserve">, </w:t>
      </w:r>
      <w:r w:rsidRPr="009463A8">
        <w:rPr>
          <w:noProof/>
          <w:lang w:eastAsia="en-US"/>
        </w:rPr>
        <w:t>Université Jean Monnet de Saint-Étienne (France)</w:t>
      </w:r>
      <w:r>
        <w:rPr>
          <w:noProof/>
          <w:lang w:eastAsia="en-US"/>
        </w:rPr>
        <w:t xml:space="preserve">, </w:t>
      </w:r>
      <w:r w:rsidR="00594C64" w:rsidRPr="00594C64">
        <w:rPr>
          <w:noProof/>
          <w:lang w:eastAsia="en-US"/>
        </w:rPr>
        <w:t>University of Geneva</w:t>
      </w:r>
      <w:r w:rsidR="00594C64">
        <w:rPr>
          <w:noProof/>
          <w:lang w:eastAsia="en-US"/>
        </w:rPr>
        <w:t xml:space="preserve"> (Switzerland), </w:t>
      </w:r>
      <w:r>
        <w:rPr>
          <w:noProof/>
          <w:lang w:eastAsia="en-US"/>
        </w:rPr>
        <w:t xml:space="preserve">University of Leeds (United Kingdom), University of Oslo (Norway) and </w:t>
      </w:r>
      <w:r>
        <w:rPr>
          <w:lang w:eastAsia="en-US"/>
        </w:rPr>
        <w:t>University of Surrey (United Kingdom)</w:t>
      </w:r>
      <w:r>
        <w:rPr>
          <w:noProof/>
          <w:lang w:eastAsia="en-US"/>
        </w:rPr>
        <w:t>.</w:t>
      </w:r>
      <w:r w:rsidRPr="00B93D20">
        <w:rPr>
          <w:highlight w:val="yellow"/>
          <w:lang w:eastAsia="en-US"/>
        </w:rPr>
        <w:t xml:space="preserve"> </w:t>
      </w:r>
    </w:p>
    <w:p w14:paraId="2F78D387" w14:textId="31DAE33C" w:rsidR="00277935" w:rsidRDefault="00277935" w:rsidP="00277935">
      <w:pPr>
        <w:pStyle w:val="SingleTxtG"/>
        <w:rPr>
          <w:lang w:val="lb-LU" w:eastAsia="en-US"/>
        </w:rPr>
      </w:pPr>
      <w:r w:rsidRPr="00F70089">
        <w:rPr>
          <w:lang w:eastAsia="en-US"/>
        </w:rPr>
        <w:t>5.</w:t>
      </w:r>
      <w:r w:rsidRPr="00F70089">
        <w:rPr>
          <w:lang w:eastAsia="en-US"/>
        </w:rPr>
        <w:tab/>
        <w:t xml:space="preserve">Independent experts and representatives of </w:t>
      </w:r>
      <w:r w:rsidRPr="00F70089">
        <w:rPr>
          <w:lang w:val="lb-LU" w:eastAsia="en-US"/>
        </w:rPr>
        <w:t>the private sector also attended at the invitation of the secretariat.</w:t>
      </w:r>
    </w:p>
    <w:p w14:paraId="47E53DC1" w14:textId="41C53A62" w:rsidR="00277935" w:rsidRDefault="00277935" w:rsidP="00277935">
      <w:pPr>
        <w:pStyle w:val="HChG"/>
      </w:pPr>
      <w:r>
        <w:tab/>
        <w:t>II</w:t>
      </w:r>
      <w:r w:rsidRPr="00F54037">
        <w:t>.</w:t>
      </w:r>
      <w:r w:rsidRPr="00F54037">
        <w:tab/>
        <w:t>Opening and adoption of the agenda (agenda item 1)</w:t>
      </w:r>
    </w:p>
    <w:p w14:paraId="111284DD" w14:textId="77777777" w:rsidR="009D5660" w:rsidRPr="00506914" w:rsidRDefault="009D5660" w:rsidP="009D5660">
      <w:pPr>
        <w:pStyle w:val="SingleTxtG"/>
        <w:ind w:left="2835" w:hanging="1701"/>
      </w:pPr>
      <w:r w:rsidRPr="00506914">
        <w:rPr>
          <w:i/>
        </w:rPr>
        <w:t>Documentation:</w:t>
      </w:r>
      <w:r w:rsidRPr="00506914">
        <w:tab/>
        <w:t>ECE/ENERGY/</w:t>
      </w:r>
      <w:r>
        <w:t>132</w:t>
      </w:r>
      <w:r w:rsidRPr="00506914">
        <w:t xml:space="preserve"> – Annotated provisional agenda</w:t>
      </w:r>
      <w:r>
        <w:t xml:space="preserve"> for the twenty-ninth session</w:t>
      </w:r>
    </w:p>
    <w:p w14:paraId="0E7FC46A" w14:textId="77777777" w:rsidR="009D5660" w:rsidRDefault="009D5660" w:rsidP="009D5660">
      <w:pPr>
        <w:pStyle w:val="SingleTxtG"/>
      </w:pPr>
      <w:r>
        <w:t>6</w:t>
      </w:r>
      <w:r w:rsidRPr="00817AAD">
        <w:t>.</w:t>
      </w:r>
      <w:r w:rsidRPr="00817AAD">
        <w:tab/>
        <w:t xml:space="preserve">The Chair of the Committee, Mr. Jürgen </w:t>
      </w:r>
      <w:proofErr w:type="spellStart"/>
      <w:r w:rsidRPr="00817AAD">
        <w:t>Keinhorst</w:t>
      </w:r>
      <w:proofErr w:type="spellEnd"/>
      <w:r w:rsidRPr="00817AAD">
        <w:t xml:space="preserve">, opened the meeting and presented the provisional agenda, which was adopted without change. </w:t>
      </w:r>
    </w:p>
    <w:p w14:paraId="569EDDD7" w14:textId="0F749575" w:rsidR="009D5660" w:rsidRPr="009E0BCD" w:rsidRDefault="009D5660" w:rsidP="009D5660">
      <w:pPr>
        <w:pStyle w:val="SingleTxtG"/>
      </w:pPr>
      <w:r>
        <w:t>7.</w:t>
      </w:r>
      <w:r>
        <w:tab/>
        <w:t xml:space="preserve">In his remarks, the Chair </w:t>
      </w:r>
      <w:r w:rsidRPr="0051035B">
        <w:t xml:space="preserve">referred to analyses that show that countries are not on track to meet their collective objectives and commitments under </w:t>
      </w:r>
      <w:r>
        <w:t xml:space="preserve">either </w:t>
      </w:r>
      <w:r w:rsidRPr="0051035B">
        <w:t>the 2030 Agenda for Sustainable Development or the Paris Agreement</w:t>
      </w:r>
      <w:r>
        <w:t xml:space="preserve"> on climate</w:t>
      </w:r>
      <w:r w:rsidRPr="0051035B">
        <w:t xml:space="preserve">. He observed that the United Nations </w:t>
      </w:r>
      <w:r>
        <w:t xml:space="preserve">had </w:t>
      </w:r>
      <w:r w:rsidRPr="0051035B">
        <w:t xml:space="preserve">launched a Decade for Action to mobilize getting on track. He then underlined how the </w:t>
      </w:r>
      <w:r>
        <w:t xml:space="preserve">sustainable </w:t>
      </w:r>
      <w:r w:rsidRPr="0051035B">
        <w:t xml:space="preserve">energy subprogramme could contribute to events in 2021, including the sixty-ninth session of </w:t>
      </w:r>
      <w:r>
        <w:t>ECE</w:t>
      </w:r>
      <w:r w:rsidRPr="0051035B">
        <w:t xml:space="preserve"> </w:t>
      </w:r>
      <w:r>
        <w:t>to be held in Geneva, Switzerland, 20-21</w:t>
      </w:r>
      <w:r w:rsidRPr="0051035B">
        <w:t xml:space="preserve"> April 2021</w:t>
      </w:r>
      <w:r>
        <w:t>,</w:t>
      </w:r>
      <w:r w:rsidRPr="0051035B">
        <w:t xml:space="preserve"> on the subject of circular economy</w:t>
      </w:r>
      <w:r>
        <w:t>;</w:t>
      </w:r>
      <w:r w:rsidRPr="0051035B">
        <w:t xml:space="preserve"> the high-level dialogue on energy that the UN Secretary</w:t>
      </w:r>
      <w:r>
        <w:t>-</w:t>
      </w:r>
      <w:r w:rsidRPr="0051035B">
        <w:t xml:space="preserve">General is convening at the </w:t>
      </w:r>
      <w:r>
        <w:t xml:space="preserve">seventy-sixth session of the UN </w:t>
      </w:r>
      <w:r w:rsidRPr="0051035B">
        <w:t>General Assembly</w:t>
      </w:r>
      <w:r>
        <w:t xml:space="preserve"> (UNGA)</w:t>
      </w:r>
      <w:r w:rsidRPr="0051035B">
        <w:t xml:space="preserve"> in </w:t>
      </w:r>
      <w:r>
        <w:t xml:space="preserve">New York, United States of America, 14-30 </w:t>
      </w:r>
      <w:r w:rsidRPr="0051035B">
        <w:t>September</w:t>
      </w:r>
      <w:r>
        <w:t xml:space="preserve"> 2021,</w:t>
      </w:r>
      <w:r w:rsidRPr="0051035B">
        <w:t xml:space="preserve"> to promote implementation of the energy-related goals and targets of the 2030 Agenda for Sustainable Development</w:t>
      </w:r>
      <w:r>
        <w:t>;</w:t>
      </w:r>
      <w:r w:rsidRPr="0051035B">
        <w:t xml:space="preserve"> and</w:t>
      </w:r>
      <w:r>
        <w:t xml:space="preserve"> the </w:t>
      </w:r>
      <w:r w:rsidR="00945EF4">
        <w:br/>
      </w:r>
      <w:r>
        <w:t>twenty-sixth</w:t>
      </w:r>
      <w:r w:rsidRPr="0021256F">
        <w:t xml:space="preserve"> session of the Conference of the Parties (COP26) to the </w:t>
      </w:r>
      <w:r>
        <w:t xml:space="preserve">United Nations </w:t>
      </w:r>
      <w:r>
        <w:lastRenderedPageBreak/>
        <w:t>Framework Convention on Climate Change (UNFCCC)</w:t>
      </w:r>
      <w:r w:rsidRPr="0051035B">
        <w:t xml:space="preserve"> </w:t>
      </w:r>
      <w:r>
        <w:t xml:space="preserve">that will take place </w:t>
      </w:r>
      <w:r w:rsidRPr="0051035B">
        <w:t xml:space="preserve">in Glasgow, </w:t>
      </w:r>
      <w:r>
        <w:t>United Kingdom</w:t>
      </w:r>
      <w:r w:rsidRPr="0051035B">
        <w:t xml:space="preserve">, </w:t>
      </w:r>
      <w:r>
        <w:t>1-12</w:t>
      </w:r>
      <w:r w:rsidRPr="0051035B">
        <w:t xml:space="preserve"> November</w:t>
      </w:r>
      <w:r>
        <w:t xml:space="preserve"> 2021</w:t>
      </w:r>
      <w:r w:rsidRPr="0051035B">
        <w:t xml:space="preserve">. ECE and the </w:t>
      </w:r>
      <w:r>
        <w:t xml:space="preserve">sustainable </w:t>
      </w:r>
      <w:r w:rsidRPr="0051035B">
        <w:t>energy subprogramme have an important role to play in helping countries reduce the environmental footprint of energy, transform the energy system, and mobilize action in line with the world’s sustainable development objectives.</w:t>
      </w:r>
    </w:p>
    <w:p w14:paraId="27B157F3" w14:textId="77777777" w:rsidR="009D5660" w:rsidRPr="009E0BCD" w:rsidRDefault="009D5660" w:rsidP="009D5660">
      <w:pPr>
        <w:pStyle w:val="SingleTxtG"/>
      </w:pPr>
      <w:r>
        <w:t>8</w:t>
      </w:r>
      <w:r w:rsidRPr="009E0BCD">
        <w:t>.</w:t>
      </w:r>
      <w:r w:rsidRPr="009E0BCD">
        <w:tab/>
        <w:t xml:space="preserve">The Chair informed the Committee that </w:t>
      </w:r>
      <w:r>
        <w:t xml:space="preserve">he would chair items 1 and 2 </w:t>
      </w:r>
      <w:r w:rsidRPr="009E0BCD">
        <w:t>of the provisional agenda</w:t>
      </w:r>
      <w:r>
        <w:rPr>
          <w:rStyle w:val="SingleTxtGChar"/>
        </w:rPr>
        <w:t xml:space="preserve">. </w:t>
      </w:r>
      <w:r w:rsidRPr="009E0BCD">
        <w:t xml:space="preserve">Item </w:t>
      </w:r>
      <w:r>
        <w:t xml:space="preserve">3 </w:t>
      </w:r>
      <w:r w:rsidRPr="009E0BCD">
        <w:t xml:space="preserve">would be chaired by </w:t>
      </w:r>
      <w:r>
        <w:t>Mr. Ray Pilcher</w:t>
      </w:r>
      <w:r w:rsidRPr="009E0BCD">
        <w:t xml:space="preserve">, Vice-Chair of the Committee and Chair of the Group of Experts on </w:t>
      </w:r>
      <w:r>
        <w:t xml:space="preserve">Coal Mine Methane, item 4 would be chaired by Mr. </w:t>
      </w:r>
      <w:proofErr w:type="spellStart"/>
      <w:r>
        <w:t>Jarad</w:t>
      </w:r>
      <w:proofErr w:type="spellEnd"/>
      <w:r>
        <w:t xml:space="preserve"> Daniels, Vice-Chair of the Committee, and item 5 would be chaired by Mr. David MacDonald, Vice-Chair of the Committee and Chair of the Expert Group on Resource Management. Mr. </w:t>
      </w:r>
      <w:proofErr w:type="spellStart"/>
      <w:r>
        <w:t>Keinhorst</w:t>
      </w:r>
      <w:proofErr w:type="spellEnd"/>
      <w:r>
        <w:t xml:space="preserve"> would share the chairing of item 6 with </w:t>
      </w:r>
      <w:r>
        <w:br/>
      </w:r>
      <w:r w:rsidRPr="0080226C">
        <w:rPr>
          <w:rStyle w:val="SingleTxtGChar"/>
        </w:rPr>
        <w:t xml:space="preserve">Mr. Jean-Christophe </w:t>
      </w:r>
      <w:proofErr w:type="spellStart"/>
      <w:r w:rsidRPr="0080226C">
        <w:rPr>
          <w:rStyle w:val="SingleTxtGChar"/>
        </w:rPr>
        <w:t>Füeg</w:t>
      </w:r>
      <w:proofErr w:type="spellEnd"/>
      <w:r>
        <w:rPr>
          <w:rStyle w:val="SingleTxtGChar"/>
        </w:rPr>
        <w:t>, Vice-Chair of the Committee.</w:t>
      </w:r>
    </w:p>
    <w:p w14:paraId="5987CCC2" w14:textId="77777777" w:rsidR="009D5660" w:rsidRDefault="009D5660" w:rsidP="009D5660">
      <w:pPr>
        <w:pStyle w:val="SingleTxtG"/>
      </w:pPr>
      <w:r>
        <w:t>9</w:t>
      </w:r>
      <w:r w:rsidRPr="009E0BCD">
        <w:t>.</w:t>
      </w:r>
      <w:r w:rsidRPr="009E0BCD">
        <w:tab/>
        <w:t>The Committee agreed to consider recommendations and conclusions after each agenda item, followed by adoption of the report of the Committee at the end of the twenty-</w:t>
      </w:r>
      <w:r>
        <w:t>ninth</w:t>
      </w:r>
      <w:r w:rsidRPr="009E0BCD">
        <w:t xml:space="preserve"> session.</w:t>
      </w:r>
    </w:p>
    <w:p w14:paraId="49C71341" w14:textId="4560B639" w:rsidR="009D5660" w:rsidRDefault="009D5660" w:rsidP="009D5660">
      <w:pPr>
        <w:pStyle w:val="SingleTxtG"/>
      </w:pPr>
      <w:r w:rsidRPr="005C240D">
        <w:t xml:space="preserve">10. </w:t>
      </w:r>
      <w:r w:rsidRPr="005C240D">
        <w:tab/>
        <w:t xml:space="preserve">The Committee noted the sad loss of Mr. Barry Worthington, Vice-Chair of the Committee and Chair of the Group of Experts on Cleaner Electricity Systems from 2014 to 2020. </w:t>
      </w:r>
      <w:r>
        <w:t xml:space="preserve">During the </w:t>
      </w:r>
      <w:r w:rsidRPr="005C240D">
        <w:t xml:space="preserve">memorial </w:t>
      </w:r>
      <w:r>
        <w:t>remarks</w:t>
      </w:r>
      <w:r w:rsidRPr="005C240D">
        <w:t>, Mr. Worthington’s invaluable and longstanding</w:t>
      </w:r>
      <w:r>
        <w:t xml:space="preserve"> leadership and </w:t>
      </w:r>
      <w:r w:rsidRPr="005C240D">
        <w:t>contribution to the work of the Committee and the Group of Experts</w:t>
      </w:r>
      <w:r>
        <w:t xml:space="preserve"> were underlined</w:t>
      </w:r>
      <w:r w:rsidRPr="005C240D">
        <w:t>.</w:t>
      </w:r>
    </w:p>
    <w:p w14:paraId="49E66832" w14:textId="2F729DD5" w:rsidR="009D5660" w:rsidRDefault="009D5660" w:rsidP="009D5660">
      <w:pPr>
        <w:pStyle w:val="HChG"/>
      </w:pPr>
      <w:r>
        <w:tab/>
        <w:t>III.</w:t>
      </w:r>
      <w:r w:rsidRPr="009E0BCD">
        <w:tab/>
      </w:r>
      <w:r w:rsidRPr="00170740">
        <w:t xml:space="preserve">Organisation of the Committee on Sustainable Energy twenty-ninth session </w:t>
      </w:r>
      <w:r w:rsidRPr="009E0BCD">
        <w:t>(agenda item 2)</w:t>
      </w:r>
    </w:p>
    <w:p w14:paraId="1E834E4A" w14:textId="66CB5F60" w:rsidR="009D5660" w:rsidRDefault="009D5660" w:rsidP="009D5660">
      <w:pPr>
        <w:pStyle w:val="H1G"/>
      </w:pPr>
      <w:r>
        <w:tab/>
      </w:r>
      <w:r w:rsidRPr="009D5660">
        <w:t>A.</w:t>
      </w:r>
      <w:r w:rsidRPr="009D5660">
        <w:tab/>
        <w:t>Election of officers</w:t>
      </w:r>
    </w:p>
    <w:p w14:paraId="3DFE9C09" w14:textId="77777777" w:rsidR="009D5660" w:rsidRPr="0080226C" w:rsidRDefault="009D5660" w:rsidP="009D5660">
      <w:pPr>
        <w:pStyle w:val="SingleTxtG"/>
        <w:rPr>
          <w:rStyle w:val="SingleTxtGChar"/>
        </w:rPr>
      </w:pPr>
      <w:r w:rsidRPr="0080226C">
        <w:rPr>
          <w:rStyle w:val="SingleTxtGChar"/>
        </w:rPr>
        <w:t>11.</w:t>
      </w:r>
      <w:r w:rsidRPr="0080226C">
        <w:rPr>
          <w:rStyle w:val="SingleTxtGChar"/>
        </w:rPr>
        <w:tab/>
        <w:t xml:space="preserve">The Committee elected Mr. Tigran </w:t>
      </w:r>
      <w:proofErr w:type="spellStart"/>
      <w:r w:rsidRPr="0080226C">
        <w:rPr>
          <w:rStyle w:val="SingleTxtGChar"/>
        </w:rPr>
        <w:t>Melkonyan</w:t>
      </w:r>
      <w:proofErr w:type="spellEnd"/>
      <w:r w:rsidRPr="0080226C">
        <w:rPr>
          <w:rStyle w:val="SingleTxtGChar"/>
        </w:rPr>
        <w:t xml:space="preserve"> (Armenia), Mr. </w:t>
      </w:r>
      <w:proofErr w:type="spellStart"/>
      <w:r w:rsidRPr="0080226C">
        <w:rPr>
          <w:rStyle w:val="SingleTxtGChar"/>
        </w:rPr>
        <w:t>Kairat</w:t>
      </w:r>
      <w:proofErr w:type="spellEnd"/>
      <w:r w:rsidRPr="0080226C">
        <w:rPr>
          <w:rStyle w:val="SingleTxtGChar"/>
        </w:rPr>
        <w:t xml:space="preserve"> </w:t>
      </w:r>
      <w:proofErr w:type="spellStart"/>
      <w:r w:rsidRPr="0080226C">
        <w:rPr>
          <w:rStyle w:val="SingleTxtGChar"/>
        </w:rPr>
        <w:t>Rakhimov</w:t>
      </w:r>
      <w:proofErr w:type="spellEnd"/>
      <w:r w:rsidRPr="0080226C">
        <w:rPr>
          <w:rStyle w:val="SingleTxtGChar"/>
        </w:rPr>
        <w:t xml:space="preserve"> (Kazakhstan), Ms. Jelena </w:t>
      </w:r>
      <w:proofErr w:type="spellStart"/>
      <w:r w:rsidRPr="0080226C">
        <w:rPr>
          <w:rStyle w:val="SingleTxtGChar"/>
        </w:rPr>
        <w:t>Simovic</w:t>
      </w:r>
      <w:proofErr w:type="spellEnd"/>
      <w:r w:rsidRPr="0080226C">
        <w:rPr>
          <w:rStyle w:val="SingleTxtGChar"/>
        </w:rPr>
        <w:t xml:space="preserve"> (Serbia), Mr. </w:t>
      </w:r>
      <w:proofErr w:type="spellStart"/>
      <w:r w:rsidRPr="0080226C">
        <w:rPr>
          <w:rStyle w:val="SingleTxtGChar"/>
        </w:rPr>
        <w:t>Yaroslav</w:t>
      </w:r>
      <w:proofErr w:type="spellEnd"/>
      <w:r w:rsidRPr="0080226C">
        <w:rPr>
          <w:rStyle w:val="SingleTxtGChar"/>
        </w:rPr>
        <w:t xml:space="preserve"> </w:t>
      </w:r>
      <w:proofErr w:type="spellStart"/>
      <w:r w:rsidRPr="0080226C">
        <w:rPr>
          <w:rStyle w:val="SingleTxtGChar"/>
        </w:rPr>
        <w:t>Demchenkov</w:t>
      </w:r>
      <w:proofErr w:type="spellEnd"/>
      <w:r w:rsidRPr="0080226C">
        <w:rPr>
          <w:rStyle w:val="SingleTxtGChar"/>
        </w:rPr>
        <w:t xml:space="preserve"> (Ukraine) and </w:t>
      </w:r>
      <w:r w:rsidRPr="0080226C">
        <w:rPr>
          <w:rStyle w:val="SingleTxtGChar"/>
        </w:rPr>
        <w:br/>
        <w:t xml:space="preserve">Mr. </w:t>
      </w:r>
      <w:proofErr w:type="spellStart"/>
      <w:r w:rsidRPr="0080226C">
        <w:rPr>
          <w:rStyle w:val="SingleTxtGChar"/>
        </w:rPr>
        <w:t>Jarad</w:t>
      </w:r>
      <w:proofErr w:type="spellEnd"/>
      <w:r w:rsidRPr="0080226C">
        <w:rPr>
          <w:rStyle w:val="SingleTxtGChar"/>
        </w:rPr>
        <w:t xml:space="preserve"> Daniels (United States of America), until the end of the thirty-first session of the Committee. </w:t>
      </w:r>
    </w:p>
    <w:p w14:paraId="6BB4E52D" w14:textId="77777777" w:rsidR="009D5660" w:rsidRPr="0080226C" w:rsidRDefault="009D5660" w:rsidP="009D5660">
      <w:pPr>
        <w:pStyle w:val="SingleTxtG"/>
        <w:rPr>
          <w:rStyle w:val="SingleTxtGChar"/>
        </w:rPr>
      </w:pPr>
      <w:r w:rsidRPr="0080226C">
        <w:rPr>
          <w:rStyle w:val="SingleTxtGChar"/>
        </w:rPr>
        <w:t>12.</w:t>
      </w:r>
      <w:r w:rsidRPr="0080226C">
        <w:rPr>
          <w:rStyle w:val="SingleTxtGChar"/>
        </w:rPr>
        <w:tab/>
        <w:t xml:space="preserve">The term of office of already-elected officials, Mr. Jürgen </w:t>
      </w:r>
      <w:proofErr w:type="spellStart"/>
      <w:r w:rsidRPr="0080226C">
        <w:rPr>
          <w:rStyle w:val="SingleTxtGChar"/>
        </w:rPr>
        <w:t>Keinhorst</w:t>
      </w:r>
      <w:proofErr w:type="spellEnd"/>
      <w:r w:rsidRPr="0080226C">
        <w:rPr>
          <w:rStyle w:val="SingleTxtGChar"/>
        </w:rPr>
        <w:t xml:space="preserve"> (Germany) as Chair, and Mr. </w:t>
      </w:r>
      <w:proofErr w:type="spellStart"/>
      <w:r w:rsidRPr="0080226C">
        <w:rPr>
          <w:rStyle w:val="SingleTxtGChar"/>
        </w:rPr>
        <w:t>Admir</w:t>
      </w:r>
      <w:proofErr w:type="spellEnd"/>
      <w:r w:rsidRPr="0080226C">
        <w:rPr>
          <w:rStyle w:val="SingleTxtGChar"/>
        </w:rPr>
        <w:t xml:space="preserve"> </w:t>
      </w:r>
      <w:proofErr w:type="spellStart"/>
      <w:r w:rsidRPr="0080226C">
        <w:rPr>
          <w:rStyle w:val="SingleTxtGChar"/>
        </w:rPr>
        <w:t>Softić</w:t>
      </w:r>
      <w:proofErr w:type="spellEnd"/>
      <w:r w:rsidRPr="0080226C">
        <w:rPr>
          <w:rStyle w:val="SingleTxtGChar"/>
        </w:rPr>
        <w:t xml:space="preserve"> (Bosnia and Herzegovina), Mr. David </w:t>
      </w:r>
      <w:proofErr w:type="spellStart"/>
      <w:r w:rsidRPr="0080226C">
        <w:rPr>
          <w:rStyle w:val="SingleTxtGChar"/>
        </w:rPr>
        <w:t>Tvalabeishvili</w:t>
      </w:r>
      <w:proofErr w:type="spellEnd"/>
      <w:r w:rsidRPr="0080226C">
        <w:rPr>
          <w:rStyle w:val="SingleTxtGChar"/>
        </w:rPr>
        <w:t xml:space="preserve"> (Georgia), Mr. James Gannon (Ireland), Mr. Gilberto </w:t>
      </w:r>
      <w:proofErr w:type="spellStart"/>
      <w:r w:rsidRPr="0080226C">
        <w:rPr>
          <w:rStyle w:val="SingleTxtGChar"/>
        </w:rPr>
        <w:t>Dialuce</w:t>
      </w:r>
      <w:proofErr w:type="spellEnd"/>
      <w:r w:rsidRPr="0080226C">
        <w:rPr>
          <w:rStyle w:val="SingleTxtGChar"/>
        </w:rPr>
        <w:t xml:space="preserve"> (Italy), Mr. Pawel </w:t>
      </w:r>
      <w:proofErr w:type="spellStart"/>
      <w:r w:rsidRPr="0080226C">
        <w:rPr>
          <w:rStyle w:val="SingleTxtGChar"/>
        </w:rPr>
        <w:t>Pikus</w:t>
      </w:r>
      <w:proofErr w:type="spellEnd"/>
      <w:r w:rsidRPr="0080226C">
        <w:rPr>
          <w:rStyle w:val="SingleTxtGChar"/>
        </w:rPr>
        <w:t xml:space="preserve"> (Poland), </w:t>
      </w:r>
      <w:r>
        <w:rPr>
          <w:rStyle w:val="SingleTxtGChar"/>
        </w:rPr>
        <w:br/>
      </w:r>
      <w:r w:rsidRPr="0080226C">
        <w:rPr>
          <w:rStyle w:val="SingleTxtGChar"/>
        </w:rPr>
        <w:t xml:space="preserve">Mr. Alexander </w:t>
      </w:r>
      <w:proofErr w:type="spellStart"/>
      <w:r w:rsidRPr="0080226C">
        <w:rPr>
          <w:rStyle w:val="SingleTxtGChar"/>
        </w:rPr>
        <w:t>Tolparov</w:t>
      </w:r>
      <w:proofErr w:type="spellEnd"/>
      <w:r w:rsidRPr="0080226C">
        <w:rPr>
          <w:rStyle w:val="SingleTxtGChar"/>
        </w:rPr>
        <w:t xml:space="preserve"> (Russian Federation), Mr. Jean-Christophe </w:t>
      </w:r>
      <w:proofErr w:type="spellStart"/>
      <w:r w:rsidRPr="0080226C">
        <w:rPr>
          <w:rStyle w:val="SingleTxtGChar"/>
        </w:rPr>
        <w:t>Füeg</w:t>
      </w:r>
      <w:proofErr w:type="spellEnd"/>
      <w:r w:rsidRPr="0080226C">
        <w:rPr>
          <w:rStyle w:val="SingleTxtGChar"/>
        </w:rPr>
        <w:t xml:space="preserve"> (Switzerland), and Ms. Nataliya Boyko (Ukraine) as Vice-Chairs</w:t>
      </w:r>
      <w:r>
        <w:rPr>
          <w:rStyle w:val="SingleTxtGChar"/>
        </w:rPr>
        <w:t>,</w:t>
      </w:r>
      <w:r w:rsidRPr="0080226C">
        <w:rPr>
          <w:rStyle w:val="SingleTxtGChar"/>
        </w:rPr>
        <w:t xml:space="preserve"> was for two years from the date of their election until the end of the thirtieth session of the Committee. </w:t>
      </w:r>
      <w:r w:rsidRPr="0080226C">
        <w:t xml:space="preserve">The Committee underscored the desirability, for the sake of ensuring continuity of </w:t>
      </w:r>
      <w:r w:rsidRPr="0080226C">
        <w:rPr>
          <w:rStyle w:val="SingleTxtGChar"/>
        </w:rPr>
        <w:t>the Bureau, that not all officers be elected at the same time.</w:t>
      </w:r>
    </w:p>
    <w:p w14:paraId="15C8DC5F" w14:textId="77777777" w:rsidR="009D5660" w:rsidRPr="0080226C" w:rsidRDefault="009D5660" w:rsidP="009D5660">
      <w:pPr>
        <w:pStyle w:val="SingleTxtG"/>
        <w:rPr>
          <w:rStyle w:val="SingleTxtGChar"/>
        </w:rPr>
      </w:pPr>
      <w:r w:rsidRPr="0080226C">
        <w:rPr>
          <w:rStyle w:val="SingleTxtGChar"/>
        </w:rPr>
        <w:t>13.</w:t>
      </w:r>
      <w:r w:rsidRPr="0080226C">
        <w:rPr>
          <w:rStyle w:val="SingleTxtGChar"/>
        </w:rPr>
        <w:tab/>
        <w:t xml:space="preserve">The Committee noted that Ms. Nataliya Boyko (Ukraine) and Mr. Talgat </w:t>
      </w:r>
      <w:proofErr w:type="spellStart"/>
      <w:r w:rsidRPr="0080226C">
        <w:rPr>
          <w:rStyle w:val="SingleTxtGChar"/>
        </w:rPr>
        <w:t>Karashev</w:t>
      </w:r>
      <w:proofErr w:type="spellEnd"/>
      <w:r w:rsidRPr="0080226C">
        <w:rPr>
          <w:rStyle w:val="SingleTxtGChar"/>
        </w:rPr>
        <w:t xml:space="preserve"> (Kazakhstan) were stepping down from the Bureau with effect from the end of the twenty-ninth session. The Committee thanked both for their contributions to the work of the Committee. </w:t>
      </w:r>
    </w:p>
    <w:p w14:paraId="55BAE713" w14:textId="578415CE" w:rsidR="009D5660" w:rsidRDefault="009D5660" w:rsidP="009D5660">
      <w:pPr>
        <w:pStyle w:val="SingleTxtG"/>
        <w:rPr>
          <w:rStyle w:val="SingleTxtGChar"/>
        </w:rPr>
      </w:pPr>
      <w:r w:rsidRPr="0080226C">
        <w:rPr>
          <w:rStyle w:val="SingleTxtGChar"/>
        </w:rPr>
        <w:t>14.</w:t>
      </w:r>
      <w:r w:rsidRPr="0080226C">
        <w:rPr>
          <w:rStyle w:val="SingleTxtGChar"/>
        </w:rPr>
        <w:tab/>
        <w:t xml:space="preserve">The Chairs of the Committee’s subsidiary bodies are Vice-Chairs of the Committee </w:t>
      </w:r>
      <w:r w:rsidRPr="0080226C">
        <w:rPr>
          <w:rStyle w:val="SingleTxtGChar"/>
          <w:i/>
          <w:iCs/>
        </w:rPr>
        <w:t>ex officio</w:t>
      </w:r>
      <w:r w:rsidRPr="0080226C">
        <w:rPr>
          <w:rStyle w:val="SingleTxtGChar"/>
        </w:rPr>
        <w:t xml:space="preserve"> (currently Mr. Aleksandar </w:t>
      </w:r>
      <w:proofErr w:type="spellStart"/>
      <w:r w:rsidRPr="0080226C">
        <w:rPr>
          <w:rStyle w:val="SingleTxtGChar"/>
        </w:rPr>
        <w:t>Dukovski</w:t>
      </w:r>
      <w:proofErr w:type="spellEnd"/>
      <w:r w:rsidRPr="0080226C">
        <w:rPr>
          <w:rStyle w:val="SingleTxtGChar"/>
        </w:rPr>
        <w:t xml:space="preserve">, Group of Experts on Energy Efficiency, </w:t>
      </w:r>
      <w:r w:rsidRPr="0080226C">
        <w:rPr>
          <w:rStyle w:val="SingleTxtGChar"/>
        </w:rPr>
        <w:br/>
        <w:t>Mr. Jim Robb, Group of Experts on Cleaner Electricity Systems, Mr. Raymond Pilcher, Group of Experts on Coal Mine Methane, Mr. Francisco de la Flor, Group of Experts on Gas, Mr. Kostiantyn</w:t>
      </w:r>
      <w:r>
        <w:rPr>
          <w:rStyle w:val="SingleTxtGChar"/>
        </w:rPr>
        <w:t xml:space="preserve"> Gura</w:t>
      </w:r>
      <w:r w:rsidRPr="0080226C">
        <w:rPr>
          <w:rStyle w:val="SingleTxtGChar"/>
        </w:rPr>
        <w:t>, Group of Experts on Renewable Energy, and Mr. David MacDonald, Expert Group on Resource Management).</w:t>
      </w:r>
    </w:p>
    <w:p w14:paraId="5DD2E4E7" w14:textId="6A4F65DC" w:rsidR="009D5660" w:rsidRDefault="009D5660" w:rsidP="009D5660">
      <w:pPr>
        <w:pStyle w:val="H1G"/>
      </w:pPr>
      <w:r>
        <w:tab/>
      </w:r>
      <w:r w:rsidRPr="0080226C">
        <w:t>B.</w:t>
      </w:r>
      <w:r w:rsidRPr="0080226C">
        <w:tab/>
        <w:t>Implications of COVID-19 for future meetings</w:t>
      </w:r>
    </w:p>
    <w:p w14:paraId="3B7F64B3" w14:textId="6C3BFD46" w:rsidR="009D5660" w:rsidRDefault="009D5660" w:rsidP="009D5660">
      <w:pPr>
        <w:pStyle w:val="SingleTxtG"/>
        <w:spacing w:before="240"/>
        <w:ind w:left="1138" w:right="1138"/>
        <w:rPr>
          <w:rStyle w:val="SingleTxtGChar"/>
        </w:rPr>
      </w:pPr>
      <w:r>
        <w:rPr>
          <w:rStyle w:val="SingleTxtGChar"/>
        </w:rPr>
        <w:t>15.</w:t>
      </w:r>
      <w:r>
        <w:rPr>
          <w:rStyle w:val="SingleTxtGChar"/>
        </w:rPr>
        <w:tab/>
        <w:t xml:space="preserve">The Director of the Sustainable Energy Division of ECE explained the implications of COVID-19 for future meetings and outlined the special procedures put in place by the </w:t>
      </w:r>
      <w:r>
        <w:rPr>
          <w:rStyle w:val="SingleTxtGChar"/>
        </w:rPr>
        <w:lastRenderedPageBreak/>
        <w:t xml:space="preserve">ECE Executive Committee (EXCOM) and how they might be applied to the Committee on Sustainable Energy and its subsidiary bodies. </w:t>
      </w:r>
    </w:p>
    <w:p w14:paraId="2146F016" w14:textId="77777777" w:rsidR="009D5660" w:rsidRPr="0080226C" w:rsidRDefault="009D5660" w:rsidP="009D5660">
      <w:pPr>
        <w:pStyle w:val="SingleTxtG"/>
        <w:spacing w:before="240"/>
        <w:ind w:left="1138" w:right="1138"/>
        <w:rPr>
          <w:rStyle w:val="SingleTxtGChar"/>
        </w:rPr>
      </w:pPr>
      <w:r w:rsidRPr="0080226C">
        <w:rPr>
          <w:rStyle w:val="SingleTxtGChar"/>
        </w:rPr>
        <w:t>1</w:t>
      </w:r>
      <w:r>
        <w:rPr>
          <w:rStyle w:val="SingleTxtGChar"/>
        </w:rPr>
        <w:t>6</w:t>
      </w:r>
      <w:r w:rsidRPr="0080226C">
        <w:rPr>
          <w:rStyle w:val="SingleTxtGChar"/>
        </w:rPr>
        <w:t>.</w:t>
      </w:r>
      <w:r w:rsidRPr="0080226C">
        <w:rPr>
          <w:rStyle w:val="SingleTxtGChar"/>
        </w:rPr>
        <w:tab/>
        <w:t>The Committee:</w:t>
      </w:r>
    </w:p>
    <w:p w14:paraId="39754A4B" w14:textId="441F88C8" w:rsidR="009D5660" w:rsidRPr="009D5660" w:rsidRDefault="009D5660" w:rsidP="009D5660">
      <w:pPr>
        <w:pStyle w:val="SingleTxtG"/>
        <w:ind w:firstLine="567"/>
      </w:pPr>
      <w:r w:rsidRPr="009D5660">
        <w:t>(a)</w:t>
      </w:r>
      <w:r w:rsidRPr="009D5660">
        <w:tab/>
        <w:t>Noted with appreciation the efforts by the secretariat to ensure effective functioning of the Committee and its subsidiary bodies and preparation of mandated deliverables despite constraints and limitations imposed by the COVID-19 pandemic</w:t>
      </w:r>
      <w:r>
        <w:t>;</w:t>
      </w:r>
    </w:p>
    <w:p w14:paraId="63AFF1F7" w14:textId="1043547A" w:rsidR="009D5660" w:rsidRPr="009D5660" w:rsidRDefault="009D5660" w:rsidP="009D5660">
      <w:pPr>
        <w:pStyle w:val="SingleTxtG"/>
        <w:ind w:firstLine="567"/>
      </w:pPr>
      <w:r w:rsidRPr="009D5660">
        <w:t>(b)</w:t>
      </w:r>
      <w:r w:rsidRPr="009D5660">
        <w:tab/>
        <w:t>In light of the on-going COVID-19 pandemic and in anticipation of possible future exceptional circumstances, approved the convening of informal consultations of the Committee and its subsidiary bodies to allow for discussion of matters of crucial importance for the continuity of work during periods where special procedures put in place by EXCOM apply</w:t>
      </w:r>
      <w:r>
        <w:t>;</w:t>
      </w:r>
    </w:p>
    <w:p w14:paraId="6FE27EF3" w14:textId="3F031758" w:rsidR="009D5660" w:rsidRPr="0068058C" w:rsidRDefault="009D5660" w:rsidP="009D5660">
      <w:pPr>
        <w:pStyle w:val="SingleTxtG"/>
        <w:ind w:firstLine="567"/>
        <w:rPr>
          <w:color w:val="FF0000"/>
          <w:lang w:val="en-US" w:eastAsia="en-GB"/>
        </w:rPr>
      </w:pPr>
      <w:r w:rsidRPr="0080226C">
        <w:rPr>
          <w:lang w:val="en-US" w:eastAsia="en-GB"/>
        </w:rPr>
        <w:t>(c)</w:t>
      </w:r>
      <w:r w:rsidRPr="0080226C">
        <w:rPr>
          <w:lang w:val="en-US" w:eastAsia="en-GB"/>
        </w:rPr>
        <w:tab/>
        <w:t>Authorized the Chair of the Committee to circulate recommendations on business-critical issues resulting from the informal consultations, through the Permanent Missions in Geneva, under a silence procedure of at least 72 hours and in accordance</w:t>
      </w:r>
      <w:r w:rsidRPr="00B05FBC">
        <w:rPr>
          <w:lang w:val="en-US" w:eastAsia="en-GB"/>
        </w:rPr>
        <w:t xml:space="preserve"> with Rule 44 of the Terms of Reference and Rules of Procedure of ECE as contained in </w:t>
      </w:r>
      <w:r w:rsidRPr="00DD0F5C">
        <w:rPr>
          <w:lang w:val="en-US" w:eastAsia="en-GB"/>
        </w:rPr>
        <w:t>E/ECE/778/Rev.5.</w:t>
      </w:r>
      <w:r w:rsidR="0068058C" w:rsidRPr="00DD0F5C">
        <w:rPr>
          <w:lang w:val="en-US" w:eastAsia="en-GB"/>
        </w:rPr>
        <w:t xml:space="preserve"> </w:t>
      </w:r>
    </w:p>
    <w:p w14:paraId="5F2D1188" w14:textId="58608AC1" w:rsidR="009D5660" w:rsidRDefault="009D5660" w:rsidP="00036F10">
      <w:pPr>
        <w:pStyle w:val="SingleTxtG"/>
        <w:ind w:firstLine="567"/>
        <w:rPr>
          <w:lang w:val="en-US" w:eastAsia="en-GB"/>
        </w:rPr>
      </w:pPr>
      <w:r>
        <w:rPr>
          <w:lang w:val="en-US" w:eastAsia="en-GB"/>
        </w:rPr>
        <w:t>(d)</w:t>
      </w:r>
      <w:r>
        <w:rPr>
          <w:lang w:val="en-US" w:eastAsia="en-GB"/>
        </w:rPr>
        <w:tab/>
      </w:r>
      <w:r w:rsidRPr="00B05FBC">
        <w:rPr>
          <w:lang w:val="en-US" w:eastAsia="en-GB"/>
        </w:rPr>
        <w:t>Note</w:t>
      </w:r>
      <w:r>
        <w:rPr>
          <w:lang w:val="en-US" w:eastAsia="en-GB"/>
        </w:rPr>
        <w:t>d</w:t>
      </w:r>
      <w:r w:rsidRPr="00B05FBC">
        <w:rPr>
          <w:lang w:val="en-US" w:eastAsia="en-GB"/>
        </w:rPr>
        <w:t xml:space="preserve"> that, if the silence is not broken, the recommendations shall be considered adopted and will be submitted to the </w:t>
      </w:r>
      <w:r>
        <w:rPr>
          <w:lang w:val="en-US" w:eastAsia="en-GB"/>
        </w:rPr>
        <w:t xml:space="preserve">subsequent </w:t>
      </w:r>
      <w:r w:rsidRPr="00B05FBC">
        <w:rPr>
          <w:lang w:val="en-US" w:eastAsia="en-GB"/>
        </w:rPr>
        <w:t>session</w:t>
      </w:r>
      <w:r>
        <w:rPr>
          <w:lang w:val="en-US" w:eastAsia="en-GB"/>
        </w:rPr>
        <w:t>s</w:t>
      </w:r>
      <w:r w:rsidRPr="00B05FBC">
        <w:rPr>
          <w:lang w:val="en-US" w:eastAsia="en-GB"/>
        </w:rPr>
        <w:t xml:space="preserve"> of </w:t>
      </w:r>
      <w:r>
        <w:rPr>
          <w:lang w:val="en-US" w:eastAsia="en-GB"/>
        </w:rPr>
        <w:t xml:space="preserve">the relevant body </w:t>
      </w:r>
      <w:r w:rsidRPr="00B05FBC">
        <w:rPr>
          <w:lang w:val="en-US" w:eastAsia="en-GB"/>
        </w:rPr>
        <w:t xml:space="preserve">for </w:t>
      </w:r>
      <w:r>
        <w:rPr>
          <w:lang w:val="en-US" w:eastAsia="en-GB"/>
        </w:rPr>
        <w:t>consideration</w:t>
      </w:r>
      <w:r w:rsidRPr="00B05FBC">
        <w:rPr>
          <w:lang w:val="en-US" w:eastAsia="en-GB"/>
        </w:rPr>
        <w:t xml:space="preserve">, as appropriate. </w:t>
      </w:r>
    </w:p>
    <w:p w14:paraId="4E21B81A" w14:textId="29F5CDC3" w:rsidR="009D5660" w:rsidRDefault="009D5660" w:rsidP="009D5660">
      <w:pPr>
        <w:pStyle w:val="HChG"/>
      </w:pPr>
      <w:r>
        <w:tab/>
      </w:r>
      <w:r w:rsidRPr="003B5B19">
        <w:t>IV.</w:t>
      </w:r>
      <w:r w:rsidRPr="003B5B19">
        <w:tab/>
      </w:r>
      <w:r w:rsidRPr="00170740">
        <w:t xml:space="preserve">Strategic review of the sustainable energy subprogramme </w:t>
      </w:r>
      <w:r w:rsidRPr="003B5B19">
        <w:t>(agenda item 3)</w:t>
      </w:r>
    </w:p>
    <w:p w14:paraId="1383FA21" w14:textId="77777777" w:rsidR="009D5660" w:rsidRDefault="009D5660" w:rsidP="009D5660">
      <w:pPr>
        <w:pStyle w:val="SingleTxtG"/>
        <w:ind w:left="2829" w:hanging="1695"/>
      </w:pPr>
      <w:r w:rsidRPr="00506914">
        <w:rPr>
          <w:i/>
        </w:rPr>
        <w:t>Documentation:</w:t>
      </w:r>
      <w:r w:rsidRPr="00506914">
        <w:tab/>
      </w:r>
      <w:r w:rsidRPr="0075424F">
        <w:t>ECE/ENERGY/2020/12 – Strategic review of the ECE sustainable energy subprogramme</w:t>
      </w:r>
    </w:p>
    <w:p w14:paraId="491F894C" w14:textId="77777777" w:rsidR="009D5660" w:rsidRPr="00506914" w:rsidRDefault="009D5660" w:rsidP="009D5660">
      <w:pPr>
        <w:pStyle w:val="SingleTxtG"/>
        <w:ind w:left="2829"/>
      </w:pPr>
      <w:r>
        <w:t xml:space="preserve">ECE/ENERGY/2020/5 – </w:t>
      </w:r>
      <w:r w:rsidRPr="00722C27">
        <w:t xml:space="preserve">Draft </w:t>
      </w:r>
      <w:r>
        <w:t>r</w:t>
      </w:r>
      <w:r w:rsidRPr="00722C27">
        <w:t xml:space="preserve">ules </w:t>
      </w:r>
      <w:r>
        <w:t>of procedure for the Committee on Sustainable Energy</w:t>
      </w:r>
    </w:p>
    <w:p w14:paraId="59E3031F" w14:textId="77777777" w:rsidR="009D5660" w:rsidRDefault="009D5660" w:rsidP="009D5660">
      <w:pPr>
        <w:pStyle w:val="SingleTxtG"/>
        <w:ind w:left="2829"/>
        <w:rPr>
          <w:lang w:val="en-US" w:eastAsia="en-GB"/>
        </w:rPr>
      </w:pPr>
      <w:r w:rsidRPr="00527E74">
        <w:rPr>
          <w:lang w:val="en-US" w:eastAsia="en-GB"/>
        </w:rPr>
        <w:t>ECE/ENERGY/GE.3/2020/2</w:t>
      </w:r>
      <w:r w:rsidRPr="0005313D">
        <w:rPr>
          <w:lang w:val="en-US" w:eastAsia="en-GB"/>
        </w:rPr>
        <w:t xml:space="preserve"> – </w:t>
      </w:r>
      <w:r>
        <w:rPr>
          <w:lang w:val="en-US" w:eastAsia="en-GB"/>
        </w:rPr>
        <w:t xml:space="preserve">Report of the eleventh session of the Expert Group on Resource Management </w:t>
      </w:r>
    </w:p>
    <w:p w14:paraId="74FBA648" w14:textId="77777777" w:rsidR="009D5660" w:rsidRDefault="009D5660" w:rsidP="009D5660">
      <w:pPr>
        <w:pStyle w:val="SingleTxtG"/>
        <w:ind w:left="2829"/>
      </w:pPr>
      <w:r w:rsidRPr="0075424F">
        <w:t>ECE/ENERGY/GE.5/2020/2</w:t>
      </w:r>
      <w:r>
        <w:t xml:space="preserve"> </w:t>
      </w:r>
      <w:r w:rsidRPr="004E56F5">
        <w:t xml:space="preserve">– </w:t>
      </w:r>
      <w:r w:rsidRPr="0075424F">
        <w:t>Report of the sixteenth session of the Group of Experts on Cleaner Electricity Systems</w:t>
      </w:r>
    </w:p>
    <w:p w14:paraId="7527192E" w14:textId="77777777" w:rsidR="009D5660" w:rsidRDefault="009D5660" w:rsidP="009D5660">
      <w:pPr>
        <w:pStyle w:val="SingleTxtG"/>
        <w:ind w:left="2829"/>
      </w:pPr>
      <w:r w:rsidRPr="0075424F">
        <w:t>ECE/ENERGY/GE.4/2020/2</w:t>
      </w:r>
      <w:r>
        <w:t xml:space="preserve"> </w:t>
      </w:r>
      <w:r w:rsidRPr="004E56F5">
        <w:t xml:space="preserve">– </w:t>
      </w:r>
      <w:r w:rsidRPr="0075424F">
        <w:t>Report of the fifteenth session o</w:t>
      </w:r>
      <w:r>
        <w:t>f</w:t>
      </w:r>
      <w:r w:rsidRPr="0075424F">
        <w:t xml:space="preserve"> the Group of Experts on Coal Mine Methane</w:t>
      </w:r>
    </w:p>
    <w:p w14:paraId="77FDF1D1" w14:textId="77777777" w:rsidR="009D5660" w:rsidRDefault="009D5660" w:rsidP="009D5660">
      <w:pPr>
        <w:pStyle w:val="SingleTxtG"/>
        <w:ind w:left="2829"/>
      </w:pPr>
      <w:r w:rsidRPr="0075424F">
        <w:t>ECE/ENERGY/GE.6/2020/2</w:t>
      </w:r>
      <w:r>
        <w:t xml:space="preserve"> </w:t>
      </w:r>
      <w:r w:rsidRPr="004E56F5">
        <w:t xml:space="preserve">– </w:t>
      </w:r>
      <w:r w:rsidRPr="0075424F">
        <w:t>Report of the seventh session of the Group of Experts on Energy Efficiency</w:t>
      </w:r>
    </w:p>
    <w:p w14:paraId="6432E5B8" w14:textId="77777777" w:rsidR="009D5660" w:rsidRDefault="009D5660" w:rsidP="009D5660">
      <w:pPr>
        <w:pStyle w:val="SingleTxtG"/>
        <w:ind w:left="2829"/>
      </w:pPr>
      <w:r w:rsidRPr="0075424F">
        <w:t>ECE/ENERGY/GE.</w:t>
      </w:r>
      <w:r>
        <w:t>7</w:t>
      </w:r>
      <w:r w:rsidRPr="0075424F">
        <w:t>/2020/2</w:t>
      </w:r>
      <w:r w:rsidRPr="004E56F5">
        <w:t xml:space="preserve"> – </w:t>
      </w:r>
      <w:r w:rsidRPr="0075424F">
        <w:t>Report of the seventh session of the Group of Experts on Renewable Energy</w:t>
      </w:r>
    </w:p>
    <w:p w14:paraId="0FA3BB5C" w14:textId="6F8699B0" w:rsidR="009D5660" w:rsidRDefault="009D5660" w:rsidP="009D5660">
      <w:pPr>
        <w:pStyle w:val="SingleTxtG"/>
        <w:ind w:left="2829"/>
      </w:pPr>
      <w:r w:rsidRPr="0075424F">
        <w:t>ECE/ENERGY/GE.</w:t>
      </w:r>
      <w:r>
        <w:t>8</w:t>
      </w:r>
      <w:r w:rsidRPr="0075424F">
        <w:t>/2020/2</w:t>
      </w:r>
      <w:r>
        <w:t xml:space="preserve"> </w:t>
      </w:r>
      <w:r w:rsidRPr="004E56F5">
        <w:t xml:space="preserve">– </w:t>
      </w:r>
      <w:r w:rsidRPr="0075424F">
        <w:t xml:space="preserve">Report of the </w:t>
      </w:r>
      <w:r>
        <w:t>seventh</w:t>
      </w:r>
      <w:r w:rsidRPr="0075424F">
        <w:t xml:space="preserve"> session of the </w:t>
      </w:r>
      <w:r>
        <w:t>Group of Experts on Gas</w:t>
      </w:r>
    </w:p>
    <w:p w14:paraId="66EFDBA6" w14:textId="4099B751" w:rsidR="009D5660" w:rsidRDefault="009D5660" w:rsidP="009D5660">
      <w:pPr>
        <w:pStyle w:val="H1G"/>
        <w:rPr>
          <w:lang w:eastAsia="en-GB"/>
        </w:rPr>
      </w:pPr>
      <w:r>
        <w:rPr>
          <w:lang w:eastAsia="en-GB"/>
        </w:rPr>
        <w:tab/>
      </w:r>
      <w:r w:rsidRPr="008C7B4D">
        <w:rPr>
          <w:lang w:eastAsia="en-GB"/>
        </w:rPr>
        <w:t>A.</w:t>
      </w:r>
      <w:r w:rsidRPr="008C7B4D">
        <w:rPr>
          <w:lang w:eastAsia="en-GB"/>
        </w:rPr>
        <w:tab/>
      </w:r>
      <w:r w:rsidRPr="00170740">
        <w:rPr>
          <w:lang w:eastAsia="en-GB"/>
        </w:rPr>
        <w:t>Rethinking energy: Considerations from the six subsidiary bodies</w:t>
      </w:r>
    </w:p>
    <w:p w14:paraId="65A74455" w14:textId="77777777" w:rsidR="00F977E2" w:rsidRDefault="00F977E2" w:rsidP="00F977E2">
      <w:pPr>
        <w:pStyle w:val="SingleTxtG"/>
        <w:rPr>
          <w:lang w:val="en-US" w:eastAsia="en-GB"/>
        </w:rPr>
      </w:pPr>
      <w:r>
        <w:rPr>
          <w:lang w:val="en-US" w:eastAsia="en-GB"/>
        </w:rPr>
        <w:t>17.</w:t>
      </w:r>
      <w:r>
        <w:rPr>
          <w:lang w:val="en-US" w:eastAsia="en-GB"/>
        </w:rPr>
        <w:tab/>
        <w:t xml:space="preserve">A moderated discussion was held with presentations from the Chairs of the six subsidiary bodies. </w:t>
      </w:r>
    </w:p>
    <w:p w14:paraId="5CF554AF" w14:textId="77777777" w:rsidR="00F977E2" w:rsidRDefault="00F977E2" w:rsidP="00F977E2">
      <w:pPr>
        <w:pStyle w:val="SingleTxtG"/>
        <w:rPr>
          <w:lang w:val="en-US" w:eastAsia="en-GB"/>
        </w:rPr>
      </w:pPr>
      <w:r>
        <w:rPr>
          <w:lang w:val="en-US" w:eastAsia="en-GB"/>
        </w:rPr>
        <w:t>18.</w:t>
      </w:r>
      <w:r>
        <w:rPr>
          <w:lang w:val="en-US" w:eastAsia="en-GB"/>
        </w:rPr>
        <w:tab/>
        <w:t>The Committee:</w:t>
      </w:r>
    </w:p>
    <w:p w14:paraId="4ABE9551" w14:textId="175C3FEA" w:rsidR="00F977E2" w:rsidRPr="00527E74" w:rsidRDefault="00F977E2" w:rsidP="00F977E2">
      <w:pPr>
        <w:pStyle w:val="SingleTxtG"/>
        <w:numPr>
          <w:ilvl w:val="0"/>
          <w:numId w:val="20"/>
        </w:numPr>
        <w:ind w:left="1134" w:firstLine="567"/>
        <w:rPr>
          <w:lang w:val="en-US" w:eastAsia="en-GB"/>
        </w:rPr>
      </w:pPr>
      <w:r w:rsidRPr="00527E74">
        <w:rPr>
          <w:lang w:val="en-US" w:eastAsia="en-GB"/>
        </w:rPr>
        <w:t xml:space="preserve">Noted with appreciation the progress that the </w:t>
      </w:r>
      <w:r>
        <w:rPr>
          <w:lang w:val="en-US" w:eastAsia="en-GB"/>
        </w:rPr>
        <w:t>groups of experts have</w:t>
      </w:r>
      <w:r w:rsidRPr="00527E74">
        <w:rPr>
          <w:lang w:val="en-US" w:eastAsia="en-GB"/>
        </w:rPr>
        <w:t xml:space="preserve"> made on delivering on </w:t>
      </w:r>
      <w:r>
        <w:rPr>
          <w:lang w:val="en-US" w:eastAsia="en-GB"/>
        </w:rPr>
        <w:t xml:space="preserve">their </w:t>
      </w:r>
      <w:r w:rsidRPr="00527E74">
        <w:rPr>
          <w:lang w:val="en-US" w:eastAsia="en-GB"/>
        </w:rPr>
        <w:t xml:space="preserve">mandated activities and </w:t>
      </w:r>
      <w:r>
        <w:rPr>
          <w:lang w:val="en-US" w:eastAsia="en-GB"/>
        </w:rPr>
        <w:t>w</w:t>
      </w:r>
      <w:r w:rsidRPr="00527E74">
        <w:rPr>
          <w:lang w:val="en-US" w:eastAsia="en-GB"/>
        </w:rPr>
        <w:t xml:space="preserve">ork </w:t>
      </w:r>
      <w:r>
        <w:rPr>
          <w:lang w:val="en-US" w:eastAsia="en-GB"/>
        </w:rPr>
        <w:t>p</w:t>
      </w:r>
      <w:r w:rsidRPr="00527E74">
        <w:rPr>
          <w:lang w:val="en-US" w:eastAsia="en-GB"/>
        </w:rPr>
        <w:t>lan</w:t>
      </w:r>
      <w:r>
        <w:rPr>
          <w:lang w:val="en-US" w:eastAsia="en-GB"/>
        </w:rPr>
        <w:t>s</w:t>
      </w:r>
      <w:r w:rsidRPr="00527E74">
        <w:rPr>
          <w:lang w:val="en-US" w:eastAsia="en-GB"/>
        </w:rPr>
        <w:t xml:space="preserve"> for 2020-2021</w:t>
      </w:r>
      <w:r>
        <w:rPr>
          <w:lang w:val="en-US" w:eastAsia="en-GB"/>
        </w:rPr>
        <w:t>;</w:t>
      </w:r>
    </w:p>
    <w:p w14:paraId="0C7312CE" w14:textId="59F4971C" w:rsidR="00F977E2" w:rsidRDefault="00F977E2" w:rsidP="00F977E2">
      <w:pPr>
        <w:pStyle w:val="SingleTxtG"/>
        <w:numPr>
          <w:ilvl w:val="0"/>
          <w:numId w:val="20"/>
        </w:numPr>
        <w:ind w:left="1134" w:firstLine="567"/>
        <w:rPr>
          <w:lang w:val="en-US" w:eastAsia="en-GB"/>
        </w:rPr>
      </w:pPr>
      <w:r>
        <w:rPr>
          <w:lang w:val="en-US" w:eastAsia="en-GB"/>
        </w:rPr>
        <w:lastRenderedPageBreak/>
        <w:t>R</w:t>
      </w:r>
      <w:r w:rsidRPr="00D613CA">
        <w:rPr>
          <w:lang w:val="en-US" w:eastAsia="en-GB"/>
        </w:rPr>
        <w:t xml:space="preserve">equested </w:t>
      </w:r>
      <w:r>
        <w:rPr>
          <w:lang w:val="en-US" w:eastAsia="en-GB"/>
        </w:rPr>
        <w:t>its</w:t>
      </w:r>
      <w:r w:rsidRPr="00D613CA">
        <w:rPr>
          <w:lang w:val="en-US" w:eastAsia="en-GB"/>
        </w:rPr>
        <w:t xml:space="preserve"> expert groups to consider in their work the changing social, environmental, and economic contexts for their activities and the principles of a </w:t>
      </w:r>
      <w:r>
        <w:rPr>
          <w:lang w:val="en-US" w:eastAsia="en-GB"/>
        </w:rPr>
        <w:t>j</w:t>
      </w:r>
      <w:r w:rsidRPr="00D613CA">
        <w:rPr>
          <w:lang w:val="en-US" w:eastAsia="en-GB"/>
        </w:rPr>
        <w:t xml:space="preserve">ust </w:t>
      </w:r>
      <w:r>
        <w:rPr>
          <w:lang w:val="en-US" w:eastAsia="en-GB"/>
        </w:rPr>
        <w:t>t</w:t>
      </w:r>
      <w:r w:rsidRPr="00D613CA">
        <w:rPr>
          <w:lang w:val="en-US" w:eastAsia="en-GB"/>
        </w:rPr>
        <w:t>ransition</w:t>
      </w:r>
      <w:r w:rsidR="0068058C">
        <w:rPr>
          <w:lang w:val="en-US" w:eastAsia="en-GB"/>
        </w:rPr>
        <w:t>;</w:t>
      </w:r>
    </w:p>
    <w:p w14:paraId="35A51C2A" w14:textId="745076B1" w:rsidR="00F977E2" w:rsidRPr="00D72342" w:rsidRDefault="00F977E2" w:rsidP="00F977E2">
      <w:pPr>
        <w:pStyle w:val="SingleTxtG"/>
        <w:numPr>
          <w:ilvl w:val="0"/>
          <w:numId w:val="20"/>
        </w:numPr>
        <w:ind w:left="1134" w:firstLine="567"/>
        <w:rPr>
          <w:lang w:val="en-US" w:eastAsia="en-GB"/>
        </w:rPr>
      </w:pPr>
      <w:r>
        <w:rPr>
          <w:lang w:val="en-US" w:eastAsia="en-GB"/>
        </w:rPr>
        <w:t xml:space="preserve">Took note of </w:t>
      </w:r>
      <w:r w:rsidRPr="00527E74">
        <w:rPr>
          <w:lang w:val="en-US" w:eastAsia="en-GB"/>
        </w:rPr>
        <w:t>the report</w:t>
      </w:r>
      <w:r>
        <w:rPr>
          <w:lang w:val="en-US" w:eastAsia="en-GB"/>
        </w:rPr>
        <w:t>s</w:t>
      </w:r>
      <w:r w:rsidRPr="00527E74">
        <w:rPr>
          <w:lang w:val="en-US" w:eastAsia="en-GB"/>
        </w:rPr>
        <w:t xml:space="preserve"> of the </w:t>
      </w:r>
      <w:r>
        <w:rPr>
          <w:lang w:val="en-US" w:eastAsia="en-GB"/>
        </w:rPr>
        <w:t>groups of experts (</w:t>
      </w:r>
      <w:r w:rsidRPr="00527E74">
        <w:rPr>
          <w:lang w:val="en-US" w:eastAsia="en-GB"/>
        </w:rPr>
        <w:t>Expert Group on Resource Management</w:t>
      </w:r>
      <w:r>
        <w:rPr>
          <w:lang w:val="en-US" w:eastAsia="en-GB"/>
        </w:rPr>
        <w:t xml:space="preserve">: </w:t>
      </w:r>
      <w:r w:rsidRPr="00527E74">
        <w:rPr>
          <w:lang w:val="en-US" w:eastAsia="en-GB"/>
        </w:rPr>
        <w:t>ECE/ENERGY/GE.3/2020/2</w:t>
      </w:r>
      <w:r>
        <w:rPr>
          <w:lang w:val="en-US" w:eastAsia="en-GB"/>
        </w:rPr>
        <w:t xml:space="preserve">; </w:t>
      </w:r>
      <w:r w:rsidRPr="00AF2B08">
        <w:rPr>
          <w:lang w:val="en-US" w:eastAsia="en-GB"/>
        </w:rPr>
        <w:t xml:space="preserve">Group of Experts on </w:t>
      </w:r>
      <w:r>
        <w:rPr>
          <w:lang w:val="en-US" w:eastAsia="en-GB"/>
        </w:rPr>
        <w:t xml:space="preserve">Coal Mine Methane: </w:t>
      </w:r>
      <w:r w:rsidRPr="00AF2B08">
        <w:rPr>
          <w:lang w:val="en-US" w:eastAsia="en-GB"/>
        </w:rPr>
        <w:t>ECE/ENERGY/GE.</w:t>
      </w:r>
      <w:r>
        <w:rPr>
          <w:lang w:val="en-US" w:eastAsia="en-GB"/>
        </w:rPr>
        <w:t xml:space="preserve">4/2020/2; </w:t>
      </w:r>
      <w:r w:rsidRPr="00AF2B08">
        <w:rPr>
          <w:lang w:val="en-US" w:eastAsia="en-GB"/>
        </w:rPr>
        <w:t xml:space="preserve">Group of Experts on </w:t>
      </w:r>
      <w:r>
        <w:rPr>
          <w:lang w:val="en-US" w:eastAsia="en-GB"/>
        </w:rPr>
        <w:t xml:space="preserve">Cleaner Electricity Systems: </w:t>
      </w:r>
      <w:r w:rsidRPr="00AF2B08">
        <w:rPr>
          <w:lang w:val="en-US" w:eastAsia="en-GB"/>
        </w:rPr>
        <w:t>ECE/ENERGY/GE.</w:t>
      </w:r>
      <w:r>
        <w:rPr>
          <w:lang w:val="en-US" w:eastAsia="en-GB"/>
        </w:rPr>
        <w:t xml:space="preserve">5/2020/2; </w:t>
      </w:r>
      <w:r w:rsidRPr="00AF2B08">
        <w:rPr>
          <w:lang w:val="en-US" w:eastAsia="en-GB"/>
        </w:rPr>
        <w:t xml:space="preserve">Group of Experts on Energy </w:t>
      </w:r>
      <w:r>
        <w:rPr>
          <w:lang w:val="en-US" w:eastAsia="en-GB"/>
        </w:rPr>
        <w:t xml:space="preserve">Efficiency: </w:t>
      </w:r>
      <w:r w:rsidRPr="00AF2B08">
        <w:rPr>
          <w:lang w:val="en-US" w:eastAsia="en-GB"/>
        </w:rPr>
        <w:t>ECE/ENERGY/GE.</w:t>
      </w:r>
      <w:r>
        <w:rPr>
          <w:lang w:val="en-US" w:eastAsia="en-GB"/>
        </w:rPr>
        <w:t xml:space="preserve">6/2020/2; </w:t>
      </w:r>
      <w:r w:rsidRPr="00AF2B08">
        <w:rPr>
          <w:lang w:val="en-US" w:eastAsia="en-GB"/>
        </w:rPr>
        <w:t>Group of Experts on Renewable Energy</w:t>
      </w:r>
      <w:r>
        <w:rPr>
          <w:lang w:val="en-US" w:eastAsia="en-GB"/>
        </w:rPr>
        <w:t xml:space="preserve">: </w:t>
      </w:r>
      <w:r w:rsidRPr="00AF2B08">
        <w:rPr>
          <w:lang w:val="en-US" w:eastAsia="en-GB"/>
        </w:rPr>
        <w:t>ECE/ENERGY/GE.7/2020/2</w:t>
      </w:r>
      <w:r>
        <w:rPr>
          <w:lang w:val="en-US" w:eastAsia="en-GB"/>
        </w:rPr>
        <w:t xml:space="preserve">; </w:t>
      </w:r>
      <w:r w:rsidRPr="00AF2B08">
        <w:rPr>
          <w:lang w:val="en-US" w:eastAsia="en-GB"/>
        </w:rPr>
        <w:t xml:space="preserve">Group of Experts on </w:t>
      </w:r>
      <w:r>
        <w:rPr>
          <w:lang w:val="en-US" w:eastAsia="en-GB"/>
        </w:rPr>
        <w:t xml:space="preserve">Gas: </w:t>
      </w:r>
      <w:r w:rsidRPr="00AF2B08">
        <w:rPr>
          <w:lang w:val="en-US" w:eastAsia="en-GB"/>
        </w:rPr>
        <w:t>ECE/ENERGY/GE.</w:t>
      </w:r>
      <w:r>
        <w:rPr>
          <w:lang w:val="en-US" w:eastAsia="en-GB"/>
        </w:rPr>
        <w:t>8/2020/2</w:t>
      </w:r>
      <w:r w:rsidRPr="00527E74">
        <w:rPr>
          <w:lang w:val="en-US" w:eastAsia="en-GB"/>
        </w:rPr>
        <w:t xml:space="preserve">) and requested </w:t>
      </w:r>
      <w:r>
        <w:rPr>
          <w:lang w:val="en-US" w:eastAsia="en-GB"/>
        </w:rPr>
        <w:t xml:space="preserve">that </w:t>
      </w:r>
      <w:r w:rsidRPr="00527E74">
        <w:rPr>
          <w:lang w:val="en-US" w:eastAsia="en-GB"/>
        </w:rPr>
        <w:t>the</w:t>
      </w:r>
      <w:r>
        <w:rPr>
          <w:lang w:val="en-US" w:eastAsia="en-GB"/>
        </w:rPr>
        <w:t xml:space="preserve">y </w:t>
      </w:r>
      <w:r w:rsidRPr="00527E74">
        <w:rPr>
          <w:lang w:val="en-US" w:eastAsia="en-GB"/>
        </w:rPr>
        <w:t xml:space="preserve">prepare </w:t>
      </w:r>
      <w:r>
        <w:rPr>
          <w:lang w:val="en-US" w:eastAsia="en-GB"/>
        </w:rPr>
        <w:t xml:space="preserve">their </w:t>
      </w:r>
      <w:r w:rsidRPr="00527E74">
        <w:rPr>
          <w:lang w:val="en-US" w:eastAsia="en-GB"/>
        </w:rPr>
        <w:t>work plan</w:t>
      </w:r>
      <w:r>
        <w:rPr>
          <w:lang w:val="en-US" w:eastAsia="en-GB"/>
        </w:rPr>
        <w:t>s</w:t>
      </w:r>
      <w:r w:rsidRPr="00527E74">
        <w:rPr>
          <w:lang w:val="en-US" w:eastAsia="en-GB"/>
        </w:rPr>
        <w:t xml:space="preserve"> for 2022-2023 for approval by the Committee at </w:t>
      </w:r>
      <w:r w:rsidRPr="00D72342">
        <w:rPr>
          <w:lang w:val="en-US" w:eastAsia="en-GB"/>
        </w:rPr>
        <w:t>its thirtieth session</w:t>
      </w:r>
      <w:r w:rsidR="0068058C">
        <w:rPr>
          <w:lang w:val="en-US" w:eastAsia="en-GB"/>
        </w:rPr>
        <w:t>;</w:t>
      </w:r>
    </w:p>
    <w:p w14:paraId="1A363AFF" w14:textId="2F21E118" w:rsidR="00F977E2" w:rsidRDefault="00F977E2" w:rsidP="00F977E2">
      <w:pPr>
        <w:pStyle w:val="SingleTxtG"/>
        <w:ind w:firstLine="567"/>
      </w:pPr>
      <w:r>
        <w:t>(</w:t>
      </w:r>
      <w:r w:rsidR="00B85118">
        <w:t>d</w:t>
      </w:r>
      <w:r>
        <w:t>)</w:t>
      </w:r>
      <w:r>
        <w:tab/>
      </w:r>
      <w:r w:rsidRPr="00F977E2">
        <w:t xml:space="preserve">Reiterated its request for closer cooperation among the expert groups to address cross-cutting issues, notably related to the project on “Enhancing understanding of the implications of and opportunities for achieving carbon neutrality in the Economic Commission for Europe region across the power- and energy-intensive industries by 2050” (Carbon Neutrality Project). Noted the need to address achieving carbon neutrality across the broader energy system and beyond. </w:t>
      </w:r>
    </w:p>
    <w:p w14:paraId="11A23AB7" w14:textId="18450BCB" w:rsidR="00DD1E05" w:rsidRDefault="00DD1E05" w:rsidP="00DD1E05">
      <w:pPr>
        <w:pStyle w:val="H23G"/>
        <w:rPr>
          <w:lang w:val="en-US" w:eastAsia="en-GB"/>
        </w:rPr>
      </w:pPr>
      <w:r>
        <w:rPr>
          <w:lang w:val="en-US" w:eastAsia="en-GB"/>
        </w:rPr>
        <w:tab/>
        <w:t>1.</w:t>
      </w:r>
      <w:r>
        <w:rPr>
          <w:lang w:val="en-US" w:eastAsia="en-GB"/>
        </w:rPr>
        <w:tab/>
      </w:r>
      <w:r w:rsidRPr="00896A71">
        <w:rPr>
          <w:lang w:val="en-US" w:eastAsia="en-GB"/>
        </w:rPr>
        <w:t>Expert Group on Resource Management</w:t>
      </w:r>
    </w:p>
    <w:p w14:paraId="1C3B478E" w14:textId="77777777" w:rsidR="00DD1E05" w:rsidRDefault="00DD1E05" w:rsidP="00DD1E05">
      <w:pPr>
        <w:pStyle w:val="SingleTxtG"/>
        <w:ind w:left="2835" w:hanging="1701"/>
        <w:rPr>
          <w:lang w:val="en-US" w:eastAsia="en-GB"/>
        </w:rPr>
      </w:pPr>
      <w:r w:rsidRPr="00F50E36">
        <w:rPr>
          <w:i/>
          <w:iCs/>
          <w:lang w:val="en-US"/>
        </w:rPr>
        <w:t xml:space="preserve">Documentation: </w:t>
      </w:r>
      <w:r>
        <w:rPr>
          <w:i/>
          <w:iCs/>
          <w:lang w:val="en-US"/>
        </w:rPr>
        <w:tab/>
      </w:r>
      <w:r w:rsidRPr="0005313D">
        <w:rPr>
          <w:lang w:val="en-US" w:eastAsia="en-GB"/>
        </w:rPr>
        <w:t>ECE/ENERGY/125</w:t>
      </w:r>
      <w:r>
        <w:rPr>
          <w:lang w:val="en-US" w:eastAsia="en-GB"/>
        </w:rPr>
        <w:t xml:space="preserve"> – </w:t>
      </w:r>
      <w:r w:rsidRPr="0005313D">
        <w:rPr>
          <w:lang w:val="en-US" w:eastAsia="en-GB"/>
        </w:rPr>
        <w:t>United Nations Framework Classification for Resources Update 2019</w:t>
      </w:r>
    </w:p>
    <w:p w14:paraId="2934D101" w14:textId="11D545A3" w:rsidR="00DD1E05" w:rsidRDefault="00DD1E05" w:rsidP="00DD1E05">
      <w:pPr>
        <w:pStyle w:val="SingleTxtG"/>
        <w:ind w:left="2835"/>
        <w:rPr>
          <w:lang w:val="en-US" w:eastAsia="en-GB"/>
        </w:rPr>
      </w:pPr>
      <w:r w:rsidRPr="00D70C88">
        <w:rPr>
          <w:lang w:val="en-US" w:eastAsia="en-GB"/>
        </w:rPr>
        <w:t>ECE/ENERGY/2020/7 – Draft revised United Nations Economic and Social Council Decision regarding the United Nations Framework Classification for Resources</w:t>
      </w:r>
    </w:p>
    <w:p w14:paraId="6A42D29A" w14:textId="1364332E" w:rsidR="00DD1E05" w:rsidRDefault="00DD1E05" w:rsidP="00DD1E05">
      <w:pPr>
        <w:pStyle w:val="SingleTxtG"/>
        <w:ind w:left="2835"/>
        <w:rPr>
          <w:lang w:val="en-US" w:eastAsia="en-GB"/>
        </w:rPr>
      </w:pPr>
      <w:r w:rsidRPr="009C2BB9">
        <w:rPr>
          <w:lang w:val="en-US" w:eastAsia="en-GB"/>
        </w:rPr>
        <w:t>EGRM-11/2020/INF.3</w:t>
      </w:r>
      <w:r>
        <w:rPr>
          <w:lang w:val="en-US" w:eastAsia="en-GB"/>
        </w:rPr>
        <w:t xml:space="preserve"> – </w:t>
      </w:r>
      <w:r w:rsidRPr="009C2BB9">
        <w:rPr>
          <w:lang w:val="en-US" w:eastAsia="en-GB"/>
        </w:rPr>
        <w:t xml:space="preserve">Criteria for Designation of International </w:t>
      </w:r>
      <w:proofErr w:type="spellStart"/>
      <w:r w:rsidRPr="009C2BB9">
        <w:rPr>
          <w:lang w:val="en-US" w:eastAsia="en-GB"/>
        </w:rPr>
        <w:t>Centres</w:t>
      </w:r>
      <w:proofErr w:type="spellEnd"/>
      <w:r w:rsidRPr="009C2BB9">
        <w:rPr>
          <w:lang w:val="en-US" w:eastAsia="en-GB"/>
        </w:rPr>
        <w:t xml:space="preserve"> of Excellence on Sustainable Resource Management (ICE-SRM) and Terms of Reference for ICE-SRM</w:t>
      </w:r>
    </w:p>
    <w:p w14:paraId="1B90B50A" w14:textId="77777777" w:rsidR="00DD1E05" w:rsidRDefault="00DD1E05" w:rsidP="00DD1E05">
      <w:pPr>
        <w:pStyle w:val="SingleTxtG"/>
        <w:rPr>
          <w:lang w:val="en-US" w:eastAsia="en-GB"/>
        </w:rPr>
      </w:pPr>
      <w:bookmarkStart w:id="1" w:name="_Hlk54854606"/>
      <w:r>
        <w:rPr>
          <w:lang w:val="en-US" w:eastAsia="en-GB"/>
        </w:rPr>
        <w:t>19.</w:t>
      </w:r>
      <w:r>
        <w:rPr>
          <w:lang w:val="en-US" w:eastAsia="en-GB"/>
        </w:rPr>
        <w:tab/>
        <w:t>The Committee:</w:t>
      </w:r>
    </w:p>
    <w:p w14:paraId="197E1322" w14:textId="41C51D0D" w:rsidR="00DD1E05" w:rsidRDefault="00DD1E05" w:rsidP="00DD1E05">
      <w:pPr>
        <w:pStyle w:val="SingleTxtG"/>
        <w:ind w:firstLine="567"/>
        <w:rPr>
          <w:lang w:val="en-US" w:eastAsia="en-GB"/>
        </w:rPr>
      </w:pPr>
      <w:r>
        <w:rPr>
          <w:lang w:val="en-US" w:eastAsia="en-GB"/>
        </w:rPr>
        <w:t>(a)</w:t>
      </w:r>
      <w:bookmarkStart w:id="2" w:name="_Hlk54615038"/>
      <w:r>
        <w:rPr>
          <w:lang w:val="en-US" w:eastAsia="en-GB"/>
        </w:rPr>
        <w:tab/>
      </w:r>
      <w:r w:rsidRPr="00527E74">
        <w:rPr>
          <w:lang w:val="en-US" w:eastAsia="en-GB"/>
        </w:rPr>
        <w:t xml:space="preserve">Endorsed the updated United Nations Framework Classification for Resources (UNFC) Update 2019 contained in document ECE/ENERGY/125 and invited the Executive Committee to consider submitting the draft revised </w:t>
      </w:r>
      <w:r w:rsidRPr="002025FF">
        <w:rPr>
          <w:lang w:val="en-US" w:eastAsia="en-GB"/>
        </w:rPr>
        <w:t xml:space="preserve">United Nations Economic and Social Council </w:t>
      </w:r>
      <w:r>
        <w:rPr>
          <w:lang w:val="en-US" w:eastAsia="en-GB"/>
        </w:rPr>
        <w:t xml:space="preserve">(ECOSOC) </w:t>
      </w:r>
      <w:r w:rsidRPr="00527E74">
        <w:rPr>
          <w:lang w:val="en-US" w:eastAsia="en-GB"/>
        </w:rPr>
        <w:t xml:space="preserve">Decision on UNFC (as contained in ECE/ENERGY/2020/7) to </w:t>
      </w:r>
      <w:r w:rsidRPr="00D33A8F">
        <w:rPr>
          <w:lang w:val="en-US" w:eastAsia="en-GB"/>
        </w:rPr>
        <w:t xml:space="preserve">the sixty-ninth session of </w:t>
      </w:r>
      <w:r>
        <w:rPr>
          <w:lang w:val="en-US" w:eastAsia="en-GB"/>
        </w:rPr>
        <w:t>ECE</w:t>
      </w:r>
      <w:r w:rsidRPr="00D33A8F">
        <w:rPr>
          <w:lang w:val="en-US" w:eastAsia="en-GB"/>
        </w:rPr>
        <w:t xml:space="preserve"> for consideration</w:t>
      </w:r>
      <w:r>
        <w:rPr>
          <w:lang w:val="en-US" w:eastAsia="en-GB"/>
        </w:rPr>
        <w:t>;</w:t>
      </w:r>
    </w:p>
    <w:p w14:paraId="14B0B24E" w14:textId="5760525F" w:rsidR="00DD1E05" w:rsidRDefault="00DD1E05" w:rsidP="00DD1E05">
      <w:pPr>
        <w:pStyle w:val="SingleTxtG"/>
        <w:ind w:firstLine="567"/>
        <w:rPr>
          <w:lang w:val="en-US" w:eastAsia="en-GB"/>
        </w:rPr>
      </w:pPr>
      <w:r>
        <w:rPr>
          <w:lang w:val="en-US" w:eastAsia="en-GB"/>
        </w:rPr>
        <w:t>(b)</w:t>
      </w:r>
      <w:r>
        <w:rPr>
          <w:lang w:val="en-US" w:eastAsia="en-GB"/>
        </w:rPr>
        <w:tab/>
      </w:r>
      <w:r w:rsidRPr="00527E74">
        <w:rPr>
          <w:lang w:val="en-US" w:eastAsia="en-GB"/>
        </w:rPr>
        <w:t>Requested the secretariat to publish the updated UNFC in the six UN languages to facilitate its application worldwide</w:t>
      </w:r>
      <w:r>
        <w:rPr>
          <w:lang w:val="en-US" w:eastAsia="en-GB"/>
        </w:rPr>
        <w:t xml:space="preserve"> and invited members States to </w:t>
      </w:r>
      <w:r w:rsidRPr="009C2BB9">
        <w:rPr>
          <w:lang w:val="en-US" w:eastAsia="en-GB"/>
        </w:rPr>
        <w:t xml:space="preserve">take appropriate measures to ensure </w:t>
      </w:r>
      <w:r>
        <w:rPr>
          <w:lang w:val="en-US" w:eastAsia="en-GB"/>
        </w:rPr>
        <w:t xml:space="preserve">broad dissemination and </w:t>
      </w:r>
      <w:r w:rsidRPr="009C2BB9">
        <w:rPr>
          <w:lang w:val="en-US" w:eastAsia="en-GB"/>
        </w:rPr>
        <w:t xml:space="preserve">application of </w:t>
      </w:r>
      <w:r>
        <w:rPr>
          <w:lang w:val="en-US" w:eastAsia="en-GB"/>
        </w:rPr>
        <w:t>UNFC;</w:t>
      </w:r>
    </w:p>
    <w:bookmarkEnd w:id="1"/>
    <w:p w14:paraId="59B52197" w14:textId="2544E0F4" w:rsidR="00DD1E05" w:rsidRDefault="00DD1E05" w:rsidP="00DD1E05">
      <w:pPr>
        <w:pStyle w:val="SingleTxtG"/>
        <w:ind w:firstLine="567"/>
        <w:rPr>
          <w:lang w:val="en-US" w:eastAsia="en-GB"/>
        </w:rPr>
      </w:pPr>
      <w:r>
        <w:rPr>
          <w:lang w:val="en-US" w:eastAsia="en-GB"/>
        </w:rPr>
        <w:t>(c)</w:t>
      </w:r>
      <w:r>
        <w:rPr>
          <w:lang w:val="en-US" w:eastAsia="en-GB"/>
        </w:rPr>
        <w:tab/>
        <w:t xml:space="preserve">Noting that </w:t>
      </w:r>
      <w:r w:rsidRPr="004A1CCC">
        <w:rPr>
          <w:lang w:val="en-US" w:eastAsia="en-GB"/>
        </w:rPr>
        <w:t xml:space="preserve">sustainable management of natural resources is fundamental to attainment of the 2030 Agenda, </w:t>
      </w:r>
      <w:r w:rsidRPr="00354EA6">
        <w:rPr>
          <w:lang w:val="en-US" w:eastAsia="en-GB"/>
        </w:rPr>
        <w:t xml:space="preserve">is </w:t>
      </w:r>
      <w:r>
        <w:rPr>
          <w:lang w:val="en-US" w:eastAsia="en-GB"/>
        </w:rPr>
        <w:t>at</w:t>
      </w:r>
      <w:r w:rsidRPr="00354EA6">
        <w:rPr>
          <w:lang w:val="en-US" w:eastAsia="en-GB"/>
        </w:rPr>
        <w:t xml:space="preserve"> the heart of the cross-cutting theme of the </w:t>
      </w:r>
      <w:r>
        <w:rPr>
          <w:lang w:val="en-US" w:eastAsia="en-GB"/>
        </w:rPr>
        <w:t xml:space="preserve">sixty-ninth </w:t>
      </w:r>
      <w:r w:rsidRPr="00354EA6">
        <w:rPr>
          <w:lang w:val="en-US" w:eastAsia="en-GB"/>
        </w:rPr>
        <w:t>session</w:t>
      </w:r>
      <w:r>
        <w:rPr>
          <w:lang w:val="en-US" w:eastAsia="en-GB"/>
        </w:rPr>
        <w:t xml:space="preserve"> of ECE,</w:t>
      </w:r>
      <w:r w:rsidRPr="00BA585D">
        <w:rPr>
          <w:lang w:val="en-US" w:eastAsia="en-GB"/>
        </w:rPr>
        <w:t xml:space="preserve"> and is crucial for supporting </w:t>
      </w:r>
      <w:r w:rsidRPr="00090BDF">
        <w:rPr>
          <w:lang w:val="en-US" w:eastAsia="en-GB"/>
        </w:rPr>
        <w:t xml:space="preserve">inclusive and sustainable </w:t>
      </w:r>
      <w:r w:rsidRPr="00BA585D">
        <w:rPr>
          <w:lang w:val="en-US" w:eastAsia="en-GB"/>
        </w:rPr>
        <w:t>recovery from the COVID-19 socio-economic crisis</w:t>
      </w:r>
      <w:r>
        <w:rPr>
          <w:lang w:val="en-US" w:eastAsia="en-GB"/>
        </w:rPr>
        <w:t xml:space="preserve">, requested the Expert Group to accelerate development of the United Nations Resource Management System (UNRMS). Requested the secretariat to </w:t>
      </w:r>
      <w:r w:rsidRPr="00527E74">
        <w:rPr>
          <w:lang w:val="en-US" w:eastAsia="en-GB"/>
        </w:rPr>
        <w:t xml:space="preserve">publish the </w:t>
      </w:r>
      <w:r>
        <w:rPr>
          <w:lang w:val="en-US" w:eastAsia="en-GB"/>
        </w:rPr>
        <w:t xml:space="preserve">UNRMS when ready </w:t>
      </w:r>
      <w:r w:rsidRPr="00527E74">
        <w:rPr>
          <w:lang w:val="en-US" w:eastAsia="en-GB"/>
        </w:rPr>
        <w:t>in the six UN languages to facilitate its application worldwide</w:t>
      </w:r>
      <w:r>
        <w:rPr>
          <w:lang w:val="en-US" w:eastAsia="en-GB"/>
        </w:rPr>
        <w:t>;</w:t>
      </w:r>
    </w:p>
    <w:p w14:paraId="14D69418" w14:textId="5E76AD55" w:rsidR="00DD1E05" w:rsidRDefault="00DD1E05" w:rsidP="00DD1E05">
      <w:pPr>
        <w:pStyle w:val="SingleTxtG"/>
        <w:ind w:firstLine="567"/>
        <w:rPr>
          <w:lang w:val="en-US" w:eastAsia="en-GB"/>
        </w:rPr>
      </w:pPr>
      <w:r>
        <w:rPr>
          <w:lang w:val="en-US" w:eastAsia="en-GB"/>
        </w:rPr>
        <w:t>(d)</w:t>
      </w:r>
      <w:r>
        <w:rPr>
          <w:lang w:val="en-US" w:eastAsia="en-GB"/>
        </w:rPr>
        <w:tab/>
      </w:r>
      <w:r w:rsidRPr="00E10356">
        <w:rPr>
          <w:lang w:val="en-US" w:eastAsia="en-GB"/>
        </w:rPr>
        <w:t xml:space="preserve">Requested the Expert Group to collaborate closely with the Group of Experts on Renewable Energy, in view of the benefits of </w:t>
      </w:r>
      <w:r>
        <w:rPr>
          <w:lang w:val="en-US" w:eastAsia="en-GB"/>
        </w:rPr>
        <w:t xml:space="preserve">harmonizing </w:t>
      </w:r>
      <w:r w:rsidRPr="00E10356">
        <w:rPr>
          <w:lang w:val="en-US" w:eastAsia="en-GB"/>
        </w:rPr>
        <w:t>renewable energy resource classification and management as offered by UNFC, including: tracking of common milestones by project developers; harmonized monitoring of project pipelines by portfolio managers in utilities and integrated energy companies;</w:t>
      </w:r>
      <w:r>
        <w:rPr>
          <w:lang w:val="en-US" w:eastAsia="en-GB"/>
        </w:rPr>
        <w:t xml:space="preserve"> </w:t>
      </w:r>
      <w:r w:rsidRPr="00E10356">
        <w:rPr>
          <w:lang w:val="en-US" w:eastAsia="en-GB"/>
        </w:rPr>
        <w:t>improv</w:t>
      </w:r>
      <w:r>
        <w:rPr>
          <w:lang w:val="en-US" w:eastAsia="en-GB"/>
        </w:rPr>
        <w:t>ing</w:t>
      </w:r>
      <w:r w:rsidRPr="00E10356">
        <w:rPr>
          <w:lang w:val="en-US" w:eastAsia="en-GB"/>
        </w:rPr>
        <w:t xml:space="preserve"> information on project maturities and risks for investors, banks and regulators; and, </w:t>
      </w:r>
      <w:r>
        <w:rPr>
          <w:lang w:val="en-US" w:eastAsia="en-GB"/>
        </w:rPr>
        <w:t xml:space="preserve">offering </w:t>
      </w:r>
      <w:r w:rsidRPr="00E10356">
        <w:rPr>
          <w:lang w:val="en-US" w:eastAsia="en-GB"/>
        </w:rPr>
        <w:t>directly comparable information on resource potentials for policymakers</w:t>
      </w:r>
      <w:r>
        <w:rPr>
          <w:lang w:val="en-US" w:eastAsia="en-GB"/>
        </w:rPr>
        <w:t>;</w:t>
      </w:r>
    </w:p>
    <w:p w14:paraId="06FC2853" w14:textId="09E474AB" w:rsidR="00DD1E05" w:rsidRDefault="00DD1E05" w:rsidP="00DD1E05">
      <w:pPr>
        <w:pStyle w:val="SingleTxtG"/>
        <w:ind w:firstLine="567"/>
        <w:rPr>
          <w:lang w:val="en-US" w:eastAsia="en-GB"/>
        </w:rPr>
      </w:pPr>
      <w:r>
        <w:rPr>
          <w:lang w:val="en-US" w:eastAsia="en-GB"/>
        </w:rPr>
        <w:t>(e)</w:t>
      </w:r>
      <w:r>
        <w:rPr>
          <w:lang w:val="en-US" w:eastAsia="en-GB"/>
        </w:rPr>
        <w:tab/>
        <w:t xml:space="preserve">Noted with appreciation </w:t>
      </w:r>
      <w:r w:rsidRPr="00E10356">
        <w:rPr>
          <w:lang w:val="en-US" w:eastAsia="en-GB"/>
        </w:rPr>
        <w:t>the extrabudgetary project funded by the European Commission “Supporting UNECE member States in the development and implementation of UNFC and UNRMS” (2020-2024)</w:t>
      </w:r>
      <w:r>
        <w:rPr>
          <w:lang w:val="en-US" w:eastAsia="en-GB"/>
        </w:rPr>
        <w:t>, implementation of which has just started, and encouraged member States to participate;</w:t>
      </w:r>
    </w:p>
    <w:bookmarkEnd w:id="2"/>
    <w:p w14:paraId="12A3B632" w14:textId="1C5C6EFC" w:rsidR="00DD1E05" w:rsidRDefault="00DD1E05" w:rsidP="00DD1E05">
      <w:pPr>
        <w:pStyle w:val="SingleTxtG"/>
        <w:ind w:firstLine="567"/>
        <w:rPr>
          <w:lang w:val="en-US" w:eastAsia="en-GB"/>
        </w:rPr>
      </w:pPr>
      <w:r>
        <w:rPr>
          <w:lang w:val="en-US" w:eastAsia="en-GB"/>
        </w:rPr>
        <w:lastRenderedPageBreak/>
        <w:t>(f)</w:t>
      </w:r>
      <w:r>
        <w:rPr>
          <w:lang w:val="en-US" w:eastAsia="en-GB"/>
        </w:rPr>
        <w:tab/>
      </w:r>
      <w:r w:rsidRPr="00700422">
        <w:rPr>
          <w:lang w:val="en-US" w:eastAsia="en-GB"/>
        </w:rPr>
        <w:t xml:space="preserve">Recognizing the current activities conducted in relation to </w:t>
      </w:r>
      <w:r>
        <w:rPr>
          <w:lang w:val="en-US" w:eastAsia="en-GB"/>
        </w:rPr>
        <w:t>the water-</w:t>
      </w:r>
      <w:r w:rsidRPr="00700422">
        <w:rPr>
          <w:lang w:val="en-US" w:eastAsia="en-GB"/>
        </w:rPr>
        <w:t>food-energy</w:t>
      </w:r>
      <w:r>
        <w:rPr>
          <w:lang w:val="en-US" w:eastAsia="en-GB"/>
        </w:rPr>
        <w:t>-ecosystems</w:t>
      </w:r>
      <w:r w:rsidRPr="00700422">
        <w:rPr>
          <w:lang w:val="en-US" w:eastAsia="en-GB"/>
        </w:rPr>
        <w:t xml:space="preserve"> nexus, recommended to continue studying </w:t>
      </w:r>
      <w:r>
        <w:rPr>
          <w:lang w:val="en-US" w:eastAsia="en-GB"/>
        </w:rPr>
        <w:t>the</w:t>
      </w:r>
      <w:r w:rsidRPr="00700422">
        <w:rPr>
          <w:lang w:val="en-US" w:eastAsia="en-GB"/>
        </w:rPr>
        <w:t xml:space="preserve"> practical implications in the region and expand the range of available policy solutions on resource management at national and local levels</w:t>
      </w:r>
      <w:r>
        <w:rPr>
          <w:lang w:val="en-US" w:eastAsia="en-GB"/>
        </w:rPr>
        <w:t>;</w:t>
      </w:r>
    </w:p>
    <w:p w14:paraId="57C96C39" w14:textId="211A6921" w:rsidR="00DD1E05" w:rsidRPr="00527E74" w:rsidRDefault="00DD1E05" w:rsidP="00DD1E05">
      <w:pPr>
        <w:pStyle w:val="SingleTxtG"/>
        <w:ind w:firstLine="567"/>
        <w:rPr>
          <w:lang w:val="en-US" w:eastAsia="en-GB"/>
        </w:rPr>
      </w:pPr>
      <w:r>
        <w:rPr>
          <w:lang w:val="en-US" w:eastAsia="en-GB"/>
        </w:rPr>
        <w:t>(g)</w:t>
      </w:r>
      <w:r>
        <w:rPr>
          <w:lang w:val="en-US" w:eastAsia="en-GB"/>
        </w:rPr>
        <w:tab/>
      </w:r>
      <w:r w:rsidRPr="00527E74">
        <w:rPr>
          <w:lang w:val="en-US" w:eastAsia="en-GB"/>
        </w:rPr>
        <w:t xml:space="preserve">Recommended creation of a platform </w:t>
      </w:r>
      <w:r>
        <w:rPr>
          <w:lang w:val="en-US" w:eastAsia="en-GB"/>
        </w:rPr>
        <w:t>for</w:t>
      </w:r>
      <w:r w:rsidRPr="00527E74">
        <w:rPr>
          <w:lang w:val="en-US" w:eastAsia="en-GB"/>
        </w:rPr>
        <w:t xml:space="preserve"> Micro, Small and Medium Enterprises (MSMEs), policymakers and financial institutions to support resilience of resource supply chains in the ECE region</w:t>
      </w:r>
      <w:r>
        <w:rPr>
          <w:lang w:val="en-US" w:eastAsia="en-GB"/>
        </w:rPr>
        <w:t>;</w:t>
      </w:r>
    </w:p>
    <w:p w14:paraId="6549B00E" w14:textId="4C051A79" w:rsidR="00DD1E05" w:rsidRPr="00527E74" w:rsidRDefault="00DD1E05" w:rsidP="00DD1E05">
      <w:pPr>
        <w:pStyle w:val="SingleTxtG"/>
        <w:ind w:firstLine="567"/>
        <w:rPr>
          <w:lang w:val="en-US" w:eastAsia="en-GB"/>
        </w:rPr>
      </w:pPr>
      <w:r>
        <w:rPr>
          <w:lang w:val="en-US" w:eastAsia="en-GB"/>
        </w:rPr>
        <w:t>(h)</w:t>
      </w:r>
      <w:r>
        <w:rPr>
          <w:lang w:val="en-US" w:eastAsia="en-GB"/>
        </w:rPr>
        <w:tab/>
      </w:r>
      <w:r w:rsidRPr="00527E74">
        <w:rPr>
          <w:lang w:val="en-US" w:eastAsia="en-GB"/>
        </w:rPr>
        <w:t>Noted with appreciation the activities of the Expert Group to promote gender par</w:t>
      </w:r>
      <w:r>
        <w:rPr>
          <w:lang w:val="en-US" w:eastAsia="en-GB"/>
        </w:rPr>
        <w:t>ity</w:t>
      </w:r>
      <w:r w:rsidRPr="00527E74">
        <w:rPr>
          <w:lang w:val="en-US" w:eastAsia="en-GB"/>
        </w:rPr>
        <w:t xml:space="preserve"> in resource management, including establishment of a subgroup on Women in Resource Management</w:t>
      </w:r>
      <w:r>
        <w:rPr>
          <w:lang w:val="en-US" w:eastAsia="en-GB"/>
        </w:rPr>
        <w:t>;</w:t>
      </w:r>
    </w:p>
    <w:p w14:paraId="56F3F1C2" w14:textId="0D3FD794" w:rsidR="00DD1E05" w:rsidRDefault="00DD1E05" w:rsidP="00DD1E05">
      <w:pPr>
        <w:pStyle w:val="SingleTxtG"/>
        <w:ind w:firstLine="567"/>
        <w:rPr>
          <w:lang w:val="en-US" w:eastAsia="en-GB"/>
        </w:rPr>
      </w:pPr>
      <w:r>
        <w:rPr>
          <w:lang w:val="en-US" w:eastAsia="en-GB"/>
        </w:rPr>
        <w:t>(</w:t>
      </w:r>
      <w:proofErr w:type="spellStart"/>
      <w:r>
        <w:rPr>
          <w:lang w:val="en-US" w:eastAsia="en-GB"/>
        </w:rPr>
        <w:t>i</w:t>
      </w:r>
      <w:proofErr w:type="spellEnd"/>
      <w:r>
        <w:rPr>
          <w:lang w:val="en-US" w:eastAsia="en-GB"/>
        </w:rPr>
        <w:t>)</w:t>
      </w:r>
      <w:r>
        <w:rPr>
          <w:lang w:val="en-US" w:eastAsia="en-GB"/>
        </w:rPr>
        <w:tab/>
      </w:r>
      <w:r w:rsidRPr="00527E74">
        <w:rPr>
          <w:lang w:val="en-US" w:eastAsia="en-GB"/>
        </w:rPr>
        <w:t xml:space="preserve">Noted the interest in establishing </w:t>
      </w:r>
      <w:proofErr w:type="spellStart"/>
      <w:r w:rsidRPr="00527E74">
        <w:rPr>
          <w:lang w:val="en-US" w:eastAsia="en-GB"/>
        </w:rPr>
        <w:t>centres</w:t>
      </w:r>
      <w:proofErr w:type="spellEnd"/>
      <w:r w:rsidRPr="00527E74">
        <w:rPr>
          <w:lang w:val="en-US" w:eastAsia="en-GB"/>
        </w:rPr>
        <w:t xml:space="preserve"> of excellence on sustainable resource management based on UNFC and UNRMS</w:t>
      </w:r>
      <w:r>
        <w:rPr>
          <w:lang w:val="en-US" w:eastAsia="en-GB"/>
        </w:rPr>
        <w:t xml:space="preserve"> under development</w:t>
      </w:r>
      <w:r w:rsidRPr="00527E74">
        <w:rPr>
          <w:lang w:val="en-US" w:eastAsia="en-GB"/>
        </w:rPr>
        <w:t xml:space="preserve">, with technical support from ECE. Further noted the document “Criteria for Designation of International </w:t>
      </w:r>
      <w:proofErr w:type="spellStart"/>
      <w:r w:rsidRPr="00527E74">
        <w:rPr>
          <w:lang w:val="en-US" w:eastAsia="en-GB"/>
        </w:rPr>
        <w:t>Centres</w:t>
      </w:r>
      <w:proofErr w:type="spellEnd"/>
      <w:r w:rsidRPr="00527E74">
        <w:rPr>
          <w:lang w:val="en-US" w:eastAsia="en-GB"/>
        </w:rPr>
        <w:t xml:space="preserve"> of Excellence on Sustainable Resource Management (ICE-SRM) and Terms of Reference for ICE-SRM (EGRM-11/2020/INF.3) as approved by the Expert Group at its eleventh session. Mandated the secretariat to seek extrabudgetary funding to support activities in this area</w:t>
      </w:r>
      <w:r>
        <w:rPr>
          <w:lang w:val="en-US" w:eastAsia="en-GB"/>
        </w:rPr>
        <w:t>, including notably coordination and technical support</w:t>
      </w:r>
      <w:r w:rsidRPr="00527E74">
        <w:rPr>
          <w:lang w:val="en-US" w:eastAsia="en-GB"/>
        </w:rPr>
        <w:t>.</w:t>
      </w:r>
    </w:p>
    <w:p w14:paraId="72D386D0" w14:textId="67787BBD" w:rsidR="00DD1E05" w:rsidRDefault="00DD1E05" w:rsidP="00DD1E05">
      <w:pPr>
        <w:pStyle w:val="H23G"/>
        <w:rPr>
          <w:lang w:val="en-US" w:eastAsia="en-GB"/>
        </w:rPr>
      </w:pPr>
      <w:bookmarkStart w:id="3" w:name="_Hlk54351178"/>
      <w:r>
        <w:rPr>
          <w:lang w:val="en-US" w:eastAsia="en-GB"/>
        </w:rPr>
        <w:tab/>
        <w:t>2.</w:t>
      </w:r>
      <w:r>
        <w:rPr>
          <w:lang w:val="en-US" w:eastAsia="en-GB"/>
        </w:rPr>
        <w:tab/>
      </w:r>
      <w:r w:rsidRPr="00896A71">
        <w:rPr>
          <w:lang w:val="en-US" w:eastAsia="en-GB"/>
        </w:rPr>
        <w:t>Group of Experts on Coal Mine Methane</w:t>
      </w:r>
    </w:p>
    <w:p w14:paraId="0C4F204E" w14:textId="77777777" w:rsidR="00DD1E05" w:rsidRDefault="00DD1E05" w:rsidP="00DD1E05">
      <w:pPr>
        <w:pStyle w:val="SingleTxtG"/>
        <w:rPr>
          <w:lang w:val="en-US" w:eastAsia="en-GB"/>
        </w:rPr>
      </w:pPr>
      <w:r>
        <w:rPr>
          <w:lang w:val="en-US" w:eastAsia="en-GB"/>
        </w:rPr>
        <w:t>20.</w:t>
      </w:r>
      <w:r>
        <w:rPr>
          <w:lang w:val="en-US" w:eastAsia="en-GB"/>
        </w:rPr>
        <w:tab/>
        <w:t>The Committee:</w:t>
      </w:r>
    </w:p>
    <w:p w14:paraId="5296F5CD" w14:textId="653E1245" w:rsidR="00DD1E05" w:rsidRDefault="00DD1E05" w:rsidP="00DD1E05">
      <w:pPr>
        <w:pStyle w:val="SingleTxtG"/>
        <w:ind w:firstLine="567"/>
        <w:rPr>
          <w:lang w:val="en-US" w:eastAsia="en-GB"/>
        </w:rPr>
      </w:pPr>
      <w:r>
        <w:rPr>
          <w:lang w:val="en-US" w:eastAsia="en-GB"/>
        </w:rPr>
        <w:t>(a)</w:t>
      </w:r>
      <w:r>
        <w:rPr>
          <w:lang w:val="en-US" w:eastAsia="en-GB"/>
        </w:rPr>
        <w:tab/>
        <w:t>E</w:t>
      </w:r>
      <w:r w:rsidRPr="009C2BB9">
        <w:rPr>
          <w:lang w:val="en-US" w:eastAsia="en-GB"/>
        </w:rPr>
        <w:t>ndorsed the “Best Practice Guidance for Effective Methane Recovery and Use from Abandoned Coal Mines”</w:t>
      </w:r>
      <w:r>
        <w:rPr>
          <w:lang w:val="en-US" w:eastAsia="en-GB"/>
        </w:rPr>
        <w:t xml:space="preserve"> (</w:t>
      </w:r>
      <w:r w:rsidRPr="0061791C">
        <w:rPr>
          <w:lang w:val="en-US" w:eastAsia="en-GB"/>
        </w:rPr>
        <w:t>ECE/ENERGY/128</w:t>
      </w:r>
      <w:r>
        <w:rPr>
          <w:lang w:val="en-US" w:eastAsia="en-GB"/>
        </w:rPr>
        <w:t xml:space="preserve"> and ECE Energy Series No. 64);</w:t>
      </w:r>
    </w:p>
    <w:p w14:paraId="04608C6C" w14:textId="194FC22D" w:rsidR="00DD1E05" w:rsidRPr="009C2BB9" w:rsidRDefault="00DD1E05" w:rsidP="00DD1E05">
      <w:pPr>
        <w:pStyle w:val="SingleTxtG"/>
        <w:ind w:firstLine="567"/>
        <w:rPr>
          <w:lang w:val="en-US" w:eastAsia="en-GB"/>
        </w:rPr>
      </w:pPr>
      <w:r>
        <w:rPr>
          <w:lang w:val="en-US" w:eastAsia="en-GB"/>
        </w:rPr>
        <w:t>(b)</w:t>
      </w:r>
      <w:r>
        <w:rPr>
          <w:lang w:val="en-US" w:eastAsia="en-GB"/>
        </w:rPr>
        <w:tab/>
      </w:r>
      <w:r w:rsidRPr="009C2BB9">
        <w:rPr>
          <w:lang w:val="en-US" w:eastAsia="en-GB"/>
        </w:rPr>
        <w:t>Re</w:t>
      </w:r>
      <w:r>
        <w:rPr>
          <w:lang w:val="en-US" w:eastAsia="en-GB"/>
        </w:rPr>
        <w:t xml:space="preserve">quested </w:t>
      </w:r>
      <w:r w:rsidRPr="009C2BB9">
        <w:rPr>
          <w:lang w:val="en-US" w:eastAsia="en-GB"/>
        </w:rPr>
        <w:t xml:space="preserve">the </w:t>
      </w:r>
      <w:r>
        <w:rPr>
          <w:lang w:val="en-US" w:eastAsia="en-GB"/>
        </w:rPr>
        <w:t>s</w:t>
      </w:r>
      <w:r w:rsidRPr="009C2BB9">
        <w:rPr>
          <w:lang w:val="en-US" w:eastAsia="en-GB"/>
        </w:rPr>
        <w:t xml:space="preserve">ecretariat and invited member States to take appropriate measures to ensure </w:t>
      </w:r>
      <w:r>
        <w:rPr>
          <w:lang w:val="en-US" w:eastAsia="en-GB"/>
        </w:rPr>
        <w:t xml:space="preserve">broad dissemination and </w:t>
      </w:r>
      <w:r w:rsidRPr="009C2BB9">
        <w:rPr>
          <w:lang w:val="en-US" w:eastAsia="en-GB"/>
        </w:rPr>
        <w:t>application of the Best Practice Guidance</w:t>
      </w:r>
      <w:r>
        <w:rPr>
          <w:lang w:val="en-US" w:eastAsia="en-GB"/>
        </w:rPr>
        <w:t>;</w:t>
      </w:r>
    </w:p>
    <w:p w14:paraId="06F7C1A3" w14:textId="23D8FB69" w:rsidR="00DD1E05" w:rsidRPr="009C2BB9" w:rsidRDefault="00DD1E05" w:rsidP="00DD1E05">
      <w:pPr>
        <w:pStyle w:val="SingleTxtG"/>
        <w:ind w:firstLine="567"/>
        <w:rPr>
          <w:lang w:val="en-US" w:eastAsia="en-GB"/>
        </w:rPr>
      </w:pPr>
      <w:r>
        <w:rPr>
          <w:lang w:val="en-US" w:eastAsia="en-GB"/>
        </w:rPr>
        <w:t>(c)</w:t>
      </w:r>
      <w:r>
        <w:rPr>
          <w:lang w:val="en-US" w:eastAsia="en-GB"/>
        </w:rPr>
        <w:tab/>
      </w:r>
      <w:r w:rsidRPr="009C2BB9">
        <w:rPr>
          <w:lang w:val="en-US" w:eastAsia="en-GB"/>
        </w:rPr>
        <w:t xml:space="preserve">Invited the Economic Commission for Europe to propose to </w:t>
      </w:r>
      <w:r>
        <w:rPr>
          <w:lang w:val="en-US" w:eastAsia="en-GB"/>
        </w:rPr>
        <w:t xml:space="preserve">ECOSOC </w:t>
      </w:r>
      <w:r w:rsidRPr="009C2BB9">
        <w:rPr>
          <w:lang w:val="en-US" w:eastAsia="en-GB"/>
        </w:rPr>
        <w:t>that it endorse the Best Practice Guidance and recommend its application worldwide</w:t>
      </w:r>
      <w:r>
        <w:rPr>
          <w:lang w:val="en-US" w:eastAsia="en-GB"/>
        </w:rPr>
        <w:t>;</w:t>
      </w:r>
    </w:p>
    <w:p w14:paraId="69CC38BE" w14:textId="4BE385CD" w:rsidR="00DD1E05" w:rsidRDefault="00DD1E05" w:rsidP="00DD1E05">
      <w:pPr>
        <w:pStyle w:val="SingleTxtG"/>
        <w:ind w:firstLine="567"/>
        <w:rPr>
          <w:lang w:val="en-US" w:eastAsia="en-GB"/>
        </w:rPr>
      </w:pPr>
      <w:r>
        <w:rPr>
          <w:lang w:val="en-US" w:eastAsia="en-GB"/>
        </w:rPr>
        <w:t>(d)</w:t>
      </w:r>
      <w:r>
        <w:rPr>
          <w:lang w:val="en-US" w:eastAsia="en-GB"/>
        </w:rPr>
        <w:tab/>
      </w:r>
      <w:r w:rsidRPr="009C2BB9">
        <w:rPr>
          <w:lang w:val="en-US" w:eastAsia="en-GB"/>
        </w:rPr>
        <w:t xml:space="preserve">Recognizing the difficulty in implementing the extrabudgetary projects </w:t>
      </w:r>
      <w:r w:rsidRPr="006110FD">
        <w:rPr>
          <w:lang w:val="en-US" w:eastAsia="en-GB"/>
        </w:rPr>
        <w:t>E281</w:t>
      </w:r>
      <w:r>
        <w:rPr>
          <w:lang w:val="en-US" w:eastAsia="en-GB"/>
        </w:rPr>
        <w:t xml:space="preserve"> (</w:t>
      </w:r>
      <w:r w:rsidRPr="006110FD">
        <w:rPr>
          <w:lang w:val="en-US" w:eastAsia="en-GB"/>
        </w:rPr>
        <w:t>Methane Management in Extractive Industries (Upstream Oil and Gas / Downstream Gas</w:t>
      </w:r>
      <w:r>
        <w:rPr>
          <w:lang w:val="en-US" w:eastAsia="en-GB"/>
        </w:rPr>
        <w:t>)</w:t>
      </w:r>
      <w:r w:rsidRPr="006110FD">
        <w:rPr>
          <w:lang w:val="en-US" w:eastAsia="en-GB"/>
        </w:rPr>
        <w:t>)</w:t>
      </w:r>
      <w:r>
        <w:rPr>
          <w:lang w:val="en-US" w:eastAsia="en-GB"/>
        </w:rPr>
        <w:t xml:space="preserve"> and </w:t>
      </w:r>
      <w:r w:rsidRPr="006110FD">
        <w:rPr>
          <w:lang w:val="en-US" w:eastAsia="en-GB"/>
        </w:rPr>
        <w:t xml:space="preserve">E276 </w:t>
      </w:r>
      <w:r>
        <w:rPr>
          <w:lang w:val="en-US" w:eastAsia="en-GB"/>
        </w:rPr>
        <w:t>(</w:t>
      </w:r>
      <w:r w:rsidRPr="006110FD">
        <w:rPr>
          <w:lang w:val="en-US" w:eastAsia="en-GB"/>
        </w:rPr>
        <w:t>Dissemination of best practices in the abatement, recovery, and use of methane. Phase II</w:t>
      </w:r>
      <w:r>
        <w:rPr>
          <w:lang w:val="en-US" w:eastAsia="en-GB"/>
        </w:rPr>
        <w:t xml:space="preserve">) </w:t>
      </w:r>
      <w:r w:rsidRPr="009C2BB9">
        <w:rPr>
          <w:lang w:val="en-US" w:eastAsia="en-GB"/>
        </w:rPr>
        <w:t xml:space="preserve">in light of the COVID-19 pandemic, </w:t>
      </w:r>
      <w:r>
        <w:rPr>
          <w:lang w:val="en-US" w:eastAsia="en-GB"/>
        </w:rPr>
        <w:t>w</w:t>
      </w:r>
      <w:r w:rsidRPr="009C2BB9">
        <w:rPr>
          <w:lang w:val="en-US" w:eastAsia="en-GB"/>
        </w:rPr>
        <w:t xml:space="preserve">elcomed the request made by the </w:t>
      </w:r>
      <w:r>
        <w:rPr>
          <w:lang w:val="en-US" w:eastAsia="en-GB"/>
        </w:rPr>
        <w:t xml:space="preserve">project </w:t>
      </w:r>
      <w:r w:rsidRPr="009C2BB9">
        <w:rPr>
          <w:lang w:val="en-US" w:eastAsia="en-GB"/>
        </w:rPr>
        <w:t xml:space="preserve">donor </w:t>
      </w:r>
      <w:r>
        <w:rPr>
          <w:lang w:val="en-US" w:eastAsia="en-GB"/>
        </w:rPr>
        <w:t xml:space="preserve">(United States Environmental Protection Agency) </w:t>
      </w:r>
      <w:r w:rsidRPr="009C2BB9">
        <w:rPr>
          <w:lang w:val="en-US" w:eastAsia="en-GB"/>
        </w:rPr>
        <w:t>to extend the</w:t>
      </w:r>
      <w:r>
        <w:rPr>
          <w:lang w:val="en-US" w:eastAsia="en-GB"/>
        </w:rPr>
        <w:t>ir</w:t>
      </w:r>
      <w:r w:rsidRPr="009C2BB9">
        <w:rPr>
          <w:lang w:val="en-US" w:eastAsia="en-GB"/>
        </w:rPr>
        <w:t xml:space="preserve"> duration at no additional cost until 31 December 2021</w:t>
      </w:r>
      <w:r>
        <w:rPr>
          <w:lang w:val="en-US" w:eastAsia="en-GB"/>
        </w:rPr>
        <w:t>;</w:t>
      </w:r>
    </w:p>
    <w:p w14:paraId="5AA9C982" w14:textId="7290D8E5" w:rsidR="00DD1E05" w:rsidRPr="009C2BB9" w:rsidRDefault="00DD1E05" w:rsidP="00DD1E05">
      <w:pPr>
        <w:pStyle w:val="SingleTxtG"/>
        <w:ind w:firstLine="567"/>
        <w:rPr>
          <w:lang w:val="en-US" w:eastAsia="en-GB"/>
        </w:rPr>
      </w:pPr>
      <w:r>
        <w:rPr>
          <w:lang w:val="en-US" w:eastAsia="en-GB"/>
        </w:rPr>
        <w:t>(e)</w:t>
      </w:r>
      <w:r>
        <w:rPr>
          <w:lang w:val="en-US" w:eastAsia="en-GB"/>
        </w:rPr>
        <w:tab/>
        <w:t xml:space="preserve">Requested the Group of Experts </w:t>
      </w:r>
      <w:r w:rsidRPr="00DD5694">
        <w:rPr>
          <w:lang w:val="en-US" w:eastAsia="en-GB"/>
        </w:rPr>
        <w:t xml:space="preserve">to </w:t>
      </w:r>
      <w:r>
        <w:rPr>
          <w:lang w:val="en-US" w:eastAsia="en-GB"/>
        </w:rPr>
        <w:t>address, where possible, methane emission issues in the broader context of the whole coal life cycle along the entire value chain;</w:t>
      </w:r>
    </w:p>
    <w:p w14:paraId="3EA45D10" w14:textId="39DDB7B6" w:rsidR="00DD1E05" w:rsidRDefault="00DD1E05" w:rsidP="00DD1E05">
      <w:pPr>
        <w:pStyle w:val="SingleTxtG"/>
        <w:ind w:firstLine="567"/>
        <w:rPr>
          <w:lang w:val="en-US" w:eastAsia="en-GB"/>
        </w:rPr>
      </w:pPr>
      <w:r>
        <w:rPr>
          <w:lang w:val="en-US" w:eastAsia="en-GB"/>
        </w:rPr>
        <w:t>(f)</w:t>
      </w:r>
      <w:r>
        <w:rPr>
          <w:lang w:val="en-US" w:eastAsia="en-GB"/>
        </w:rPr>
        <w:tab/>
        <w:t xml:space="preserve">Noted with appreciation the progress in instituting International </w:t>
      </w:r>
      <w:proofErr w:type="spellStart"/>
      <w:r>
        <w:rPr>
          <w:lang w:val="en-US" w:eastAsia="en-GB"/>
        </w:rPr>
        <w:t>Centres</w:t>
      </w:r>
      <w:proofErr w:type="spellEnd"/>
      <w:r>
        <w:rPr>
          <w:lang w:val="en-US" w:eastAsia="en-GB"/>
        </w:rPr>
        <w:t xml:space="preserve"> of Excellence to disseminate and deploy the family of methane-related Best Practice Guidance documents. Encouraged the Groups of Experts on Coal Mine Methane to develop additional </w:t>
      </w:r>
      <w:proofErr w:type="spellStart"/>
      <w:r>
        <w:rPr>
          <w:lang w:val="en-US" w:eastAsia="en-GB"/>
        </w:rPr>
        <w:t>centres</w:t>
      </w:r>
      <w:proofErr w:type="spellEnd"/>
      <w:r>
        <w:rPr>
          <w:lang w:val="en-US" w:eastAsia="en-GB"/>
        </w:rPr>
        <w:t xml:space="preserve"> and requested the secretariat to seek additional extrabudgetary resources to support the activity.</w:t>
      </w:r>
    </w:p>
    <w:p w14:paraId="5106C219" w14:textId="74BDA76E" w:rsidR="009C206C" w:rsidRDefault="009C206C" w:rsidP="009C206C">
      <w:pPr>
        <w:pStyle w:val="H23G"/>
        <w:rPr>
          <w:lang w:val="en-US" w:eastAsia="en-GB"/>
        </w:rPr>
      </w:pPr>
      <w:r>
        <w:rPr>
          <w:lang w:val="en-US" w:eastAsia="en-GB"/>
        </w:rPr>
        <w:tab/>
        <w:t>3.</w:t>
      </w:r>
      <w:r>
        <w:rPr>
          <w:lang w:val="en-US" w:eastAsia="en-GB"/>
        </w:rPr>
        <w:tab/>
      </w:r>
      <w:r w:rsidRPr="00896A71">
        <w:rPr>
          <w:lang w:val="en-US" w:eastAsia="en-GB"/>
        </w:rPr>
        <w:t xml:space="preserve">Group of Experts on </w:t>
      </w:r>
      <w:r>
        <w:rPr>
          <w:lang w:val="en-US" w:eastAsia="en-GB"/>
        </w:rPr>
        <w:t>Cleaner Electricity Systems</w:t>
      </w:r>
    </w:p>
    <w:p w14:paraId="1ACBEEF0" w14:textId="77777777" w:rsidR="00E72993" w:rsidRDefault="00E72993" w:rsidP="00E72993">
      <w:pPr>
        <w:pStyle w:val="SingleTxtG"/>
        <w:rPr>
          <w:lang w:val="en-US" w:eastAsia="en-GB"/>
        </w:rPr>
      </w:pPr>
      <w:r>
        <w:rPr>
          <w:lang w:val="en-US" w:eastAsia="en-GB"/>
        </w:rPr>
        <w:t>21.</w:t>
      </w:r>
      <w:r>
        <w:rPr>
          <w:lang w:val="en-US" w:eastAsia="en-GB"/>
        </w:rPr>
        <w:tab/>
        <w:t>The Committee:</w:t>
      </w:r>
    </w:p>
    <w:p w14:paraId="1C9A2264" w14:textId="69D2BD05" w:rsidR="00E72993" w:rsidRPr="00B33133" w:rsidRDefault="00E72993" w:rsidP="00E72993">
      <w:pPr>
        <w:pStyle w:val="SingleTxtG"/>
        <w:ind w:firstLine="567"/>
        <w:rPr>
          <w:lang w:val="en-US" w:eastAsia="en-GB"/>
        </w:rPr>
      </w:pPr>
      <w:r w:rsidRPr="00484D93">
        <w:rPr>
          <w:lang w:val="en-US" w:eastAsia="en-GB"/>
        </w:rPr>
        <w:t>(a)</w:t>
      </w:r>
      <w:r w:rsidRPr="00484D93">
        <w:rPr>
          <w:lang w:val="en-US" w:eastAsia="en-GB"/>
        </w:rPr>
        <w:tab/>
        <w:t xml:space="preserve">Noted the ongoing work on carbon neutrality, including the Carbon Neutrality project ongoing under the auspices of the Group of Experts on Cleaner Electricity Systems. Noted that an assessment should include not only environmental implications but also the economic, social, and resource dimensions of the technologies. Noted also that carbon neutrality refers to the whole energy system including transport, industry, and buildings. Also noted that any extension of the Carbon Neutrality project is subject to adoption of the </w:t>
      </w:r>
      <w:r>
        <w:rPr>
          <w:lang w:val="en-US" w:eastAsia="en-GB"/>
        </w:rPr>
        <w:t xml:space="preserve">Pathways to Sustainable Energy </w:t>
      </w:r>
      <w:proofErr w:type="spellStart"/>
      <w:r>
        <w:rPr>
          <w:lang w:val="en-US" w:eastAsia="en-GB"/>
        </w:rPr>
        <w:t>p</w:t>
      </w:r>
      <w:r w:rsidRPr="00484D93">
        <w:rPr>
          <w:lang w:val="en-US" w:eastAsia="en-GB"/>
        </w:rPr>
        <w:t>rogramme</w:t>
      </w:r>
      <w:proofErr w:type="spellEnd"/>
      <w:r w:rsidRPr="00484D93">
        <w:rPr>
          <w:lang w:val="en-US" w:eastAsia="en-GB"/>
        </w:rPr>
        <w:t xml:space="preserve"> concept note</w:t>
      </w:r>
      <w:r w:rsidR="00D12164">
        <w:rPr>
          <w:lang w:val="en-US" w:eastAsia="en-GB"/>
        </w:rPr>
        <w:t>;</w:t>
      </w:r>
    </w:p>
    <w:p w14:paraId="60260874" w14:textId="24614678" w:rsidR="00E72993" w:rsidRDefault="00E72993" w:rsidP="00E72993">
      <w:pPr>
        <w:pStyle w:val="SingleTxtG"/>
        <w:ind w:firstLine="567"/>
        <w:rPr>
          <w:lang w:val="en-US" w:eastAsia="en-GB"/>
        </w:rPr>
      </w:pPr>
      <w:bookmarkStart w:id="4" w:name="_Hlk54853919"/>
      <w:r>
        <w:rPr>
          <w:lang w:val="en-US" w:eastAsia="en-GB"/>
        </w:rPr>
        <w:t>(b)</w:t>
      </w:r>
      <w:r>
        <w:rPr>
          <w:lang w:val="en-US" w:eastAsia="en-GB"/>
        </w:rPr>
        <w:tab/>
        <w:t>Recommended the Group of Experts explore the implications for technology and policy options of differences across the ECE subregions, namely the Caucasus, Central Asia, East and South-East Europe, when deploying low and zero carbon technologies and alternative solutions to attaining carbon neutrality</w:t>
      </w:r>
      <w:r w:rsidR="00D12164">
        <w:rPr>
          <w:lang w:val="en-US" w:eastAsia="en-GB"/>
        </w:rPr>
        <w:t>;</w:t>
      </w:r>
    </w:p>
    <w:bookmarkEnd w:id="4"/>
    <w:p w14:paraId="2E1F37D6" w14:textId="73B13524" w:rsidR="00E72993" w:rsidRDefault="00E72993" w:rsidP="00B85118">
      <w:pPr>
        <w:pStyle w:val="SingleTxtG"/>
        <w:ind w:firstLine="567"/>
        <w:rPr>
          <w:lang w:val="en-US" w:eastAsia="en-GB"/>
        </w:rPr>
      </w:pPr>
      <w:r>
        <w:rPr>
          <w:lang w:val="en-US" w:eastAsia="en-GB"/>
        </w:rPr>
        <w:lastRenderedPageBreak/>
        <w:t>(c)</w:t>
      </w:r>
      <w:r>
        <w:rPr>
          <w:lang w:val="en-US" w:eastAsia="en-GB"/>
        </w:rPr>
        <w:tab/>
        <w:t xml:space="preserve">Recommended the Group of Experts to continue its </w:t>
      </w:r>
      <w:proofErr w:type="spellStart"/>
      <w:r>
        <w:rPr>
          <w:lang w:val="en-US" w:eastAsia="en-GB"/>
        </w:rPr>
        <w:t>multistakeholder</w:t>
      </w:r>
      <w:proofErr w:type="spellEnd"/>
      <w:r>
        <w:rPr>
          <w:lang w:val="en-US" w:eastAsia="en-GB"/>
        </w:rPr>
        <w:t xml:space="preserve"> dialogue and pursue development of financial guidelines for modernizing the power and energy intensive industries </w:t>
      </w:r>
      <w:r w:rsidRPr="00EE341D">
        <w:rPr>
          <w:lang w:val="en-US" w:eastAsia="en-GB"/>
        </w:rPr>
        <w:t>involving financial institutions</w:t>
      </w:r>
      <w:r>
        <w:rPr>
          <w:lang w:val="en-US" w:eastAsia="en-GB"/>
        </w:rPr>
        <w:t xml:space="preserve">. </w:t>
      </w:r>
    </w:p>
    <w:p w14:paraId="5DE02E51" w14:textId="04988321" w:rsidR="00E72993" w:rsidRPr="00896A71" w:rsidRDefault="00E72993" w:rsidP="00E72993">
      <w:pPr>
        <w:pStyle w:val="H23G"/>
        <w:rPr>
          <w:lang w:val="en-US" w:eastAsia="en-GB"/>
        </w:rPr>
      </w:pPr>
      <w:r>
        <w:rPr>
          <w:lang w:val="en-US" w:eastAsia="en-GB"/>
        </w:rPr>
        <w:tab/>
        <w:t>4.</w:t>
      </w:r>
      <w:r>
        <w:rPr>
          <w:lang w:val="en-US" w:eastAsia="en-GB"/>
        </w:rPr>
        <w:tab/>
        <w:t>G</w:t>
      </w:r>
      <w:r w:rsidRPr="00896A71">
        <w:rPr>
          <w:lang w:val="en-US" w:eastAsia="en-GB"/>
        </w:rPr>
        <w:t>roup of Experts on Energy Efficiency</w:t>
      </w:r>
    </w:p>
    <w:p w14:paraId="7C5DC7F1" w14:textId="77777777" w:rsidR="00E72993" w:rsidRDefault="00E72993" w:rsidP="00E72993">
      <w:pPr>
        <w:pStyle w:val="ListParagraph"/>
        <w:spacing w:after="120"/>
        <w:ind w:left="2841" w:right="1089" w:hanging="1707"/>
        <w:jc w:val="both"/>
        <w:rPr>
          <w:lang w:val="en-US" w:eastAsia="en-GB"/>
        </w:rPr>
      </w:pPr>
      <w:r w:rsidRPr="00F76A0A">
        <w:rPr>
          <w:i/>
          <w:iCs/>
          <w:lang w:val="en-US"/>
        </w:rPr>
        <w:t>Documentation:</w:t>
      </w:r>
      <w:r w:rsidRPr="00F76A0A">
        <w:rPr>
          <w:i/>
          <w:iCs/>
          <w:lang w:val="en-US"/>
        </w:rPr>
        <w:tab/>
      </w:r>
      <w:r w:rsidRPr="00896A71">
        <w:rPr>
          <w:lang w:val="en-US" w:eastAsia="en-GB"/>
        </w:rPr>
        <w:t>ECE/ENERGY/GE.6/2020/3 – Draft Industrial Energy Efficiency Action Plan</w:t>
      </w:r>
      <w:r>
        <w:rPr>
          <w:lang w:val="en-US" w:eastAsia="en-GB"/>
        </w:rPr>
        <w:t xml:space="preserve"> </w:t>
      </w:r>
      <w:r w:rsidRPr="00896A71">
        <w:rPr>
          <w:lang w:val="en-US" w:eastAsia="en-GB"/>
        </w:rPr>
        <w:t>and assessment of the role of ECE in delivering on it</w:t>
      </w:r>
    </w:p>
    <w:p w14:paraId="34CC65AF" w14:textId="77777777" w:rsidR="00E72993" w:rsidRDefault="00E72993" w:rsidP="00E72993">
      <w:pPr>
        <w:pStyle w:val="SingleTxtG"/>
        <w:ind w:left="2835"/>
        <w:rPr>
          <w:lang w:val="en-US" w:eastAsia="en-GB"/>
        </w:rPr>
      </w:pPr>
      <w:r w:rsidRPr="00C23B65">
        <w:rPr>
          <w:lang w:val="en-US" w:eastAsia="en-GB"/>
        </w:rPr>
        <w:t>ECE/ENERGY/GE.6/2020/4 – Updated Framework Guidelines for Energy Efficiency Standards in Buildings</w:t>
      </w:r>
    </w:p>
    <w:p w14:paraId="2065AB3D" w14:textId="50347E10" w:rsidR="00E72993" w:rsidRDefault="00E10B84" w:rsidP="00E72993">
      <w:pPr>
        <w:pStyle w:val="SingleTxtG"/>
        <w:ind w:left="2835"/>
        <w:rPr>
          <w:lang w:val="en-US" w:eastAsia="en-GB"/>
        </w:rPr>
      </w:pPr>
      <w:hyperlink r:id="rId9" w:history="1">
        <w:r w:rsidR="00E72993" w:rsidRPr="002A0F5E">
          <w:rPr>
            <w:lang w:val="en-US" w:eastAsia="en-GB"/>
          </w:rPr>
          <w:t>ECE/ENERGY/GE.6/2020/INF.3 – Digitalization: enabling the new phase of energy efficiency</w:t>
        </w:r>
      </w:hyperlink>
    </w:p>
    <w:p w14:paraId="7286D3EF" w14:textId="77777777" w:rsidR="00E72993" w:rsidRDefault="00E72993" w:rsidP="00E72993">
      <w:pPr>
        <w:pStyle w:val="SingleTxtG"/>
        <w:rPr>
          <w:lang w:val="en-US" w:eastAsia="en-GB"/>
        </w:rPr>
      </w:pPr>
      <w:r>
        <w:rPr>
          <w:lang w:val="en-US" w:eastAsia="en-GB"/>
        </w:rPr>
        <w:t>22.</w:t>
      </w:r>
      <w:r>
        <w:rPr>
          <w:lang w:val="en-US" w:eastAsia="en-GB"/>
        </w:rPr>
        <w:tab/>
        <w:t>The Committee:</w:t>
      </w:r>
    </w:p>
    <w:p w14:paraId="397D7747" w14:textId="309FB534" w:rsidR="00E72993" w:rsidRPr="00193C6A" w:rsidRDefault="00E72993" w:rsidP="00193C6A">
      <w:pPr>
        <w:pStyle w:val="SingleTxtG"/>
        <w:ind w:firstLine="567"/>
      </w:pPr>
      <w:r w:rsidRPr="00193C6A">
        <w:t xml:space="preserve">(a) Took note of the </w:t>
      </w:r>
      <w:hyperlink r:id="rId10" w:history="1">
        <w:r w:rsidRPr="00193C6A">
          <w:t>draft Industrial Energy Efficiency Action Plan (ECE/ENERGY/GE.6/2020/3) and supported the role set forth therein for ECE to deliver on it</w:t>
        </w:r>
      </w:hyperlink>
      <w:r w:rsidR="0068058C">
        <w:t>;</w:t>
      </w:r>
    </w:p>
    <w:p w14:paraId="1D55B796" w14:textId="204EE7E8" w:rsidR="00E72993" w:rsidRPr="00C23B65" w:rsidRDefault="00E72993" w:rsidP="00193C6A">
      <w:pPr>
        <w:pStyle w:val="SingleTxtG"/>
        <w:ind w:firstLine="567"/>
        <w:rPr>
          <w:lang w:val="en-US" w:eastAsia="en-GB"/>
        </w:rPr>
      </w:pPr>
      <w:r>
        <w:rPr>
          <w:lang w:val="en-US" w:eastAsia="en-GB"/>
        </w:rPr>
        <w:t>(b)</w:t>
      </w:r>
      <w:r>
        <w:rPr>
          <w:lang w:val="en-US" w:eastAsia="en-GB"/>
        </w:rPr>
        <w:tab/>
      </w:r>
      <w:r w:rsidRPr="00C23B65">
        <w:rPr>
          <w:lang w:val="en-US" w:eastAsia="en-GB"/>
        </w:rPr>
        <w:t>Approved extension of the mandate of the Task Force on Industrial Energy Efficiency for 2021-2022 to implement the action plan</w:t>
      </w:r>
      <w:r w:rsidR="0068058C">
        <w:rPr>
          <w:lang w:val="en-US" w:eastAsia="en-GB"/>
        </w:rPr>
        <w:t>;</w:t>
      </w:r>
    </w:p>
    <w:p w14:paraId="7C70B255" w14:textId="7E797F2E" w:rsidR="00E72993" w:rsidRPr="00C23B65" w:rsidRDefault="00E72993" w:rsidP="00193C6A">
      <w:pPr>
        <w:pStyle w:val="SingleTxtG"/>
        <w:ind w:firstLine="567"/>
        <w:rPr>
          <w:lang w:val="en-US" w:eastAsia="en-GB"/>
        </w:rPr>
      </w:pPr>
      <w:bookmarkStart w:id="5" w:name="_Hlk18315755"/>
      <w:r>
        <w:rPr>
          <w:lang w:val="en-US" w:eastAsia="en-GB"/>
        </w:rPr>
        <w:t>(c)</w:t>
      </w:r>
      <w:r>
        <w:rPr>
          <w:lang w:val="en-US" w:eastAsia="en-GB"/>
        </w:rPr>
        <w:tab/>
        <w:t>Took note of</w:t>
      </w:r>
      <w:r w:rsidRPr="00C23B65">
        <w:rPr>
          <w:lang w:val="en-US" w:eastAsia="en-GB"/>
        </w:rPr>
        <w:t xml:space="preserve"> the </w:t>
      </w:r>
      <w:hyperlink r:id="rId11" w:history="1">
        <w:bookmarkEnd w:id="5"/>
        <w:r w:rsidRPr="00C23B65">
          <w:rPr>
            <w:lang w:val="en-US" w:eastAsia="en-GB"/>
          </w:rPr>
          <w:t>Updated Framework Guidelines for Energy Efficiency Standards in Buildings</w:t>
        </w:r>
      </w:hyperlink>
      <w:r w:rsidRPr="00C23B65">
        <w:rPr>
          <w:lang w:val="en-US" w:eastAsia="en-GB"/>
        </w:rPr>
        <w:t xml:space="preserve"> (ECE/ENERGY/GE.6/2020/4).</w:t>
      </w:r>
      <w:r>
        <w:rPr>
          <w:lang w:val="en-US" w:eastAsia="en-GB"/>
        </w:rPr>
        <w:t xml:space="preserve"> Invited the </w:t>
      </w:r>
      <w:proofErr w:type="gramStart"/>
      <w:r>
        <w:rPr>
          <w:lang w:val="en-US" w:eastAsia="en-GB"/>
        </w:rPr>
        <w:t>High Performance</w:t>
      </w:r>
      <w:proofErr w:type="gramEnd"/>
      <w:r>
        <w:rPr>
          <w:lang w:val="en-US" w:eastAsia="en-GB"/>
        </w:rPr>
        <w:t xml:space="preserve"> Buildings Initiative to deploy and disseminate the Framework Guidelines and called on member States to support the initiative</w:t>
      </w:r>
      <w:r w:rsidR="0068058C">
        <w:rPr>
          <w:lang w:val="en-US" w:eastAsia="en-GB"/>
        </w:rPr>
        <w:t>;</w:t>
      </w:r>
    </w:p>
    <w:p w14:paraId="0A76539A" w14:textId="408AD18B" w:rsidR="00E72993" w:rsidRDefault="00E72993" w:rsidP="00193C6A">
      <w:pPr>
        <w:pStyle w:val="SingleTxtG"/>
        <w:ind w:firstLine="567"/>
        <w:rPr>
          <w:lang w:val="en-US" w:eastAsia="en-GB"/>
        </w:rPr>
      </w:pPr>
      <w:r>
        <w:rPr>
          <w:lang w:val="en-US" w:eastAsia="en-GB"/>
        </w:rPr>
        <w:t xml:space="preserve">(d) </w:t>
      </w:r>
      <w:r>
        <w:rPr>
          <w:lang w:val="en-US" w:eastAsia="en-GB"/>
        </w:rPr>
        <w:tab/>
      </w:r>
      <w:r w:rsidRPr="00832C14">
        <w:rPr>
          <w:lang w:val="en-US" w:eastAsia="en-GB"/>
        </w:rPr>
        <w:t>Following the recommendation of the Group of Experts on Energy Efficiency (</w:t>
      </w:r>
      <w:hyperlink r:id="rId12" w:history="1">
        <w:r w:rsidRPr="00832C14">
          <w:rPr>
            <w:lang w:val="en-US" w:eastAsia="en-GB"/>
          </w:rPr>
          <w:t xml:space="preserve">ECE/ENERGY/GE.6/2020/INF.3), </w:t>
        </w:r>
        <w:r>
          <w:rPr>
            <w:lang w:val="en-US" w:eastAsia="en-GB"/>
          </w:rPr>
          <w:t xml:space="preserve">invited </w:t>
        </w:r>
        <w:r w:rsidRPr="00832C14">
          <w:rPr>
            <w:lang w:val="en-US" w:eastAsia="en-GB"/>
          </w:rPr>
          <w:t>the secretariat to organi</w:t>
        </w:r>
        <w:r>
          <w:rPr>
            <w:lang w:val="en-US" w:eastAsia="en-GB"/>
          </w:rPr>
          <w:t>z</w:t>
        </w:r>
        <w:r w:rsidRPr="00832C14">
          <w:rPr>
            <w:lang w:val="en-US" w:eastAsia="en-GB"/>
          </w:rPr>
          <w:t xml:space="preserve">e a </w:t>
        </w:r>
      </w:hyperlink>
      <w:r>
        <w:rPr>
          <w:lang w:val="en-US" w:eastAsia="en-GB"/>
        </w:rPr>
        <w:t xml:space="preserve">Joint </w:t>
      </w:r>
      <w:r w:rsidRPr="00832C14">
        <w:rPr>
          <w:lang w:val="en-US" w:eastAsia="en-GB"/>
        </w:rPr>
        <w:t xml:space="preserve">Task Force on Digitalization in Energy </w:t>
      </w:r>
      <w:r>
        <w:rPr>
          <w:lang w:val="en-US" w:eastAsia="en-GB"/>
        </w:rPr>
        <w:t xml:space="preserve">under </w:t>
      </w:r>
      <w:r w:rsidRPr="00832C14">
        <w:rPr>
          <w:lang w:val="en-US" w:eastAsia="en-GB"/>
        </w:rPr>
        <w:t xml:space="preserve">the Group of Experts on Energy Efficiency </w:t>
      </w:r>
      <w:r>
        <w:rPr>
          <w:lang w:val="en-US" w:eastAsia="en-GB"/>
        </w:rPr>
        <w:t>with participation of all expert groups and called on member States to provide extrabudgetary funding to support the activities of the Task force.</w:t>
      </w:r>
    </w:p>
    <w:p w14:paraId="0B478884" w14:textId="756C6AAE" w:rsidR="00442C0B" w:rsidRDefault="00442C0B" w:rsidP="00442C0B">
      <w:pPr>
        <w:pStyle w:val="H23G"/>
        <w:rPr>
          <w:lang w:val="en-US" w:eastAsia="en-GB"/>
        </w:rPr>
      </w:pPr>
      <w:r>
        <w:rPr>
          <w:lang w:val="en-US" w:eastAsia="en-GB"/>
        </w:rPr>
        <w:tab/>
        <w:t>5.</w:t>
      </w:r>
      <w:r>
        <w:rPr>
          <w:lang w:val="en-US" w:eastAsia="en-GB"/>
        </w:rPr>
        <w:tab/>
        <w:t>G</w:t>
      </w:r>
      <w:r w:rsidRPr="00896A71">
        <w:rPr>
          <w:lang w:val="en-US" w:eastAsia="en-GB"/>
        </w:rPr>
        <w:t xml:space="preserve">roup of Experts on </w:t>
      </w:r>
      <w:r>
        <w:rPr>
          <w:lang w:val="en-US" w:eastAsia="en-GB"/>
        </w:rPr>
        <w:t xml:space="preserve">Renewable </w:t>
      </w:r>
      <w:r w:rsidRPr="00896A71">
        <w:rPr>
          <w:lang w:val="en-US" w:eastAsia="en-GB"/>
        </w:rPr>
        <w:t>Energy</w:t>
      </w:r>
    </w:p>
    <w:p w14:paraId="15DE2824" w14:textId="77777777" w:rsidR="00442C0B" w:rsidRDefault="00442C0B" w:rsidP="00442C0B">
      <w:pPr>
        <w:pStyle w:val="SingleTxtG"/>
        <w:ind w:left="2835" w:hanging="1701"/>
      </w:pPr>
      <w:r w:rsidRPr="00944E5D">
        <w:rPr>
          <w:i/>
          <w:iCs/>
          <w:lang w:val="en-US" w:eastAsia="en-GB"/>
        </w:rPr>
        <w:t>Documentation</w:t>
      </w:r>
      <w:r>
        <w:rPr>
          <w:i/>
          <w:iCs/>
          <w:lang w:val="en-US" w:eastAsia="en-GB"/>
        </w:rPr>
        <w:t>:</w:t>
      </w:r>
      <w:r>
        <w:rPr>
          <w:i/>
          <w:iCs/>
          <w:lang w:val="en-US" w:eastAsia="en-GB"/>
        </w:rPr>
        <w:tab/>
      </w:r>
      <w:r>
        <w:t xml:space="preserve">ECE/ENERGY/127 </w:t>
      </w:r>
      <w:r w:rsidRPr="00E65EA2">
        <w:t>–</w:t>
      </w:r>
      <w:r>
        <w:t xml:space="preserve"> Towards sustainable renewable energy investment and deployment: Trade-offs and opportunities with water resources and the environment</w:t>
      </w:r>
    </w:p>
    <w:p w14:paraId="06B69AF0" w14:textId="77777777" w:rsidR="00442C0B" w:rsidRDefault="00442C0B" w:rsidP="00442C0B">
      <w:pPr>
        <w:pStyle w:val="SingleTxtG"/>
        <w:rPr>
          <w:lang w:val="en-US" w:eastAsia="en-GB"/>
        </w:rPr>
      </w:pPr>
      <w:r>
        <w:rPr>
          <w:lang w:val="en-US" w:eastAsia="en-GB"/>
        </w:rPr>
        <w:t>23.</w:t>
      </w:r>
      <w:r>
        <w:rPr>
          <w:lang w:val="en-US" w:eastAsia="en-GB"/>
        </w:rPr>
        <w:tab/>
        <w:t>The Committee:</w:t>
      </w:r>
    </w:p>
    <w:p w14:paraId="2662A2F6" w14:textId="357D5444" w:rsidR="00442C0B" w:rsidRDefault="00442C0B" w:rsidP="00442C0B">
      <w:pPr>
        <w:pStyle w:val="SingleTxtG"/>
        <w:ind w:firstLine="567"/>
        <w:rPr>
          <w:lang w:val="en-US" w:eastAsia="en-GB"/>
        </w:rPr>
      </w:pPr>
      <w:r>
        <w:rPr>
          <w:lang w:val="en-US" w:eastAsia="en-GB"/>
        </w:rPr>
        <w:t>(a)</w:t>
      </w:r>
      <w:r>
        <w:rPr>
          <w:lang w:val="en-US" w:eastAsia="en-GB"/>
        </w:rPr>
        <w:tab/>
      </w:r>
      <w:r w:rsidRPr="00AF2B08">
        <w:rPr>
          <w:lang w:val="en-US" w:eastAsia="en-GB"/>
        </w:rPr>
        <w:t xml:space="preserve">Requested the Group of Experts to continue leading the </w:t>
      </w:r>
      <w:r>
        <w:rPr>
          <w:lang w:val="en-US" w:eastAsia="en-GB"/>
        </w:rPr>
        <w:t>w</w:t>
      </w:r>
      <w:r w:rsidRPr="00AF2B08">
        <w:rPr>
          <w:lang w:val="en-US" w:eastAsia="en-GB"/>
        </w:rPr>
        <w:t>ater-</w:t>
      </w:r>
      <w:r>
        <w:rPr>
          <w:lang w:val="en-US" w:eastAsia="en-GB"/>
        </w:rPr>
        <w:t>food-e</w:t>
      </w:r>
      <w:r w:rsidRPr="00AF2B08">
        <w:rPr>
          <w:lang w:val="en-US" w:eastAsia="en-GB"/>
        </w:rPr>
        <w:t>nergy</w:t>
      </w:r>
      <w:r>
        <w:rPr>
          <w:lang w:val="en-US" w:eastAsia="en-GB"/>
        </w:rPr>
        <w:t>-ecosystems n</w:t>
      </w:r>
      <w:r w:rsidRPr="00AF2B08">
        <w:rPr>
          <w:lang w:val="en-US" w:eastAsia="en-GB"/>
        </w:rPr>
        <w:t>exus activities and to cooperate with the ECE Task Force on the Water-Food-Energy</w:t>
      </w:r>
      <w:r>
        <w:rPr>
          <w:lang w:val="en-US" w:eastAsia="en-GB"/>
        </w:rPr>
        <w:t>-Ecosystems</w:t>
      </w:r>
      <w:r w:rsidRPr="00AF2B08">
        <w:rPr>
          <w:lang w:val="en-US" w:eastAsia="en-GB"/>
        </w:rPr>
        <w:t xml:space="preserve"> Nexus</w:t>
      </w:r>
      <w:r>
        <w:rPr>
          <w:lang w:val="en-US" w:eastAsia="en-GB"/>
        </w:rPr>
        <w:t>;</w:t>
      </w:r>
    </w:p>
    <w:p w14:paraId="31126C91" w14:textId="65AF3A70" w:rsidR="00442C0B" w:rsidRPr="00191106" w:rsidRDefault="00442C0B" w:rsidP="00442C0B">
      <w:pPr>
        <w:pStyle w:val="SingleTxtG"/>
        <w:ind w:firstLine="567"/>
        <w:rPr>
          <w:lang w:val="en-US" w:eastAsia="en-GB"/>
        </w:rPr>
      </w:pPr>
      <w:r>
        <w:rPr>
          <w:lang w:val="en-US" w:eastAsia="en-GB"/>
        </w:rPr>
        <w:t>(b)</w:t>
      </w:r>
      <w:r>
        <w:rPr>
          <w:lang w:val="en-US" w:eastAsia="en-GB"/>
        </w:rPr>
        <w:tab/>
        <w:t xml:space="preserve">Requested the Group of Experts to extend its activities in the area of hydroelectricity, notably large hydropower, to ensure full appreciation of the multiple economic, social and environmental implications as countries consider pursuing development of hydroelectric </w:t>
      </w:r>
      <w:r w:rsidRPr="00191106">
        <w:rPr>
          <w:lang w:val="en-US" w:eastAsia="en-GB"/>
        </w:rPr>
        <w:t>infrastructure as part of their sustainable energy plans</w:t>
      </w:r>
      <w:r>
        <w:rPr>
          <w:lang w:val="en-US" w:eastAsia="en-GB"/>
        </w:rPr>
        <w:t>;</w:t>
      </w:r>
    </w:p>
    <w:p w14:paraId="2ADBCF2B" w14:textId="16EE19F8" w:rsidR="00442C0B" w:rsidRDefault="00442C0B" w:rsidP="00442C0B">
      <w:pPr>
        <w:pStyle w:val="SingleTxtG"/>
        <w:ind w:firstLine="567"/>
        <w:rPr>
          <w:lang w:val="en-US" w:eastAsia="en-GB"/>
        </w:rPr>
      </w:pPr>
      <w:r w:rsidRPr="00191106">
        <w:rPr>
          <w:lang w:val="en-US" w:eastAsia="en-GB"/>
        </w:rPr>
        <w:t>(c)</w:t>
      </w:r>
      <w:r w:rsidRPr="00191106">
        <w:rPr>
          <w:lang w:val="en-US" w:eastAsia="en-GB"/>
        </w:rPr>
        <w:tab/>
        <w:t xml:space="preserve">Requested the Group of Experts to continue cooperating closely with the Group of Experts on Gas and the Group of Experts on Cleaner Electricity Systems on synergies between renewable energy and gas and </w:t>
      </w:r>
      <w:r>
        <w:rPr>
          <w:lang w:val="en-US" w:eastAsia="en-GB"/>
        </w:rPr>
        <w:t xml:space="preserve">to </w:t>
      </w:r>
      <w:r w:rsidRPr="00191106">
        <w:rPr>
          <w:lang w:val="en-US" w:eastAsia="en-GB"/>
        </w:rPr>
        <w:t>assess the role of decarbonized gases, including hydrogen, across ECE subregions</w:t>
      </w:r>
      <w:r>
        <w:rPr>
          <w:lang w:val="en-US" w:eastAsia="en-GB"/>
        </w:rPr>
        <w:t xml:space="preserve">. </w:t>
      </w:r>
    </w:p>
    <w:p w14:paraId="55B0A2F9" w14:textId="5217FBAA" w:rsidR="00442C0B" w:rsidRDefault="00442C0B" w:rsidP="00442C0B">
      <w:pPr>
        <w:pStyle w:val="H23G"/>
        <w:rPr>
          <w:lang w:val="en-US" w:eastAsia="en-GB"/>
        </w:rPr>
      </w:pPr>
      <w:r>
        <w:rPr>
          <w:lang w:val="en-US" w:eastAsia="en-GB"/>
        </w:rPr>
        <w:tab/>
        <w:t>6.</w:t>
      </w:r>
      <w:r>
        <w:rPr>
          <w:lang w:val="en-US" w:eastAsia="en-GB"/>
        </w:rPr>
        <w:tab/>
        <w:t>G</w:t>
      </w:r>
      <w:r w:rsidRPr="00896A71">
        <w:rPr>
          <w:lang w:val="en-US" w:eastAsia="en-GB"/>
        </w:rPr>
        <w:t xml:space="preserve">roup of Experts on </w:t>
      </w:r>
      <w:r>
        <w:rPr>
          <w:lang w:val="en-US" w:eastAsia="en-GB"/>
        </w:rPr>
        <w:t>Gas</w:t>
      </w:r>
    </w:p>
    <w:p w14:paraId="19AF94C9" w14:textId="77777777" w:rsidR="00442C0B" w:rsidRDefault="00442C0B" w:rsidP="00442C0B">
      <w:pPr>
        <w:spacing w:after="120"/>
        <w:ind w:left="2835" w:right="1089" w:hanging="1701"/>
        <w:jc w:val="both"/>
        <w:rPr>
          <w:lang w:val="en-US" w:eastAsia="en-GB"/>
        </w:rPr>
      </w:pPr>
      <w:r w:rsidRPr="00F76A0A">
        <w:rPr>
          <w:i/>
          <w:iCs/>
          <w:lang w:val="en-US"/>
        </w:rPr>
        <w:t>Documentation:</w:t>
      </w:r>
      <w:r w:rsidRPr="00F76A0A">
        <w:rPr>
          <w:i/>
          <w:iCs/>
          <w:lang w:val="en-US"/>
        </w:rPr>
        <w:tab/>
      </w:r>
      <w:r>
        <w:rPr>
          <w:lang w:val="en-US" w:eastAsia="en-GB"/>
        </w:rPr>
        <w:t>ECE/ENERGY/2020/8</w:t>
      </w:r>
      <w:r w:rsidRPr="00F1006B">
        <w:rPr>
          <w:lang w:val="en-US" w:eastAsia="en-GB"/>
        </w:rPr>
        <w:t xml:space="preserve"> </w:t>
      </w:r>
      <w:r w:rsidRPr="0075424F">
        <w:t>–</w:t>
      </w:r>
      <w:r w:rsidRPr="00F1006B">
        <w:rPr>
          <w:lang w:val="en-US" w:eastAsia="en-GB"/>
        </w:rPr>
        <w:t xml:space="preserve"> Hydrog</w:t>
      </w:r>
      <w:r w:rsidRPr="00F1006B">
        <w:rPr>
          <w:lang w:val="en-US"/>
        </w:rPr>
        <w:t>e</w:t>
      </w:r>
      <w:r w:rsidRPr="00F1006B">
        <w:rPr>
          <w:lang w:val="en-US" w:eastAsia="en-GB"/>
        </w:rPr>
        <w:t xml:space="preserve">n – </w:t>
      </w:r>
      <w:r>
        <w:rPr>
          <w:lang w:val="en-US" w:eastAsia="en-GB"/>
        </w:rPr>
        <w:t xml:space="preserve">an innovative solution to </w:t>
      </w:r>
      <w:r w:rsidRPr="00C0604F">
        <w:rPr>
          <w:lang w:val="en-US" w:eastAsia="en-GB"/>
        </w:rPr>
        <w:t xml:space="preserve">carbon neutrality </w:t>
      </w:r>
    </w:p>
    <w:p w14:paraId="7FEBB12B" w14:textId="77777777" w:rsidR="00442C0B" w:rsidRDefault="00442C0B" w:rsidP="00442C0B">
      <w:pPr>
        <w:pStyle w:val="SingleTxtG"/>
        <w:ind w:left="2835"/>
        <w:rPr>
          <w:lang w:val="en-US" w:eastAsia="en-GB"/>
        </w:rPr>
      </w:pPr>
      <w:r w:rsidRPr="00D802D4">
        <w:rPr>
          <w:color w:val="000000" w:themeColor="text1"/>
          <w:lang w:val="en-US" w:eastAsia="en-GB"/>
        </w:rPr>
        <w:t>ECE/ENERGY/2020/9</w:t>
      </w:r>
      <w:r>
        <w:rPr>
          <w:color w:val="000000" w:themeColor="text1"/>
          <w:lang w:val="en-US" w:eastAsia="en-GB"/>
        </w:rPr>
        <w:t xml:space="preserve"> </w:t>
      </w:r>
      <w:r w:rsidRPr="0075424F">
        <w:t>–</w:t>
      </w:r>
      <w:r>
        <w:t xml:space="preserve"> </w:t>
      </w:r>
      <w:r w:rsidRPr="00D802D4">
        <w:rPr>
          <w:color w:val="000000" w:themeColor="text1"/>
          <w:lang w:val="en-US" w:eastAsia="en-GB"/>
        </w:rPr>
        <w:t>Carbon neutrality through synergies between gas and renewable energy</w:t>
      </w:r>
    </w:p>
    <w:p w14:paraId="0FF8A9C6" w14:textId="77777777" w:rsidR="00442C0B" w:rsidRDefault="00442C0B" w:rsidP="00442C0B">
      <w:pPr>
        <w:pStyle w:val="SingleTxtG"/>
        <w:rPr>
          <w:lang w:val="en-US" w:eastAsia="en-GB"/>
        </w:rPr>
      </w:pPr>
      <w:r>
        <w:rPr>
          <w:lang w:val="en-US" w:eastAsia="en-GB"/>
        </w:rPr>
        <w:t>24.</w:t>
      </w:r>
      <w:r>
        <w:rPr>
          <w:lang w:val="en-US" w:eastAsia="en-GB"/>
        </w:rPr>
        <w:tab/>
        <w:t>The Committee noted that the Group of Experts on Gas</w:t>
      </w:r>
      <w:r w:rsidRPr="00DF0DF8">
        <w:t xml:space="preserve"> </w:t>
      </w:r>
      <w:r>
        <w:t xml:space="preserve">has </w:t>
      </w:r>
      <w:r w:rsidRPr="00DF0DF8">
        <w:rPr>
          <w:lang w:val="en-US" w:eastAsia="en-GB"/>
        </w:rPr>
        <w:t>start</w:t>
      </w:r>
      <w:r>
        <w:rPr>
          <w:lang w:val="en-US" w:eastAsia="en-GB"/>
        </w:rPr>
        <w:t>ed</w:t>
      </w:r>
      <w:r w:rsidRPr="00DF0DF8">
        <w:rPr>
          <w:lang w:val="en-US" w:eastAsia="en-GB"/>
        </w:rPr>
        <w:t xml:space="preserve"> the extrabudgetary project “Improving capacities of the ECE member States to decarbonize the transport sector”. </w:t>
      </w:r>
      <w:r w:rsidRPr="00DF0DF8">
        <w:rPr>
          <w:lang w:val="en-US" w:eastAsia="en-GB"/>
        </w:rPr>
        <w:lastRenderedPageBreak/>
        <w:t>The</w:t>
      </w:r>
      <w:r>
        <w:rPr>
          <w:lang w:val="en-US" w:eastAsia="en-GB"/>
        </w:rPr>
        <w:t xml:space="preserve"> Committee further noted that t</w:t>
      </w:r>
      <w:r w:rsidRPr="00DF0DF8">
        <w:rPr>
          <w:lang w:val="en-US" w:eastAsia="en-GB"/>
        </w:rPr>
        <w:t>he project w</w:t>
      </w:r>
      <w:r>
        <w:rPr>
          <w:lang w:val="en-US" w:eastAsia="en-GB"/>
        </w:rPr>
        <w:t xml:space="preserve">ould </w:t>
      </w:r>
      <w:r w:rsidRPr="00DF0DF8">
        <w:rPr>
          <w:lang w:val="en-US" w:eastAsia="en-GB"/>
        </w:rPr>
        <w:t xml:space="preserve">enhance the capacity of </w:t>
      </w:r>
      <w:r>
        <w:rPr>
          <w:lang w:val="en-US" w:eastAsia="en-GB"/>
        </w:rPr>
        <w:t xml:space="preserve">interested </w:t>
      </w:r>
      <w:r w:rsidRPr="00DF0DF8">
        <w:rPr>
          <w:lang w:val="en-US" w:eastAsia="en-GB"/>
        </w:rPr>
        <w:t xml:space="preserve">ECE member States to develop infrastructure </w:t>
      </w:r>
      <w:r>
        <w:rPr>
          <w:lang w:val="en-US" w:eastAsia="en-GB"/>
        </w:rPr>
        <w:t xml:space="preserve">to use </w:t>
      </w:r>
      <w:r w:rsidRPr="00DF0DF8">
        <w:rPr>
          <w:lang w:val="en-US" w:eastAsia="en-GB"/>
        </w:rPr>
        <w:t>gas</w:t>
      </w:r>
      <w:r>
        <w:rPr>
          <w:lang w:val="en-US" w:eastAsia="en-GB"/>
        </w:rPr>
        <w:t>es</w:t>
      </w:r>
      <w:r w:rsidRPr="00DF0DF8">
        <w:rPr>
          <w:lang w:val="en-US" w:eastAsia="en-GB"/>
        </w:rPr>
        <w:t xml:space="preserve"> in transportation as a low-carbon alternative fueling option.</w:t>
      </w:r>
    </w:p>
    <w:p w14:paraId="0B1B37C1" w14:textId="521A5C42" w:rsidR="00442C0B" w:rsidRDefault="00442C0B" w:rsidP="00442C0B">
      <w:pPr>
        <w:pStyle w:val="H1G"/>
      </w:pPr>
      <w:r>
        <w:tab/>
      </w:r>
      <w:r w:rsidRPr="00442C0B">
        <w:t>B.</w:t>
      </w:r>
      <w:r w:rsidRPr="00442C0B">
        <w:tab/>
        <w:t>Implications for work of the Committee on Sustainable Energy and the sustainable energy subprogramme</w:t>
      </w:r>
    </w:p>
    <w:p w14:paraId="63A50263" w14:textId="0E61C431" w:rsidR="00442C0B" w:rsidRDefault="00442C0B" w:rsidP="00442C0B">
      <w:pPr>
        <w:pStyle w:val="SingleTxtG"/>
        <w:rPr>
          <w:lang w:val="en-US" w:eastAsia="en-GB"/>
        </w:rPr>
      </w:pPr>
      <w:r>
        <w:rPr>
          <w:lang w:val="en-US" w:eastAsia="en-GB"/>
        </w:rPr>
        <w:t>25.</w:t>
      </w:r>
      <w:r>
        <w:rPr>
          <w:lang w:val="en-US" w:eastAsia="en-GB"/>
        </w:rPr>
        <w:tab/>
        <w:t>The Committee:</w:t>
      </w:r>
    </w:p>
    <w:p w14:paraId="4C5989B9" w14:textId="7AF4A1D8" w:rsidR="00442C0B" w:rsidRDefault="00442C0B" w:rsidP="00442C0B">
      <w:pPr>
        <w:pStyle w:val="SingleTxtG"/>
        <w:ind w:firstLine="567"/>
        <w:rPr>
          <w:lang w:val="en-US" w:eastAsia="en-GB"/>
        </w:rPr>
      </w:pPr>
      <w:r>
        <w:rPr>
          <w:lang w:val="en-US" w:eastAsia="en-GB"/>
        </w:rPr>
        <w:t>(a)</w:t>
      </w:r>
      <w:r>
        <w:rPr>
          <w:lang w:val="en-US" w:eastAsia="en-GB"/>
        </w:rPr>
        <w:tab/>
      </w:r>
      <w:r w:rsidRPr="00700422">
        <w:rPr>
          <w:lang w:val="en-US" w:eastAsia="en-GB"/>
        </w:rPr>
        <w:t xml:space="preserve">Expressed appreciation to the Committee’s expert groups for finalizing the strategic review of the </w:t>
      </w:r>
      <w:r>
        <w:rPr>
          <w:lang w:val="en-US" w:eastAsia="en-GB"/>
        </w:rPr>
        <w:t>ECE</w:t>
      </w:r>
      <w:r w:rsidRPr="00700422">
        <w:rPr>
          <w:lang w:val="en-US" w:eastAsia="en-GB"/>
        </w:rPr>
        <w:t xml:space="preserve"> sustainable energy </w:t>
      </w:r>
      <w:proofErr w:type="spellStart"/>
      <w:r w:rsidRPr="00700422">
        <w:rPr>
          <w:lang w:val="en-US" w:eastAsia="en-GB"/>
        </w:rPr>
        <w:t>subprogramme</w:t>
      </w:r>
      <w:proofErr w:type="spellEnd"/>
      <w:r w:rsidRPr="00700422">
        <w:rPr>
          <w:lang w:val="en-US" w:eastAsia="en-GB"/>
        </w:rPr>
        <w:t xml:space="preserve"> (ECE/ENERGY/2020/12), and agreed to have consultation</w:t>
      </w:r>
      <w:r>
        <w:rPr>
          <w:lang w:val="en-US" w:eastAsia="en-GB"/>
        </w:rPr>
        <w:t>s</w:t>
      </w:r>
      <w:r w:rsidRPr="00700422">
        <w:rPr>
          <w:lang w:val="en-US" w:eastAsia="en-GB"/>
        </w:rPr>
        <w:t xml:space="preserve"> </w:t>
      </w:r>
      <w:r>
        <w:rPr>
          <w:lang w:val="en-US" w:eastAsia="en-GB"/>
        </w:rPr>
        <w:t xml:space="preserve">with member States, including through the Permanent Missions in Geneva, </w:t>
      </w:r>
      <w:r w:rsidRPr="00700422">
        <w:rPr>
          <w:lang w:val="en-US" w:eastAsia="en-GB"/>
        </w:rPr>
        <w:t>on the draft with a view to hav</w:t>
      </w:r>
      <w:r>
        <w:rPr>
          <w:lang w:val="en-US" w:eastAsia="en-GB"/>
        </w:rPr>
        <w:t>ing</w:t>
      </w:r>
      <w:r w:rsidRPr="00700422">
        <w:rPr>
          <w:lang w:val="en-US" w:eastAsia="en-GB"/>
        </w:rPr>
        <w:t xml:space="preserve"> the text approved and adopted at its </w:t>
      </w:r>
      <w:r>
        <w:rPr>
          <w:lang w:val="en-US" w:eastAsia="en-GB"/>
        </w:rPr>
        <w:t xml:space="preserve">thirtieth </w:t>
      </w:r>
      <w:r w:rsidRPr="00700422">
        <w:rPr>
          <w:lang w:val="en-US" w:eastAsia="en-GB"/>
        </w:rPr>
        <w:t>session</w:t>
      </w:r>
      <w:r w:rsidR="008F16ED">
        <w:rPr>
          <w:lang w:val="en-US" w:eastAsia="en-GB"/>
        </w:rPr>
        <w:t>;</w:t>
      </w:r>
    </w:p>
    <w:p w14:paraId="22055E6B" w14:textId="0EAAB437" w:rsidR="00442C0B" w:rsidRDefault="00442C0B" w:rsidP="00442C0B">
      <w:pPr>
        <w:pStyle w:val="SingleTxtG"/>
        <w:ind w:firstLine="567"/>
        <w:rPr>
          <w:lang w:val="en-US" w:eastAsia="en-GB"/>
        </w:rPr>
      </w:pPr>
      <w:r>
        <w:rPr>
          <w:lang w:val="en-US" w:eastAsia="en-GB"/>
        </w:rPr>
        <w:t>(b)</w:t>
      </w:r>
      <w:r>
        <w:rPr>
          <w:lang w:val="en-US" w:eastAsia="en-GB"/>
        </w:rPr>
        <w:tab/>
        <w:t xml:space="preserve">Noted in particular the calls for the work of the Committee to reflect </w:t>
      </w:r>
      <w:r w:rsidRPr="00DA39D3">
        <w:rPr>
          <w:lang w:val="en-US" w:eastAsia="en-GB"/>
        </w:rPr>
        <w:t>the scale, scope, role, and values of the United Nations</w:t>
      </w:r>
      <w:r w:rsidRPr="00DA39D3">
        <w:t xml:space="preserve"> </w:t>
      </w:r>
      <w:r>
        <w:rPr>
          <w:lang w:val="en-US" w:eastAsia="en-GB"/>
        </w:rPr>
        <w:t xml:space="preserve">in </w:t>
      </w:r>
      <w:r w:rsidRPr="00DA39D3">
        <w:rPr>
          <w:lang w:val="en-US" w:eastAsia="en-GB"/>
        </w:rPr>
        <w:t>mak</w:t>
      </w:r>
      <w:r>
        <w:rPr>
          <w:lang w:val="en-US" w:eastAsia="en-GB"/>
        </w:rPr>
        <w:t>ing</w:t>
      </w:r>
      <w:r w:rsidRPr="00DA39D3">
        <w:rPr>
          <w:lang w:val="en-US" w:eastAsia="en-GB"/>
        </w:rPr>
        <w:t xml:space="preserve"> concrete, measurable progress on energy</w:t>
      </w:r>
      <w:r>
        <w:rPr>
          <w:lang w:val="en-US" w:eastAsia="en-GB"/>
        </w:rPr>
        <w:t>:</w:t>
      </w:r>
    </w:p>
    <w:p w14:paraId="4303EB0A" w14:textId="5E70C09A" w:rsidR="00442C0B" w:rsidRPr="00A33FA2" w:rsidRDefault="00A33FA2" w:rsidP="00DD0F5C">
      <w:pPr>
        <w:pStyle w:val="SingleTxtG"/>
        <w:ind w:left="1701" w:firstLine="567"/>
      </w:pPr>
      <w:r>
        <w:t>(</w:t>
      </w:r>
      <w:proofErr w:type="spellStart"/>
      <w:r>
        <w:t>i</w:t>
      </w:r>
      <w:proofErr w:type="spellEnd"/>
      <w:r>
        <w:t>)</w:t>
      </w:r>
      <w:r>
        <w:tab/>
      </w:r>
      <w:r w:rsidR="00442C0B" w:rsidRPr="00A33FA2">
        <w:t>Encouraged closer cooperation among the subsidiary bodies on cross-cutting issues</w:t>
      </w:r>
      <w:r>
        <w:t>;</w:t>
      </w:r>
    </w:p>
    <w:p w14:paraId="085CB301" w14:textId="709E6A56" w:rsidR="00442C0B" w:rsidRPr="00A33FA2" w:rsidRDefault="00A33FA2" w:rsidP="00DD0F5C">
      <w:pPr>
        <w:pStyle w:val="SingleTxtG"/>
        <w:ind w:left="1701" w:firstLine="567"/>
      </w:pPr>
      <w:r>
        <w:t>(ii)</w:t>
      </w:r>
      <w:r>
        <w:tab/>
      </w:r>
      <w:r w:rsidR="00442C0B" w:rsidRPr="00A33FA2">
        <w:t>Encouraged collaboration with the Environment and Transport subprogrammes to explore in some detail the range of opportunities for reducing the carbon intensity and environmental impacts of transport</w:t>
      </w:r>
      <w:r>
        <w:t>;</w:t>
      </w:r>
    </w:p>
    <w:p w14:paraId="674BF511" w14:textId="16110212" w:rsidR="00442C0B" w:rsidRPr="00A33FA2" w:rsidRDefault="00A33FA2" w:rsidP="00DD0F5C">
      <w:pPr>
        <w:pStyle w:val="SingleTxtG"/>
        <w:ind w:left="1701" w:firstLine="567"/>
      </w:pPr>
      <w:r>
        <w:t>(iii)</w:t>
      </w:r>
      <w:r>
        <w:tab/>
      </w:r>
      <w:r w:rsidR="00442C0B" w:rsidRPr="00A33FA2">
        <w:t>Requested the secretariat to take appropriate steps to increase organization of cross-sectoral activities among the expert groups, with other ECE subprogrammes, the other UN regional commissions, and other organizations, undertaking a broad resource mobilization effort, and modern methods of working, and</w:t>
      </w:r>
      <w:r w:rsidR="0068058C">
        <w:t>;</w:t>
      </w:r>
    </w:p>
    <w:p w14:paraId="680586DB" w14:textId="3F201783" w:rsidR="00442C0B" w:rsidRDefault="00A33FA2" w:rsidP="00DD0F5C">
      <w:pPr>
        <w:pStyle w:val="SingleTxtG"/>
        <w:ind w:left="1701" w:firstLine="567"/>
      </w:pPr>
      <w:r>
        <w:t>(iv)</w:t>
      </w:r>
      <w:r>
        <w:tab/>
      </w:r>
      <w:r w:rsidR="00442C0B" w:rsidRPr="00A33FA2">
        <w:t>Called on member States to provide needed extrabudgetary and in-kind resources to the subprogramme to achieve its objectives.</w:t>
      </w:r>
    </w:p>
    <w:p w14:paraId="32E0258E" w14:textId="6DCABEFB" w:rsidR="00A33FA2" w:rsidRDefault="00A33FA2" w:rsidP="00A33FA2">
      <w:pPr>
        <w:pStyle w:val="H1G"/>
      </w:pPr>
      <w:r>
        <w:tab/>
      </w:r>
      <w:r w:rsidRPr="00255B0F">
        <w:t>C.</w:t>
      </w:r>
      <w:r w:rsidRPr="00255B0F">
        <w:tab/>
      </w:r>
      <w:r w:rsidRPr="00170740">
        <w:t>Ways of working</w:t>
      </w:r>
    </w:p>
    <w:p w14:paraId="234AA9D6" w14:textId="77777777" w:rsidR="00A33FA2" w:rsidRPr="00506914" w:rsidRDefault="00A33FA2" w:rsidP="00A33FA2">
      <w:pPr>
        <w:pStyle w:val="SingleTxtG"/>
        <w:ind w:left="2829" w:hanging="1695"/>
      </w:pPr>
      <w:r w:rsidRPr="00506914">
        <w:rPr>
          <w:i/>
        </w:rPr>
        <w:t>Documentation:</w:t>
      </w:r>
      <w:r w:rsidRPr="00506914">
        <w:tab/>
      </w:r>
      <w:r>
        <w:t xml:space="preserve">ECE/ENERGY/2020/5 – </w:t>
      </w:r>
      <w:r w:rsidRPr="00091D0F">
        <w:t>Draft rules of procedure of the Committee on Sustainable Energy</w:t>
      </w:r>
      <w:r>
        <w:t xml:space="preserve"> </w:t>
      </w:r>
    </w:p>
    <w:p w14:paraId="026239E2" w14:textId="77777777" w:rsidR="00A33FA2" w:rsidRDefault="00A33FA2" w:rsidP="00A33FA2">
      <w:pPr>
        <w:pStyle w:val="SingleTxtG"/>
        <w:rPr>
          <w:lang w:val="en-US" w:eastAsia="en-GB"/>
        </w:rPr>
      </w:pPr>
      <w:r>
        <w:rPr>
          <w:lang w:val="en-US" w:eastAsia="en-GB"/>
        </w:rPr>
        <w:t>26.</w:t>
      </w:r>
      <w:r>
        <w:rPr>
          <w:lang w:val="en-US" w:eastAsia="en-GB"/>
        </w:rPr>
        <w:tab/>
        <w:t>The Committee:</w:t>
      </w:r>
    </w:p>
    <w:p w14:paraId="0D533CFD" w14:textId="42E28A57" w:rsidR="00A33FA2" w:rsidRDefault="00A33FA2" w:rsidP="00A33FA2">
      <w:pPr>
        <w:pStyle w:val="SingleTxtG"/>
        <w:ind w:firstLine="567"/>
        <w:rPr>
          <w:lang w:val="en-US" w:eastAsia="en-GB"/>
        </w:rPr>
      </w:pPr>
      <w:r>
        <w:rPr>
          <w:lang w:val="en-US" w:eastAsia="en-GB"/>
        </w:rPr>
        <w:t>(a)</w:t>
      </w:r>
      <w:r>
        <w:rPr>
          <w:lang w:val="en-US" w:eastAsia="en-GB"/>
        </w:rPr>
        <w:tab/>
        <w:t xml:space="preserve"> Noted that the draft Rules of Procedure (</w:t>
      </w:r>
      <w:r w:rsidRPr="00B61F64">
        <w:rPr>
          <w:lang w:val="en-US" w:eastAsia="en-GB"/>
        </w:rPr>
        <w:t>ECE/ENERGY/2020/5</w:t>
      </w:r>
      <w:r>
        <w:rPr>
          <w:lang w:val="en-US" w:eastAsia="en-GB"/>
        </w:rPr>
        <w:t xml:space="preserve">) </w:t>
      </w:r>
      <w:r w:rsidRPr="00B61F64">
        <w:rPr>
          <w:lang w:val="en-US" w:eastAsia="en-GB"/>
        </w:rPr>
        <w:t>have been prepared in accordance with the Guidelines on procedures and practices for ECE bodies adopted by the Economic Commission for Europe (E/2013/37-E/ECE/1464, annex III, appendix III)</w:t>
      </w:r>
      <w:r>
        <w:rPr>
          <w:lang w:val="en-US" w:eastAsia="en-GB"/>
        </w:rPr>
        <w:t>;</w:t>
      </w:r>
    </w:p>
    <w:p w14:paraId="4D577DFE" w14:textId="57B035AF" w:rsidR="00A33FA2" w:rsidRDefault="00A33FA2" w:rsidP="00A33FA2">
      <w:pPr>
        <w:pStyle w:val="SingleTxtG"/>
        <w:ind w:firstLine="567"/>
        <w:rPr>
          <w:lang w:val="en-US" w:eastAsia="en-GB"/>
        </w:rPr>
      </w:pPr>
      <w:r>
        <w:rPr>
          <w:lang w:val="en-US" w:eastAsia="en-GB"/>
        </w:rPr>
        <w:t>(b)</w:t>
      </w:r>
      <w:r>
        <w:rPr>
          <w:lang w:val="en-US" w:eastAsia="en-GB"/>
        </w:rPr>
        <w:tab/>
        <w:t>Noted that t</w:t>
      </w:r>
      <w:r w:rsidRPr="00657A64">
        <w:rPr>
          <w:lang w:val="en-US" w:eastAsia="en-GB"/>
        </w:rPr>
        <w:t xml:space="preserve">he objective </w:t>
      </w:r>
      <w:r>
        <w:rPr>
          <w:lang w:val="en-US" w:eastAsia="en-GB"/>
        </w:rPr>
        <w:t xml:space="preserve">of instituting Rules of Procedure for the Committee on Sustainable Energy </w:t>
      </w:r>
      <w:r w:rsidRPr="00657A64">
        <w:rPr>
          <w:lang w:val="en-US" w:eastAsia="en-GB"/>
        </w:rPr>
        <w:t xml:space="preserve">is to streamline the work of the Committee and its subsidiary bodies, to provide a basis for accelerated delivery of the sustainable energy </w:t>
      </w:r>
      <w:proofErr w:type="spellStart"/>
      <w:r w:rsidRPr="00657A64">
        <w:rPr>
          <w:lang w:val="en-US" w:eastAsia="en-GB"/>
        </w:rPr>
        <w:t>subprogramme</w:t>
      </w:r>
      <w:proofErr w:type="spellEnd"/>
      <w:r w:rsidRPr="00657A64">
        <w:rPr>
          <w:lang w:val="en-US" w:eastAsia="en-GB"/>
        </w:rPr>
        <w:t>, and to solidify ECE’s reputation as a credible, relevant, and responsive partner</w:t>
      </w:r>
      <w:r>
        <w:rPr>
          <w:lang w:val="en-US" w:eastAsia="en-GB"/>
        </w:rPr>
        <w:t>;</w:t>
      </w:r>
    </w:p>
    <w:p w14:paraId="30896011" w14:textId="12FB4CAD" w:rsidR="00A33FA2" w:rsidRDefault="00A33FA2" w:rsidP="00A33FA2">
      <w:pPr>
        <w:pStyle w:val="SingleTxtG"/>
        <w:ind w:firstLine="567"/>
        <w:rPr>
          <w:lang w:val="en-US" w:eastAsia="en-GB"/>
        </w:rPr>
      </w:pPr>
      <w:r>
        <w:rPr>
          <w:lang w:val="en-US" w:eastAsia="en-GB"/>
        </w:rPr>
        <w:t>(c)</w:t>
      </w:r>
      <w:r>
        <w:rPr>
          <w:lang w:val="en-US" w:eastAsia="en-GB"/>
        </w:rPr>
        <w:tab/>
        <w:t xml:space="preserve">Endorsed the Rules of Procedure as contained in ECE/ENERGY/2020/5 and as revised by the Committee </w:t>
      </w:r>
      <w:r w:rsidRPr="00175C90">
        <w:rPr>
          <w:lang w:val="en-US" w:eastAsia="en-GB"/>
        </w:rPr>
        <w:t>(Annex I),</w:t>
      </w:r>
      <w:r>
        <w:rPr>
          <w:lang w:val="en-US" w:eastAsia="en-GB"/>
        </w:rPr>
        <w:t xml:space="preserve"> and requested the </w:t>
      </w:r>
      <w:proofErr w:type="spellStart"/>
      <w:r>
        <w:rPr>
          <w:lang w:val="en-US" w:eastAsia="en-GB"/>
        </w:rPr>
        <w:t>Bureaux</w:t>
      </w:r>
      <w:proofErr w:type="spellEnd"/>
      <w:r>
        <w:rPr>
          <w:lang w:val="en-US" w:eastAsia="en-GB"/>
        </w:rPr>
        <w:t xml:space="preserve"> and Groups of Experts to apply them henceforth. </w:t>
      </w:r>
    </w:p>
    <w:p w14:paraId="56464E15" w14:textId="05CFB6DC" w:rsidR="00A33FA2" w:rsidRDefault="00A33FA2" w:rsidP="00A33FA2">
      <w:pPr>
        <w:pStyle w:val="HChG"/>
      </w:pPr>
      <w:r>
        <w:tab/>
      </w:r>
      <w:r w:rsidRPr="00A33FA2">
        <w:t>V.</w:t>
      </w:r>
      <w:r w:rsidRPr="00A33FA2">
        <w:tab/>
        <w:t>Carbon neutrality as a pathway to sustainable energy (agenda item 4)</w:t>
      </w:r>
    </w:p>
    <w:p w14:paraId="75B15DEA" w14:textId="77777777" w:rsidR="00A33FA2" w:rsidRPr="00C54B87" w:rsidRDefault="00A33FA2" w:rsidP="00A33FA2">
      <w:pPr>
        <w:pStyle w:val="SingleTxtG"/>
        <w:spacing w:line="240" w:lineRule="auto"/>
        <w:ind w:left="2829" w:hanging="1695"/>
      </w:pPr>
      <w:r w:rsidRPr="00117C60">
        <w:rPr>
          <w:i/>
        </w:rPr>
        <w:t>Documentation:</w:t>
      </w:r>
      <w:r>
        <w:rPr>
          <w:i/>
        </w:rPr>
        <w:tab/>
      </w:r>
      <w:r w:rsidRPr="00117C60">
        <w:t>ECE/ENERGY/20</w:t>
      </w:r>
      <w:r>
        <w:t>19</w:t>
      </w:r>
      <w:r w:rsidRPr="00117C60">
        <w:t xml:space="preserve">/1 – </w:t>
      </w:r>
      <w:r w:rsidRPr="00662CCC">
        <w:t>Pathways to Sustainable Energy: Accelerating Energy Transition in the ECE Region</w:t>
      </w:r>
    </w:p>
    <w:p w14:paraId="306CC66E" w14:textId="77777777" w:rsidR="00A33FA2" w:rsidRDefault="00A33FA2" w:rsidP="00A33FA2">
      <w:pPr>
        <w:pStyle w:val="SingleTxtG"/>
        <w:spacing w:line="240" w:lineRule="auto"/>
        <w:ind w:left="2829"/>
      </w:pPr>
      <w:r w:rsidRPr="00117C60">
        <w:lastRenderedPageBreak/>
        <w:t>ECE/ENERGY/2020/1 – Policy recommendations from P</w:t>
      </w:r>
      <w:r>
        <w:t>athways to Sustainable Energy</w:t>
      </w:r>
    </w:p>
    <w:p w14:paraId="58053D81" w14:textId="77777777" w:rsidR="00A33FA2" w:rsidRPr="00E667B1" w:rsidRDefault="00A33FA2" w:rsidP="00A33FA2">
      <w:pPr>
        <w:pStyle w:val="SingleTxtG"/>
        <w:spacing w:line="240" w:lineRule="auto"/>
        <w:ind w:left="2829" w:hanging="1695"/>
        <w:rPr>
          <w:iCs/>
        </w:rPr>
      </w:pPr>
      <w:r>
        <w:rPr>
          <w:i/>
        </w:rPr>
        <w:tab/>
      </w:r>
      <w:r w:rsidRPr="00E667B1">
        <w:rPr>
          <w:iCs/>
        </w:rPr>
        <w:t>ECE/ENERGY/2020/8 – Hydrogen – an innovative solution to carbon neutrality</w:t>
      </w:r>
    </w:p>
    <w:p w14:paraId="5C156C02" w14:textId="77777777" w:rsidR="00A33FA2" w:rsidRDefault="00A33FA2" w:rsidP="00A33FA2">
      <w:pPr>
        <w:pStyle w:val="SingleTxtG"/>
        <w:spacing w:line="240" w:lineRule="auto"/>
        <w:ind w:left="2829"/>
      </w:pPr>
      <w:r w:rsidRPr="00B72081">
        <w:t>ECE/ENERGY/20</w:t>
      </w:r>
      <w:r>
        <w:t>20/9</w:t>
      </w:r>
      <w:r w:rsidRPr="00B72081">
        <w:t xml:space="preserve"> – </w:t>
      </w:r>
      <w:r>
        <w:t>Carbon neutrality through synergies between gas and renewable energy</w:t>
      </w:r>
    </w:p>
    <w:p w14:paraId="3CDD6304" w14:textId="77777777" w:rsidR="00A33FA2" w:rsidRDefault="00A33FA2" w:rsidP="00A33FA2">
      <w:pPr>
        <w:pStyle w:val="SingleTxtG"/>
        <w:ind w:left="2829"/>
      </w:pPr>
      <w:r w:rsidRPr="007D6175">
        <w:t>ECE/ENERGY/</w:t>
      </w:r>
      <w:r>
        <w:t>GE.6/</w:t>
      </w:r>
      <w:r w:rsidRPr="007D6175">
        <w:t>2020/</w:t>
      </w:r>
      <w:r>
        <w:t>5</w:t>
      </w:r>
      <w:r w:rsidRPr="007D6175">
        <w:t xml:space="preserve"> – </w:t>
      </w:r>
      <w:r>
        <w:t>Pathways to Sustainable Energy – policy recommendations from the Group of Experts on Energy Efficiency</w:t>
      </w:r>
    </w:p>
    <w:p w14:paraId="142C6593" w14:textId="77777777" w:rsidR="00A33FA2" w:rsidRPr="00117C60" w:rsidRDefault="00A33FA2" w:rsidP="00A33FA2">
      <w:pPr>
        <w:pStyle w:val="SingleTxtG"/>
        <w:spacing w:line="240" w:lineRule="auto"/>
        <w:ind w:left="2829"/>
        <w:rPr>
          <w:rFonts w:asciiTheme="majorBidi" w:hAnsiTheme="majorBidi" w:cstheme="majorBidi"/>
        </w:rPr>
      </w:pPr>
      <w:r>
        <w:t xml:space="preserve">ECE/ENERGY/2020/10 </w:t>
      </w:r>
      <w:r w:rsidRPr="00722C27">
        <w:t xml:space="preserve">– Pathways to Sustainable Energy </w:t>
      </w:r>
      <w:r>
        <w:t>–</w:t>
      </w:r>
      <w:r w:rsidRPr="00722C27">
        <w:t xml:space="preserve"> </w:t>
      </w:r>
      <w:r>
        <w:t>p</w:t>
      </w:r>
      <w:r w:rsidRPr="00722C27">
        <w:t>olicy recommendations from the Expert Group on Resource Management</w:t>
      </w:r>
    </w:p>
    <w:p w14:paraId="06417912" w14:textId="77777777" w:rsidR="00A33FA2" w:rsidRDefault="00A33FA2" w:rsidP="00A33FA2">
      <w:pPr>
        <w:pStyle w:val="SingleTxtG"/>
        <w:spacing w:line="240" w:lineRule="auto"/>
        <w:ind w:left="2829"/>
      </w:pPr>
      <w:r w:rsidRPr="00B72081">
        <w:t>ECE/ENERGY/</w:t>
      </w:r>
      <w:r>
        <w:t>GE.5/</w:t>
      </w:r>
      <w:r w:rsidRPr="00B72081">
        <w:t>20</w:t>
      </w:r>
      <w:r>
        <w:t>20/8</w:t>
      </w:r>
      <w:r w:rsidRPr="00B72081">
        <w:t xml:space="preserve"> – </w:t>
      </w:r>
      <w:r>
        <w:t>Framework for attaining carbon-neutrality in the ECE region by 2050</w:t>
      </w:r>
    </w:p>
    <w:p w14:paraId="18CE51A7" w14:textId="77777777" w:rsidR="00A33FA2" w:rsidRDefault="00A33FA2" w:rsidP="00A33FA2">
      <w:pPr>
        <w:pStyle w:val="SingleTxtG"/>
        <w:ind w:left="2829"/>
        <w:rPr>
          <w:rFonts w:asciiTheme="majorBidi" w:hAnsiTheme="majorBidi" w:cstheme="majorBidi"/>
          <w:iCs/>
        </w:rPr>
      </w:pPr>
      <w:r w:rsidRPr="0025741B">
        <w:rPr>
          <w:iCs/>
        </w:rPr>
        <w:t>ECE/ENERGY/GE.5/2020/</w:t>
      </w:r>
      <w:r>
        <w:rPr>
          <w:iCs/>
        </w:rPr>
        <w:t>7</w:t>
      </w:r>
      <w:r w:rsidRPr="0025741B">
        <w:rPr>
          <w:iCs/>
        </w:rPr>
        <w:t xml:space="preserve"> </w:t>
      </w:r>
      <w:r w:rsidRPr="00B72081">
        <w:t>–</w:t>
      </w:r>
      <w:r w:rsidRPr="0025741B">
        <w:rPr>
          <w:iCs/>
        </w:rPr>
        <w:t xml:space="preserve"> Technology brief:</w:t>
      </w:r>
      <w:r w:rsidRPr="0025741B">
        <w:rPr>
          <w:rFonts w:asciiTheme="majorBidi" w:hAnsiTheme="majorBidi" w:cstheme="majorBidi"/>
          <w:iCs/>
        </w:rPr>
        <w:t xml:space="preserve"> Carbon capture, utilization and storage</w:t>
      </w:r>
    </w:p>
    <w:p w14:paraId="3E1F2A4B" w14:textId="1E086905" w:rsidR="00A33FA2" w:rsidRDefault="00A33FA2" w:rsidP="00A33FA2">
      <w:pPr>
        <w:pStyle w:val="SingleTxtG"/>
      </w:pPr>
      <w:r>
        <w:t>27.</w:t>
      </w:r>
      <w:r>
        <w:tab/>
        <w:t>The outgoing Acting Chair of the Group of Experts on Cleaner Electricity Systems introduced the objectives and status of the project “</w:t>
      </w:r>
      <w:r w:rsidRPr="00C524F0">
        <w:t>Enhancing understanding of the implications of and opportunities for achieving carbon neutrality in the Economic Commission for Europe region across the power- and energy-intensive industries by 2050</w:t>
      </w:r>
      <w:r>
        <w:t>”</w:t>
      </w:r>
      <w:r w:rsidRPr="00C524F0">
        <w:t xml:space="preserve"> (Carbon Neutrality Project)</w:t>
      </w:r>
      <w:r>
        <w:t xml:space="preserve"> that is implemented under the auspices of the Group of Experts on Cleaner Electricity Systems. </w:t>
      </w:r>
    </w:p>
    <w:p w14:paraId="4CA642AE" w14:textId="2C9B7B55" w:rsidR="00A33FA2" w:rsidRDefault="00A33FA2" w:rsidP="00A33FA2">
      <w:pPr>
        <w:pStyle w:val="SingleTxtG"/>
      </w:pPr>
      <w:r>
        <w:t>28.</w:t>
      </w:r>
      <w:r>
        <w:tab/>
        <w:t>“C</w:t>
      </w:r>
      <w:r w:rsidRPr="00EC0639">
        <w:t>arbon neutrality</w:t>
      </w:r>
      <w:r>
        <w:t>”</w:t>
      </w:r>
      <w:r w:rsidRPr="00EC0639">
        <w:t xml:space="preserve"> refers to achieving net zero </w:t>
      </w:r>
      <w:hyperlink r:id="rId13" w:anchor="Direct_greenhouse_gas_emissions" w:tooltip="Greenhouse gas" w:history="1">
        <w:r w:rsidRPr="00EC0639">
          <w:t>CO</w:t>
        </w:r>
        <w:r w:rsidRPr="00EC0639">
          <w:rPr>
            <w:vertAlign w:val="subscript"/>
          </w:rPr>
          <w:t>2</w:t>
        </w:r>
        <w:r w:rsidRPr="00EC0639">
          <w:t xml:space="preserve"> emissions</w:t>
        </w:r>
      </w:hyperlink>
      <w:r w:rsidRPr="00EC0639">
        <w:t xml:space="preserve"> by balancing carbon emissions with carbon removal or simply </w:t>
      </w:r>
      <w:r>
        <w:t xml:space="preserve">by </w:t>
      </w:r>
      <w:r w:rsidRPr="00EC0639">
        <w:t>eliminating carbon emissions altogether (the transition to a "post-carbon economy").</w:t>
      </w:r>
      <w:r w:rsidRPr="0054646E">
        <w:t xml:space="preserve"> </w:t>
      </w:r>
      <w:r>
        <w:t xml:space="preserve"> </w:t>
      </w:r>
      <w:r w:rsidRPr="00EC0639">
        <w:t>Many countries have started to shift efforts towards carbon</w:t>
      </w:r>
      <w:r>
        <w:t xml:space="preserve"> </w:t>
      </w:r>
      <w:r w:rsidRPr="00EC0639">
        <w:t>neutral</w:t>
      </w:r>
      <w:r>
        <w:t xml:space="preserve">ity. As fossil fuels are likely to continue to play an important role for ECE member States in the short and medium term, achieving carbon neutrality will require deployment of carbon capture and storage technologies (CCS) and other compensating technologies and measures, such as increasing the absorptive capacity of forests and peatlands. </w:t>
      </w:r>
    </w:p>
    <w:p w14:paraId="53B19FFD" w14:textId="191A916A" w:rsidR="00B37C58" w:rsidRDefault="00B37C58" w:rsidP="00B37C58">
      <w:pPr>
        <w:pStyle w:val="H1G"/>
      </w:pPr>
      <w:r>
        <w:tab/>
      </w:r>
      <w:r w:rsidRPr="00445493">
        <w:t>A.</w:t>
      </w:r>
      <w:r w:rsidRPr="00445493">
        <w:tab/>
      </w:r>
      <w:r>
        <w:t>Pathways to sustainable energy</w:t>
      </w:r>
    </w:p>
    <w:p w14:paraId="33BE392E" w14:textId="77777777" w:rsidR="00B37C58" w:rsidRDefault="00B37C58" w:rsidP="00B37C58">
      <w:pPr>
        <w:pStyle w:val="SingleTxtG"/>
        <w:rPr>
          <w:lang w:val="en-US" w:eastAsia="en-GB"/>
        </w:rPr>
      </w:pPr>
      <w:r>
        <w:rPr>
          <w:lang w:val="en-US" w:eastAsia="en-GB"/>
        </w:rPr>
        <w:t>29.</w:t>
      </w:r>
      <w:r>
        <w:rPr>
          <w:lang w:val="en-US" w:eastAsia="en-GB"/>
        </w:rPr>
        <w:tab/>
        <w:t>The Committee:</w:t>
      </w:r>
    </w:p>
    <w:p w14:paraId="23A45727" w14:textId="5F6335BB" w:rsidR="00B37C58" w:rsidRPr="001328ED" w:rsidRDefault="001328ED" w:rsidP="001328ED">
      <w:pPr>
        <w:pStyle w:val="SingleTxtG"/>
        <w:ind w:firstLine="567"/>
      </w:pPr>
      <w:r>
        <w:t>(a)</w:t>
      </w:r>
      <w:r>
        <w:tab/>
      </w:r>
      <w:r w:rsidR="00B37C58" w:rsidRPr="001328ED">
        <w:t>Took note of the outcomes of Phase 1 of the project “Pathways to Sustainable Energy”;</w:t>
      </w:r>
    </w:p>
    <w:p w14:paraId="72B04AE8" w14:textId="1DFB1290" w:rsidR="00B37C58" w:rsidRPr="001328ED" w:rsidRDefault="001328ED" w:rsidP="001328ED">
      <w:pPr>
        <w:pStyle w:val="SingleTxtG"/>
        <w:ind w:firstLine="567"/>
      </w:pPr>
      <w:r>
        <w:t>(b)</w:t>
      </w:r>
      <w:r>
        <w:tab/>
      </w:r>
      <w:r w:rsidR="00B37C58" w:rsidRPr="001328ED">
        <w:t>Requested the Bureau, with the support of the secretariat and in consultation with the member States’ focal points, to complete its considerations of the “Pathways to Sustainable Energy” programme and to submit the concept note to EXCOM to provide needed contextual framework for future project funding proposals submitted for approval;</w:t>
      </w:r>
    </w:p>
    <w:p w14:paraId="70369B04" w14:textId="2B4BBF8F" w:rsidR="00B37C58" w:rsidRDefault="001328ED" w:rsidP="001328ED">
      <w:pPr>
        <w:pStyle w:val="SingleTxtG"/>
        <w:ind w:firstLine="567"/>
      </w:pPr>
      <w:r>
        <w:t>(c)</w:t>
      </w:r>
      <w:r>
        <w:tab/>
      </w:r>
      <w:r w:rsidR="00B37C58" w:rsidRPr="001328ED">
        <w:t>Requested the secretariat to continue implementing the Pathways to Sustainable Energy programme if additional funding can be secured once the concept note has been agreed.</w:t>
      </w:r>
    </w:p>
    <w:p w14:paraId="140097E9" w14:textId="0F184CE8" w:rsidR="001328ED" w:rsidRDefault="001328ED" w:rsidP="001328ED">
      <w:pPr>
        <w:pStyle w:val="H1G"/>
      </w:pPr>
      <w:r>
        <w:tab/>
      </w:r>
      <w:r w:rsidRPr="00233CFE">
        <w:t>B.</w:t>
      </w:r>
      <w:r w:rsidRPr="00233CFE">
        <w:tab/>
      </w:r>
      <w:r w:rsidRPr="00170740">
        <w:t>Framework on carbon neutrality</w:t>
      </w:r>
    </w:p>
    <w:p w14:paraId="08C2A2CD" w14:textId="77777777" w:rsidR="00E435BE" w:rsidRDefault="00E435BE" w:rsidP="00E435BE">
      <w:pPr>
        <w:pStyle w:val="SingleTxtG"/>
        <w:spacing w:line="240" w:lineRule="auto"/>
        <w:ind w:left="2829" w:hanging="1695"/>
        <w:rPr>
          <w:b/>
          <w:bCs/>
          <w:sz w:val="28"/>
          <w:szCs w:val="28"/>
        </w:rPr>
      </w:pPr>
      <w:r w:rsidRPr="00117C60">
        <w:rPr>
          <w:i/>
        </w:rPr>
        <w:t>Documentation:</w:t>
      </w:r>
      <w:r>
        <w:rPr>
          <w:i/>
        </w:rPr>
        <w:tab/>
      </w:r>
      <w:r>
        <w:t>ECE/ENERGY/GE.5/2020/8</w:t>
      </w:r>
      <w:r w:rsidRPr="00C23B65" w:rsidDel="00C636F8">
        <w:rPr>
          <w:lang w:val="en-US" w:eastAsia="en-GB"/>
        </w:rPr>
        <w:t xml:space="preserve"> </w:t>
      </w:r>
      <w:r w:rsidRPr="00117C60">
        <w:t xml:space="preserve">– </w:t>
      </w:r>
      <w:r>
        <w:t>Framework for attaining carbon neutrality in the ECE region by 2050</w:t>
      </w:r>
    </w:p>
    <w:p w14:paraId="2DEC5815" w14:textId="77777777" w:rsidR="00E435BE" w:rsidRDefault="00E435BE" w:rsidP="00E435BE">
      <w:pPr>
        <w:pStyle w:val="SingleTxtG"/>
        <w:rPr>
          <w:lang w:val="en-US" w:eastAsia="en-GB"/>
        </w:rPr>
      </w:pPr>
      <w:r>
        <w:rPr>
          <w:lang w:val="en-US" w:eastAsia="en-GB"/>
        </w:rPr>
        <w:t>30.</w:t>
      </w:r>
      <w:r>
        <w:rPr>
          <w:lang w:val="en-US" w:eastAsia="en-GB"/>
        </w:rPr>
        <w:tab/>
        <w:t>The Committee:</w:t>
      </w:r>
    </w:p>
    <w:p w14:paraId="5EFBEDA7" w14:textId="11D50CA9" w:rsidR="00E435BE" w:rsidRPr="00E435BE" w:rsidRDefault="00E435BE" w:rsidP="00E435BE">
      <w:pPr>
        <w:pStyle w:val="SingleTxtG"/>
        <w:ind w:firstLine="567"/>
      </w:pPr>
      <w:r w:rsidRPr="00E435BE">
        <w:t>(a)</w:t>
      </w:r>
      <w:r w:rsidRPr="00E435BE">
        <w:tab/>
        <w:t>Noted the progress of the Group of Experts on Cleaner Electricity Systems on implementing the Carbon Neutrality project, noted the ongoing work of the Task Force on Carbon Neutrality and the ongoing work on the Framework for attaining carbon neutrality in the ECE region by 2050</w:t>
      </w:r>
      <w:r>
        <w:t>;</w:t>
      </w:r>
    </w:p>
    <w:p w14:paraId="01D8F936" w14:textId="0AC35CCC" w:rsidR="00E435BE" w:rsidRPr="00E435BE" w:rsidRDefault="00E435BE" w:rsidP="00E435BE">
      <w:pPr>
        <w:pStyle w:val="SingleTxtG"/>
        <w:ind w:firstLine="567"/>
      </w:pPr>
      <w:bookmarkStart w:id="6" w:name="_Hlk54853960"/>
      <w:r w:rsidRPr="00E435BE">
        <w:lastRenderedPageBreak/>
        <w:t>(b)</w:t>
      </w:r>
      <w:r w:rsidRPr="00E435BE">
        <w:tab/>
        <w:t>Requested the secretariat, with the support of the Expert Groups, to consolidate the analyses conducted by the Expert Groups  to continue drafting a position paper of the ECE on carbon neutrality to be considered at the thirtieth session of the Committee</w:t>
      </w:r>
      <w:r w:rsidR="008F16ED">
        <w:t>,</w:t>
      </w:r>
    </w:p>
    <w:p w14:paraId="7BDD426A" w14:textId="3BB89303" w:rsidR="00E435BE" w:rsidRPr="00E435BE" w:rsidRDefault="00E435BE" w:rsidP="00E435BE">
      <w:pPr>
        <w:pStyle w:val="SingleTxtG"/>
        <w:ind w:firstLine="567"/>
      </w:pPr>
      <w:r w:rsidRPr="00E435BE">
        <w:t>(c)</w:t>
      </w:r>
      <w:r w:rsidRPr="00E435BE">
        <w:tab/>
        <w:t>Requested the Groups of Experts on Cleaner Electricity Systems and on Resource Management to carry out in-depth studies, including modelling high-case scenarios, life cycle management, policies and strategies, business models and financing and investment, and to develop technology and policy briefs</w:t>
      </w:r>
      <w:r w:rsidR="008F16ED">
        <w:t>;</w:t>
      </w:r>
    </w:p>
    <w:bookmarkEnd w:id="6"/>
    <w:p w14:paraId="7249C662" w14:textId="42574FED" w:rsidR="00E435BE" w:rsidRPr="00E435BE" w:rsidRDefault="00E435BE" w:rsidP="00E435BE">
      <w:pPr>
        <w:pStyle w:val="SingleTxtG"/>
        <w:ind w:firstLine="567"/>
      </w:pPr>
      <w:r w:rsidRPr="00E435BE">
        <w:t>(d)</w:t>
      </w:r>
      <w:r w:rsidRPr="00E435BE">
        <w:tab/>
        <w:t>Welcomed the further engagement of all Groups of Experts in the Carbon Neutrality project led by the Group of Experts on Cleaner Electricity Systems</w:t>
      </w:r>
      <w:r>
        <w:t>;</w:t>
      </w:r>
    </w:p>
    <w:p w14:paraId="134C8156" w14:textId="77777777" w:rsidR="00E435BE" w:rsidRPr="00E435BE" w:rsidRDefault="00E435BE" w:rsidP="00E435BE">
      <w:pPr>
        <w:pStyle w:val="SingleTxtG"/>
        <w:ind w:firstLine="567"/>
      </w:pPr>
      <w:r w:rsidRPr="00E435BE">
        <w:t>(e)</w:t>
      </w:r>
      <w:r w:rsidRPr="00E435BE">
        <w:tab/>
        <w:t>Invited ECE member States to consider:</w:t>
      </w:r>
    </w:p>
    <w:p w14:paraId="790A6AB9" w14:textId="77777777" w:rsidR="00E435BE" w:rsidRPr="00E435BE" w:rsidRDefault="00E435BE" w:rsidP="005D32F0">
      <w:pPr>
        <w:pStyle w:val="SingleTxtG"/>
        <w:ind w:left="1701" w:firstLine="567"/>
      </w:pPr>
      <w:r w:rsidRPr="00E435BE">
        <w:t>(</w:t>
      </w:r>
      <w:proofErr w:type="spellStart"/>
      <w:r w:rsidRPr="00E435BE">
        <w:t>i</w:t>
      </w:r>
      <w:proofErr w:type="spellEnd"/>
      <w:r w:rsidRPr="00E435BE">
        <w:t>)</w:t>
      </w:r>
      <w:r w:rsidRPr="00E435BE">
        <w:tab/>
        <w:t>Recognizing the value of flexibility for energy systems operations;</w:t>
      </w:r>
    </w:p>
    <w:p w14:paraId="1FAD3B09" w14:textId="3973F373" w:rsidR="00E435BE" w:rsidRPr="00E435BE" w:rsidRDefault="00E435BE" w:rsidP="005D32F0">
      <w:pPr>
        <w:pStyle w:val="SingleTxtG"/>
        <w:ind w:left="1701" w:firstLine="567"/>
      </w:pPr>
      <w:r w:rsidRPr="00E435BE">
        <w:t>(ii)</w:t>
      </w:r>
      <w:r w:rsidRPr="00E435BE">
        <w:tab/>
        <w:t>Deploying a regulatory framework to integrate variable renewable energy technology</w:t>
      </w:r>
      <w:r w:rsidR="005D32F0">
        <w:t>;</w:t>
      </w:r>
      <w:r w:rsidRPr="00E435BE">
        <w:t xml:space="preserve"> and</w:t>
      </w:r>
    </w:p>
    <w:p w14:paraId="53BE9D9D" w14:textId="77777777" w:rsidR="00E435BE" w:rsidRPr="00E435BE" w:rsidRDefault="00E435BE" w:rsidP="005D32F0">
      <w:pPr>
        <w:pStyle w:val="SingleTxtG"/>
        <w:ind w:left="1701" w:firstLine="567"/>
      </w:pPr>
      <w:r w:rsidRPr="00E435BE">
        <w:t>(iii)</w:t>
      </w:r>
      <w:r w:rsidRPr="00E435BE">
        <w:tab/>
        <w:t>Promoting sectoral integration.</w:t>
      </w:r>
    </w:p>
    <w:p w14:paraId="52B1659A" w14:textId="7BC718BE" w:rsidR="00E435BE" w:rsidRPr="00E435BE" w:rsidRDefault="00E435BE" w:rsidP="00E435BE">
      <w:pPr>
        <w:pStyle w:val="SingleTxtG"/>
        <w:ind w:firstLine="567"/>
      </w:pPr>
      <w:r w:rsidRPr="00E435BE">
        <w:t>(f)</w:t>
      </w:r>
      <w:r w:rsidRPr="00E435BE">
        <w:tab/>
        <w:t>Invited ECE member States to exchange best practices in achieving an interlinked gas-electricity model. The Committee requested that the Groups of Experts on Gas and on Renewable Energy support interested ECE member States in developing effective policies that accelerate a transition to carbon neutrality</w:t>
      </w:r>
      <w:r w:rsidR="008F16ED">
        <w:t>;</w:t>
      </w:r>
    </w:p>
    <w:p w14:paraId="7A93AF6A" w14:textId="2E2E9538" w:rsidR="00E435BE" w:rsidRPr="00AD131F" w:rsidRDefault="00E435BE" w:rsidP="00AD131F">
      <w:pPr>
        <w:pStyle w:val="SingleTxtG"/>
        <w:ind w:firstLine="567"/>
        <w:rPr>
          <w:color w:val="FF0000"/>
        </w:rPr>
      </w:pPr>
      <w:r w:rsidRPr="00AD131F">
        <w:t>(g)</w:t>
      </w:r>
      <w:r w:rsidRPr="00AD131F">
        <w:tab/>
        <w:t>Recognizing the drive towards carbon neutrality and electrification of end-use</w:t>
      </w:r>
      <w:r w:rsidRPr="00D12164">
        <w:t>s</w:t>
      </w:r>
      <w:r w:rsidR="00AD131F" w:rsidRPr="00D12164">
        <w:t>:</w:t>
      </w:r>
    </w:p>
    <w:p w14:paraId="0EBD79FC" w14:textId="5F2BD203" w:rsidR="00E435BE" w:rsidRPr="00AD131F" w:rsidRDefault="00AD131F" w:rsidP="00DD0F5C">
      <w:pPr>
        <w:pStyle w:val="SingleTxtG"/>
        <w:ind w:left="1701" w:firstLine="567"/>
      </w:pPr>
      <w:r>
        <w:t>(</w:t>
      </w:r>
      <w:proofErr w:type="spellStart"/>
      <w:r>
        <w:t>i</w:t>
      </w:r>
      <w:proofErr w:type="spellEnd"/>
      <w:r>
        <w:t>)</w:t>
      </w:r>
      <w:r>
        <w:tab/>
      </w:r>
      <w:r w:rsidR="00E435BE" w:rsidRPr="00AD131F">
        <w:t>noted the possibility that biogas/biomethane and hydrogen could make a significant contribution</w:t>
      </w:r>
      <w:r w:rsidR="008F16ED">
        <w:t>;</w:t>
      </w:r>
    </w:p>
    <w:p w14:paraId="15FD716C" w14:textId="031D74E3" w:rsidR="00E435BE" w:rsidRPr="00AD131F" w:rsidRDefault="00AD131F" w:rsidP="00DD0F5C">
      <w:pPr>
        <w:pStyle w:val="SingleTxtG"/>
        <w:ind w:left="1701" w:firstLine="567"/>
      </w:pPr>
      <w:r>
        <w:t>(ii)</w:t>
      </w:r>
      <w:r>
        <w:tab/>
      </w:r>
      <w:r w:rsidR="00E435BE" w:rsidRPr="00AD131F">
        <w:t xml:space="preserve">requested that the </w:t>
      </w:r>
      <w:r w:rsidR="00D12164">
        <w:t>g</w:t>
      </w:r>
      <w:r w:rsidR="00E435BE" w:rsidRPr="00AD131F">
        <w:t xml:space="preserve">roups of </w:t>
      </w:r>
      <w:r w:rsidR="00D12164">
        <w:t>e</w:t>
      </w:r>
      <w:r w:rsidR="00E435BE" w:rsidRPr="00AD131F">
        <w:t>xperts facilitate international and cross-sectoral collaboration on hydrogen issues in the ECE region and beyond.</w:t>
      </w:r>
    </w:p>
    <w:p w14:paraId="36F4EA8A" w14:textId="566993E9" w:rsidR="00E435BE" w:rsidRPr="00AD131F" w:rsidRDefault="00E435BE" w:rsidP="00AD131F">
      <w:pPr>
        <w:pStyle w:val="SingleTxtG"/>
        <w:ind w:firstLine="567"/>
      </w:pPr>
      <w:r w:rsidRPr="00AD131F">
        <w:t>(h)</w:t>
      </w:r>
      <w:r w:rsidRPr="00AD131F">
        <w:tab/>
        <w:t>Taking note of the document “Hydrogen – an innovative solution to carbon neutrality” (ECE/ENERGY/2020/8), encouraged ECE member States to collaborate on developing a comprehensive and science-based terminology for hydrogen, on adopting a uniform methodology for calculating life cycle GHG gas emissions from hydrogen, and on developing standards or best practices for deployment of hydrogen and derivative technologies</w:t>
      </w:r>
      <w:r w:rsidR="008F16ED">
        <w:t>;</w:t>
      </w:r>
    </w:p>
    <w:p w14:paraId="6CD693B6" w14:textId="77777777" w:rsidR="00E435BE" w:rsidRPr="00F1006B" w:rsidRDefault="00E435BE" w:rsidP="00AD131F">
      <w:pPr>
        <w:pStyle w:val="SingleTxtG"/>
        <w:ind w:firstLine="567"/>
        <w:rPr>
          <w:lang w:val="en-US" w:eastAsia="en-GB"/>
        </w:rPr>
      </w:pPr>
      <w:r>
        <w:rPr>
          <w:lang w:val="en-US" w:eastAsia="en-GB"/>
        </w:rPr>
        <w:t>(</w:t>
      </w:r>
      <w:proofErr w:type="spellStart"/>
      <w:r>
        <w:rPr>
          <w:lang w:val="en-US" w:eastAsia="en-GB"/>
        </w:rPr>
        <w:t>i</w:t>
      </w:r>
      <w:proofErr w:type="spellEnd"/>
      <w:r>
        <w:rPr>
          <w:lang w:val="en-US" w:eastAsia="en-GB"/>
        </w:rPr>
        <w:t>)</w:t>
      </w:r>
      <w:r>
        <w:rPr>
          <w:lang w:val="en-US" w:eastAsia="en-GB"/>
        </w:rPr>
        <w:tab/>
        <w:t>In</w:t>
      </w:r>
      <w:r w:rsidRPr="00F1006B">
        <w:rPr>
          <w:lang w:val="en-US" w:eastAsia="en-GB"/>
        </w:rPr>
        <w:t>vited ECE member States to:</w:t>
      </w:r>
    </w:p>
    <w:p w14:paraId="7EED9650" w14:textId="55834D06" w:rsidR="00E435BE" w:rsidRPr="00AD131F" w:rsidRDefault="005D32F0" w:rsidP="004D5765">
      <w:pPr>
        <w:pStyle w:val="SingleTxtG"/>
        <w:ind w:left="1701"/>
      </w:pPr>
      <w:r>
        <w:rPr>
          <w:lang w:val="en-US" w:eastAsia="en-GB"/>
        </w:rPr>
        <w:tab/>
      </w:r>
      <w:r w:rsidR="00E435BE">
        <w:rPr>
          <w:lang w:val="en-US" w:eastAsia="en-GB"/>
        </w:rPr>
        <w:tab/>
      </w:r>
      <w:r w:rsidR="00E435BE" w:rsidRPr="00AD131F">
        <w:t>(</w:t>
      </w:r>
      <w:proofErr w:type="spellStart"/>
      <w:r w:rsidR="00E435BE" w:rsidRPr="00AD131F">
        <w:t>i</w:t>
      </w:r>
      <w:proofErr w:type="spellEnd"/>
      <w:r w:rsidR="00E435BE" w:rsidRPr="00AD131F">
        <w:t>) </w:t>
      </w:r>
      <w:r w:rsidR="00E435BE" w:rsidRPr="00AD131F">
        <w:tab/>
        <w:t>Expand collaboration on hydrogen production across the ECE region and beyond</w:t>
      </w:r>
      <w:r w:rsidR="008F16ED">
        <w:t>;</w:t>
      </w:r>
    </w:p>
    <w:p w14:paraId="7BAC7C29" w14:textId="1BFC142D" w:rsidR="00E435BE" w:rsidRPr="00AD131F" w:rsidRDefault="00E435BE" w:rsidP="005D32F0">
      <w:pPr>
        <w:pStyle w:val="SingleTxtG"/>
        <w:ind w:left="1701" w:firstLine="567"/>
      </w:pPr>
      <w:r w:rsidRPr="00AD131F">
        <w:t>(ii)</w:t>
      </w:r>
      <w:r w:rsidRPr="00AD131F">
        <w:tab/>
        <w:t xml:space="preserve">Encourage collaboration between ECE, other Regional Commissions, and other </w:t>
      </w:r>
      <w:r w:rsidR="00AD131F" w:rsidRPr="00894A5C">
        <w:t>UN</w:t>
      </w:r>
      <w:r w:rsidR="00AD131F">
        <w:t xml:space="preserve"> </w:t>
      </w:r>
      <w:r w:rsidRPr="00AD131F">
        <w:t>entities in promoting joint projects on inter- and intra-regional transport infrastructure, end uses, and related investment flows</w:t>
      </w:r>
      <w:r w:rsidR="008F16ED">
        <w:t>;</w:t>
      </w:r>
    </w:p>
    <w:p w14:paraId="23242FE6" w14:textId="6E30FB9F" w:rsidR="00E435BE" w:rsidRDefault="005D32F0" w:rsidP="004D5765">
      <w:pPr>
        <w:pStyle w:val="SingleTxtG"/>
        <w:ind w:left="1701"/>
      </w:pPr>
      <w:r>
        <w:rPr>
          <w:lang w:val="en-US" w:eastAsia="en-GB"/>
        </w:rPr>
        <w:tab/>
      </w:r>
      <w:r w:rsidR="00E435BE">
        <w:rPr>
          <w:lang w:val="en-US" w:eastAsia="en-GB"/>
        </w:rPr>
        <w:tab/>
      </w:r>
      <w:r w:rsidR="00E435BE" w:rsidRPr="00AD131F">
        <w:t>(iii)</w:t>
      </w:r>
      <w:r w:rsidR="00E435BE" w:rsidRPr="00AD131F">
        <w:tab/>
        <w:t xml:space="preserve">Consider the development of a hydrogen market by developing market stimulation programmes. </w:t>
      </w:r>
    </w:p>
    <w:p w14:paraId="68AB9F78" w14:textId="6E7DF7A8" w:rsidR="009526D4" w:rsidRDefault="009526D4" w:rsidP="009526D4">
      <w:pPr>
        <w:pStyle w:val="H1G"/>
      </w:pPr>
      <w:r>
        <w:tab/>
        <w:t>C</w:t>
      </w:r>
      <w:r w:rsidRPr="00233CFE">
        <w:t>.</w:t>
      </w:r>
      <w:r w:rsidRPr="00233CFE">
        <w:tab/>
      </w:r>
      <w:r w:rsidRPr="00170740">
        <w:t>Next steps and future phases</w:t>
      </w:r>
    </w:p>
    <w:p w14:paraId="2C4B92E4" w14:textId="77777777" w:rsidR="00024C1D" w:rsidRDefault="00024C1D" w:rsidP="00024C1D">
      <w:pPr>
        <w:pStyle w:val="SingleTxtG"/>
        <w:rPr>
          <w:lang w:val="en-US" w:eastAsia="en-GB"/>
        </w:rPr>
      </w:pPr>
      <w:r>
        <w:rPr>
          <w:lang w:val="en-US" w:eastAsia="en-GB"/>
        </w:rPr>
        <w:t>31.</w:t>
      </w:r>
      <w:r>
        <w:rPr>
          <w:lang w:val="en-US" w:eastAsia="en-GB"/>
        </w:rPr>
        <w:tab/>
        <w:t>The Committee:</w:t>
      </w:r>
    </w:p>
    <w:p w14:paraId="6A4EF3FE" w14:textId="373A4C41" w:rsidR="00024C1D" w:rsidRPr="00024C1D" w:rsidRDefault="00024C1D" w:rsidP="00024C1D">
      <w:pPr>
        <w:pStyle w:val="SingleTxtG"/>
        <w:ind w:firstLine="567"/>
      </w:pPr>
      <w:r>
        <w:t>(a)</w:t>
      </w:r>
      <w:r>
        <w:tab/>
      </w:r>
      <w:r w:rsidRPr="00024C1D">
        <w:t>Noted that the proposed Pathways to Sustainable Energy programme, as set forth in Annex I of ECE/ENERGY/2020/1, comprises multiple inter-related projects including:</w:t>
      </w:r>
    </w:p>
    <w:p w14:paraId="71F335D5" w14:textId="309EB4A0" w:rsidR="00024C1D" w:rsidRPr="00024C1D" w:rsidRDefault="00024C1D" w:rsidP="00024C1D">
      <w:pPr>
        <w:pStyle w:val="Bullet1G"/>
      </w:pPr>
      <w:r w:rsidRPr="00024C1D">
        <w:t>The completed Phase 1 project</w:t>
      </w:r>
    </w:p>
    <w:p w14:paraId="1A650F10" w14:textId="53843364" w:rsidR="00024C1D" w:rsidRDefault="00024C1D" w:rsidP="00024C1D">
      <w:pPr>
        <w:pStyle w:val="Bullet1G"/>
        <w:rPr>
          <w:lang w:val="en-US" w:eastAsia="en-GB"/>
        </w:rPr>
      </w:pPr>
      <w:r>
        <w:rPr>
          <w:lang w:val="en-US" w:eastAsia="en-GB"/>
        </w:rPr>
        <w:t>The ongoing Carbon Neutrality project being run under the auspices of the Group of Experts on Cleaner Electricity Systems</w:t>
      </w:r>
    </w:p>
    <w:p w14:paraId="31FF94D5" w14:textId="11B4784B" w:rsidR="00024C1D" w:rsidRDefault="00024C1D" w:rsidP="00024C1D">
      <w:pPr>
        <w:pStyle w:val="Bullet1G"/>
        <w:rPr>
          <w:lang w:val="en-US" w:eastAsia="en-GB"/>
        </w:rPr>
      </w:pPr>
      <w:r>
        <w:rPr>
          <w:lang w:val="en-US" w:eastAsia="en-GB"/>
        </w:rPr>
        <w:t>Dialogues among member States within and across subregions</w:t>
      </w:r>
    </w:p>
    <w:p w14:paraId="34FD75D0" w14:textId="77777777" w:rsidR="00024C1D" w:rsidRPr="00484D93" w:rsidRDefault="00024C1D" w:rsidP="00024C1D">
      <w:pPr>
        <w:pStyle w:val="Bullet1G"/>
        <w:rPr>
          <w:lang w:val="en-US" w:eastAsia="en-GB"/>
        </w:rPr>
      </w:pPr>
      <w:r w:rsidRPr="00484D93">
        <w:rPr>
          <w:lang w:val="en-US" w:eastAsia="en-GB"/>
        </w:rPr>
        <w:lastRenderedPageBreak/>
        <w:t>Activities in innovation, capacity</w:t>
      </w:r>
      <w:r>
        <w:rPr>
          <w:lang w:val="en-US" w:eastAsia="en-GB"/>
        </w:rPr>
        <w:t>-</w:t>
      </w:r>
      <w:r w:rsidRPr="00484D93">
        <w:rPr>
          <w:lang w:val="en-US" w:eastAsia="en-GB"/>
        </w:rPr>
        <w:t>building, and early warning.</w:t>
      </w:r>
    </w:p>
    <w:p w14:paraId="7A9D7C82" w14:textId="2EE12F0F" w:rsidR="00024C1D" w:rsidRPr="00024C1D" w:rsidRDefault="00024C1D" w:rsidP="004D5765">
      <w:pPr>
        <w:pStyle w:val="SingleTxtG"/>
        <w:ind w:firstLine="567"/>
      </w:pPr>
      <w:r w:rsidRPr="00024C1D">
        <w:t>(b)</w:t>
      </w:r>
      <w:r w:rsidRPr="00024C1D">
        <w:tab/>
        <w:t xml:space="preserve">Requested the Bureau with support of the secretariat to hold consultations with member States’ focal points, including through the Permanent Missions in Geneva, on a concept note for the overall Pathways to Sustainable Energy programme as set forth in </w:t>
      </w:r>
      <w:r w:rsidRPr="00024C1D">
        <w:br/>
        <w:t>Annex I of document ECE/ENERGY/2020/1, with a view to having the text agreed and submitted to EXCOM for approval to provide context for future funding proposals</w:t>
      </w:r>
      <w:r w:rsidR="008F16ED">
        <w:t>;</w:t>
      </w:r>
    </w:p>
    <w:p w14:paraId="06BE802A" w14:textId="77777777" w:rsidR="00024C1D" w:rsidRPr="00484D93" w:rsidRDefault="00024C1D" w:rsidP="004D5765">
      <w:pPr>
        <w:pStyle w:val="SingleTxtG"/>
        <w:ind w:firstLine="567"/>
        <w:rPr>
          <w:lang w:val="en-US" w:eastAsia="en-GB"/>
        </w:rPr>
      </w:pPr>
      <w:r w:rsidRPr="00484D93">
        <w:rPr>
          <w:lang w:val="en-US" w:eastAsia="en-GB"/>
        </w:rPr>
        <w:t>(c)</w:t>
      </w:r>
      <w:r w:rsidRPr="00484D93">
        <w:rPr>
          <w:lang w:val="en-US" w:eastAsia="en-GB"/>
        </w:rPr>
        <w:tab/>
        <w:t>Upon approval of the concept note by EXCOM</w:t>
      </w:r>
      <w:r>
        <w:rPr>
          <w:lang w:val="en-US" w:eastAsia="en-GB"/>
        </w:rPr>
        <w:t>,</w:t>
      </w:r>
      <w:r w:rsidRPr="00484D93">
        <w:rPr>
          <w:lang w:val="en-US" w:eastAsia="en-GB"/>
        </w:rPr>
        <w:t xml:space="preserve"> the stage will be set for resourcing the </w:t>
      </w:r>
      <w:proofErr w:type="spellStart"/>
      <w:r w:rsidRPr="00484D93">
        <w:rPr>
          <w:lang w:val="en-US" w:eastAsia="en-GB"/>
        </w:rPr>
        <w:t>programme’s</w:t>
      </w:r>
      <w:proofErr w:type="spellEnd"/>
      <w:r w:rsidRPr="00484D93">
        <w:rPr>
          <w:lang w:val="en-US" w:eastAsia="en-GB"/>
        </w:rPr>
        <w:t xml:space="preserve"> various components, including:</w:t>
      </w:r>
    </w:p>
    <w:p w14:paraId="55478554" w14:textId="48613761" w:rsidR="00024C1D" w:rsidRPr="004D5765" w:rsidRDefault="00024C1D" w:rsidP="005D32F0">
      <w:pPr>
        <w:pStyle w:val="SingleTxtG"/>
        <w:ind w:left="1701" w:firstLine="567"/>
      </w:pPr>
      <w:r w:rsidRPr="004D5765">
        <w:t>(</w:t>
      </w:r>
      <w:proofErr w:type="spellStart"/>
      <w:r w:rsidRPr="004D5765">
        <w:t>i</w:t>
      </w:r>
      <w:proofErr w:type="spellEnd"/>
      <w:r w:rsidRPr="004D5765">
        <w:t>)</w:t>
      </w:r>
      <w:r w:rsidRPr="004D5765">
        <w:tab/>
        <w:t>the Carbon Neutrality project (while proceeding with current levels of funding, the project requires additional resources to complete appraisals of technology and policy options and of additional economic sectors)</w:t>
      </w:r>
      <w:r w:rsidR="008F16ED">
        <w:t>;</w:t>
      </w:r>
    </w:p>
    <w:p w14:paraId="33D2B897" w14:textId="13269D1A" w:rsidR="00024C1D" w:rsidRPr="004D5765" w:rsidRDefault="00024C1D" w:rsidP="005D32F0">
      <w:pPr>
        <w:pStyle w:val="SingleTxtG"/>
        <w:ind w:left="1701" w:firstLine="567"/>
      </w:pPr>
      <w:r w:rsidRPr="004D5765">
        <w:t>(ii)</w:t>
      </w:r>
      <w:r w:rsidRPr="004D5765">
        <w:tab/>
        <w:t>future phases of the Pathways to Sustainable Energy programme (these remain unfunded, though there is active interest in supporting a dialogue in Central Asia and discussions are underway with potential donors)</w:t>
      </w:r>
      <w:r w:rsidR="008F16ED">
        <w:t>;</w:t>
      </w:r>
    </w:p>
    <w:p w14:paraId="360040DD" w14:textId="5515E9A6" w:rsidR="00024C1D" w:rsidRDefault="00024C1D" w:rsidP="005D32F0">
      <w:pPr>
        <w:pStyle w:val="SingleTxtG"/>
        <w:ind w:left="1701" w:firstLine="567"/>
        <w:rPr>
          <w:lang w:val="en-US" w:eastAsia="en-GB"/>
        </w:rPr>
      </w:pPr>
      <w:r>
        <w:rPr>
          <w:lang w:val="en-US" w:eastAsia="en-GB"/>
        </w:rPr>
        <w:t>(iii)</w:t>
      </w:r>
      <w:r>
        <w:rPr>
          <w:lang w:val="en-US" w:eastAsia="en-GB"/>
        </w:rPr>
        <w:tab/>
        <w:t xml:space="preserve">the need for extrabudgetary resources (called on member States to enable continuation of the Pathways to Sustainable Energy </w:t>
      </w:r>
      <w:proofErr w:type="spellStart"/>
      <w:r>
        <w:rPr>
          <w:lang w:val="en-US" w:eastAsia="en-GB"/>
        </w:rPr>
        <w:t>programme</w:t>
      </w:r>
      <w:proofErr w:type="spellEnd"/>
      <w:r>
        <w:rPr>
          <w:lang w:val="en-US" w:eastAsia="en-GB"/>
        </w:rPr>
        <w:t xml:space="preserve"> and invited the secretariat to continue raising funds).</w:t>
      </w:r>
    </w:p>
    <w:p w14:paraId="66C67BA4" w14:textId="083BE9E1" w:rsidR="00CF5F77" w:rsidRDefault="00CF5F77" w:rsidP="00CF5F77">
      <w:pPr>
        <w:pStyle w:val="HChG"/>
      </w:pPr>
      <w:r>
        <w:tab/>
      </w:r>
      <w:r w:rsidRPr="00233CFE">
        <w:t>VI.</w:t>
      </w:r>
      <w:r w:rsidRPr="00233CFE">
        <w:tab/>
      </w:r>
      <w:r w:rsidRPr="00170740">
        <w:t xml:space="preserve">Action agenda for the Economic Commission for Europe </w:t>
      </w:r>
      <w:r w:rsidRPr="00233CFE">
        <w:t>(agenda item 5)</w:t>
      </w:r>
    </w:p>
    <w:p w14:paraId="679DE2C1" w14:textId="5F31F002" w:rsidR="00CF5F77" w:rsidRDefault="00CF5F77" w:rsidP="00CF5F77">
      <w:pPr>
        <w:pStyle w:val="SingleTxtG"/>
        <w:ind w:left="2829" w:hanging="1695"/>
      </w:pPr>
      <w:r w:rsidRPr="00020754">
        <w:rPr>
          <w:i/>
        </w:rPr>
        <w:t>Documentation:</w:t>
      </w:r>
      <w:r w:rsidRPr="00020754">
        <w:rPr>
          <w:i/>
        </w:rPr>
        <w:tab/>
      </w:r>
      <w:r w:rsidRPr="006609EF">
        <w:t>ECE/ENERGY/20</w:t>
      </w:r>
      <w:r>
        <w:t xml:space="preserve">20/12 </w:t>
      </w:r>
      <w:r w:rsidRPr="00506914">
        <w:t>–</w:t>
      </w:r>
      <w:r>
        <w:t xml:space="preserve"> Strategic review of the ECE sustainable energy subprogramme, Annex</w:t>
      </w:r>
    </w:p>
    <w:p w14:paraId="10AA9690" w14:textId="5E8A3E1E" w:rsidR="00C02558" w:rsidRPr="00C02558" w:rsidRDefault="00C02558" w:rsidP="00C02558">
      <w:pPr>
        <w:pStyle w:val="H1G"/>
      </w:pPr>
      <w:r>
        <w:tab/>
      </w:r>
      <w:r w:rsidRPr="00C02558">
        <w:t>A.</w:t>
      </w:r>
      <w:r w:rsidRPr="00C02558">
        <w:tab/>
        <w:t>International Centres of Excellence</w:t>
      </w:r>
    </w:p>
    <w:p w14:paraId="7B5EDAFD" w14:textId="77777777" w:rsidR="00C02558" w:rsidRPr="0065673F" w:rsidRDefault="00C02558" w:rsidP="00C02558">
      <w:pPr>
        <w:pStyle w:val="SingleTxtG"/>
        <w:spacing w:line="240" w:lineRule="auto"/>
      </w:pPr>
      <w:r>
        <w:rPr>
          <w:rFonts w:asciiTheme="majorBidi" w:hAnsiTheme="majorBidi" w:cstheme="majorBidi"/>
        </w:rPr>
        <w:t>32.</w:t>
      </w:r>
      <w:r>
        <w:rPr>
          <w:rFonts w:asciiTheme="majorBidi" w:hAnsiTheme="majorBidi" w:cstheme="majorBidi"/>
        </w:rPr>
        <w:tab/>
        <w:t>The Committee n</w:t>
      </w:r>
      <w:proofErr w:type="spellStart"/>
      <w:r w:rsidRPr="00AD2DCA">
        <w:rPr>
          <w:lang w:val="en-US" w:eastAsia="en-GB"/>
        </w:rPr>
        <w:t>oted</w:t>
      </w:r>
      <w:proofErr w:type="spellEnd"/>
      <w:r w:rsidRPr="00AD2DCA">
        <w:rPr>
          <w:lang w:val="en-US" w:eastAsia="en-GB"/>
        </w:rPr>
        <w:t xml:space="preserve"> the modalities for developing and managing international </w:t>
      </w:r>
      <w:proofErr w:type="spellStart"/>
      <w:r w:rsidRPr="00AD2DCA">
        <w:rPr>
          <w:lang w:val="en-US" w:eastAsia="en-GB"/>
        </w:rPr>
        <w:t>centres</w:t>
      </w:r>
      <w:proofErr w:type="spellEnd"/>
      <w:r w:rsidRPr="00AD2DCA">
        <w:rPr>
          <w:lang w:val="en-US" w:eastAsia="en-GB"/>
        </w:rPr>
        <w:t xml:space="preserve"> of excellence on sustainable resource management, coal mine methane, and high</w:t>
      </w:r>
      <w:r>
        <w:rPr>
          <w:lang w:val="en-US" w:eastAsia="en-GB"/>
        </w:rPr>
        <w:t>-</w:t>
      </w:r>
      <w:r w:rsidRPr="00AD2DCA">
        <w:rPr>
          <w:lang w:val="en-US" w:eastAsia="en-GB"/>
        </w:rPr>
        <w:t>performance buildings</w:t>
      </w:r>
      <w:r>
        <w:rPr>
          <w:lang w:val="en-US" w:eastAsia="en-GB"/>
        </w:rPr>
        <w:t xml:space="preserve"> and encouraged the secretariat to accelerate its efforts to establish broad networks of the </w:t>
      </w:r>
      <w:proofErr w:type="spellStart"/>
      <w:r>
        <w:rPr>
          <w:lang w:val="en-US" w:eastAsia="en-GB"/>
        </w:rPr>
        <w:t>centres</w:t>
      </w:r>
      <w:proofErr w:type="spellEnd"/>
      <w:r>
        <w:rPr>
          <w:lang w:val="en-US" w:eastAsia="en-GB"/>
        </w:rPr>
        <w:t xml:space="preserve"> to disseminate and deploy ECE’s normative instruments</w:t>
      </w:r>
      <w:r>
        <w:rPr>
          <w:rFonts w:asciiTheme="majorBidi" w:hAnsiTheme="majorBidi" w:cstheme="majorBidi"/>
        </w:rPr>
        <w:t>.</w:t>
      </w:r>
    </w:p>
    <w:p w14:paraId="01042376" w14:textId="77777777" w:rsidR="00C02558" w:rsidRDefault="00C02558" w:rsidP="00C02558">
      <w:pPr>
        <w:pStyle w:val="H1G"/>
      </w:pPr>
      <w:r>
        <w:tab/>
      </w:r>
      <w:r w:rsidRPr="002C0A80">
        <w:t>B.</w:t>
      </w:r>
      <w:r w:rsidRPr="002C0A80">
        <w:tab/>
      </w:r>
      <w:r w:rsidRPr="00170740">
        <w:t>International decade of methane management</w:t>
      </w:r>
    </w:p>
    <w:p w14:paraId="16D1099C" w14:textId="77777777" w:rsidR="00C02558" w:rsidRPr="00E667B1" w:rsidRDefault="00C02558" w:rsidP="00C02558">
      <w:pPr>
        <w:pStyle w:val="SingleTxtG"/>
        <w:spacing w:line="240" w:lineRule="auto"/>
        <w:ind w:left="2829" w:hanging="1695"/>
        <w:rPr>
          <w:rFonts w:asciiTheme="majorBidi" w:hAnsiTheme="majorBidi" w:cstheme="majorBidi"/>
        </w:rPr>
      </w:pPr>
      <w:r w:rsidRPr="00E667B1">
        <w:rPr>
          <w:i/>
        </w:rPr>
        <w:t>Documentation:</w:t>
      </w:r>
      <w:r w:rsidRPr="00E667B1">
        <w:rPr>
          <w:i/>
        </w:rPr>
        <w:tab/>
      </w:r>
      <w:r w:rsidRPr="00E667B1">
        <w:rPr>
          <w:i/>
        </w:rPr>
        <w:tab/>
      </w:r>
      <w:r w:rsidRPr="00E667B1">
        <w:t>ECE/ENERGY/2020/11 – Effective actions to reduce</w:t>
      </w:r>
      <w:r>
        <w:t xml:space="preserve"> methane emissions</w:t>
      </w:r>
    </w:p>
    <w:p w14:paraId="6C6A71CC" w14:textId="77777777" w:rsidR="00C02558" w:rsidRPr="005B645C" w:rsidRDefault="00C02558" w:rsidP="00C02558">
      <w:pPr>
        <w:pStyle w:val="SingleTxtG"/>
        <w:rPr>
          <w:lang w:val="en-US" w:eastAsia="en-GB"/>
        </w:rPr>
      </w:pPr>
      <w:r>
        <w:rPr>
          <w:rFonts w:asciiTheme="majorBidi" w:hAnsiTheme="majorBidi" w:cstheme="majorBidi"/>
        </w:rPr>
        <w:t>33.</w:t>
      </w:r>
      <w:r>
        <w:rPr>
          <w:rFonts w:asciiTheme="majorBidi" w:hAnsiTheme="majorBidi" w:cstheme="majorBidi"/>
        </w:rPr>
        <w:tab/>
      </w:r>
      <w:r>
        <w:rPr>
          <w:lang w:val="en-US" w:eastAsia="en-GB"/>
        </w:rPr>
        <w:t xml:space="preserve">The Committee </w:t>
      </w:r>
      <w:r w:rsidRPr="005B645C">
        <w:rPr>
          <w:lang w:val="en-US" w:eastAsia="en-GB"/>
        </w:rPr>
        <w:t xml:space="preserve">requested member States to support calls by partners for the UN </w:t>
      </w:r>
      <w:r>
        <w:rPr>
          <w:lang w:val="en-US" w:eastAsia="en-GB"/>
        </w:rPr>
        <w:t>General Assembly to consider declaring</w:t>
      </w:r>
      <w:r w:rsidRPr="005B645C">
        <w:rPr>
          <w:lang w:val="en-US" w:eastAsia="en-GB"/>
        </w:rPr>
        <w:t xml:space="preserve"> an International Decade for Methane Management.</w:t>
      </w:r>
    </w:p>
    <w:p w14:paraId="4A9C996E" w14:textId="77777777" w:rsidR="00C02558" w:rsidRDefault="00C02558" w:rsidP="00C02558">
      <w:pPr>
        <w:pStyle w:val="H1G"/>
      </w:pPr>
      <w:r>
        <w:tab/>
        <w:t>C</w:t>
      </w:r>
      <w:r w:rsidRPr="002C0A80">
        <w:t>.</w:t>
      </w:r>
      <w:r w:rsidRPr="002C0A80">
        <w:tab/>
      </w:r>
      <w:r w:rsidRPr="00A53B9A">
        <w:t>High-performance buildings initiative</w:t>
      </w:r>
    </w:p>
    <w:p w14:paraId="74B6EBFF" w14:textId="77777777" w:rsidR="00C02558" w:rsidRDefault="00C02558" w:rsidP="00C02558">
      <w:pPr>
        <w:pStyle w:val="SingleTxtG"/>
        <w:spacing w:line="240" w:lineRule="auto"/>
        <w:ind w:left="2829" w:hanging="1695"/>
        <w:rPr>
          <w:iCs/>
        </w:rPr>
      </w:pPr>
      <w:r w:rsidRPr="00E667B1">
        <w:rPr>
          <w:i/>
        </w:rPr>
        <w:t>Documentation:</w:t>
      </w:r>
      <w:r w:rsidRPr="00E667B1">
        <w:rPr>
          <w:i/>
        </w:rPr>
        <w:tab/>
      </w:r>
      <w:r w:rsidRPr="00E667B1">
        <w:t>ECE/ENERGY/</w:t>
      </w:r>
      <w:r>
        <w:t>GE.5/</w:t>
      </w:r>
      <w:r w:rsidRPr="00E667B1">
        <w:t>2020/</w:t>
      </w:r>
      <w:r>
        <w:t>6</w:t>
      </w:r>
      <w:r w:rsidRPr="00E667B1">
        <w:t xml:space="preserve"> – </w:t>
      </w:r>
      <w:r>
        <w:t xml:space="preserve">The role of </w:t>
      </w:r>
      <w:r w:rsidRPr="002025FF">
        <w:t>Information and Communications Technology</w:t>
      </w:r>
      <w:r>
        <w:t xml:space="preserve"> in enabling high-performance buildings and smart, sustainable cities</w:t>
      </w:r>
    </w:p>
    <w:p w14:paraId="28888A14" w14:textId="77777777" w:rsidR="00C02558" w:rsidRDefault="00C02558" w:rsidP="00C02558">
      <w:pPr>
        <w:pStyle w:val="SingleTxtG"/>
        <w:ind w:left="2829"/>
      </w:pPr>
      <w:r w:rsidRPr="007D6175">
        <w:t>ECE/ENERGY/</w:t>
      </w:r>
      <w:r>
        <w:t>GE.6/</w:t>
      </w:r>
      <w:r w:rsidRPr="007D6175">
        <w:t>2020/</w:t>
      </w:r>
      <w:r>
        <w:t>4</w:t>
      </w:r>
      <w:r w:rsidRPr="007D6175">
        <w:t xml:space="preserve"> – </w:t>
      </w:r>
      <w:r>
        <w:t>Updated framework guidelines for energy efficiency standards in buildings</w:t>
      </w:r>
    </w:p>
    <w:p w14:paraId="1925DF3C" w14:textId="77777777" w:rsidR="00C02558" w:rsidRPr="00A82BDA" w:rsidRDefault="00C02558" w:rsidP="00C02558">
      <w:pPr>
        <w:pStyle w:val="SingleTxtG"/>
        <w:rPr>
          <w:lang w:val="en-US" w:eastAsia="en-GB"/>
        </w:rPr>
      </w:pPr>
      <w:r>
        <w:rPr>
          <w:rFonts w:asciiTheme="majorBidi" w:hAnsiTheme="majorBidi" w:cstheme="majorBidi"/>
        </w:rPr>
        <w:t>34.</w:t>
      </w:r>
      <w:r>
        <w:rPr>
          <w:rFonts w:asciiTheme="majorBidi" w:hAnsiTheme="majorBidi" w:cstheme="majorBidi"/>
        </w:rPr>
        <w:tab/>
      </w:r>
      <w:r w:rsidRPr="005B645C">
        <w:rPr>
          <w:lang w:val="en-US" w:eastAsia="en-GB"/>
        </w:rPr>
        <w:t>Noting that the High</w:t>
      </w:r>
      <w:r>
        <w:rPr>
          <w:lang w:val="en-US" w:eastAsia="en-GB"/>
        </w:rPr>
        <w:t>-</w:t>
      </w:r>
      <w:r w:rsidRPr="005B645C">
        <w:rPr>
          <w:lang w:val="en-US" w:eastAsia="en-GB"/>
        </w:rPr>
        <w:t>Performance Buildings Initiative, launched by ECE to disseminate and deploy the Framework Guidelines for Energy Efficiency Standards in Buildings, is conceived to improve significantly building performance, reduce GHG emissions and improve indoor air quality, transform the global supply chain for buildings, and extend the network</w:t>
      </w:r>
      <w:r>
        <w:rPr>
          <w:lang w:val="en-US" w:eastAsia="en-GB"/>
        </w:rPr>
        <w:t xml:space="preserve"> </w:t>
      </w:r>
      <w:r w:rsidRPr="005B645C">
        <w:rPr>
          <w:lang w:val="en-US" w:eastAsia="en-GB"/>
        </w:rPr>
        <w:t>of participating organi</w:t>
      </w:r>
      <w:r>
        <w:rPr>
          <w:lang w:val="en-US" w:eastAsia="en-GB"/>
        </w:rPr>
        <w:t>z</w:t>
      </w:r>
      <w:r w:rsidRPr="005B645C">
        <w:rPr>
          <w:lang w:val="en-US" w:eastAsia="en-GB"/>
        </w:rPr>
        <w:t xml:space="preserve">ations, </w:t>
      </w:r>
      <w:r>
        <w:rPr>
          <w:lang w:val="en-US" w:eastAsia="en-GB"/>
        </w:rPr>
        <w:t xml:space="preserve">the Committee </w:t>
      </w:r>
      <w:r w:rsidRPr="005B645C">
        <w:rPr>
          <w:lang w:val="en-US" w:eastAsia="en-GB"/>
        </w:rPr>
        <w:t xml:space="preserve">called on ECE member States to </w:t>
      </w:r>
      <w:r>
        <w:rPr>
          <w:lang w:val="en-US" w:eastAsia="en-GB"/>
        </w:rPr>
        <w:t>support the initiative both through extrabudgetary resources and through policies and support for local, grassroots actors.</w:t>
      </w:r>
      <w:r w:rsidRPr="00A82BDA">
        <w:rPr>
          <w:i/>
          <w:iCs/>
        </w:rPr>
        <w:t xml:space="preserve"> </w:t>
      </w:r>
      <w:r w:rsidRPr="00704A0C">
        <w:t xml:space="preserve">The Committee also invited </w:t>
      </w:r>
      <w:r>
        <w:t xml:space="preserve">member States </w:t>
      </w:r>
      <w:r w:rsidRPr="00704A0C">
        <w:t xml:space="preserve">to further develop and deploy normative instruments to </w:t>
      </w:r>
      <w:r>
        <w:t>improve</w:t>
      </w:r>
      <w:r w:rsidRPr="00704A0C">
        <w:t xml:space="preserve"> energy efficiency in buildings</w:t>
      </w:r>
      <w:r>
        <w:t>.</w:t>
      </w:r>
    </w:p>
    <w:p w14:paraId="5CF1BC97" w14:textId="77777777" w:rsidR="00C02558" w:rsidRDefault="00C02558" w:rsidP="00C02558">
      <w:pPr>
        <w:pStyle w:val="H1G"/>
      </w:pPr>
      <w:r>
        <w:lastRenderedPageBreak/>
        <w:tab/>
        <w:t>D</w:t>
      </w:r>
      <w:r w:rsidRPr="002C0A80">
        <w:t>.</w:t>
      </w:r>
      <w:r w:rsidRPr="002C0A80">
        <w:tab/>
      </w:r>
      <w:r w:rsidRPr="00170740">
        <w:t>United Nations Framework Classification for Resources and sustainable resource management</w:t>
      </w:r>
    </w:p>
    <w:p w14:paraId="40DCC4BF" w14:textId="77777777" w:rsidR="00C02558" w:rsidRDefault="00C02558" w:rsidP="00C02558">
      <w:pPr>
        <w:pStyle w:val="SingleTxtG"/>
        <w:spacing w:line="240" w:lineRule="auto"/>
        <w:ind w:left="2829" w:hanging="1695"/>
      </w:pPr>
      <w:r w:rsidRPr="00E667B1">
        <w:rPr>
          <w:i/>
        </w:rPr>
        <w:t>Documentation:</w:t>
      </w:r>
      <w:r w:rsidRPr="00E667B1">
        <w:rPr>
          <w:i/>
        </w:rPr>
        <w:tab/>
      </w:r>
      <w:r w:rsidRPr="00E667B1">
        <w:t>ECE/ENERGY/2020/</w:t>
      </w:r>
      <w:r>
        <w:t>7</w:t>
      </w:r>
      <w:r w:rsidRPr="00E667B1">
        <w:t xml:space="preserve"> – </w:t>
      </w:r>
      <w:r>
        <w:t>Draft revised ECOSOC Decision regarding the United Nations Framework Classification for Resources</w:t>
      </w:r>
    </w:p>
    <w:p w14:paraId="7074AFB2" w14:textId="77777777" w:rsidR="00C02558" w:rsidRDefault="00C02558" w:rsidP="00C02558">
      <w:pPr>
        <w:pStyle w:val="SingleTxtG"/>
        <w:spacing w:line="240" w:lineRule="auto"/>
        <w:ind w:left="2829"/>
        <w:rPr>
          <w:rFonts w:asciiTheme="majorBidi" w:hAnsiTheme="majorBidi" w:cstheme="majorBidi"/>
        </w:rPr>
      </w:pPr>
      <w:r w:rsidRPr="00FF7304">
        <w:rPr>
          <w:iCs/>
        </w:rPr>
        <w:t>ECE/ENERGY/2020/10 – Pathways to Sustainable Energy – policy recommendations from the Expert Group on Resource Management</w:t>
      </w:r>
    </w:p>
    <w:p w14:paraId="47853779" w14:textId="77777777" w:rsidR="00C02558" w:rsidRDefault="00C02558" w:rsidP="00C02558">
      <w:pPr>
        <w:pStyle w:val="SingleTxtG"/>
        <w:rPr>
          <w:lang w:val="en-US" w:eastAsia="en-GB"/>
        </w:rPr>
      </w:pPr>
      <w:r>
        <w:rPr>
          <w:rFonts w:asciiTheme="majorBidi" w:hAnsiTheme="majorBidi" w:cstheme="majorBidi"/>
        </w:rPr>
        <w:t>35.</w:t>
      </w:r>
      <w:r>
        <w:rPr>
          <w:rFonts w:asciiTheme="majorBidi" w:hAnsiTheme="majorBidi" w:cstheme="majorBidi"/>
        </w:rPr>
        <w:tab/>
      </w:r>
      <w:r w:rsidRPr="00BA585D">
        <w:rPr>
          <w:lang w:val="en-US" w:eastAsia="en-GB"/>
        </w:rPr>
        <w:t xml:space="preserve">Noting that </w:t>
      </w:r>
      <w:bookmarkStart w:id="7" w:name="_Hlk54855853"/>
      <w:r w:rsidRPr="00BA585D">
        <w:rPr>
          <w:lang w:val="en-US" w:eastAsia="en-GB"/>
        </w:rPr>
        <w:t>sustainable management of natural resources is fundamental to attainment of the 2030 Agenda</w:t>
      </w:r>
      <w:r>
        <w:rPr>
          <w:lang w:val="en-US" w:eastAsia="en-GB"/>
        </w:rPr>
        <w:t>,</w:t>
      </w:r>
      <w:r w:rsidRPr="00354EA6">
        <w:t xml:space="preserve"> </w:t>
      </w:r>
      <w:r w:rsidRPr="00354EA6">
        <w:rPr>
          <w:lang w:val="en-US" w:eastAsia="en-GB"/>
        </w:rPr>
        <w:t xml:space="preserve">is </w:t>
      </w:r>
      <w:r>
        <w:rPr>
          <w:lang w:val="en-US" w:eastAsia="en-GB"/>
        </w:rPr>
        <w:t>at</w:t>
      </w:r>
      <w:r w:rsidRPr="00354EA6">
        <w:rPr>
          <w:lang w:val="en-US" w:eastAsia="en-GB"/>
        </w:rPr>
        <w:t xml:space="preserve"> the heart of the cross-cutting theme of the </w:t>
      </w:r>
      <w:r>
        <w:rPr>
          <w:lang w:val="en-US" w:eastAsia="en-GB"/>
        </w:rPr>
        <w:t xml:space="preserve">sixty-ninth </w:t>
      </w:r>
      <w:r w:rsidRPr="00354EA6">
        <w:rPr>
          <w:lang w:val="en-US" w:eastAsia="en-GB"/>
        </w:rPr>
        <w:t>ECE session</w:t>
      </w:r>
      <w:r>
        <w:rPr>
          <w:lang w:val="en-US" w:eastAsia="en-GB"/>
        </w:rPr>
        <w:t>,</w:t>
      </w:r>
      <w:r w:rsidRPr="00BA585D">
        <w:rPr>
          <w:lang w:val="en-US" w:eastAsia="en-GB"/>
        </w:rPr>
        <w:t xml:space="preserve"> and is crucial for supporting </w:t>
      </w:r>
      <w:r w:rsidRPr="00090BDF">
        <w:rPr>
          <w:lang w:val="en-US" w:eastAsia="en-GB"/>
        </w:rPr>
        <w:t xml:space="preserve">inclusive and sustainable </w:t>
      </w:r>
      <w:r w:rsidRPr="00BA585D">
        <w:rPr>
          <w:lang w:val="en-US" w:eastAsia="en-GB"/>
        </w:rPr>
        <w:t xml:space="preserve">recovery </w:t>
      </w:r>
      <w:bookmarkEnd w:id="7"/>
      <w:r w:rsidRPr="00BA585D">
        <w:rPr>
          <w:lang w:val="en-US" w:eastAsia="en-GB"/>
        </w:rPr>
        <w:t xml:space="preserve">from the COVID-19 socio-economic crisis, </w:t>
      </w:r>
      <w:r>
        <w:rPr>
          <w:lang w:val="en-US" w:eastAsia="en-GB"/>
        </w:rPr>
        <w:t xml:space="preserve">called on ECE and non-ECE member States, </w:t>
      </w:r>
      <w:r w:rsidRPr="00841BBB">
        <w:rPr>
          <w:lang w:val="en-US" w:eastAsia="en-GB"/>
        </w:rPr>
        <w:t>international organizations</w:t>
      </w:r>
      <w:r>
        <w:rPr>
          <w:lang w:val="en-US" w:eastAsia="en-GB"/>
        </w:rPr>
        <w:t>, industry</w:t>
      </w:r>
      <w:r w:rsidRPr="00841BBB">
        <w:rPr>
          <w:lang w:val="en-US" w:eastAsia="en-GB"/>
        </w:rPr>
        <w:t xml:space="preserve"> and the regional commissions </w:t>
      </w:r>
      <w:r>
        <w:rPr>
          <w:lang w:val="en-US" w:eastAsia="en-GB"/>
        </w:rPr>
        <w:t xml:space="preserve">to further deploy and develop </w:t>
      </w:r>
      <w:r w:rsidRPr="00BA585D">
        <w:rPr>
          <w:lang w:val="en-US" w:eastAsia="en-GB"/>
        </w:rPr>
        <w:t>the United Nations Framework Classification for Resources and its derivative United Nations Resource Management System.</w:t>
      </w:r>
    </w:p>
    <w:p w14:paraId="0F66AF61" w14:textId="02A3FE81" w:rsidR="00C02558" w:rsidRDefault="00C02558" w:rsidP="00C02558">
      <w:pPr>
        <w:pStyle w:val="H1G"/>
      </w:pPr>
      <w:r>
        <w:tab/>
        <w:t>E</w:t>
      </w:r>
      <w:r w:rsidRPr="002C0A80">
        <w:t>.</w:t>
      </w:r>
      <w:r w:rsidRPr="002C0A80">
        <w:tab/>
      </w:r>
      <w:r w:rsidRPr="00170740">
        <w:t>Key messages and policy recommendations for the Economic Commission for Europe</w:t>
      </w:r>
    </w:p>
    <w:p w14:paraId="5C4F6722" w14:textId="77777777" w:rsidR="00647F99" w:rsidRPr="007269F1" w:rsidRDefault="00647F99" w:rsidP="00647F99">
      <w:pPr>
        <w:pStyle w:val="SingleTxtG"/>
      </w:pPr>
      <w:bookmarkStart w:id="8" w:name="_Hlk57794142"/>
      <w:r>
        <w:rPr>
          <w:rFonts w:asciiTheme="majorBidi" w:hAnsiTheme="majorBidi" w:cstheme="majorBidi"/>
        </w:rPr>
        <w:t>36.</w:t>
      </w:r>
      <w:r>
        <w:rPr>
          <w:rFonts w:asciiTheme="majorBidi" w:hAnsiTheme="majorBidi" w:cstheme="majorBidi"/>
        </w:rPr>
        <w:tab/>
      </w:r>
      <w:r w:rsidRPr="00DD2ADE">
        <w:rPr>
          <w:lang w:val="en-US" w:eastAsia="en-GB"/>
        </w:rPr>
        <w:t>Requested the Economic Commission for Europe consider decisions on resource manageme</w:t>
      </w:r>
      <w:r w:rsidRPr="00CD765F">
        <w:rPr>
          <w:lang w:val="en-US" w:eastAsia="en-GB"/>
        </w:rPr>
        <w:t>nt</w:t>
      </w:r>
      <w:r w:rsidRPr="00024810">
        <w:rPr>
          <w:lang w:val="en-US" w:eastAsia="en-GB"/>
        </w:rPr>
        <w:t>, near-term acceleration of the 2030 Agenda through action on gases and buildings</w:t>
      </w:r>
      <w:r w:rsidRPr="00024810">
        <w:rPr>
          <w:color w:val="76923C" w:themeColor="accent3" w:themeShade="BF"/>
          <w:lang w:val="en-US" w:eastAsia="en-GB"/>
        </w:rPr>
        <w:t xml:space="preserve">, </w:t>
      </w:r>
      <w:r w:rsidRPr="00024810">
        <w:rPr>
          <w:lang w:val="en-US" w:eastAsia="en-GB"/>
        </w:rPr>
        <w:t xml:space="preserve">and </w:t>
      </w:r>
      <w:r>
        <w:rPr>
          <w:lang w:val="en-US" w:eastAsia="en-GB"/>
        </w:rPr>
        <w:t xml:space="preserve">study of the </w:t>
      </w:r>
      <w:r w:rsidRPr="00C636F8">
        <w:rPr>
          <w:lang w:val="en-US" w:eastAsia="en-GB"/>
        </w:rPr>
        <w:t>impact of subsidies as well as carbon pricing options:</w:t>
      </w:r>
    </w:p>
    <w:bookmarkEnd w:id="8"/>
    <w:p w14:paraId="61B12259" w14:textId="29430A54" w:rsidR="00647F99" w:rsidRDefault="00647F99" w:rsidP="00647F99">
      <w:pPr>
        <w:pStyle w:val="H23G"/>
      </w:pPr>
      <w:r>
        <w:tab/>
        <w:t>1.</w:t>
      </w:r>
      <w:r>
        <w:tab/>
      </w:r>
      <w:r w:rsidRPr="00DD2ADE">
        <w:t xml:space="preserve">Decision regarding </w:t>
      </w:r>
      <w:r w:rsidR="005D32F0">
        <w:t>resource management</w:t>
      </w:r>
    </w:p>
    <w:p w14:paraId="3B93C66C" w14:textId="77777777" w:rsidR="00647F99" w:rsidRPr="002775FA" w:rsidRDefault="00647F99" w:rsidP="002775FA">
      <w:pPr>
        <w:pStyle w:val="SingleTxtG"/>
        <w:rPr>
          <w:i/>
          <w:iCs/>
        </w:rPr>
      </w:pPr>
      <w:r w:rsidRPr="002775FA">
        <w:rPr>
          <w:i/>
          <w:iCs/>
        </w:rPr>
        <w:t>Noting that sustainable management of natural resources is fundamental to attainment of the 2030 Agenda,</w:t>
      </w:r>
      <w:r w:rsidRPr="002775FA">
        <w:rPr>
          <w:i/>
          <w:iCs/>
          <w:lang w:val="en-US" w:eastAsia="en-GB"/>
        </w:rPr>
        <w:t xml:space="preserve"> is at the heart of the cross-cutting theme of the sixty-ninth ECE session,</w:t>
      </w:r>
      <w:r w:rsidRPr="002775FA" w:rsidDel="00354EA6">
        <w:rPr>
          <w:i/>
          <w:iCs/>
          <w:color w:val="76923C" w:themeColor="accent3" w:themeShade="BF"/>
        </w:rPr>
        <w:t xml:space="preserve"> </w:t>
      </w:r>
      <w:r w:rsidRPr="002775FA">
        <w:rPr>
          <w:i/>
          <w:iCs/>
        </w:rPr>
        <w:t>and is crucial for supporting inclusive and sustainable recovery from the COVID-19 socio-economic crisis, the Economic Commission for Europe requests the Committee on Sustainable Energy to undertake further development, dissemination, education and research, consultation, and engagement among stakeholders on the United Nations Framework Classification for Resources and its derivative United Nations Resource Management System.</w:t>
      </w:r>
    </w:p>
    <w:p w14:paraId="5011C83D" w14:textId="062CFAD9" w:rsidR="00647F99" w:rsidRDefault="00647F99" w:rsidP="00647F99">
      <w:pPr>
        <w:pStyle w:val="H23G"/>
      </w:pPr>
      <w:r>
        <w:tab/>
      </w:r>
      <w:r w:rsidRPr="00647F99">
        <w:t>2.</w:t>
      </w:r>
      <w:r w:rsidRPr="00647F99">
        <w:tab/>
        <w:t xml:space="preserve">Decision regarding near-term </w:t>
      </w:r>
      <w:r w:rsidR="005D32F0" w:rsidRPr="005D32F0">
        <w:t>acceleration of the 2030 Agenda through action on gases and buildings</w:t>
      </w:r>
    </w:p>
    <w:p w14:paraId="543832D0" w14:textId="44B28AA1" w:rsidR="00647F99" w:rsidRPr="002775FA" w:rsidRDefault="00647F99" w:rsidP="002775FA">
      <w:pPr>
        <w:pStyle w:val="SingleTxtG"/>
        <w:rPr>
          <w:i/>
          <w:iCs/>
          <w:color w:val="FF0000"/>
        </w:rPr>
      </w:pPr>
      <w:r w:rsidRPr="002775FA">
        <w:rPr>
          <w:i/>
          <w:iCs/>
        </w:rPr>
        <w:t>Noting that ECE’s work on methane, CO</w:t>
      </w:r>
      <w:r w:rsidRPr="002775FA">
        <w:rPr>
          <w:i/>
          <w:iCs/>
          <w:vertAlign w:val="subscript"/>
        </w:rPr>
        <w:t>2</w:t>
      </w:r>
      <w:r w:rsidRPr="002775FA">
        <w:rPr>
          <w:i/>
          <w:iCs/>
        </w:rPr>
        <w:t>, and hydrogen and on high</w:t>
      </w:r>
      <w:r w:rsidR="00F10D9F">
        <w:rPr>
          <w:i/>
          <w:iCs/>
        </w:rPr>
        <w:t>-</w:t>
      </w:r>
      <w:r w:rsidRPr="002775FA">
        <w:rPr>
          <w:i/>
          <w:iCs/>
        </w:rPr>
        <w:t xml:space="preserve">performance buildings can have a notable near-term benefit for both climate and quality of </w:t>
      </w:r>
      <w:r w:rsidRPr="0054071D">
        <w:rPr>
          <w:i/>
          <w:iCs/>
        </w:rPr>
        <w:t>life:</w:t>
      </w:r>
    </w:p>
    <w:p w14:paraId="6F120661" w14:textId="77777777" w:rsidR="00647F99" w:rsidRPr="00647F99" w:rsidRDefault="00647F99" w:rsidP="00E6416E">
      <w:pPr>
        <w:pStyle w:val="Bullet1G"/>
        <w:rPr>
          <w:color w:val="76923C" w:themeColor="accent3" w:themeShade="BF"/>
        </w:rPr>
      </w:pPr>
      <w:r w:rsidRPr="00647F99">
        <w:t>The Economic Commission for Europe invites the Committee on Sustainable Energy to pursue diligently further work on the role of natural gas, hydrogen, carbon capture, use, and storage, and high-efficiency, low-emissions technology for those countries that choose to use it as well as on the management of anthropogenic methane emissions in the transition to a carbon neutral economy.</w:t>
      </w:r>
    </w:p>
    <w:p w14:paraId="052B7FC7" w14:textId="3ED72865" w:rsidR="00647F99" w:rsidRPr="002775FA" w:rsidRDefault="00647F99" w:rsidP="002775FA">
      <w:pPr>
        <w:pStyle w:val="Bullet1G"/>
        <w:rPr>
          <w:i/>
          <w:iCs/>
        </w:rPr>
      </w:pPr>
      <w:r w:rsidRPr="002775FA">
        <w:rPr>
          <w:i/>
          <w:iCs/>
        </w:rPr>
        <w:t xml:space="preserve">The Economic Commission for Europe requests its sectoral committees on Sustainable Energy and on Urban Development, Housing and Land Management to undertake dissemination, education and research, consultation, and engagement among stakeholders on high-performance buildings and to support member States </w:t>
      </w:r>
      <w:bookmarkStart w:id="9" w:name="_Hlk57148041"/>
      <w:r w:rsidRPr="002775FA">
        <w:rPr>
          <w:i/>
          <w:iCs/>
        </w:rPr>
        <w:t>further developing and deploying normative instruments to improve energy efficiency in buildings</w:t>
      </w:r>
      <w:bookmarkEnd w:id="9"/>
      <w:r w:rsidRPr="002775FA">
        <w:rPr>
          <w:i/>
          <w:iCs/>
        </w:rPr>
        <w:t>.</w:t>
      </w:r>
    </w:p>
    <w:p w14:paraId="70D19955" w14:textId="2048CFAB" w:rsidR="00647F99" w:rsidRDefault="00247E7C" w:rsidP="00247E7C">
      <w:pPr>
        <w:pStyle w:val="H23G"/>
      </w:pPr>
      <w:r>
        <w:tab/>
        <w:t>3.</w:t>
      </w:r>
      <w:r>
        <w:tab/>
      </w:r>
      <w:bookmarkStart w:id="10" w:name="_Hlk57746172"/>
      <w:r w:rsidR="000759B7" w:rsidRPr="000759B7">
        <w:t>Decision</w:t>
      </w:r>
      <w:r w:rsidR="00D12164">
        <w:t xml:space="preserve"> to</w:t>
      </w:r>
      <w:r w:rsidR="000759B7" w:rsidRPr="000759B7">
        <w:t xml:space="preserve"> </w:t>
      </w:r>
      <w:r w:rsidR="00D12164" w:rsidRPr="00D12164">
        <w:t>study the impact of subsidies as well as carbon pricing options</w:t>
      </w:r>
    </w:p>
    <w:bookmarkEnd w:id="10"/>
    <w:p w14:paraId="7E49E6FA" w14:textId="5AADA698" w:rsidR="000759B7" w:rsidRPr="000759B7" w:rsidRDefault="0054071D" w:rsidP="0054071D">
      <w:pPr>
        <w:ind w:left="1134" w:right="1134"/>
        <w:jc w:val="both"/>
      </w:pPr>
      <w:r w:rsidRPr="0054071D">
        <w:rPr>
          <w:i/>
          <w:iCs/>
        </w:rPr>
        <w:t xml:space="preserve">The Economic Commission for Europe requests the Committee on Sustainable Energy to continue studying how best to address efficient use of energy resources, and in this regard the impact of subsidies as well as carbon pricing options. </w:t>
      </w:r>
    </w:p>
    <w:p w14:paraId="20FC29CC" w14:textId="303D53EB" w:rsidR="002775FA" w:rsidRDefault="002775FA" w:rsidP="002775FA">
      <w:pPr>
        <w:pStyle w:val="HChG"/>
      </w:pPr>
      <w:r>
        <w:lastRenderedPageBreak/>
        <w:tab/>
      </w:r>
      <w:r w:rsidRPr="00DE65C4">
        <w:t>VII.</w:t>
      </w:r>
      <w:r w:rsidRPr="00DE65C4">
        <w:tab/>
      </w:r>
      <w:r w:rsidRPr="00170740">
        <w:t xml:space="preserve">Future work of the Committee on Sustainable Energy </w:t>
      </w:r>
      <w:r w:rsidRPr="00DE718B">
        <w:t xml:space="preserve">(agenda item 6) </w:t>
      </w:r>
    </w:p>
    <w:p w14:paraId="2E6D8499" w14:textId="77777777" w:rsidR="002775FA" w:rsidRDefault="002775FA" w:rsidP="002775FA">
      <w:pPr>
        <w:pStyle w:val="SingleTxtG"/>
        <w:rPr>
          <w:lang w:val="en-US" w:eastAsia="en-GB"/>
        </w:rPr>
      </w:pPr>
      <w:r>
        <w:rPr>
          <w:lang w:val="en-US" w:eastAsia="en-GB"/>
        </w:rPr>
        <w:t>37.</w:t>
      </w:r>
      <w:r>
        <w:rPr>
          <w:lang w:val="en-US" w:eastAsia="en-GB"/>
        </w:rPr>
        <w:tab/>
        <w:t>The Committee:</w:t>
      </w:r>
    </w:p>
    <w:p w14:paraId="3A84A11F" w14:textId="1E00C778" w:rsidR="002775FA" w:rsidRPr="002775FA" w:rsidRDefault="002775FA" w:rsidP="002775FA">
      <w:pPr>
        <w:pStyle w:val="SingleTxtG"/>
        <w:ind w:firstLine="567"/>
      </w:pPr>
      <w:r>
        <w:t>(a)</w:t>
      </w:r>
      <w:r>
        <w:tab/>
      </w:r>
      <w:r w:rsidRPr="002775FA">
        <w:t>Noted that the sustainable energy subprogramme is designed to improve access to affordable and clean energy for all and help reduce GHG gas emissions and the carbon footprint of the energy sector in the region. Further noted that the sustainable energy subprogramme, in support of member States’ attainment of their 2030 Agenda objectives, works in support of Sustainable Development Goal 7 to ensure access to affordable, reliable, sustainable and modern energy for all</w:t>
      </w:r>
      <w:r>
        <w:t>;</w:t>
      </w:r>
    </w:p>
    <w:p w14:paraId="0D25FD4E" w14:textId="1F8DC101" w:rsidR="002775FA" w:rsidRPr="002775FA" w:rsidRDefault="002775FA" w:rsidP="002775FA">
      <w:pPr>
        <w:pStyle w:val="SingleTxtG"/>
        <w:ind w:firstLine="567"/>
      </w:pPr>
      <w:r w:rsidRPr="002775FA">
        <w:t>(b)</w:t>
      </w:r>
      <w:r w:rsidRPr="002775FA">
        <w:tab/>
        <w:t xml:space="preserve">Noted that all activities carried out under the sustainable energy subprogramme, irrespective of funding source, should be mandated in line with regulation 4.2 of ST/SGB/2018/3 and requested that the views of respective member States be </w:t>
      </w:r>
      <w:proofErr w:type="gramStart"/>
      <w:r w:rsidRPr="002775FA">
        <w:t>taken into account</w:t>
      </w:r>
      <w:proofErr w:type="gramEnd"/>
      <w:r w:rsidRPr="002775FA">
        <w:t xml:space="preserve"> in this regard</w:t>
      </w:r>
      <w:r>
        <w:t>;</w:t>
      </w:r>
    </w:p>
    <w:p w14:paraId="0573410D" w14:textId="45F98F35" w:rsidR="002775FA" w:rsidRDefault="002775FA" w:rsidP="002775FA">
      <w:pPr>
        <w:pStyle w:val="SingleTxtG"/>
        <w:ind w:firstLine="567"/>
        <w:rPr>
          <w:lang w:val="en-US" w:eastAsia="en-GB"/>
        </w:rPr>
      </w:pPr>
      <w:r>
        <w:rPr>
          <w:lang w:val="en-US" w:eastAsia="en-GB"/>
        </w:rPr>
        <w:t>(c)</w:t>
      </w:r>
      <w:r>
        <w:rPr>
          <w:lang w:val="en-US" w:eastAsia="en-GB"/>
        </w:rPr>
        <w:tab/>
        <w:t xml:space="preserve">Noted the role that women can play towards sustainable energy and the need to promote gender parity in the </w:t>
      </w:r>
      <w:proofErr w:type="spellStart"/>
      <w:r>
        <w:rPr>
          <w:lang w:val="en-US" w:eastAsia="en-GB"/>
        </w:rPr>
        <w:t>programmes</w:t>
      </w:r>
      <w:proofErr w:type="spellEnd"/>
      <w:r>
        <w:rPr>
          <w:lang w:val="en-US" w:eastAsia="en-GB"/>
        </w:rPr>
        <w:t xml:space="preserve"> of the Committee and its subsidiary bodies;</w:t>
      </w:r>
    </w:p>
    <w:p w14:paraId="31934D8A" w14:textId="192F2D56" w:rsidR="002775FA" w:rsidRDefault="002775FA" w:rsidP="002775FA">
      <w:pPr>
        <w:pStyle w:val="SingleTxtG"/>
        <w:ind w:firstLine="567"/>
        <w:rPr>
          <w:lang w:val="en-US" w:eastAsia="en-GB"/>
        </w:rPr>
      </w:pPr>
      <w:r>
        <w:rPr>
          <w:lang w:val="en-US" w:eastAsia="en-GB"/>
        </w:rPr>
        <w:t>(d)</w:t>
      </w:r>
      <w:r>
        <w:rPr>
          <w:lang w:val="en-US" w:eastAsia="en-GB"/>
        </w:rPr>
        <w:tab/>
        <w:t>Recognized that k</w:t>
      </w:r>
      <w:r w:rsidRPr="000B1366">
        <w:rPr>
          <w:lang w:val="en-US" w:eastAsia="en-GB"/>
        </w:rPr>
        <w:t>ey instruments to promote</w:t>
      </w:r>
      <w:r w:rsidRPr="00FB7CA7">
        <w:rPr>
          <w:lang w:val="en-US"/>
        </w:rPr>
        <w:t xml:space="preserve"> </w:t>
      </w:r>
      <w:r w:rsidRPr="000B1366">
        <w:rPr>
          <w:lang w:val="en-US" w:eastAsia="en-GB"/>
        </w:rPr>
        <w:t>sustainable use of natural resources include the United Nations Framework Classification for Resources (UNFC) and the United Nations Resource Management System (UNRMS); ECE’s High</w:t>
      </w:r>
      <w:r>
        <w:rPr>
          <w:lang w:val="en-US" w:eastAsia="en-GB"/>
        </w:rPr>
        <w:t>-</w:t>
      </w:r>
      <w:r w:rsidRPr="000B1366">
        <w:rPr>
          <w:lang w:val="en-US" w:eastAsia="en-GB"/>
        </w:rPr>
        <w:t>Performance Buildings Initiative and its Framework Guidelines for Energy Efficiency Standards in Buildings; Best practice guidelines for management of methane in extractive industries; and Recommendations on carbon capture and storage</w:t>
      </w:r>
      <w:r>
        <w:rPr>
          <w:lang w:val="en-US" w:eastAsia="en-GB"/>
        </w:rPr>
        <w:t>;</w:t>
      </w:r>
    </w:p>
    <w:p w14:paraId="7B127B59" w14:textId="705C7096" w:rsidR="002775FA" w:rsidRDefault="002775FA" w:rsidP="002775FA">
      <w:pPr>
        <w:pStyle w:val="SingleTxtG"/>
        <w:ind w:firstLine="567"/>
        <w:rPr>
          <w:lang w:val="en-US" w:eastAsia="en-GB"/>
        </w:rPr>
      </w:pPr>
      <w:r>
        <w:rPr>
          <w:lang w:val="en-US" w:eastAsia="en-GB"/>
        </w:rPr>
        <w:t>(e)</w:t>
      </w:r>
      <w:r>
        <w:rPr>
          <w:lang w:val="en-US" w:eastAsia="en-GB"/>
        </w:rPr>
        <w:tab/>
        <w:t xml:space="preserve"> Noted the strategic review of the sustainable energy </w:t>
      </w:r>
      <w:proofErr w:type="spellStart"/>
      <w:r>
        <w:rPr>
          <w:lang w:val="en-US" w:eastAsia="en-GB"/>
        </w:rPr>
        <w:t>subprogramme</w:t>
      </w:r>
      <w:proofErr w:type="spellEnd"/>
      <w:r>
        <w:rPr>
          <w:lang w:val="en-US" w:eastAsia="en-GB"/>
        </w:rPr>
        <w:t xml:space="preserve"> (</w:t>
      </w:r>
      <w:r w:rsidRPr="00385CC0">
        <w:rPr>
          <w:lang w:val="en-US" w:eastAsia="en-GB"/>
        </w:rPr>
        <w:t xml:space="preserve">ECE/ENERGY/2020/12 </w:t>
      </w:r>
      <w:r>
        <w:rPr>
          <w:lang w:val="en-US" w:eastAsia="en-GB"/>
        </w:rPr>
        <w:t>–</w:t>
      </w:r>
      <w:r w:rsidRPr="00385CC0">
        <w:rPr>
          <w:lang w:val="en-US" w:eastAsia="en-GB"/>
        </w:rPr>
        <w:t xml:space="preserve"> Strategic review of the United Nations Economic Commission for Europe sustainable energy </w:t>
      </w:r>
      <w:proofErr w:type="spellStart"/>
      <w:r w:rsidRPr="00385CC0">
        <w:rPr>
          <w:lang w:val="en-US" w:eastAsia="en-GB"/>
        </w:rPr>
        <w:t>subprogramme</w:t>
      </w:r>
      <w:proofErr w:type="spellEnd"/>
      <w:r>
        <w:rPr>
          <w:lang w:val="en-US" w:eastAsia="en-GB"/>
        </w:rPr>
        <w:t>)</w:t>
      </w:r>
      <w:r w:rsidRPr="004222D9">
        <w:rPr>
          <w:lang w:val="en-US" w:eastAsia="en-GB"/>
        </w:rPr>
        <w:t xml:space="preserve"> </w:t>
      </w:r>
      <w:r>
        <w:rPr>
          <w:lang w:val="en-US" w:eastAsia="en-GB"/>
        </w:rPr>
        <w:t>with a view to having the text adopted at its thirtieth session.</w:t>
      </w:r>
    </w:p>
    <w:p w14:paraId="406DF760" w14:textId="724A4613" w:rsidR="002775FA" w:rsidRDefault="002775FA" w:rsidP="002775FA">
      <w:pPr>
        <w:pStyle w:val="H1G"/>
      </w:pPr>
      <w:r>
        <w:tab/>
        <w:t>A</w:t>
      </w:r>
      <w:r w:rsidRPr="00EB5F18">
        <w:t>.</w:t>
      </w:r>
      <w:r w:rsidRPr="00EB5F18">
        <w:tab/>
      </w:r>
      <w:r w:rsidRPr="0075424F">
        <w:t>Preparations for the thirtieth anniversary of the Committee on Sustainable Energy</w:t>
      </w:r>
    </w:p>
    <w:p w14:paraId="11813C9A" w14:textId="77777777" w:rsidR="002775FA" w:rsidRDefault="002775FA" w:rsidP="002775FA">
      <w:pPr>
        <w:pStyle w:val="SingleTxtG"/>
        <w:rPr>
          <w:lang w:val="en-US" w:eastAsia="en-GB"/>
        </w:rPr>
      </w:pPr>
      <w:r>
        <w:rPr>
          <w:lang w:val="en-US" w:eastAsia="en-GB"/>
        </w:rPr>
        <w:t>38.</w:t>
      </w:r>
      <w:r>
        <w:rPr>
          <w:lang w:val="en-US" w:eastAsia="en-GB"/>
        </w:rPr>
        <w:tab/>
        <w:t>The Committee:</w:t>
      </w:r>
    </w:p>
    <w:p w14:paraId="25FE9E23" w14:textId="13697EC6" w:rsidR="002775FA" w:rsidRPr="002775FA" w:rsidRDefault="002775FA" w:rsidP="002775FA">
      <w:pPr>
        <w:pStyle w:val="SingleTxtG"/>
        <w:ind w:firstLine="567"/>
      </w:pPr>
      <w:r w:rsidRPr="002775FA">
        <w:t>(a)</w:t>
      </w:r>
      <w:r w:rsidRPr="002775FA">
        <w:tab/>
        <w:t>Noting that the meeting of the Committee in 2021 will be its thirtieth session and that 2021 will be significant for the UN’s Decade of Action, the sixty-ninth session of ECE on circular economy and post-COVID recovery, the High-level Dialogue on Energy at the seventy-sixth session of the UN General Assembly, and COP26, invited the secretariat and member States to consider preparing possible voluntary commitments for consideration by member States on the path forward on sustainable energy</w:t>
      </w:r>
      <w:r w:rsidR="008F16ED">
        <w:t>;</w:t>
      </w:r>
    </w:p>
    <w:p w14:paraId="3405756A" w14:textId="4AC4DC0D" w:rsidR="002775FA" w:rsidRDefault="002775FA" w:rsidP="002775FA">
      <w:pPr>
        <w:pStyle w:val="SingleTxtG"/>
        <w:ind w:firstLine="567"/>
        <w:rPr>
          <w:lang w:val="en-US" w:eastAsia="en-GB"/>
        </w:rPr>
      </w:pPr>
      <w:r>
        <w:rPr>
          <w:lang w:val="en-US" w:eastAsia="en-GB"/>
        </w:rPr>
        <w:t>(b)</w:t>
      </w:r>
      <w:r>
        <w:rPr>
          <w:lang w:val="en-US" w:eastAsia="en-GB"/>
        </w:rPr>
        <w:tab/>
      </w:r>
      <w:r w:rsidRPr="007F590D">
        <w:rPr>
          <w:lang w:val="en-US" w:eastAsia="en-GB"/>
        </w:rPr>
        <w:t xml:space="preserve">Requested the secretariat to proceed with preparations for the </w:t>
      </w:r>
      <w:r>
        <w:rPr>
          <w:lang w:val="en-US" w:eastAsia="en-GB"/>
        </w:rPr>
        <w:t>thirtieth</w:t>
      </w:r>
      <w:r w:rsidRPr="007F590D">
        <w:rPr>
          <w:lang w:val="en-US" w:eastAsia="en-GB"/>
        </w:rPr>
        <w:t xml:space="preserve"> session of the Committee on Sustainable Energy</w:t>
      </w:r>
      <w:r>
        <w:rPr>
          <w:lang w:val="en-US" w:eastAsia="en-GB"/>
        </w:rPr>
        <w:t xml:space="preserve"> to be held </w:t>
      </w:r>
      <w:r w:rsidRPr="007F590D">
        <w:rPr>
          <w:lang w:val="en-US" w:eastAsia="en-GB"/>
        </w:rPr>
        <w:t>2</w:t>
      </w:r>
      <w:r>
        <w:rPr>
          <w:lang w:val="en-US" w:eastAsia="en-GB"/>
        </w:rPr>
        <w:t>2</w:t>
      </w:r>
      <w:r w:rsidRPr="007F590D">
        <w:rPr>
          <w:lang w:val="en-US" w:eastAsia="en-GB"/>
        </w:rPr>
        <w:t>-2</w:t>
      </w:r>
      <w:r>
        <w:rPr>
          <w:lang w:val="en-US" w:eastAsia="en-GB"/>
        </w:rPr>
        <w:t>4</w:t>
      </w:r>
      <w:r w:rsidRPr="007F590D">
        <w:rPr>
          <w:lang w:val="en-US" w:eastAsia="en-GB"/>
        </w:rPr>
        <w:t xml:space="preserve"> </w:t>
      </w:r>
      <w:r>
        <w:rPr>
          <w:lang w:val="en-US" w:eastAsia="en-GB"/>
        </w:rPr>
        <w:t>September</w:t>
      </w:r>
      <w:r w:rsidRPr="007F590D">
        <w:rPr>
          <w:lang w:val="en-US" w:eastAsia="en-GB"/>
        </w:rPr>
        <w:t xml:space="preserve"> 202</w:t>
      </w:r>
      <w:r>
        <w:rPr>
          <w:lang w:val="en-US" w:eastAsia="en-GB"/>
        </w:rPr>
        <w:t>1</w:t>
      </w:r>
      <w:r w:rsidRPr="007F590D">
        <w:rPr>
          <w:lang w:val="en-US" w:eastAsia="en-GB"/>
        </w:rPr>
        <w:t xml:space="preserve"> in Geneva, including a draft agenda, draft report, and all supporting documents necessary for implementation of the </w:t>
      </w:r>
      <w:proofErr w:type="spellStart"/>
      <w:r w:rsidRPr="007F590D">
        <w:rPr>
          <w:lang w:val="en-US" w:eastAsia="en-GB"/>
        </w:rPr>
        <w:t>programme</w:t>
      </w:r>
      <w:proofErr w:type="spellEnd"/>
      <w:r w:rsidRPr="007F590D">
        <w:rPr>
          <w:lang w:val="en-US" w:eastAsia="en-GB"/>
        </w:rPr>
        <w:t xml:space="preserve"> of work for the ECE sustainable energy </w:t>
      </w:r>
      <w:proofErr w:type="spellStart"/>
      <w:r w:rsidRPr="007F590D">
        <w:rPr>
          <w:lang w:val="en-US" w:eastAsia="en-GB"/>
        </w:rPr>
        <w:t>subprogramme</w:t>
      </w:r>
      <w:proofErr w:type="spellEnd"/>
      <w:r w:rsidRPr="007F590D">
        <w:rPr>
          <w:lang w:val="en-US" w:eastAsia="en-GB"/>
        </w:rPr>
        <w:t xml:space="preserve"> for 202</w:t>
      </w:r>
      <w:r>
        <w:rPr>
          <w:lang w:val="en-US" w:eastAsia="en-GB"/>
        </w:rPr>
        <w:t>2</w:t>
      </w:r>
      <w:r w:rsidRPr="007F590D">
        <w:rPr>
          <w:lang w:val="en-US" w:eastAsia="en-GB"/>
        </w:rPr>
        <w:t>-202</w:t>
      </w:r>
      <w:r>
        <w:rPr>
          <w:lang w:val="en-US" w:eastAsia="en-GB"/>
        </w:rPr>
        <w:t>3</w:t>
      </w:r>
      <w:r w:rsidRPr="007F590D">
        <w:rPr>
          <w:lang w:val="en-US" w:eastAsia="en-GB"/>
        </w:rPr>
        <w:t xml:space="preserve"> and the work plans of its six subsidiary bodies. </w:t>
      </w:r>
    </w:p>
    <w:p w14:paraId="505FC2A4" w14:textId="5EDB86B9" w:rsidR="00D92A6B" w:rsidRDefault="00D92A6B" w:rsidP="00D92A6B">
      <w:pPr>
        <w:pStyle w:val="H1G"/>
      </w:pPr>
      <w:r>
        <w:tab/>
        <w:t>B</w:t>
      </w:r>
      <w:r w:rsidRPr="00C250BA">
        <w:t>.</w:t>
      </w:r>
      <w:r w:rsidRPr="00C250BA">
        <w:tab/>
        <w:t>Review of the subprogramme performance and planning</w:t>
      </w:r>
    </w:p>
    <w:p w14:paraId="0677C90F" w14:textId="77777777" w:rsidR="00D92A6B" w:rsidRDefault="00D92A6B" w:rsidP="00D92A6B">
      <w:pPr>
        <w:pStyle w:val="SingleTxtG"/>
        <w:rPr>
          <w:lang w:val="en-US" w:eastAsia="en-GB"/>
        </w:rPr>
      </w:pPr>
      <w:r>
        <w:rPr>
          <w:lang w:val="en-US" w:eastAsia="en-GB"/>
        </w:rPr>
        <w:t>39.</w:t>
      </w:r>
      <w:r>
        <w:rPr>
          <w:lang w:val="en-US" w:eastAsia="en-GB"/>
        </w:rPr>
        <w:tab/>
        <w:t>The Committee:</w:t>
      </w:r>
    </w:p>
    <w:p w14:paraId="3C68FA19" w14:textId="66D9486A" w:rsidR="00D92A6B" w:rsidRDefault="00D92A6B" w:rsidP="00712980">
      <w:pPr>
        <w:pStyle w:val="SingleTxtG"/>
        <w:ind w:firstLine="567"/>
        <w:rPr>
          <w:lang w:val="en-US" w:eastAsia="en-GB"/>
        </w:rPr>
      </w:pPr>
      <w:r>
        <w:rPr>
          <w:lang w:val="en-US" w:eastAsia="en-GB"/>
        </w:rPr>
        <w:t>(a)</w:t>
      </w:r>
      <w:r>
        <w:rPr>
          <w:lang w:val="en-US" w:eastAsia="en-GB"/>
        </w:rPr>
        <w:tab/>
      </w:r>
      <w:r w:rsidRPr="005B645C">
        <w:rPr>
          <w:lang w:val="en-US" w:eastAsia="en-GB"/>
        </w:rPr>
        <w:t xml:space="preserve">Recognizing </w:t>
      </w:r>
      <w:r>
        <w:rPr>
          <w:lang w:val="en-US" w:eastAsia="en-GB"/>
        </w:rPr>
        <w:t>the resource constraints imposed on the secretariat by COVID-19 and the continuing liquidity crisis in the United Nations system, approved the reduction in the number of parliamentary documents to have been produced by the Committee on Sustainable Energy and its subsidiary bodies in 2020 from 60 to 55</w:t>
      </w:r>
      <w:r w:rsidR="008F16ED">
        <w:rPr>
          <w:lang w:val="en-US" w:eastAsia="en-GB"/>
        </w:rPr>
        <w:t>;</w:t>
      </w:r>
    </w:p>
    <w:p w14:paraId="224F6D05" w14:textId="3B218298" w:rsidR="00D92A6B" w:rsidRDefault="00D92A6B" w:rsidP="00712980">
      <w:pPr>
        <w:pStyle w:val="SingleTxtG"/>
        <w:ind w:firstLine="567"/>
        <w:rPr>
          <w:lang w:val="en-US" w:eastAsia="en-GB"/>
        </w:rPr>
      </w:pPr>
      <w:r>
        <w:rPr>
          <w:lang w:val="en-US" w:eastAsia="en-GB"/>
        </w:rPr>
        <w:t>(b)</w:t>
      </w:r>
      <w:r>
        <w:rPr>
          <w:lang w:val="en-US" w:eastAsia="en-GB"/>
        </w:rPr>
        <w:tab/>
        <w:t>Recognizing the significance of 2020 and 2021 for sustainable energy in the ECE region</w:t>
      </w:r>
      <w:r w:rsidRPr="00A916D7">
        <w:rPr>
          <w:lang w:val="en-US" w:eastAsia="en-GB"/>
        </w:rPr>
        <w:t xml:space="preserve"> </w:t>
      </w:r>
      <w:r>
        <w:rPr>
          <w:lang w:val="en-US" w:eastAsia="en-GB"/>
        </w:rPr>
        <w:t xml:space="preserve">and what has been achieved in the sustainable energy </w:t>
      </w:r>
      <w:proofErr w:type="spellStart"/>
      <w:r>
        <w:rPr>
          <w:lang w:val="en-US" w:eastAsia="en-GB"/>
        </w:rPr>
        <w:t>subprogramme</w:t>
      </w:r>
      <w:proofErr w:type="spellEnd"/>
      <w:r>
        <w:rPr>
          <w:lang w:val="en-US" w:eastAsia="en-GB"/>
        </w:rPr>
        <w:t xml:space="preserve">, requested the secretariat to prepare 12 post-session documents on key activities as addenda to the report </w:t>
      </w:r>
      <w:r>
        <w:rPr>
          <w:lang w:val="en-US" w:eastAsia="en-GB"/>
        </w:rPr>
        <w:lastRenderedPageBreak/>
        <w:t xml:space="preserve">of the twenty-ninth session to be able to share with targeted outreach in support of </w:t>
      </w:r>
      <w:r w:rsidRPr="00BA585D">
        <w:rPr>
          <w:lang w:val="en-US" w:eastAsia="en-GB"/>
        </w:rPr>
        <w:t>COP26</w:t>
      </w:r>
      <w:r w:rsidRPr="00A916D7">
        <w:rPr>
          <w:lang w:val="en-US" w:eastAsia="en-GB"/>
        </w:rPr>
        <w:t xml:space="preserve">, </w:t>
      </w:r>
      <w:r>
        <w:rPr>
          <w:lang w:val="en-US" w:eastAsia="en-GB"/>
        </w:rPr>
        <w:t>the Secretary-General’s High-level Dialogue on Energy</w:t>
      </w:r>
      <w:r w:rsidRPr="00A916D7">
        <w:rPr>
          <w:lang w:val="en-US" w:eastAsia="en-GB"/>
        </w:rPr>
        <w:t xml:space="preserve"> linked to the </w:t>
      </w:r>
      <w:r>
        <w:t xml:space="preserve">seventy-sixth session of the </w:t>
      </w:r>
      <w:r w:rsidR="00894A5C">
        <w:t>UN</w:t>
      </w:r>
      <w:r>
        <w:rPr>
          <w:lang w:val="en-US" w:eastAsia="en-GB"/>
        </w:rPr>
        <w:t xml:space="preserve"> General Assembly</w:t>
      </w:r>
      <w:r w:rsidRPr="00A916D7">
        <w:rPr>
          <w:lang w:val="en-US" w:eastAsia="en-GB"/>
        </w:rPr>
        <w:t xml:space="preserve">, </w:t>
      </w:r>
      <w:r>
        <w:rPr>
          <w:lang w:val="en-US" w:eastAsia="en-GB"/>
        </w:rPr>
        <w:t xml:space="preserve">and </w:t>
      </w:r>
      <w:r w:rsidRPr="00A916D7">
        <w:rPr>
          <w:lang w:val="en-US" w:eastAsia="en-GB"/>
        </w:rPr>
        <w:t xml:space="preserve">the </w:t>
      </w:r>
      <w:r>
        <w:t>sixty-ninth session</w:t>
      </w:r>
      <w:r w:rsidRPr="001942CE">
        <w:t xml:space="preserve"> of </w:t>
      </w:r>
      <w:r>
        <w:t>ECE</w:t>
      </w:r>
      <w:r>
        <w:rPr>
          <w:lang w:val="en-US" w:eastAsia="en-GB"/>
        </w:rPr>
        <w:t>.</w:t>
      </w:r>
    </w:p>
    <w:p w14:paraId="656D9382" w14:textId="05B535FE" w:rsidR="002B2283" w:rsidRDefault="002B2283" w:rsidP="002B2283">
      <w:pPr>
        <w:pStyle w:val="H1G"/>
      </w:pPr>
      <w:r>
        <w:tab/>
        <w:t>C</w:t>
      </w:r>
      <w:r w:rsidRPr="00C250BA">
        <w:t>.</w:t>
      </w:r>
      <w:r w:rsidRPr="00C250BA">
        <w:tab/>
        <w:t xml:space="preserve">Approval of documents </w:t>
      </w:r>
    </w:p>
    <w:p w14:paraId="56BCEB59" w14:textId="77777777" w:rsidR="002B2283" w:rsidRDefault="002B2283" w:rsidP="002B2283">
      <w:pPr>
        <w:pStyle w:val="SingleTxtG"/>
        <w:ind w:left="2829" w:hanging="1695"/>
      </w:pPr>
      <w:r>
        <w:rPr>
          <w:i/>
        </w:rPr>
        <w:t>Documentation:</w:t>
      </w:r>
      <w:r>
        <w:tab/>
        <w:t>ECE/ENERGY/2020/2 – Draft programme of work of the sustainable energy subprogramme for 2021</w:t>
      </w:r>
    </w:p>
    <w:p w14:paraId="289D9C83" w14:textId="77777777" w:rsidR="002B2283" w:rsidRDefault="002B2283" w:rsidP="002B2283">
      <w:pPr>
        <w:pStyle w:val="SingleTxtG"/>
        <w:ind w:left="2829"/>
      </w:pPr>
      <w:r>
        <w:t>ECE/ENERGY/2020/3 – Provisional calendar of meetings for 2021</w:t>
      </w:r>
    </w:p>
    <w:p w14:paraId="418A05A3" w14:textId="4F49FB41" w:rsidR="002B2283" w:rsidRDefault="002B2283" w:rsidP="002B2283">
      <w:pPr>
        <w:pStyle w:val="SingleTxtG"/>
        <w:ind w:left="2829"/>
        <w:rPr>
          <w:lang w:eastAsia="en-GB"/>
        </w:rPr>
      </w:pPr>
      <w:r>
        <w:t>ECE/ENERGY</w:t>
      </w:r>
      <w:r>
        <w:rPr>
          <w:lang w:eastAsia="en-GB"/>
        </w:rPr>
        <w:t>/2020/4 – Revised publication plans for 2020 and 2021 and draft publication plan for 2022</w:t>
      </w:r>
    </w:p>
    <w:p w14:paraId="71BA7AF5" w14:textId="77777777" w:rsidR="002B2283" w:rsidRDefault="002B2283" w:rsidP="002B2283">
      <w:pPr>
        <w:pStyle w:val="SingleTxtG"/>
        <w:rPr>
          <w:lang w:eastAsia="en-GB"/>
        </w:rPr>
      </w:pPr>
      <w:r>
        <w:rPr>
          <w:lang w:eastAsia="en-GB"/>
        </w:rPr>
        <w:t>40.</w:t>
      </w:r>
      <w:r>
        <w:rPr>
          <w:lang w:eastAsia="en-GB"/>
        </w:rPr>
        <w:tab/>
        <w:t>The Committee:</w:t>
      </w:r>
    </w:p>
    <w:p w14:paraId="1A0BEE29" w14:textId="32FC795B" w:rsidR="002B2283" w:rsidRDefault="002B2283" w:rsidP="002B2283">
      <w:pPr>
        <w:pStyle w:val="SingleTxtG"/>
        <w:numPr>
          <w:ilvl w:val="0"/>
          <w:numId w:val="31"/>
        </w:numPr>
        <w:ind w:left="1134" w:firstLine="567"/>
        <w:rPr>
          <w:lang w:eastAsia="en-GB"/>
        </w:rPr>
      </w:pPr>
      <w:r>
        <w:rPr>
          <w:lang w:eastAsia="en-GB"/>
        </w:rPr>
        <w:t xml:space="preserve">Endorsed the provisional calendar of meetings for 2021 (ECE/ENERGY/2020/3) and the </w:t>
      </w:r>
      <w:r w:rsidRPr="00C636F8">
        <w:rPr>
          <w:lang w:eastAsia="en-GB"/>
        </w:rPr>
        <w:t xml:space="preserve">revised publication plans </w:t>
      </w:r>
      <w:r>
        <w:rPr>
          <w:lang w:eastAsia="en-GB"/>
        </w:rPr>
        <w:t>for 2020 and 2021 and the draft publication plan for 2022 (ECE/ENERGY/2020/4)</w:t>
      </w:r>
      <w:r w:rsidRPr="00455C3A">
        <w:rPr>
          <w:lang w:eastAsia="en-GB"/>
        </w:rPr>
        <w:t xml:space="preserve"> </w:t>
      </w:r>
      <w:r w:rsidRPr="00C636F8">
        <w:rPr>
          <w:lang w:eastAsia="en-GB"/>
        </w:rPr>
        <w:t>as indicated in Annex</w:t>
      </w:r>
      <w:r>
        <w:rPr>
          <w:lang w:eastAsia="en-GB"/>
        </w:rPr>
        <w:t xml:space="preserve"> II, noting that the title of the publication “</w:t>
      </w:r>
      <w:r w:rsidRPr="00455C3A">
        <w:rPr>
          <w:lang w:eastAsia="en-GB"/>
        </w:rPr>
        <w:t>Hydrogen – an innovative solution for carbon neutrality</w:t>
      </w:r>
      <w:r>
        <w:rPr>
          <w:lang w:eastAsia="en-GB"/>
        </w:rPr>
        <w:t>” is now modified to “</w:t>
      </w:r>
      <w:r w:rsidRPr="00455C3A">
        <w:rPr>
          <w:lang w:eastAsia="en-GB"/>
        </w:rPr>
        <w:t>Achieving carbon neutrality through hydrogen”</w:t>
      </w:r>
      <w:r>
        <w:rPr>
          <w:lang w:eastAsia="en-GB"/>
        </w:rPr>
        <w:t>;</w:t>
      </w:r>
    </w:p>
    <w:p w14:paraId="56BC56C3" w14:textId="13793C40" w:rsidR="002B2283" w:rsidRDefault="002B2283" w:rsidP="002B2283">
      <w:pPr>
        <w:pStyle w:val="SingleTxtG"/>
        <w:ind w:firstLine="567"/>
        <w:rPr>
          <w:lang w:eastAsia="en-GB"/>
        </w:rPr>
      </w:pPr>
      <w:r>
        <w:rPr>
          <w:lang w:eastAsia="en-GB"/>
        </w:rPr>
        <w:t>(b)</w:t>
      </w:r>
      <w:r>
        <w:rPr>
          <w:lang w:eastAsia="en-GB"/>
        </w:rPr>
        <w:tab/>
        <w:t>Adopted the proposed draft programme of work of the sustainable energy subprogramme for 2021 (ECE/ENERGY/2020/2) and recommended submission to EXCOM for subsequent approval. Requested a draft programme of work of the sustainable energy subprogramme for 2022 be prepared for adoption at its next session;</w:t>
      </w:r>
    </w:p>
    <w:p w14:paraId="125955B4" w14:textId="46D57EFD" w:rsidR="002B2283" w:rsidRPr="00460E1E" w:rsidRDefault="002B2283" w:rsidP="00894A5C">
      <w:pPr>
        <w:pStyle w:val="SingleTxtG"/>
        <w:ind w:firstLine="567"/>
      </w:pPr>
      <w:r w:rsidRPr="00C636F8">
        <w:rPr>
          <w:lang w:eastAsia="en-GB"/>
        </w:rPr>
        <w:t>(c)</w:t>
      </w:r>
      <w:r w:rsidRPr="00C636F8">
        <w:rPr>
          <w:lang w:eastAsia="en-GB"/>
        </w:rPr>
        <w:tab/>
        <w:t xml:space="preserve">Noted that changes that member States had envisaged </w:t>
      </w:r>
      <w:r w:rsidRPr="00175C90">
        <w:rPr>
          <w:lang w:eastAsia="en-GB"/>
        </w:rPr>
        <w:t>to the draft programme of work</w:t>
      </w:r>
      <w:r>
        <w:rPr>
          <w:lang w:eastAsia="en-GB"/>
        </w:rPr>
        <w:t xml:space="preserve"> </w:t>
      </w:r>
      <w:r w:rsidRPr="00C636F8">
        <w:rPr>
          <w:lang w:eastAsia="en-GB"/>
        </w:rPr>
        <w:t xml:space="preserve">could not be reflected. </w:t>
      </w:r>
      <w:r w:rsidRPr="00C636F8">
        <w:t>Noting that with the transition to an annual budget cycle the Committee had lost the opportunity to make substantive changes to the draft programme of work presented for adoption, invited EXCOM to consider proposing changes to the programme of work approval process</w:t>
      </w:r>
      <w:r>
        <w:t>;</w:t>
      </w:r>
    </w:p>
    <w:p w14:paraId="22C5122B" w14:textId="409A5A4C" w:rsidR="002B2283" w:rsidRPr="00894A5C" w:rsidRDefault="002B2283" w:rsidP="00894A5C">
      <w:pPr>
        <w:pStyle w:val="SingleTxtG"/>
        <w:ind w:firstLine="567"/>
      </w:pPr>
      <w:r w:rsidRPr="00894A5C">
        <w:t>(d)</w:t>
      </w:r>
      <w:r w:rsidRPr="00894A5C">
        <w:tab/>
        <w:t>Renewed its request to member States of ECE to nominate focal points to the secretariat for conduct of consultations on the Strategic Review and the concept note for the Pathways to Sustainable Energy programme. Emphasized the importance of ensuring transparent and continuous communication with both focal points and Permanent Missions.</w:t>
      </w:r>
    </w:p>
    <w:p w14:paraId="5E7A8D82" w14:textId="07A87230" w:rsidR="002B2283" w:rsidRDefault="002B2283" w:rsidP="002B2283">
      <w:pPr>
        <w:pStyle w:val="H1G"/>
      </w:pPr>
      <w:r>
        <w:tab/>
        <w:t>D</w:t>
      </w:r>
      <w:r w:rsidRPr="00245AF1">
        <w:t>.</w:t>
      </w:r>
      <w:r w:rsidRPr="00245AF1">
        <w:tab/>
        <w:t xml:space="preserve">Any other business </w:t>
      </w:r>
    </w:p>
    <w:p w14:paraId="505A3373" w14:textId="77777777" w:rsidR="002B2283" w:rsidRDefault="002B2283" w:rsidP="002B2283">
      <w:pPr>
        <w:pStyle w:val="SingleTxtG"/>
        <w:ind w:left="2829" w:hanging="1695"/>
      </w:pPr>
      <w:r w:rsidRPr="007D6175">
        <w:rPr>
          <w:i/>
        </w:rPr>
        <w:t>Documentation:</w:t>
      </w:r>
      <w:r w:rsidRPr="007D6175">
        <w:tab/>
        <w:t>ECE/ENERGY/2020/6 – Report on regional ad</w:t>
      </w:r>
      <w:r>
        <w:t>visory services in sustainable energy</w:t>
      </w:r>
      <w:r>
        <w:rPr>
          <w:i/>
        </w:rPr>
        <w:tab/>
      </w:r>
    </w:p>
    <w:p w14:paraId="2F74A53C" w14:textId="77777777" w:rsidR="002B2283" w:rsidRDefault="002B2283" w:rsidP="002B2283">
      <w:pPr>
        <w:pStyle w:val="SingleTxtG"/>
        <w:rPr>
          <w:lang w:val="en-US" w:eastAsia="en-GB"/>
        </w:rPr>
      </w:pPr>
      <w:r>
        <w:rPr>
          <w:lang w:val="en-US" w:eastAsia="en-GB"/>
        </w:rPr>
        <w:t>41.</w:t>
      </w:r>
      <w:r>
        <w:rPr>
          <w:lang w:val="en-US" w:eastAsia="en-GB"/>
        </w:rPr>
        <w:tab/>
        <w:t>The Committee:</w:t>
      </w:r>
    </w:p>
    <w:p w14:paraId="28F3BC33" w14:textId="6CC2A22F" w:rsidR="002B2283" w:rsidRDefault="002B2283" w:rsidP="002B2283">
      <w:pPr>
        <w:pStyle w:val="SingleTxtG"/>
        <w:ind w:firstLine="567"/>
        <w:rPr>
          <w:lang w:val="en-US" w:eastAsia="en-GB"/>
        </w:rPr>
      </w:pPr>
      <w:r>
        <w:rPr>
          <w:lang w:val="en-US" w:eastAsia="en-GB"/>
        </w:rPr>
        <w:t>(a)</w:t>
      </w:r>
      <w:r>
        <w:rPr>
          <w:lang w:val="en-US" w:eastAsia="en-GB"/>
        </w:rPr>
        <w:tab/>
        <w:t>Received an update on regional advisory services conducted since its last session. The report covered information on adjusting regional advisory services, including capacity-building and technical assistance activities, in light of the COVID-19 crisis. Field projects under implementation, including those that were developed as a rapid response to the crisis, and ongoing fundraising activities were reported;</w:t>
      </w:r>
    </w:p>
    <w:p w14:paraId="2987BC5B" w14:textId="489B99B4" w:rsidR="002B2283" w:rsidRDefault="002B2283" w:rsidP="002B2283">
      <w:pPr>
        <w:pStyle w:val="SingleTxtG"/>
        <w:ind w:firstLine="567"/>
        <w:rPr>
          <w:lang w:val="en-US" w:eastAsia="en-GB"/>
        </w:rPr>
      </w:pPr>
      <w:r>
        <w:rPr>
          <w:lang w:val="en-US" w:eastAsia="en-GB"/>
        </w:rPr>
        <w:t>(b)</w:t>
      </w:r>
      <w:r>
        <w:rPr>
          <w:lang w:val="en-US" w:eastAsia="en-GB"/>
        </w:rPr>
        <w:tab/>
        <w:t xml:space="preserve">Took note of the </w:t>
      </w:r>
      <w:r w:rsidRPr="00E65EA2">
        <w:rPr>
          <w:lang w:val="en-US" w:eastAsia="en-GB"/>
        </w:rPr>
        <w:t xml:space="preserve">Report on regional advisory services in sustainable energy </w:t>
      </w:r>
      <w:r>
        <w:rPr>
          <w:lang w:val="en-US" w:eastAsia="en-GB"/>
        </w:rPr>
        <w:t>(ECE/ENERGY/2020/6), stressed the importance of regional advisory services and capacity-building activities for its work, in particular in the current circumstances, and requested a report on regional advisory services at its thirtieth session;</w:t>
      </w:r>
    </w:p>
    <w:p w14:paraId="5751C201" w14:textId="20087F42" w:rsidR="002B2283" w:rsidRDefault="002B2283" w:rsidP="002B2283">
      <w:pPr>
        <w:pStyle w:val="SingleTxtG"/>
        <w:ind w:firstLine="567"/>
        <w:rPr>
          <w:lang w:val="en-US" w:eastAsia="en-GB"/>
        </w:rPr>
      </w:pPr>
      <w:r>
        <w:rPr>
          <w:lang w:val="en-US" w:eastAsia="en-GB"/>
        </w:rPr>
        <w:t xml:space="preserve">(c) </w:t>
      </w:r>
      <w:r>
        <w:rPr>
          <w:lang w:val="en-US" w:eastAsia="en-GB"/>
        </w:rPr>
        <w:tab/>
        <w:t>T</w:t>
      </w:r>
      <w:r w:rsidRPr="007F590D">
        <w:rPr>
          <w:lang w:val="en-US" w:eastAsia="en-GB"/>
        </w:rPr>
        <w:t xml:space="preserve">hanked all non-government stakeholders for their continued contributions to the work of the sustainable energy </w:t>
      </w:r>
      <w:proofErr w:type="spellStart"/>
      <w:r w:rsidRPr="007F590D">
        <w:rPr>
          <w:lang w:val="en-US" w:eastAsia="en-GB"/>
        </w:rPr>
        <w:t>subprogramme</w:t>
      </w:r>
      <w:proofErr w:type="spellEnd"/>
      <w:r w:rsidRPr="007F590D">
        <w:rPr>
          <w:lang w:val="en-US" w:eastAsia="en-GB"/>
        </w:rPr>
        <w:t xml:space="preserve"> and renewed its wish to involve these stakeholders in its activities and meetings.</w:t>
      </w:r>
    </w:p>
    <w:p w14:paraId="7D92BEA0" w14:textId="5004F0D4" w:rsidR="00F35A4A" w:rsidRDefault="00F35A4A" w:rsidP="00F35A4A">
      <w:pPr>
        <w:pStyle w:val="H1G"/>
      </w:pPr>
      <w:r>
        <w:lastRenderedPageBreak/>
        <w:tab/>
        <w:t>E</w:t>
      </w:r>
      <w:r w:rsidRPr="00060A1A">
        <w:t>.</w:t>
      </w:r>
      <w:r w:rsidRPr="00060A1A">
        <w:tab/>
        <w:t xml:space="preserve">Adoption of the report and close of the meeting </w:t>
      </w:r>
    </w:p>
    <w:p w14:paraId="234EF494" w14:textId="77777777" w:rsidR="00F35A4A" w:rsidRPr="00CE1776" w:rsidRDefault="00F35A4A" w:rsidP="00F35A4A">
      <w:pPr>
        <w:pStyle w:val="SingleTxtG"/>
        <w:ind w:left="2829" w:hanging="1695"/>
      </w:pPr>
      <w:r w:rsidRPr="00060A1A">
        <w:rPr>
          <w:i/>
          <w:iCs/>
        </w:rPr>
        <w:t>Documentation:</w:t>
      </w:r>
      <w:r w:rsidRPr="00060A1A">
        <w:tab/>
        <w:t>ECE/ENERGY/1</w:t>
      </w:r>
      <w:r>
        <w:t>3</w:t>
      </w:r>
      <w:r w:rsidRPr="00060A1A">
        <w:t xml:space="preserve">3 – Report of the Committee on Sustainable Energy </w:t>
      </w:r>
      <w:r w:rsidRPr="00CE1776">
        <w:t>on its twenty-</w:t>
      </w:r>
      <w:r>
        <w:t>ninth</w:t>
      </w:r>
      <w:r w:rsidRPr="00CE1776">
        <w:t xml:space="preserve"> session</w:t>
      </w:r>
    </w:p>
    <w:p w14:paraId="270989E4" w14:textId="77777777" w:rsidR="00F35A4A" w:rsidRPr="00060A1A" w:rsidRDefault="00F35A4A" w:rsidP="00F35A4A">
      <w:pPr>
        <w:pStyle w:val="SingleTxtG"/>
      </w:pPr>
      <w:r>
        <w:t>42</w:t>
      </w:r>
      <w:r w:rsidRPr="00CE1776">
        <w:t>.</w:t>
      </w:r>
      <w:r w:rsidRPr="00CE1776">
        <w:tab/>
        <w:t>The Chair summarized the major decisions, conclusions and recommendations taken by the Comm</w:t>
      </w:r>
      <w:r w:rsidRPr="00060A1A">
        <w:t>ittee.</w:t>
      </w:r>
    </w:p>
    <w:p w14:paraId="33FBA52E" w14:textId="77777777" w:rsidR="00F35A4A" w:rsidRPr="00060A1A" w:rsidRDefault="00F35A4A" w:rsidP="00F35A4A">
      <w:pPr>
        <w:pStyle w:val="SingleTxtG"/>
        <w:rPr>
          <w:rFonts w:asciiTheme="majorBidi" w:hAnsiTheme="majorBidi" w:cstheme="majorBidi"/>
        </w:rPr>
      </w:pPr>
      <w:r>
        <w:t>43</w:t>
      </w:r>
      <w:r w:rsidRPr="00060A1A">
        <w:t>.</w:t>
      </w:r>
      <w:r w:rsidRPr="00060A1A">
        <w:tab/>
        <w:t>The Committee adopted the report of its twenty-</w:t>
      </w:r>
      <w:r>
        <w:t>ninth</w:t>
      </w:r>
      <w:r w:rsidRPr="00060A1A">
        <w:t xml:space="preserve"> session (ECE/ENERGY/1</w:t>
      </w:r>
      <w:r>
        <w:t>3</w:t>
      </w:r>
      <w:r w:rsidRPr="00060A1A">
        <w:t>3) subject to any necessary editing and formatting.</w:t>
      </w:r>
      <w:r w:rsidRPr="00060A1A">
        <w:rPr>
          <w:rFonts w:asciiTheme="majorBidi" w:hAnsiTheme="majorBidi" w:cstheme="majorBidi"/>
        </w:rPr>
        <w:t xml:space="preserve"> </w:t>
      </w:r>
    </w:p>
    <w:p w14:paraId="57FC95C6" w14:textId="77777777" w:rsidR="00F35A4A" w:rsidRDefault="00F35A4A" w:rsidP="00F35A4A">
      <w:pPr>
        <w:pStyle w:val="SingleTxtG"/>
      </w:pPr>
      <w:r>
        <w:t>44</w:t>
      </w:r>
      <w:r w:rsidRPr="00060A1A">
        <w:t>.</w:t>
      </w:r>
      <w:r w:rsidRPr="00060A1A">
        <w:tab/>
        <w:t>The twenty-</w:t>
      </w:r>
      <w:r>
        <w:t>ninth</w:t>
      </w:r>
      <w:r w:rsidRPr="00060A1A">
        <w:t xml:space="preserve"> session was adjourned on 27 </w:t>
      </w:r>
      <w:r>
        <w:t>November 2020</w:t>
      </w:r>
      <w:r w:rsidRPr="00060A1A">
        <w:t xml:space="preserve"> at </w:t>
      </w:r>
      <w:r>
        <w:t>16.00</w:t>
      </w:r>
      <w:r w:rsidRPr="00060A1A">
        <w:t xml:space="preserve"> hours.</w:t>
      </w:r>
    </w:p>
    <w:p w14:paraId="100AB263" w14:textId="77777777" w:rsidR="00F35A4A" w:rsidRDefault="00F35A4A" w:rsidP="00F35A4A">
      <w:pPr>
        <w:suppressAutoHyphens w:val="0"/>
        <w:spacing w:line="240" w:lineRule="auto"/>
      </w:pPr>
      <w:r>
        <w:br w:type="page"/>
      </w:r>
    </w:p>
    <w:p w14:paraId="3E8187E2" w14:textId="77777777" w:rsidR="00F35A4A" w:rsidRPr="003E677F" w:rsidRDefault="00F35A4A" w:rsidP="00F35A4A">
      <w:pPr>
        <w:pStyle w:val="HChG"/>
      </w:pPr>
      <w:r w:rsidRPr="003E677F">
        <w:lastRenderedPageBreak/>
        <w:t>Annex</w:t>
      </w:r>
      <w:r>
        <w:t xml:space="preserve"> I</w:t>
      </w:r>
    </w:p>
    <w:p w14:paraId="0A46B96E" w14:textId="77777777" w:rsidR="00F35A4A" w:rsidRPr="00F35A4A" w:rsidRDefault="00F35A4A" w:rsidP="00F35A4A">
      <w:pPr>
        <w:pStyle w:val="HChG"/>
      </w:pPr>
      <w:r>
        <w:tab/>
      </w:r>
      <w:r>
        <w:tab/>
      </w:r>
      <w:r w:rsidRPr="00F35A4A">
        <w:t>Rules of procedure of the Committee on Sustainable Energy</w:t>
      </w:r>
    </w:p>
    <w:p w14:paraId="215D9497" w14:textId="52F10C17" w:rsidR="00F35A4A" w:rsidRDefault="00F35A4A" w:rsidP="00F35A4A">
      <w:pPr>
        <w:pStyle w:val="HChG"/>
      </w:pPr>
      <w:r>
        <w:tab/>
        <w:t>I.</w:t>
      </w:r>
      <w:r>
        <w:tab/>
      </w:r>
      <w:r w:rsidRPr="00954532">
        <w:t>Introduction</w:t>
      </w:r>
    </w:p>
    <w:p w14:paraId="68266CA4" w14:textId="4E76F332" w:rsidR="00F35A4A" w:rsidRPr="00D064F9" w:rsidRDefault="00F35A4A" w:rsidP="00F35A4A">
      <w:pPr>
        <w:pStyle w:val="SingleTxtG"/>
      </w:pPr>
      <w:bookmarkStart w:id="11" w:name="_Hlk57624895"/>
      <w:r w:rsidRPr="00D064F9">
        <w:t>1.</w:t>
      </w:r>
      <w:r w:rsidRPr="00D064F9">
        <w:tab/>
        <w:t>This document contains the rules of procedure for the Committee on Sustainable Energy. The rules of procedure were prepared in accordance with the Guidelines on procedures and practices for ECE bodies adopted by the Economic Commission for Europe (E/2013/37-E/ECE/1464, annex III, appendix III</w:t>
      </w:r>
      <w:r w:rsidR="00346F33">
        <w:rPr>
          <w:rStyle w:val="FootnoteReference"/>
        </w:rPr>
        <w:footnoteReference w:id="2"/>
      </w:r>
      <w:r w:rsidRPr="00D064F9">
        <w:t>). They clarify amongst other issues the relationship between the Committee on Sustainable Energy and its subsidiary bodies and the role of the respective Bureaux and the nomination process.</w:t>
      </w:r>
    </w:p>
    <w:p w14:paraId="2522AD9D" w14:textId="77777777" w:rsidR="00F35A4A" w:rsidRPr="00D064F9" w:rsidRDefault="00F35A4A" w:rsidP="00F35A4A">
      <w:pPr>
        <w:pStyle w:val="SingleTxtG"/>
      </w:pPr>
      <w:r w:rsidRPr="00D064F9">
        <w:t>2.</w:t>
      </w:r>
      <w:r w:rsidRPr="00D064F9">
        <w:tab/>
        <w:t xml:space="preserve">The objective of having rules of procedure is to streamline the work of the Committee and its subsidiary bodies, to provide a basis for accelerated delivery of the sustainable energy subprogramme, and to solidify ECE’s reputation as a credible, relevant, and responsive partner. </w:t>
      </w:r>
    </w:p>
    <w:p w14:paraId="3E6B384D" w14:textId="2AFD8C59" w:rsidR="00F35A4A" w:rsidRDefault="00F35A4A" w:rsidP="00F35A4A">
      <w:pPr>
        <w:pStyle w:val="SingleTxtG"/>
      </w:pPr>
      <w:r w:rsidRPr="00D064F9">
        <w:t>3.</w:t>
      </w:r>
      <w:r w:rsidRPr="00D064F9">
        <w:tab/>
        <w:t>These rules of procedure were endorsed by the Committee at its twenty-ninth session. The Committee requested the Bureaux and the Groups of Experts reporting to the Committee to apply them henceforth.</w:t>
      </w:r>
    </w:p>
    <w:p w14:paraId="04575A96" w14:textId="58D8B5BA" w:rsidR="00F35A4A" w:rsidRDefault="00F35A4A" w:rsidP="00F35A4A">
      <w:pPr>
        <w:pStyle w:val="HChG"/>
      </w:pPr>
      <w:r>
        <w:tab/>
      </w:r>
      <w:r w:rsidRPr="006C4279">
        <w:t>II.</w:t>
      </w:r>
      <w:r>
        <w:tab/>
      </w:r>
      <w:r w:rsidRPr="006C4279">
        <w:t xml:space="preserve">Organization of Committee sessions </w:t>
      </w:r>
    </w:p>
    <w:p w14:paraId="4EDD030D" w14:textId="77777777" w:rsidR="00F35A4A" w:rsidRDefault="00F35A4A" w:rsidP="00F35A4A">
      <w:pPr>
        <w:pStyle w:val="SingleTxtG"/>
      </w:pPr>
      <w:r w:rsidRPr="00B46ADC">
        <w:t>4.</w:t>
      </w:r>
      <w:r w:rsidRPr="00B46ADC">
        <w:tab/>
        <w:t>Official sessions of the Committee shall be held annually, on dates fixed by the Committee at previous meetings. Changes in previously-agreed dates of sessions due to unforeseen circumstances can be made by the Bureau in consultation with the secretariat and subject to the availability of services in Geneva (e.g. meeting rooms, interpretation, document services etc.).</w:t>
      </w:r>
      <w:r w:rsidRPr="008E1D7B">
        <w:t xml:space="preserve"> </w:t>
      </w:r>
    </w:p>
    <w:p w14:paraId="0FCAD70D" w14:textId="77777777" w:rsidR="00F35A4A" w:rsidRPr="008E1D7B" w:rsidRDefault="00F35A4A" w:rsidP="00F35A4A">
      <w:pPr>
        <w:pStyle w:val="SingleTxtG"/>
      </w:pPr>
      <w:r>
        <w:t>5</w:t>
      </w:r>
      <w:r w:rsidRPr="008E1D7B">
        <w:t>.</w:t>
      </w:r>
      <w:r w:rsidRPr="008E1D7B">
        <w:tab/>
        <w:t>Committee sessions can be held outside Geneva if a host-country is identified, a host-country agreement signed and all meeting</w:t>
      </w:r>
      <w:r>
        <w:t>-</w:t>
      </w:r>
      <w:r w:rsidRPr="008E1D7B">
        <w:t>related costs including interpretation, staff travel, and security are covered for the secretariat.</w:t>
      </w:r>
    </w:p>
    <w:p w14:paraId="73A8D294" w14:textId="77777777" w:rsidR="00F35A4A" w:rsidRPr="008E1D7B" w:rsidRDefault="00F35A4A" w:rsidP="00F35A4A">
      <w:pPr>
        <w:pStyle w:val="SingleTxtG"/>
      </w:pPr>
      <w:r>
        <w:t>6</w:t>
      </w:r>
      <w:r w:rsidRPr="008E1D7B">
        <w:t>.</w:t>
      </w:r>
      <w:r w:rsidRPr="008E1D7B">
        <w:tab/>
        <w:t xml:space="preserve">The provisional agenda for the </w:t>
      </w:r>
      <w:r>
        <w:t>annual</w:t>
      </w:r>
      <w:r w:rsidRPr="008E1D7B">
        <w:t xml:space="preserve"> session</w:t>
      </w:r>
      <w:r>
        <w:t>s</w:t>
      </w:r>
      <w:r w:rsidRPr="008E1D7B">
        <w:t xml:space="preserve"> shall be drafted by the Bureau in consultation with the secretariat and shall be circulated to member States well in advance of the meeting. </w:t>
      </w:r>
    </w:p>
    <w:p w14:paraId="2EA37532" w14:textId="77777777" w:rsidR="00F35A4A" w:rsidRDefault="00F35A4A" w:rsidP="00F35A4A">
      <w:pPr>
        <w:pStyle w:val="SingleTxtG"/>
        <w:rPr>
          <w:bCs/>
        </w:rPr>
      </w:pPr>
      <w:r>
        <w:rPr>
          <w:bCs/>
        </w:rPr>
        <w:t>7</w:t>
      </w:r>
      <w:r w:rsidRPr="00C2114C">
        <w:rPr>
          <w:bCs/>
        </w:rPr>
        <w:t>.</w:t>
      </w:r>
      <w:r>
        <w:rPr>
          <w:bCs/>
        </w:rPr>
        <w:tab/>
      </w:r>
      <w:r w:rsidRPr="00C2114C">
        <w:rPr>
          <w:bCs/>
        </w:rPr>
        <w:t xml:space="preserve">The agenda of the sessions shall cover, </w:t>
      </w:r>
      <w:r w:rsidRPr="00CA303A">
        <w:rPr>
          <w:bCs/>
          <w:i/>
          <w:iCs/>
        </w:rPr>
        <w:t>inter alia</w:t>
      </w:r>
      <w:r w:rsidRPr="00C2114C">
        <w:rPr>
          <w:bCs/>
        </w:rPr>
        <w:t xml:space="preserve">, a review of programme </w:t>
      </w:r>
      <w:r>
        <w:rPr>
          <w:bCs/>
        </w:rPr>
        <w:t>performance and planning</w:t>
      </w:r>
      <w:r w:rsidRPr="00C2114C">
        <w:rPr>
          <w:bCs/>
        </w:rPr>
        <w:t xml:space="preserve">, including capacity-building </w:t>
      </w:r>
      <w:r>
        <w:rPr>
          <w:bCs/>
        </w:rPr>
        <w:t xml:space="preserve">and technical advisory </w:t>
      </w:r>
      <w:r w:rsidRPr="00C2114C">
        <w:rPr>
          <w:bCs/>
        </w:rPr>
        <w:t xml:space="preserve">activities, policy-relevant documents developed in the context of the Committee’s programme of work and deliberations on future activities. </w:t>
      </w:r>
    </w:p>
    <w:p w14:paraId="4FD3DBB3" w14:textId="77777777" w:rsidR="00F35A4A" w:rsidRDefault="00F35A4A" w:rsidP="00F35A4A">
      <w:pPr>
        <w:pStyle w:val="SingleTxtG"/>
        <w:rPr>
          <w:bCs/>
        </w:rPr>
      </w:pPr>
      <w:r>
        <w:rPr>
          <w:bCs/>
        </w:rPr>
        <w:t>8</w:t>
      </w:r>
      <w:r w:rsidRPr="00C2114C">
        <w:rPr>
          <w:bCs/>
        </w:rPr>
        <w:t>.</w:t>
      </w:r>
      <w:r>
        <w:rPr>
          <w:bCs/>
        </w:rPr>
        <w:tab/>
      </w:r>
      <w:r w:rsidRPr="00C2114C">
        <w:rPr>
          <w:bCs/>
        </w:rPr>
        <w:t xml:space="preserve">The Bureau shall choose important substantive issues within the mandate of the Committee to be addressed during the substantive segment of the sessions. </w:t>
      </w:r>
    </w:p>
    <w:p w14:paraId="0DA04862" w14:textId="70440EE7" w:rsidR="00F35A4A" w:rsidRDefault="00F35A4A" w:rsidP="00F35A4A">
      <w:pPr>
        <w:pStyle w:val="SingleTxtG"/>
        <w:rPr>
          <w:bCs/>
        </w:rPr>
      </w:pPr>
      <w:r>
        <w:rPr>
          <w:bCs/>
        </w:rPr>
        <w:t>9</w:t>
      </w:r>
      <w:r w:rsidRPr="00C2114C">
        <w:rPr>
          <w:bCs/>
        </w:rPr>
        <w:t>.</w:t>
      </w:r>
      <w:r>
        <w:rPr>
          <w:bCs/>
        </w:rPr>
        <w:tab/>
      </w:r>
      <w:r w:rsidRPr="00C2114C">
        <w:rPr>
          <w:bCs/>
        </w:rPr>
        <w:t xml:space="preserve">The Committee shall agree on its </w:t>
      </w:r>
      <w:r>
        <w:rPr>
          <w:bCs/>
        </w:rPr>
        <w:t xml:space="preserve">annual </w:t>
      </w:r>
      <w:r w:rsidRPr="00C2114C">
        <w:rPr>
          <w:bCs/>
        </w:rPr>
        <w:t>programme of work</w:t>
      </w:r>
      <w:r>
        <w:rPr>
          <w:bCs/>
        </w:rPr>
        <w:t xml:space="preserve"> to be submitted to EXCOM for approval.</w:t>
      </w:r>
    </w:p>
    <w:p w14:paraId="5EC866C6" w14:textId="1464CAED" w:rsidR="00F35A4A" w:rsidRDefault="00F35A4A" w:rsidP="00F35A4A">
      <w:pPr>
        <w:pStyle w:val="HChG"/>
      </w:pPr>
      <w:r>
        <w:tab/>
      </w:r>
      <w:r w:rsidRPr="006C4279">
        <w:t>III.</w:t>
      </w:r>
      <w:r>
        <w:tab/>
      </w:r>
      <w:r w:rsidRPr="006C4279">
        <w:t xml:space="preserve">Representation and credentials </w:t>
      </w:r>
    </w:p>
    <w:p w14:paraId="48099792" w14:textId="443B34EF" w:rsidR="00F35A4A" w:rsidRDefault="00F35A4A" w:rsidP="00F35A4A">
      <w:pPr>
        <w:pStyle w:val="SingleTxtG"/>
        <w:rPr>
          <w:bCs/>
        </w:rPr>
      </w:pPr>
      <w:r>
        <w:rPr>
          <w:bCs/>
        </w:rPr>
        <w:t>10.</w:t>
      </w:r>
      <w:r>
        <w:rPr>
          <w:bCs/>
        </w:rPr>
        <w:tab/>
      </w:r>
      <w:r w:rsidRPr="00C2114C">
        <w:rPr>
          <w:bCs/>
        </w:rPr>
        <w:t xml:space="preserve">The </w:t>
      </w:r>
      <w:r>
        <w:rPr>
          <w:bCs/>
        </w:rPr>
        <w:t>t</w:t>
      </w:r>
      <w:r w:rsidRPr="00C2114C">
        <w:rPr>
          <w:bCs/>
        </w:rPr>
        <w:t xml:space="preserve">erms of </w:t>
      </w:r>
      <w:r>
        <w:rPr>
          <w:bCs/>
        </w:rPr>
        <w:t>r</w:t>
      </w:r>
      <w:r w:rsidRPr="00C2114C">
        <w:rPr>
          <w:bCs/>
        </w:rPr>
        <w:t xml:space="preserve">eference and </w:t>
      </w:r>
      <w:r>
        <w:rPr>
          <w:bCs/>
        </w:rPr>
        <w:t>r</w:t>
      </w:r>
      <w:r w:rsidRPr="00C2114C">
        <w:rPr>
          <w:bCs/>
        </w:rPr>
        <w:t xml:space="preserve">ules of </w:t>
      </w:r>
      <w:r>
        <w:rPr>
          <w:bCs/>
        </w:rPr>
        <w:t>p</w:t>
      </w:r>
      <w:r w:rsidRPr="00C2114C">
        <w:rPr>
          <w:bCs/>
        </w:rPr>
        <w:t>rocedure of the Economic Commission for Europe (E/ECE/778/Rev.5</w:t>
      </w:r>
      <w:r w:rsidR="00D86751">
        <w:rPr>
          <w:rStyle w:val="FootnoteReference"/>
          <w:bCs/>
        </w:rPr>
        <w:footnoteReference w:id="3"/>
      </w:r>
      <w:r w:rsidRPr="00C2114C">
        <w:rPr>
          <w:bCs/>
        </w:rPr>
        <w:t xml:space="preserve">) and the Guidelines on </w:t>
      </w:r>
      <w:r>
        <w:rPr>
          <w:bCs/>
        </w:rPr>
        <w:t>p</w:t>
      </w:r>
      <w:r w:rsidRPr="00C2114C">
        <w:rPr>
          <w:bCs/>
        </w:rPr>
        <w:t xml:space="preserve">rocedures and </w:t>
      </w:r>
      <w:r>
        <w:rPr>
          <w:bCs/>
        </w:rPr>
        <w:t>p</w:t>
      </w:r>
      <w:r w:rsidRPr="00C2114C">
        <w:rPr>
          <w:bCs/>
        </w:rPr>
        <w:t xml:space="preserve">ractices for ECE </w:t>
      </w:r>
      <w:r>
        <w:rPr>
          <w:bCs/>
        </w:rPr>
        <w:t>b</w:t>
      </w:r>
      <w:r w:rsidRPr="00C2114C">
        <w:rPr>
          <w:bCs/>
        </w:rPr>
        <w:t>odies adopted by the Economic Commission for Europe</w:t>
      </w:r>
      <w:r w:rsidRPr="00905503">
        <w:rPr>
          <w:bCs/>
          <w:vertAlign w:val="superscript"/>
        </w:rPr>
        <w:t>1</w:t>
      </w:r>
      <w:r w:rsidRPr="00C2114C">
        <w:rPr>
          <w:bCs/>
        </w:rPr>
        <w:t xml:space="preserve"> shall appl</w:t>
      </w:r>
      <w:r>
        <w:rPr>
          <w:bCs/>
        </w:rPr>
        <w:t>y.</w:t>
      </w:r>
      <w:r w:rsidRPr="00C2114C">
        <w:rPr>
          <w:bCs/>
        </w:rPr>
        <w:t xml:space="preserve">  </w:t>
      </w:r>
    </w:p>
    <w:p w14:paraId="3308A145" w14:textId="77777777" w:rsidR="00F35A4A" w:rsidRDefault="00F35A4A" w:rsidP="00F35A4A">
      <w:pPr>
        <w:pStyle w:val="SingleTxtG"/>
        <w:rPr>
          <w:bCs/>
        </w:rPr>
      </w:pPr>
      <w:r>
        <w:rPr>
          <w:bCs/>
        </w:rPr>
        <w:lastRenderedPageBreak/>
        <w:t>11.</w:t>
      </w:r>
      <w:r>
        <w:rPr>
          <w:bCs/>
        </w:rPr>
        <w:tab/>
      </w:r>
      <w:r w:rsidRPr="00C2114C">
        <w:rPr>
          <w:bCs/>
        </w:rPr>
        <w:t xml:space="preserve">Representatives of the business and academic communities </w:t>
      </w:r>
      <w:r>
        <w:rPr>
          <w:bCs/>
        </w:rPr>
        <w:t>and other stakeholders are encouraged to</w:t>
      </w:r>
      <w:r w:rsidRPr="00C2114C">
        <w:rPr>
          <w:bCs/>
        </w:rPr>
        <w:t xml:space="preserve"> participate in the sessions of the Committee at the invitation of the secretariat.   </w:t>
      </w:r>
    </w:p>
    <w:p w14:paraId="72C6F26B" w14:textId="4E3146B2" w:rsidR="00F35A4A" w:rsidRDefault="00F35A4A" w:rsidP="00F35A4A">
      <w:pPr>
        <w:pStyle w:val="HChG"/>
      </w:pPr>
      <w:r>
        <w:tab/>
      </w:r>
      <w:r w:rsidRPr="006C4279">
        <w:t>IV.</w:t>
      </w:r>
      <w:r>
        <w:tab/>
      </w:r>
      <w:r w:rsidRPr="006C4279">
        <w:t>Officers</w:t>
      </w:r>
    </w:p>
    <w:p w14:paraId="396E9511" w14:textId="77777777" w:rsidR="00F35A4A" w:rsidRPr="008C63DE" w:rsidRDefault="00F35A4A" w:rsidP="00F35A4A">
      <w:pPr>
        <w:pStyle w:val="SingleTxtG"/>
        <w:rPr>
          <w:bCs/>
        </w:rPr>
      </w:pPr>
      <w:r>
        <w:rPr>
          <w:bCs/>
        </w:rPr>
        <w:t>12</w:t>
      </w:r>
      <w:r w:rsidRPr="008C63DE">
        <w:rPr>
          <w:bCs/>
        </w:rPr>
        <w:t>.</w:t>
      </w:r>
      <w:r w:rsidRPr="008C63DE">
        <w:rPr>
          <w:bCs/>
        </w:rPr>
        <w:tab/>
        <w:t>The Committee shall elect one Chair</w:t>
      </w:r>
      <w:r>
        <w:rPr>
          <w:bCs/>
        </w:rPr>
        <w:t xml:space="preserve"> </w:t>
      </w:r>
      <w:r w:rsidRPr="008C63DE">
        <w:rPr>
          <w:bCs/>
        </w:rPr>
        <w:t>and as many Vice-Chair</w:t>
      </w:r>
      <w:r>
        <w:rPr>
          <w:bCs/>
        </w:rPr>
        <w:t>s</w:t>
      </w:r>
      <w:r w:rsidRPr="008C63DE">
        <w:rPr>
          <w:bCs/>
        </w:rPr>
        <w:t xml:space="preserve"> as </w:t>
      </w:r>
      <w:r>
        <w:rPr>
          <w:bCs/>
        </w:rPr>
        <w:t>it</w:t>
      </w:r>
      <w:r w:rsidRPr="008C63DE">
        <w:rPr>
          <w:bCs/>
        </w:rPr>
        <w:t xml:space="preserve"> deems appropriate. </w:t>
      </w:r>
      <w:r>
        <w:rPr>
          <w:bCs/>
        </w:rPr>
        <w:t xml:space="preserve">The Chairs of the subsidiary bodies are Vice-Chairs of the Committee </w:t>
      </w:r>
      <w:r w:rsidRPr="00B93020">
        <w:rPr>
          <w:bCs/>
          <w:i/>
          <w:iCs/>
        </w:rPr>
        <w:t>ex officio</w:t>
      </w:r>
      <w:r w:rsidRPr="001A4ECA">
        <w:t xml:space="preserve"> </w:t>
      </w:r>
      <w:r>
        <w:t>and have the same status as elected Vice-Chairs</w:t>
      </w:r>
      <w:r>
        <w:rPr>
          <w:rStyle w:val="FootnoteReference"/>
        </w:rPr>
        <w:footnoteReference w:id="4"/>
      </w:r>
      <w:r>
        <w:rPr>
          <w:bCs/>
        </w:rPr>
        <w:t>.</w:t>
      </w:r>
    </w:p>
    <w:p w14:paraId="62596FDC" w14:textId="77777777" w:rsidR="00F35A4A" w:rsidRPr="008C63DE" w:rsidRDefault="00F35A4A" w:rsidP="00F35A4A">
      <w:pPr>
        <w:pStyle w:val="SingleTxtG"/>
        <w:rPr>
          <w:bCs/>
        </w:rPr>
      </w:pPr>
      <w:r>
        <w:rPr>
          <w:bCs/>
        </w:rPr>
        <w:t>13</w:t>
      </w:r>
      <w:r w:rsidRPr="008C63DE">
        <w:rPr>
          <w:bCs/>
        </w:rPr>
        <w:t>.</w:t>
      </w:r>
      <w:r w:rsidRPr="008C63DE">
        <w:rPr>
          <w:bCs/>
        </w:rPr>
        <w:tab/>
        <w:t xml:space="preserve">The term of office of a Bureau member shall be two years. Bureau members, including the Chair, can be re-elected for additional terms. Efforts shall be made to ensure </w:t>
      </w:r>
      <w:r>
        <w:rPr>
          <w:bCs/>
        </w:rPr>
        <w:t xml:space="preserve">both turnover and </w:t>
      </w:r>
      <w:r w:rsidRPr="008C63DE">
        <w:rPr>
          <w:bCs/>
        </w:rPr>
        <w:t>continuity within the Bureau. Not all officers need to be elected at the same time. The terms of office of elected officials will begin at the end of the session in which they are elected</w:t>
      </w:r>
      <w:r>
        <w:rPr>
          <w:bCs/>
        </w:rPr>
        <w:t xml:space="preserve"> to </w:t>
      </w:r>
      <w:r w:rsidRPr="008C63DE">
        <w:rPr>
          <w:bCs/>
        </w:rPr>
        <w:t xml:space="preserve">allow </w:t>
      </w:r>
      <w:r>
        <w:rPr>
          <w:bCs/>
        </w:rPr>
        <w:t xml:space="preserve">Bureaux </w:t>
      </w:r>
      <w:r w:rsidRPr="008C63DE">
        <w:rPr>
          <w:bCs/>
        </w:rPr>
        <w:t>to preside over the session</w:t>
      </w:r>
      <w:r>
        <w:rPr>
          <w:bCs/>
        </w:rPr>
        <w:t>s</w:t>
      </w:r>
      <w:r w:rsidRPr="008C63DE">
        <w:rPr>
          <w:bCs/>
        </w:rPr>
        <w:t xml:space="preserve"> they have planned. </w:t>
      </w:r>
    </w:p>
    <w:p w14:paraId="1C253E17" w14:textId="77777777" w:rsidR="00F35A4A" w:rsidRDefault="00F35A4A" w:rsidP="00F35A4A">
      <w:pPr>
        <w:pStyle w:val="SingleTxtG"/>
        <w:rPr>
          <w:bCs/>
        </w:rPr>
      </w:pPr>
      <w:r>
        <w:rPr>
          <w:bCs/>
        </w:rPr>
        <w:t>14</w:t>
      </w:r>
      <w:r w:rsidRPr="008C63DE">
        <w:rPr>
          <w:bCs/>
        </w:rPr>
        <w:t>.</w:t>
      </w:r>
      <w:r w:rsidRPr="008C63DE">
        <w:rPr>
          <w:bCs/>
        </w:rPr>
        <w:tab/>
        <w:t xml:space="preserve">Candidates for the Bureau of the Committee shall be nominated by ECE member States based on the person’s expertise, professionalism, and expected support from </w:t>
      </w:r>
      <w:r>
        <w:rPr>
          <w:bCs/>
        </w:rPr>
        <w:t xml:space="preserve">both </w:t>
      </w:r>
      <w:r w:rsidRPr="008C63DE">
        <w:rPr>
          <w:bCs/>
        </w:rPr>
        <w:t xml:space="preserve">the </w:t>
      </w:r>
      <w:r>
        <w:rPr>
          <w:bCs/>
        </w:rPr>
        <w:t>Committee and the person’s institution(s)</w:t>
      </w:r>
      <w:r w:rsidRPr="008C63DE">
        <w:rPr>
          <w:bCs/>
        </w:rPr>
        <w:t xml:space="preserve">. </w:t>
      </w:r>
      <w:r>
        <w:rPr>
          <w:bCs/>
        </w:rPr>
        <w:t xml:space="preserve">The expectation is that the Vice Chairs will </w:t>
      </w:r>
      <w:r w:rsidRPr="008C63DE">
        <w:rPr>
          <w:bCs/>
        </w:rPr>
        <w:t xml:space="preserve">lead </w:t>
      </w:r>
      <w:r>
        <w:rPr>
          <w:bCs/>
        </w:rPr>
        <w:t xml:space="preserve">one or more </w:t>
      </w:r>
      <w:r w:rsidRPr="008C63DE">
        <w:rPr>
          <w:bCs/>
        </w:rPr>
        <w:t>activit</w:t>
      </w:r>
      <w:r>
        <w:rPr>
          <w:bCs/>
        </w:rPr>
        <w:t>ies of the Sustainable Energy Subprogramme, thereb</w:t>
      </w:r>
      <w:r w:rsidRPr="008C63DE">
        <w:rPr>
          <w:bCs/>
        </w:rPr>
        <w:t xml:space="preserve">y furthering implementation of the work plan or outreach of </w:t>
      </w:r>
      <w:r>
        <w:rPr>
          <w:bCs/>
        </w:rPr>
        <w:t xml:space="preserve">a </w:t>
      </w:r>
      <w:r w:rsidRPr="008C63DE">
        <w:rPr>
          <w:bCs/>
        </w:rPr>
        <w:t>subsidiary body</w:t>
      </w:r>
      <w:r>
        <w:rPr>
          <w:bCs/>
        </w:rPr>
        <w:t>.</w:t>
      </w:r>
      <w:r w:rsidRPr="008C63DE">
        <w:rPr>
          <w:bCs/>
        </w:rPr>
        <w:t xml:space="preserve"> Candidates should be supported financially by the nominating country </w:t>
      </w:r>
      <w:r>
        <w:rPr>
          <w:bCs/>
        </w:rPr>
        <w:t xml:space="preserve">or institution, </w:t>
      </w:r>
      <w:r w:rsidRPr="008C63DE">
        <w:rPr>
          <w:bCs/>
        </w:rPr>
        <w:t>should attend the annual Committee session</w:t>
      </w:r>
      <w:r>
        <w:rPr>
          <w:bCs/>
        </w:rPr>
        <w:t>, and should participate in regular meetings of the Bureau</w:t>
      </w:r>
      <w:r w:rsidRPr="008C63DE">
        <w:rPr>
          <w:bCs/>
        </w:rPr>
        <w:t xml:space="preserve">. There is an expectation that Bureau members </w:t>
      </w:r>
      <w:r>
        <w:rPr>
          <w:bCs/>
        </w:rPr>
        <w:t xml:space="preserve">will </w:t>
      </w:r>
      <w:r w:rsidRPr="008C63DE">
        <w:rPr>
          <w:bCs/>
        </w:rPr>
        <w:t>participate in Bureau calls and meetings on a regular basis.</w:t>
      </w:r>
    </w:p>
    <w:p w14:paraId="5BCBB2CC" w14:textId="77777777" w:rsidR="00F35A4A" w:rsidRDefault="00F35A4A" w:rsidP="00F35A4A">
      <w:pPr>
        <w:pStyle w:val="SingleTxtG"/>
        <w:rPr>
          <w:bCs/>
        </w:rPr>
      </w:pPr>
      <w:r>
        <w:rPr>
          <w:bCs/>
        </w:rPr>
        <w:t>15.</w:t>
      </w:r>
      <w:r>
        <w:rPr>
          <w:bCs/>
        </w:rPr>
        <w:tab/>
      </w:r>
      <w:r w:rsidRPr="008C63DE">
        <w:rPr>
          <w:bCs/>
        </w:rPr>
        <w:t xml:space="preserve">Candidates for the Bureaux of the subsidiary bodies shall be nominated by ECE member States where possible. The Bureaux of the subsidiary bodies can nominate </w:t>
      </w:r>
      <w:r>
        <w:rPr>
          <w:bCs/>
        </w:rPr>
        <w:t xml:space="preserve">additional </w:t>
      </w:r>
      <w:r w:rsidRPr="008C63DE">
        <w:rPr>
          <w:bCs/>
        </w:rPr>
        <w:t>Vice-Chairs from the expert community based on the</w:t>
      </w:r>
      <w:r>
        <w:rPr>
          <w:bCs/>
        </w:rPr>
        <w:t>ir</w:t>
      </w:r>
      <w:r w:rsidRPr="008C63DE">
        <w:rPr>
          <w:bCs/>
        </w:rPr>
        <w:t xml:space="preserve"> expertise, professionalism</w:t>
      </w:r>
      <w:r>
        <w:rPr>
          <w:bCs/>
        </w:rPr>
        <w:t>, and support</w:t>
      </w:r>
      <w:r w:rsidRPr="008C63DE">
        <w:rPr>
          <w:bCs/>
        </w:rPr>
        <w:t xml:space="preserve"> as appropriate. </w:t>
      </w:r>
    </w:p>
    <w:p w14:paraId="30973006" w14:textId="77777777" w:rsidR="00F35A4A" w:rsidRDefault="00F35A4A" w:rsidP="00F35A4A">
      <w:pPr>
        <w:pStyle w:val="SingleTxtG"/>
        <w:rPr>
          <w:bCs/>
        </w:rPr>
      </w:pPr>
      <w:r>
        <w:rPr>
          <w:bCs/>
        </w:rPr>
        <w:t>16</w:t>
      </w:r>
      <w:r w:rsidRPr="00C2114C">
        <w:rPr>
          <w:bCs/>
        </w:rPr>
        <w:t>.</w:t>
      </w:r>
      <w:r>
        <w:rPr>
          <w:bCs/>
        </w:rPr>
        <w:tab/>
        <w:t>E</w:t>
      </w:r>
      <w:r w:rsidRPr="00C2114C">
        <w:rPr>
          <w:bCs/>
        </w:rPr>
        <w:t xml:space="preserve">lections </w:t>
      </w:r>
      <w:r>
        <w:rPr>
          <w:bCs/>
        </w:rPr>
        <w:t xml:space="preserve">to </w:t>
      </w:r>
      <w:r w:rsidRPr="00C2114C">
        <w:rPr>
          <w:bCs/>
        </w:rPr>
        <w:t>Bureau</w:t>
      </w:r>
      <w:r>
        <w:rPr>
          <w:bCs/>
        </w:rPr>
        <w:t>x</w:t>
      </w:r>
      <w:r w:rsidRPr="00C2114C">
        <w:rPr>
          <w:bCs/>
        </w:rPr>
        <w:t xml:space="preserve"> will take place in accordance with the Guidelines on </w:t>
      </w:r>
      <w:r>
        <w:rPr>
          <w:bCs/>
        </w:rPr>
        <w:t>p</w:t>
      </w:r>
      <w:r w:rsidRPr="00C2114C">
        <w:rPr>
          <w:bCs/>
        </w:rPr>
        <w:t xml:space="preserve">rocedures and </w:t>
      </w:r>
      <w:r>
        <w:rPr>
          <w:bCs/>
        </w:rPr>
        <w:t>p</w:t>
      </w:r>
      <w:r w:rsidRPr="00C2114C">
        <w:rPr>
          <w:bCs/>
        </w:rPr>
        <w:t>ractices for ECE bodies adopted by the Economic Commission for Europe</w:t>
      </w:r>
      <w:r w:rsidRPr="00905503">
        <w:rPr>
          <w:bCs/>
          <w:vertAlign w:val="superscript"/>
        </w:rPr>
        <w:t>1</w:t>
      </w:r>
      <w:r w:rsidRPr="00C2114C">
        <w:rPr>
          <w:bCs/>
        </w:rPr>
        <w:t xml:space="preserve">. </w:t>
      </w:r>
    </w:p>
    <w:p w14:paraId="331A2FF2" w14:textId="77777777" w:rsidR="00F35A4A" w:rsidRDefault="00F35A4A" w:rsidP="00F35A4A">
      <w:pPr>
        <w:pStyle w:val="SingleTxtG"/>
        <w:rPr>
          <w:bCs/>
        </w:rPr>
      </w:pPr>
      <w:r>
        <w:rPr>
          <w:bCs/>
        </w:rPr>
        <w:t>17</w:t>
      </w:r>
      <w:r w:rsidRPr="00C2114C">
        <w:rPr>
          <w:bCs/>
        </w:rPr>
        <w:t>.</w:t>
      </w:r>
      <w:r>
        <w:rPr>
          <w:bCs/>
        </w:rPr>
        <w:tab/>
      </w:r>
      <w:r w:rsidRPr="00C2114C">
        <w:rPr>
          <w:bCs/>
        </w:rPr>
        <w:t>If the Chair is absent from any meeting or part thereof, a Vice-</w:t>
      </w:r>
      <w:r>
        <w:rPr>
          <w:bCs/>
        </w:rPr>
        <w:t>Chair</w:t>
      </w:r>
      <w:r w:rsidRPr="00C2114C">
        <w:rPr>
          <w:bCs/>
        </w:rPr>
        <w:t xml:space="preserve"> shall perform the functions of the Chair. If no Vice-</w:t>
      </w:r>
      <w:r>
        <w:rPr>
          <w:bCs/>
        </w:rPr>
        <w:t>Chair</w:t>
      </w:r>
      <w:r w:rsidRPr="00C2114C">
        <w:rPr>
          <w:bCs/>
        </w:rPr>
        <w:t xml:space="preserve"> is present, the Committee shall elect an interim </w:t>
      </w:r>
      <w:r>
        <w:rPr>
          <w:bCs/>
        </w:rPr>
        <w:t>Chair</w:t>
      </w:r>
      <w:r w:rsidRPr="00C2114C">
        <w:rPr>
          <w:bCs/>
        </w:rPr>
        <w:t xml:space="preserve"> for that meeting or that part of the meeting. </w:t>
      </w:r>
    </w:p>
    <w:p w14:paraId="0EAE219F" w14:textId="77777777" w:rsidR="00F35A4A" w:rsidRPr="00083837" w:rsidRDefault="00F35A4A" w:rsidP="00F35A4A">
      <w:pPr>
        <w:pStyle w:val="SingleTxtG"/>
        <w:rPr>
          <w:bCs/>
        </w:rPr>
      </w:pPr>
      <w:r>
        <w:rPr>
          <w:bCs/>
        </w:rPr>
        <w:t>18</w:t>
      </w:r>
      <w:r w:rsidRPr="00083837">
        <w:rPr>
          <w:bCs/>
        </w:rPr>
        <w:t>.</w:t>
      </w:r>
      <w:r w:rsidRPr="00083837">
        <w:rPr>
          <w:bCs/>
        </w:rPr>
        <w:tab/>
        <w:t xml:space="preserve">If the </w:t>
      </w:r>
      <w:r>
        <w:rPr>
          <w:bCs/>
        </w:rPr>
        <w:t>Chair</w:t>
      </w:r>
      <w:r w:rsidRPr="00083837">
        <w:rPr>
          <w:bCs/>
        </w:rPr>
        <w:t xml:space="preserve"> can no longer perform the functions of the office, the Bureau of the Committee shall designate one of the Vice-</w:t>
      </w:r>
      <w:r>
        <w:rPr>
          <w:bCs/>
        </w:rPr>
        <w:t>Chair</w:t>
      </w:r>
      <w:r w:rsidRPr="00083837">
        <w:rPr>
          <w:bCs/>
        </w:rPr>
        <w:t xml:space="preserve">s as interim </w:t>
      </w:r>
      <w:r>
        <w:rPr>
          <w:bCs/>
        </w:rPr>
        <w:t>Chair</w:t>
      </w:r>
      <w:r w:rsidRPr="00083837">
        <w:rPr>
          <w:bCs/>
        </w:rPr>
        <w:t xml:space="preserve"> to perform those functions, pending election of a new </w:t>
      </w:r>
      <w:r>
        <w:rPr>
          <w:bCs/>
        </w:rPr>
        <w:t>Chair</w:t>
      </w:r>
      <w:r w:rsidRPr="00083837">
        <w:rPr>
          <w:bCs/>
        </w:rPr>
        <w:t xml:space="preserve">. The interim </w:t>
      </w:r>
      <w:r>
        <w:rPr>
          <w:bCs/>
        </w:rPr>
        <w:t>Chair</w:t>
      </w:r>
      <w:r w:rsidRPr="00083837">
        <w:rPr>
          <w:bCs/>
        </w:rPr>
        <w:t xml:space="preserve"> shall have the same powers and duties as the </w:t>
      </w:r>
      <w:r>
        <w:rPr>
          <w:bCs/>
        </w:rPr>
        <w:t>Chair</w:t>
      </w:r>
      <w:r w:rsidRPr="00083837">
        <w:rPr>
          <w:bCs/>
        </w:rPr>
        <w:t xml:space="preserve">. </w:t>
      </w:r>
    </w:p>
    <w:p w14:paraId="494C87E9" w14:textId="77777777" w:rsidR="00F35A4A" w:rsidRPr="00083837" w:rsidRDefault="00F35A4A" w:rsidP="00F35A4A">
      <w:pPr>
        <w:pStyle w:val="SingleTxtG"/>
        <w:rPr>
          <w:bCs/>
        </w:rPr>
      </w:pPr>
      <w:r>
        <w:rPr>
          <w:bCs/>
        </w:rPr>
        <w:t>19</w:t>
      </w:r>
      <w:r w:rsidRPr="00083837">
        <w:rPr>
          <w:bCs/>
        </w:rPr>
        <w:t>.</w:t>
      </w:r>
      <w:r w:rsidRPr="00083837">
        <w:rPr>
          <w:bCs/>
        </w:rPr>
        <w:tab/>
        <w:t xml:space="preserve">The </w:t>
      </w:r>
      <w:r>
        <w:rPr>
          <w:bCs/>
        </w:rPr>
        <w:t>Chair</w:t>
      </w:r>
      <w:r w:rsidRPr="00083837">
        <w:rPr>
          <w:bCs/>
        </w:rPr>
        <w:t xml:space="preserve"> and Vice-</w:t>
      </w:r>
      <w:r>
        <w:rPr>
          <w:bCs/>
        </w:rPr>
        <w:t>Chair</w:t>
      </w:r>
      <w:r w:rsidRPr="00083837">
        <w:rPr>
          <w:bCs/>
        </w:rPr>
        <w:t xml:space="preserve">s serve collectively in the interest of all member States and not as official representatives of their Governments.  </w:t>
      </w:r>
    </w:p>
    <w:p w14:paraId="1806C37F" w14:textId="77777777" w:rsidR="00F35A4A" w:rsidRPr="00083837" w:rsidRDefault="00F35A4A" w:rsidP="00F35A4A">
      <w:pPr>
        <w:pStyle w:val="SingleTxtG"/>
        <w:rPr>
          <w:bCs/>
        </w:rPr>
      </w:pPr>
      <w:r>
        <w:rPr>
          <w:bCs/>
        </w:rPr>
        <w:t>20</w:t>
      </w:r>
      <w:r w:rsidRPr="00083837">
        <w:rPr>
          <w:bCs/>
        </w:rPr>
        <w:t>.</w:t>
      </w:r>
      <w:r w:rsidRPr="00083837">
        <w:rPr>
          <w:bCs/>
        </w:rPr>
        <w:tab/>
      </w:r>
      <w:r>
        <w:rPr>
          <w:bCs/>
        </w:rPr>
        <w:t>The Bureau may invite o</w:t>
      </w:r>
      <w:r w:rsidRPr="00083837">
        <w:rPr>
          <w:bCs/>
        </w:rPr>
        <w:t xml:space="preserve">bservers </w:t>
      </w:r>
      <w:r>
        <w:rPr>
          <w:bCs/>
        </w:rPr>
        <w:t xml:space="preserve">to meetings or calls of the </w:t>
      </w:r>
      <w:r w:rsidRPr="00083837">
        <w:rPr>
          <w:bCs/>
        </w:rPr>
        <w:t xml:space="preserve">Bureau </w:t>
      </w:r>
      <w:r>
        <w:rPr>
          <w:bCs/>
        </w:rPr>
        <w:t>as appropriate.</w:t>
      </w:r>
    </w:p>
    <w:p w14:paraId="3E2262FF" w14:textId="7A99B8B8" w:rsidR="00F35A4A" w:rsidRDefault="00F35A4A" w:rsidP="00F35A4A">
      <w:pPr>
        <w:pStyle w:val="HChG"/>
      </w:pPr>
      <w:r>
        <w:tab/>
      </w:r>
      <w:r w:rsidRPr="00083837">
        <w:t>V.</w:t>
      </w:r>
      <w:r w:rsidRPr="00083837">
        <w:tab/>
        <w:t xml:space="preserve">Functions of the Bureau </w:t>
      </w:r>
    </w:p>
    <w:p w14:paraId="04221464" w14:textId="00EF1072" w:rsidR="00F35A4A" w:rsidRPr="00083837" w:rsidRDefault="00F35A4A" w:rsidP="00F35A4A">
      <w:pPr>
        <w:pStyle w:val="SingleTxtG"/>
        <w:rPr>
          <w:bCs/>
        </w:rPr>
      </w:pPr>
      <w:r>
        <w:rPr>
          <w:bCs/>
        </w:rPr>
        <w:t>21</w:t>
      </w:r>
      <w:r w:rsidRPr="00083837">
        <w:rPr>
          <w:bCs/>
        </w:rPr>
        <w:t>.</w:t>
      </w:r>
      <w:r w:rsidRPr="00083837">
        <w:rPr>
          <w:bCs/>
        </w:rPr>
        <w:tab/>
        <w:t>The key functions of the Bureau are detailed in the Guidelines on procedures and practices or ECE bodies adopted by the Economic Commission for Europe</w:t>
      </w:r>
      <w:r>
        <w:rPr>
          <w:bCs/>
        </w:rPr>
        <w:t>.</w:t>
      </w:r>
      <w:r w:rsidRPr="00083837">
        <w:rPr>
          <w:bCs/>
          <w:vertAlign w:val="superscript"/>
        </w:rPr>
        <w:t>1</w:t>
      </w:r>
      <w:r w:rsidRPr="00083837">
        <w:rPr>
          <w:bCs/>
        </w:rPr>
        <w:t xml:space="preserve"> The Bureau must approve programme</w:t>
      </w:r>
      <w:r>
        <w:rPr>
          <w:bCs/>
        </w:rPr>
        <w:t>s</w:t>
      </w:r>
      <w:r w:rsidRPr="00083837">
        <w:rPr>
          <w:bCs/>
        </w:rPr>
        <w:t xml:space="preserve"> of work</w:t>
      </w:r>
      <w:r>
        <w:rPr>
          <w:bCs/>
        </w:rPr>
        <w:t xml:space="preserve"> and </w:t>
      </w:r>
      <w:r w:rsidRPr="00083837">
        <w:rPr>
          <w:bCs/>
        </w:rPr>
        <w:t>draft agenda</w:t>
      </w:r>
      <w:r>
        <w:rPr>
          <w:bCs/>
        </w:rPr>
        <w:t>s</w:t>
      </w:r>
      <w:r w:rsidRPr="00083837">
        <w:rPr>
          <w:bCs/>
        </w:rPr>
        <w:t xml:space="preserve"> for Committee </w:t>
      </w:r>
      <w:r>
        <w:rPr>
          <w:bCs/>
        </w:rPr>
        <w:t xml:space="preserve">Sessions prior to their </w:t>
      </w:r>
      <w:r w:rsidRPr="00083837">
        <w:rPr>
          <w:bCs/>
        </w:rPr>
        <w:t>submission to member States.</w:t>
      </w:r>
    </w:p>
    <w:p w14:paraId="2A74E0EC" w14:textId="77777777" w:rsidR="00F35A4A" w:rsidRPr="00083837" w:rsidRDefault="00F35A4A" w:rsidP="00F35A4A">
      <w:pPr>
        <w:pStyle w:val="SingleTxtG"/>
        <w:rPr>
          <w:lang w:eastAsia="en-GB"/>
        </w:rPr>
      </w:pPr>
      <w:r>
        <w:rPr>
          <w:bCs/>
        </w:rPr>
        <w:t>22</w:t>
      </w:r>
      <w:r w:rsidRPr="00083837">
        <w:rPr>
          <w:bCs/>
        </w:rPr>
        <w:t>.</w:t>
      </w:r>
      <w:r w:rsidRPr="00083837">
        <w:rPr>
          <w:bCs/>
        </w:rPr>
        <w:tab/>
        <w:t xml:space="preserve">At the beginning of its term, the new Bureau shall decide on frequency and means of </w:t>
      </w:r>
      <w:r>
        <w:rPr>
          <w:bCs/>
        </w:rPr>
        <w:t xml:space="preserve">its </w:t>
      </w:r>
      <w:r w:rsidRPr="00083837">
        <w:rPr>
          <w:bCs/>
        </w:rPr>
        <w:t>interaction</w:t>
      </w:r>
      <w:r>
        <w:rPr>
          <w:bCs/>
        </w:rPr>
        <w:t>s</w:t>
      </w:r>
      <w:r w:rsidRPr="00083837">
        <w:rPr>
          <w:bCs/>
        </w:rPr>
        <w:t xml:space="preserve"> (calls, in-person meetings etc.), supported by the secretariat. </w:t>
      </w:r>
      <w:r>
        <w:rPr>
          <w:bCs/>
        </w:rPr>
        <w:t>It is expected that m</w:t>
      </w:r>
      <w:r w:rsidRPr="00083837">
        <w:rPr>
          <w:lang w:eastAsia="en-GB"/>
        </w:rPr>
        <w:t xml:space="preserve">eetings of the Bureau will be </w:t>
      </w:r>
      <w:r>
        <w:rPr>
          <w:lang w:eastAsia="en-GB"/>
        </w:rPr>
        <w:t>convened at least 6 times throughout each</w:t>
      </w:r>
      <w:r w:rsidRPr="00083837">
        <w:rPr>
          <w:lang w:eastAsia="en-GB"/>
        </w:rPr>
        <w:t xml:space="preserve"> year</w:t>
      </w:r>
      <w:r>
        <w:rPr>
          <w:lang w:eastAsia="en-GB"/>
        </w:rPr>
        <w:t xml:space="preserve">, notably </w:t>
      </w:r>
      <w:r>
        <w:rPr>
          <w:lang w:eastAsia="en-GB"/>
        </w:rPr>
        <w:lastRenderedPageBreak/>
        <w:t>in advance of the deadline for document submission and for final preparations for the Committee meeting</w:t>
      </w:r>
      <w:r w:rsidRPr="00083837">
        <w:rPr>
          <w:lang w:eastAsia="en-GB"/>
        </w:rPr>
        <w:t>. Additional Bureau meetings may be convened as the need arises.</w:t>
      </w:r>
    </w:p>
    <w:p w14:paraId="60E59819" w14:textId="77777777" w:rsidR="00F35A4A" w:rsidRPr="00AA5194" w:rsidRDefault="00F35A4A" w:rsidP="00F35A4A">
      <w:pPr>
        <w:pStyle w:val="SingleTxtG"/>
        <w:rPr>
          <w:lang w:eastAsia="en-GB"/>
        </w:rPr>
      </w:pPr>
      <w:r>
        <w:rPr>
          <w:lang w:eastAsia="en-GB"/>
        </w:rPr>
        <w:t>23</w:t>
      </w:r>
      <w:r w:rsidRPr="00083837">
        <w:rPr>
          <w:lang w:eastAsia="en-GB"/>
        </w:rPr>
        <w:t>.</w:t>
      </w:r>
      <w:r w:rsidRPr="00083837">
        <w:rPr>
          <w:lang w:eastAsia="en-GB"/>
        </w:rPr>
        <w:tab/>
      </w:r>
      <w:r w:rsidRPr="00AA5194">
        <w:rPr>
          <w:lang w:eastAsia="en-GB"/>
        </w:rPr>
        <w:t xml:space="preserve">Documentation for Bureau meetings will be determined by the Bureau members in each case. As a rule, the secretariat should make all </w:t>
      </w:r>
      <w:r w:rsidRPr="00524288">
        <w:rPr>
          <w:lang w:eastAsia="en-GB"/>
        </w:rPr>
        <w:t>proposals for resolutions with the associated documents</w:t>
      </w:r>
      <w:r>
        <w:rPr>
          <w:lang w:eastAsia="en-GB"/>
        </w:rPr>
        <w:t xml:space="preserve"> (including bureau syntheses)</w:t>
      </w:r>
      <w:r w:rsidRPr="00524288">
        <w:rPr>
          <w:lang w:eastAsia="en-GB"/>
        </w:rPr>
        <w:t xml:space="preserve"> available to all Bureau members at least two weeks </w:t>
      </w:r>
      <w:r w:rsidRPr="00AA5194">
        <w:rPr>
          <w:lang w:eastAsia="en-GB"/>
        </w:rPr>
        <w:t xml:space="preserve">prior to a meeting. </w:t>
      </w:r>
      <w:r>
        <w:rPr>
          <w:lang w:eastAsia="en-GB"/>
        </w:rPr>
        <w:t xml:space="preserve">The Secretariat shall prepare minutes of the meetings in consultation with the Chair within 14 days, to be approved in the subsequent bureau meeting.  </w:t>
      </w:r>
    </w:p>
    <w:p w14:paraId="6308D32B" w14:textId="0BEC2C3A" w:rsidR="00F35A4A" w:rsidRDefault="00F35A4A" w:rsidP="00F35A4A">
      <w:pPr>
        <w:pStyle w:val="SingleTxtG"/>
        <w:rPr>
          <w:lang w:eastAsia="en-GB"/>
        </w:rPr>
      </w:pPr>
      <w:r>
        <w:rPr>
          <w:lang w:eastAsia="en-GB"/>
        </w:rPr>
        <w:t>24</w:t>
      </w:r>
      <w:r w:rsidRPr="00AA5194">
        <w:rPr>
          <w:lang w:eastAsia="en-GB"/>
        </w:rPr>
        <w:t>.</w:t>
      </w:r>
      <w:r w:rsidRPr="00AA5194">
        <w:rPr>
          <w:lang w:eastAsia="en-GB"/>
        </w:rPr>
        <w:tab/>
        <w:t>Announcements for Bureau meetings should be issued by the secretariat not less than six weeks in advance.</w:t>
      </w:r>
    </w:p>
    <w:p w14:paraId="7E69706D" w14:textId="1115CB11" w:rsidR="00F35A4A" w:rsidRDefault="00F35A4A" w:rsidP="00F35A4A">
      <w:pPr>
        <w:pStyle w:val="HChG"/>
      </w:pPr>
      <w:r>
        <w:tab/>
      </w:r>
      <w:r w:rsidRPr="00083837">
        <w:t>VI.</w:t>
      </w:r>
      <w:r w:rsidRPr="00083837">
        <w:tab/>
        <w:t>Procedures for the adoption of decisions and reports</w:t>
      </w:r>
    </w:p>
    <w:p w14:paraId="291C1D4F" w14:textId="77777777" w:rsidR="00F21D76" w:rsidRPr="00083837" w:rsidRDefault="00F21D76" w:rsidP="00F21D76">
      <w:pPr>
        <w:pStyle w:val="SingleTxtG"/>
        <w:rPr>
          <w:bCs/>
        </w:rPr>
      </w:pPr>
      <w:r w:rsidRPr="00C60564">
        <w:rPr>
          <w:bCs/>
        </w:rPr>
        <w:t>2</w:t>
      </w:r>
      <w:r>
        <w:rPr>
          <w:bCs/>
        </w:rPr>
        <w:t>5</w:t>
      </w:r>
      <w:r w:rsidRPr="00C60564">
        <w:rPr>
          <w:bCs/>
        </w:rPr>
        <w:t>.</w:t>
      </w:r>
      <w:r w:rsidRPr="00C60564">
        <w:rPr>
          <w:bCs/>
        </w:rPr>
        <w:tab/>
        <w:t>The Committee shall, whenever possible, take decisions on the basis of consensus.</w:t>
      </w:r>
      <w:r w:rsidRPr="00083837">
        <w:rPr>
          <w:bCs/>
        </w:rPr>
        <w:t xml:space="preserve"> </w:t>
      </w:r>
    </w:p>
    <w:p w14:paraId="369D181F" w14:textId="77777777" w:rsidR="00F21D76" w:rsidRPr="00083837" w:rsidRDefault="00F21D76" w:rsidP="00F21D76">
      <w:pPr>
        <w:pStyle w:val="SingleTxtG"/>
        <w:rPr>
          <w:bCs/>
        </w:rPr>
      </w:pPr>
      <w:r>
        <w:rPr>
          <w:bCs/>
        </w:rPr>
        <w:t>26</w:t>
      </w:r>
      <w:r w:rsidRPr="00083837">
        <w:rPr>
          <w:bCs/>
        </w:rPr>
        <w:t>.</w:t>
      </w:r>
      <w:r w:rsidRPr="00083837">
        <w:rPr>
          <w:bCs/>
        </w:rPr>
        <w:tab/>
        <w:t>The preparation and circulation of draft conclusions, recommendations or decisions, and their formal adoption at the end of the meeting, will take place in accordance with the Guidelines on procedures and practices for ECE bodies adopted by the Economic Commission for Europe</w:t>
      </w:r>
      <w:r w:rsidRPr="00083837">
        <w:rPr>
          <w:bCs/>
          <w:vertAlign w:val="superscript"/>
        </w:rPr>
        <w:t>1</w:t>
      </w:r>
      <w:r w:rsidRPr="00083837">
        <w:rPr>
          <w:bCs/>
        </w:rPr>
        <w:t xml:space="preserve">. </w:t>
      </w:r>
    </w:p>
    <w:p w14:paraId="43B32E7C" w14:textId="77777777" w:rsidR="00F21D76" w:rsidRPr="00083837" w:rsidRDefault="00F21D76" w:rsidP="00F21D76">
      <w:pPr>
        <w:pStyle w:val="SingleTxtG"/>
        <w:rPr>
          <w:bCs/>
        </w:rPr>
      </w:pPr>
      <w:r>
        <w:rPr>
          <w:bCs/>
        </w:rPr>
        <w:t>27</w:t>
      </w:r>
      <w:r w:rsidRPr="00083837">
        <w:rPr>
          <w:bCs/>
        </w:rPr>
        <w:t>.</w:t>
      </w:r>
      <w:r w:rsidRPr="00083837">
        <w:rPr>
          <w:bCs/>
        </w:rPr>
        <w:tab/>
        <w:t>A draft report of the meeting</w:t>
      </w:r>
      <w:r>
        <w:rPr>
          <w:bCs/>
        </w:rPr>
        <w:t xml:space="preserve"> that </w:t>
      </w:r>
      <w:r w:rsidRPr="00083837">
        <w:rPr>
          <w:bCs/>
        </w:rPr>
        <w:t xml:space="preserve">reflects in a concise and factual manner the discussion and views expressed by participants shall be circulated before the end of the meeting for comments and adoption by member States at the end of the meeting. </w:t>
      </w:r>
    </w:p>
    <w:p w14:paraId="4C0B20FD" w14:textId="28A44E56" w:rsidR="00F21D76" w:rsidRDefault="00F21D76" w:rsidP="00F21D76">
      <w:pPr>
        <w:pStyle w:val="BodyText"/>
        <w:widowControl/>
        <w:suppressAutoHyphens/>
        <w:autoSpaceDE/>
        <w:autoSpaceDN/>
        <w:spacing w:after="120" w:line="240" w:lineRule="atLeast"/>
        <w:ind w:left="1134" w:right="1134"/>
        <w:jc w:val="both"/>
        <w:rPr>
          <w:bCs/>
          <w:sz w:val="20"/>
        </w:rPr>
      </w:pPr>
      <w:r>
        <w:rPr>
          <w:bCs/>
          <w:sz w:val="20"/>
          <w:szCs w:val="20"/>
        </w:rPr>
        <w:t>28</w:t>
      </w:r>
      <w:r w:rsidRPr="0010436B">
        <w:rPr>
          <w:bCs/>
          <w:sz w:val="20"/>
          <w:szCs w:val="20"/>
        </w:rPr>
        <w:t>.</w:t>
      </w:r>
      <w:r w:rsidRPr="0010436B">
        <w:rPr>
          <w:bCs/>
          <w:sz w:val="20"/>
          <w:szCs w:val="20"/>
        </w:rPr>
        <w:tab/>
        <w:t xml:space="preserve">If </w:t>
      </w:r>
      <w:r>
        <w:rPr>
          <w:bCs/>
          <w:sz w:val="20"/>
          <w:szCs w:val="20"/>
        </w:rPr>
        <w:t xml:space="preserve">a </w:t>
      </w:r>
      <w:r w:rsidRPr="0010436B">
        <w:rPr>
          <w:bCs/>
          <w:sz w:val="20"/>
          <w:szCs w:val="20"/>
        </w:rPr>
        <w:t xml:space="preserve">draft report cannot be circulated at or adopted during the meeting for technical reasons, the Bureau of the Committee will be tasked with </w:t>
      </w:r>
      <w:r>
        <w:rPr>
          <w:bCs/>
          <w:sz w:val="20"/>
          <w:szCs w:val="20"/>
        </w:rPr>
        <w:t xml:space="preserve">taking </w:t>
      </w:r>
      <w:r w:rsidRPr="0010436B">
        <w:rPr>
          <w:bCs/>
          <w:sz w:val="20"/>
          <w:szCs w:val="20"/>
        </w:rPr>
        <w:t xml:space="preserve">the necessary steps for subsequent approval no later than ten days after the conclusion of the meeting. </w:t>
      </w:r>
      <w:r w:rsidRPr="00D37C03">
        <w:rPr>
          <w:bCs/>
          <w:sz w:val="20"/>
        </w:rPr>
        <w:t xml:space="preserve">Under such circumstances, the </w:t>
      </w:r>
      <w:r>
        <w:rPr>
          <w:bCs/>
          <w:sz w:val="20"/>
        </w:rPr>
        <w:t>Bureau</w:t>
      </w:r>
      <w:r w:rsidRPr="00D37C03">
        <w:rPr>
          <w:bCs/>
          <w:sz w:val="20"/>
        </w:rPr>
        <w:t xml:space="preserve"> will be authorised to circulate </w:t>
      </w:r>
      <w:r>
        <w:rPr>
          <w:bCs/>
          <w:sz w:val="20"/>
        </w:rPr>
        <w:t xml:space="preserve">the draft report </w:t>
      </w:r>
      <w:r w:rsidRPr="00D37C03">
        <w:rPr>
          <w:bCs/>
          <w:sz w:val="20"/>
        </w:rPr>
        <w:t xml:space="preserve">to the </w:t>
      </w:r>
      <w:r>
        <w:rPr>
          <w:bCs/>
          <w:sz w:val="20"/>
        </w:rPr>
        <w:t xml:space="preserve">Committee </w:t>
      </w:r>
      <w:r w:rsidRPr="00D37C03">
        <w:rPr>
          <w:bCs/>
          <w:sz w:val="20"/>
        </w:rPr>
        <w:t xml:space="preserve">members through the Permanent Missions in Geneva, under a silence procedure of at least 72 hours and in accordance with Rule 44 of the Terms of Reference and Rules of Procedure of </w:t>
      </w:r>
      <w:r w:rsidRPr="0054071D">
        <w:rPr>
          <w:bCs/>
          <w:sz w:val="20"/>
        </w:rPr>
        <w:t xml:space="preserve">UNECE </w:t>
      </w:r>
      <w:r w:rsidRPr="00D37C03">
        <w:rPr>
          <w:bCs/>
          <w:sz w:val="20"/>
        </w:rPr>
        <w:t>as contained in E/ECE/778/Rev.5</w:t>
      </w:r>
      <w:r w:rsidR="00D86751" w:rsidRPr="00D86751">
        <w:rPr>
          <w:bCs/>
          <w:sz w:val="20"/>
          <w:vertAlign w:val="superscript"/>
        </w:rPr>
        <w:t>2</w:t>
      </w:r>
      <w:r>
        <w:rPr>
          <w:bCs/>
          <w:sz w:val="20"/>
        </w:rPr>
        <w:t xml:space="preserve">. </w:t>
      </w:r>
      <w:r w:rsidRPr="00D37C03">
        <w:rPr>
          <w:bCs/>
          <w:sz w:val="20"/>
        </w:rPr>
        <w:t xml:space="preserve">If the silence is not broken, the </w:t>
      </w:r>
      <w:r>
        <w:rPr>
          <w:bCs/>
          <w:sz w:val="20"/>
        </w:rPr>
        <w:t>reports</w:t>
      </w:r>
      <w:r w:rsidRPr="00D37C03">
        <w:rPr>
          <w:bCs/>
          <w:sz w:val="20"/>
        </w:rPr>
        <w:t xml:space="preserve"> shall be considered a</w:t>
      </w:r>
      <w:r>
        <w:rPr>
          <w:bCs/>
          <w:sz w:val="20"/>
        </w:rPr>
        <w:t>pproved</w:t>
      </w:r>
      <w:r w:rsidRPr="00D37C03">
        <w:rPr>
          <w:bCs/>
          <w:sz w:val="20"/>
        </w:rPr>
        <w:t>.</w:t>
      </w:r>
    </w:p>
    <w:p w14:paraId="053BB193" w14:textId="2687379D" w:rsidR="00F21D76" w:rsidRDefault="00F21D76" w:rsidP="00F21D76">
      <w:pPr>
        <w:pStyle w:val="HChG"/>
      </w:pPr>
      <w:r>
        <w:tab/>
      </w:r>
      <w:r w:rsidRPr="00083837">
        <w:t>VII.</w:t>
      </w:r>
      <w:r w:rsidRPr="00083837">
        <w:tab/>
        <w:t xml:space="preserve">Subsidiary bodies </w:t>
      </w:r>
    </w:p>
    <w:p w14:paraId="77B89115" w14:textId="77777777" w:rsidR="00F21D76" w:rsidRPr="00B26213" w:rsidRDefault="00F21D76" w:rsidP="00F21D76">
      <w:pPr>
        <w:pStyle w:val="H1G"/>
        <w:spacing w:before="120" w:after="120" w:line="240" w:lineRule="auto"/>
        <w:ind w:left="1138" w:right="1138" w:firstLine="0"/>
        <w:jc w:val="both"/>
        <w:rPr>
          <w:b w:val="0"/>
          <w:bCs/>
          <w:sz w:val="20"/>
        </w:rPr>
      </w:pPr>
      <w:r>
        <w:rPr>
          <w:b w:val="0"/>
          <w:bCs/>
          <w:sz w:val="20"/>
        </w:rPr>
        <w:t>29</w:t>
      </w:r>
      <w:r w:rsidRPr="00B26213">
        <w:rPr>
          <w:b w:val="0"/>
          <w:bCs/>
          <w:sz w:val="20"/>
        </w:rPr>
        <w:t>.</w:t>
      </w:r>
      <w:r w:rsidRPr="00B26213">
        <w:rPr>
          <w:b w:val="0"/>
          <w:bCs/>
          <w:sz w:val="20"/>
        </w:rPr>
        <w:tab/>
        <w:t>The Committee may establish Teams of Specialists or other subsidiary bodies in accordance with the existing Guidelines for the establishment and functioning of Teams of Specialists within ECE</w:t>
      </w:r>
      <w:r w:rsidRPr="0010436B">
        <w:rPr>
          <w:rStyle w:val="FootnoteReference"/>
          <w:b w:val="0"/>
          <w:bCs/>
          <w:sz w:val="20"/>
        </w:rPr>
        <w:footnoteReference w:id="5"/>
      </w:r>
      <w:r w:rsidRPr="008B44C2">
        <w:rPr>
          <w:b w:val="0"/>
          <w:bCs/>
          <w:sz w:val="20"/>
        </w:rPr>
        <w:t>, to fulfil particular objectives in accordance with the terms of reference created for them, subje</w:t>
      </w:r>
      <w:r w:rsidRPr="00B26213">
        <w:rPr>
          <w:b w:val="0"/>
          <w:bCs/>
          <w:sz w:val="20"/>
        </w:rPr>
        <w:t xml:space="preserve">ct to approval by EXCOM. </w:t>
      </w:r>
    </w:p>
    <w:p w14:paraId="7EA2C9FC" w14:textId="77777777" w:rsidR="00F21D76" w:rsidRPr="00B26213" w:rsidRDefault="00F21D76" w:rsidP="00F21D76">
      <w:pPr>
        <w:pStyle w:val="SingleTxtG"/>
        <w:spacing w:before="120" w:line="240" w:lineRule="auto"/>
        <w:ind w:left="1138" w:right="1138"/>
      </w:pPr>
      <w:r>
        <w:t>30</w:t>
      </w:r>
      <w:r w:rsidRPr="00B26213">
        <w:t>.</w:t>
      </w:r>
      <w:r w:rsidRPr="00B26213">
        <w:tab/>
        <w:t xml:space="preserve">Subsidiary bodies report to the Committee on an annual basis. The Committee approves the mandates and workplans of the subsidiary bodies every two years when in session. </w:t>
      </w:r>
    </w:p>
    <w:p w14:paraId="462BD663" w14:textId="77777777" w:rsidR="00F21D76" w:rsidRPr="00B26213" w:rsidRDefault="00F21D76" w:rsidP="00F21D76">
      <w:pPr>
        <w:pStyle w:val="SingleTxtG"/>
        <w:spacing w:before="120" w:line="240" w:lineRule="auto"/>
        <w:ind w:left="1138" w:right="1138"/>
      </w:pPr>
      <w:r>
        <w:t>31</w:t>
      </w:r>
      <w:r w:rsidRPr="00B26213">
        <w:t>.</w:t>
      </w:r>
      <w:r w:rsidRPr="00B26213">
        <w:tab/>
        <w:t xml:space="preserve">Subsidiary bodies play lead roles in the implementation of the mandate and programme of work of the Committee. Subsidiary bodies are invited to make recommendations on the effectiveness and efficiency of current approaches and whether the current structure and work plans adequately support them in the implementation of their respective work plans. </w:t>
      </w:r>
    </w:p>
    <w:p w14:paraId="1ACC67F6" w14:textId="77777777" w:rsidR="00F21D76" w:rsidRDefault="00F21D76" w:rsidP="00F21D76">
      <w:pPr>
        <w:suppressAutoHyphens w:val="0"/>
        <w:spacing w:line="240" w:lineRule="auto"/>
        <w:rPr>
          <w:b/>
          <w:sz w:val="28"/>
        </w:rPr>
      </w:pPr>
      <w:r>
        <w:br w:type="page"/>
      </w:r>
    </w:p>
    <w:p w14:paraId="32E1C7DB" w14:textId="1A5CC4AF" w:rsidR="005A7560" w:rsidRDefault="005A7560" w:rsidP="005A7560">
      <w:pPr>
        <w:pStyle w:val="SingleTxtG"/>
        <w:ind w:left="0"/>
        <w:rPr>
          <w:b/>
          <w:bCs/>
          <w:sz w:val="28"/>
          <w:szCs w:val="28"/>
        </w:rPr>
      </w:pPr>
      <w:r w:rsidRPr="003E677F">
        <w:rPr>
          <w:b/>
          <w:bCs/>
          <w:sz w:val="28"/>
          <w:szCs w:val="28"/>
        </w:rPr>
        <w:lastRenderedPageBreak/>
        <w:t>Annex</w:t>
      </w:r>
      <w:r>
        <w:rPr>
          <w:b/>
          <w:bCs/>
          <w:sz w:val="28"/>
          <w:szCs w:val="28"/>
        </w:rPr>
        <w:t xml:space="preserve"> II</w:t>
      </w:r>
    </w:p>
    <w:p w14:paraId="7FB8DEDC" w14:textId="6B67E407" w:rsidR="002C0998" w:rsidRDefault="002C0998" w:rsidP="002C0998">
      <w:pPr>
        <w:pStyle w:val="HChG"/>
      </w:pPr>
      <w:r>
        <w:tab/>
      </w:r>
      <w:r>
        <w:tab/>
        <w:t xml:space="preserve">Revised publication </w:t>
      </w:r>
      <w:r w:rsidRPr="00295FC0">
        <w:t xml:space="preserve">plans for 2020 and 2021 and </w:t>
      </w:r>
      <w:r>
        <w:t>publication plan for 2022</w:t>
      </w:r>
    </w:p>
    <w:p w14:paraId="5A5F4D4E" w14:textId="77777777" w:rsidR="002C0998" w:rsidRPr="007A5027" w:rsidRDefault="002C0998" w:rsidP="002C0998">
      <w:pPr>
        <w:pStyle w:val="H23G"/>
      </w:pPr>
      <w:r w:rsidRPr="007A5027">
        <w:t xml:space="preserve">Revised publication plan for 2020 </w:t>
      </w:r>
    </w:p>
    <w:tbl>
      <w:tblPr>
        <w:tblW w:w="9639" w:type="dxa"/>
        <w:tblLayout w:type="fixed"/>
        <w:tblCellMar>
          <w:left w:w="0" w:type="dxa"/>
          <w:right w:w="0" w:type="dxa"/>
        </w:tblCellMar>
        <w:tblLook w:val="04A0" w:firstRow="1" w:lastRow="0" w:firstColumn="1" w:lastColumn="0" w:noHBand="0" w:noVBand="1"/>
      </w:tblPr>
      <w:tblGrid>
        <w:gridCol w:w="709"/>
        <w:gridCol w:w="2552"/>
        <w:gridCol w:w="936"/>
        <w:gridCol w:w="962"/>
        <w:gridCol w:w="1238"/>
        <w:gridCol w:w="875"/>
        <w:gridCol w:w="1012"/>
        <w:gridCol w:w="1355"/>
      </w:tblGrid>
      <w:tr w:rsidR="002C0998" w:rsidRPr="00047E62" w14:paraId="47914430" w14:textId="77777777" w:rsidTr="00594C64">
        <w:trPr>
          <w:trHeight w:val="988"/>
        </w:trPr>
        <w:tc>
          <w:tcPr>
            <w:tcW w:w="709" w:type="dxa"/>
            <w:tcBorders>
              <w:top w:val="single" w:sz="4" w:space="0" w:color="auto"/>
              <w:bottom w:val="single" w:sz="12" w:space="0" w:color="auto"/>
            </w:tcBorders>
            <w:shd w:val="clear" w:color="auto" w:fill="auto"/>
          </w:tcPr>
          <w:p w14:paraId="15258EDE" w14:textId="77777777" w:rsidR="002C0998" w:rsidRPr="00AB382F" w:rsidRDefault="002C0998" w:rsidP="00594C64">
            <w:pPr>
              <w:spacing w:before="40" w:after="120"/>
              <w:ind w:right="113"/>
              <w:rPr>
                <w:i/>
                <w:sz w:val="16"/>
              </w:rPr>
            </w:pPr>
            <w:bookmarkStart w:id="12" w:name="_Hlk57717478"/>
            <w:r w:rsidRPr="00AB382F">
              <w:rPr>
                <w:i/>
                <w:sz w:val="16"/>
              </w:rPr>
              <w:t>Item no.</w:t>
            </w:r>
          </w:p>
        </w:tc>
        <w:tc>
          <w:tcPr>
            <w:tcW w:w="2552" w:type="dxa"/>
            <w:tcBorders>
              <w:top w:val="single" w:sz="4" w:space="0" w:color="auto"/>
              <w:bottom w:val="single" w:sz="12" w:space="0" w:color="auto"/>
            </w:tcBorders>
            <w:shd w:val="clear" w:color="auto" w:fill="auto"/>
          </w:tcPr>
          <w:p w14:paraId="5CE692D8" w14:textId="77777777" w:rsidR="002C0998" w:rsidRPr="00AB382F" w:rsidRDefault="002C0998" w:rsidP="00594C64">
            <w:pPr>
              <w:spacing w:before="40" w:after="120"/>
              <w:ind w:right="113"/>
              <w:rPr>
                <w:i/>
                <w:sz w:val="16"/>
              </w:rPr>
            </w:pPr>
            <w:r w:rsidRPr="00AB382F">
              <w:rPr>
                <w:i/>
                <w:sz w:val="16"/>
              </w:rPr>
              <w:t>Publication title</w:t>
            </w:r>
          </w:p>
        </w:tc>
        <w:tc>
          <w:tcPr>
            <w:tcW w:w="936" w:type="dxa"/>
            <w:tcBorders>
              <w:top w:val="single" w:sz="4" w:space="0" w:color="auto"/>
              <w:bottom w:val="single" w:sz="12" w:space="0" w:color="auto"/>
            </w:tcBorders>
            <w:shd w:val="clear" w:color="auto" w:fill="auto"/>
          </w:tcPr>
          <w:p w14:paraId="149C4B27" w14:textId="77777777" w:rsidR="002C0998" w:rsidRPr="00AB382F" w:rsidRDefault="002C0998" w:rsidP="00594C64">
            <w:pPr>
              <w:spacing w:before="40" w:after="120"/>
              <w:ind w:right="113"/>
              <w:rPr>
                <w:i/>
                <w:sz w:val="16"/>
              </w:rPr>
            </w:pPr>
            <w:r w:rsidRPr="00AB382F">
              <w:rPr>
                <w:i/>
                <w:sz w:val="16"/>
              </w:rPr>
              <w:t xml:space="preserve">Planned date of issue </w:t>
            </w:r>
          </w:p>
        </w:tc>
        <w:tc>
          <w:tcPr>
            <w:tcW w:w="962" w:type="dxa"/>
            <w:tcBorders>
              <w:top w:val="single" w:sz="4" w:space="0" w:color="auto"/>
              <w:bottom w:val="single" w:sz="12" w:space="0" w:color="auto"/>
            </w:tcBorders>
            <w:shd w:val="clear" w:color="auto" w:fill="auto"/>
          </w:tcPr>
          <w:p w14:paraId="4AFBD31C" w14:textId="77777777" w:rsidR="002C0998" w:rsidRPr="00AB382F" w:rsidRDefault="002C0998" w:rsidP="00594C64">
            <w:pPr>
              <w:spacing w:before="40" w:after="120"/>
              <w:ind w:right="113"/>
              <w:rPr>
                <w:i/>
                <w:sz w:val="16"/>
              </w:rPr>
            </w:pPr>
            <w:r w:rsidRPr="00AB382F">
              <w:rPr>
                <w:i/>
                <w:sz w:val="16"/>
              </w:rPr>
              <w:t>Issue format (print and/or electronic)</w:t>
            </w:r>
          </w:p>
        </w:tc>
        <w:tc>
          <w:tcPr>
            <w:tcW w:w="1238" w:type="dxa"/>
            <w:tcBorders>
              <w:top w:val="single" w:sz="4" w:space="0" w:color="auto"/>
              <w:bottom w:val="single" w:sz="12" w:space="0" w:color="auto"/>
            </w:tcBorders>
            <w:shd w:val="clear" w:color="auto" w:fill="auto"/>
          </w:tcPr>
          <w:p w14:paraId="39DEBF00" w14:textId="77777777" w:rsidR="002C0998" w:rsidRPr="00AB382F" w:rsidRDefault="002C0998" w:rsidP="00594C64">
            <w:pPr>
              <w:spacing w:before="40" w:after="120"/>
              <w:ind w:right="113"/>
              <w:rPr>
                <w:i/>
                <w:sz w:val="16"/>
              </w:rPr>
            </w:pPr>
            <w:r w:rsidRPr="00AB382F">
              <w:rPr>
                <w:i/>
                <w:sz w:val="16"/>
              </w:rPr>
              <w:t>Number of pages in original language</w:t>
            </w:r>
          </w:p>
        </w:tc>
        <w:tc>
          <w:tcPr>
            <w:tcW w:w="875" w:type="dxa"/>
            <w:tcBorders>
              <w:top w:val="single" w:sz="4" w:space="0" w:color="auto"/>
              <w:bottom w:val="single" w:sz="12" w:space="0" w:color="auto"/>
            </w:tcBorders>
            <w:shd w:val="clear" w:color="auto" w:fill="auto"/>
          </w:tcPr>
          <w:p w14:paraId="31523712" w14:textId="77777777" w:rsidR="002C0998" w:rsidRPr="00AB382F" w:rsidRDefault="002C0998" w:rsidP="00594C64">
            <w:pPr>
              <w:spacing w:before="40" w:after="120"/>
              <w:ind w:right="113"/>
              <w:rPr>
                <w:i/>
                <w:sz w:val="16"/>
              </w:rPr>
            </w:pPr>
            <w:r w:rsidRPr="00AB382F">
              <w:rPr>
                <w:i/>
                <w:sz w:val="16"/>
              </w:rPr>
              <w:t>Original language</w:t>
            </w:r>
          </w:p>
        </w:tc>
        <w:tc>
          <w:tcPr>
            <w:tcW w:w="1012" w:type="dxa"/>
            <w:tcBorders>
              <w:top w:val="single" w:sz="4" w:space="0" w:color="auto"/>
              <w:bottom w:val="single" w:sz="12" w:space="0" w:color="auto"/>
            </w:tcBorders>
            <w:shd w:val="clear" w:color="auto" w:fill="auto"/>
          </w:tcPr>
          <w:p w14:paraId="3A177FBC" w14:textId="77777777" w:rsidR="002C0998" w:rsidRPr="00AB382F" w:rsidRDefault="002C0998" w:rsidP="00594C64">
            <w:pPr>
              <w:spacing w:before="40" w:after="120"/>
              <w:ind w:right="113"/>
              <w:rPr>
                <w:i/>
                <w:sz w:val="16"/>
              </w:rPr>
            </w:pPr>
            <w:r w:rsidRPr="00AB382F">
              <w:rPr>
                <w:i/>
                <w:sz w:val="16"/>
              </w:rPr>
              <w:t>Language for translation</w:t>
            </w:r>
          </w:p>
        </w:tc>
        <w:tc>
          <w:tcPr>
            <w:tcW w:w="1355" w:type="dxa"/>
            <w:tcBorders>
              <w:top w:val="single" w:sz="4" w:space="0" w:color="auto"/>
              <w:bottom w:val="single" w:sz="12" w:space="0" w:color="auto"/>
            </w:tcBorders>
            <w:shd w:val="clear" w:color="auto" w:fill="auto"/>
          </w:tcPr>
          <w:p w14:paraId="328C331A" w14:textId="77777777" w:rsidR="002C0998" w:rsidRPr="00AB382F" w:rsidRDefault="002C0998" w:rsidP="00594C64">
            <w:pPr>
              <w:spacing w:before="40" w:after="120"/>
              <w:ind w:right="113"/>
              <w:rPr>
                <w:i/>
                <w:sz w:val="16"/>
              </w:rPr>
            </w:pPr>
            <w:r w:rsidRPr="00AB382F">
              <w:rPr>
                <w:i/>
                <w:sz w:val="16"/>
              </w:rPr>
              <w:t xml:space="preserve">Number of copies and languages for reproduction </w:t>
            </w:r>
          </w:p>
        </w:tc>
      </w:tr>
      <w:tr w:rsidR="002C0998" w:rsidRPr="00AE6BE5" w14:paraId="72A1A102" w14:textId="77777777" w:rsidTr="00594C64">
        <w:tc>
          <w:tcPr>
            <w:tcW w:w="709" w:type="dxa"/>
            <w:tcBorders>
              <w:top w:val="single" w:sz="12" w:space="0" w:color="auto"/>
            </w:tcBorders>
            <w:shd w:val="clear" w:color="auto" w:fill="auto"/>
          </w:tcPr>
          <w:p w14:paraId="2AF1B3D0" w14:textId="77777777" w:rsidR="002C0998" w:rsidRPr="009D2CBB" w:rsidRDefault="002C0998" w:rsidP="00594C64">
            <w:pPr>
              <w:spacing w:before="40" w:after="40" w:line="240" w:lineRule="auto"/>
              <w:ind w:right="113"/>
              <w:rPr>
                <w:sz w:val="18"/>
                <w:szCs w:val="18"/>
              </w:rPr>
            </w:pPr>
          </w:p>
        </w:tc>
        <w:tc>
          <w:tcPr>
            <w:tcW w:w="2552" w:type="dxa"/>
            <w:tcBorders>
              <w:top w:val="single" w:sz="12" w:space="0" w:color="auto"/>
            </w:tcBorders>
            <w:shd w:val="clear" w:color="auto" w:fill="auto"/>
          </w:tcPr>
          <w:p w14:paraId="158C0C41" w14:textId="77777777" w:rsidR="002C0998" w:rsidRPr="004F24D2" w:rsidRDefault="002C0998" w:rsidP="00594C64">
            <w:pPr>
              <w:spacing w:before="40" w:after="40" w:line="240" w:lineRule="auto"/>
              <w:ind w:right="113"/>
              <w:rPr>
                <w:b/>
              </w:rPr>
            </w:pPr>
            <w:r w:rsidRPr="004F24D2">
              <w:rPr>
                <w:b/>
              </w:rPr>
              <w:t>Non-recurrent publications</w:t>
            </w:r>
          </w:p>
        </w:tc>
        <w:tc>
          <w:tcPr>
            <w:tcW w:w="936" w:type="dxa"/>
            <w:tcBorders>
              <w:top w:val="single" w:sz="12" w:space="0" w:color="auto"/>
            </w:tcBorders>
            <w:shd w:val="clear" w:color="auto" w:fill="auto"/>
          </w:tcPr>
          <w:p w14:paraId="38BEDD59" w14:textId="77777777" w:rsidR="002C0998" w:rsidRPr="004F24D2" w:rsidRDefault="002C0998" w:rsidP="00594C64">
            <w:pPr>
              <w:spacing w:before="40" w:after="40" w:line="240" w:lineRule="auto"/>
              <w:ind w:right="113"/>
            </w:pPr>
          </w:p>
        </w:tc>
        <w:tc>
          <w:tcPr>
            <w:tcW w:w="962" w:type="dxa"/>
            <w:tcBorders>
              <w:top w:val="single" w:sz="12" w:space="0" w:color="auto"/>
            </w:tcBorders>
            <w:shd w:val="clear" w:color="auto" w:fill="auto"/>
          </w:tcPr>
          <w:p w14:paraId="0D3E80F8" w14:textId="77777777" w:rsidR="002C0998" w:rsidRPr="004F24D2" w:rsidRDefault="002C0998" w:rsidP="00594C64">
            <w:pPr>
              <w:spacing w:before="40" w:after="40" w:line="240" w:lineRule="auto"/>
              <w:ind w:right="113"/>
            </w:pPr>
          </w:p>
        </w:tc>
        <w:tc>
          <w:tcPr>
            <w:tcW w:w="1238" w:type="dxa"/>
            <w:tcBorders>
              <w:top w:val="single" w:sz="12" w:space="0" w:color="auto"/>
            </w:tcBorders>
            <w:shd w:val="clear" w:color="auto" w:fill="auto"/>
          </w:tcPr>
          <w:p w14:paraId="31E65135" w14:textId="77777777" w:rsidR="002C0998" w:rsidRPr="004F24D2" w:rsidRDefault="002C0998" w:rsidP="00594C64">
            <w:pPr>
              <w:spacing w:before="40" w:after="40" w:line="240" w:lineRule="auto"/>
              <w:ind w:right="113"/>
            </w:pPr>
          </w:p>
        </w:tc>
        <w:tc>
          <w:tcPr>
            <w:tcW w:w="875" w:type="dxa"/>
            <w:tcBorders>
              <w:top w:val="single" w:sz="12" w:space="0" w:color="auto"/>
            </w:tcBorders>
            <w:shd w:val="clear" w:color="auto" w:fill="auto"/>
          </w:tcPr>
          <w:p w14:paraId="6BC6310C" w14:textId="77777777" w:rsidR="002C0998" w:rsidRPr="004F24D2" w:rsidRDefault="002C0998" w:rsidP="00594C64">
            <w:pPr>
              <w:spacing w:before="40" w:after="40" w:line="240" w:lineRule="auto"/>
              <w:ind w:right="113"/>
            </w:pPr>
          </w:p>
        </w:tc>
        <w:tc>
          <w:tcPr>
            <w:tcW w:w="1012" w:type="dxa"/>
            <w:tcBorders>
              <w:top w:val="single" w:sz="12" w:space="0" w:color="auto"/>
            </w:tcBorders>
            <w:shd w:val="clear" w:color="auto" w:fill="auto"/>
          </w:tcPr>
          <w:p w14:paraId="2D548E8C" w14:textId="77777777" w:rsidR="002C0998" w:rsidRPr="004F24D2" w:rsidRDefault="002C0998" w:rsidP="00594C64">
            <w:pPr>
              <w:spacing w:before="40" w:after="40" w:line="240" w:lineRule="auto"/>
              <w:ind w:right="113"/>
            </w:pPr>
          </w:p>
        </w:tc>
        <w:tc>
          <w:tcPr>
            <w:tcW w:w="1355" w:type="dxa"/>
            <w:tcBorders>
              <w:top w:val="single" w:sz="12" w:space="0" w:color="auto"/>
            </w:tcBorders>
            <w:shd w:val="clear" w:color="auto" w:fill="auto"/>
          </w:tcPr>
          <w:p w14:paraId="1FED6DFF" w14:textId="77777777" w:rsidR="002C0998" w:rsidRPr="004F24D2" w:rsidRDefault="002C0998" w:rsidP="00594C64">
            <w:pPr>
              <w:spacing w:before="40" w:after="40" w:line="240" w:lineRule="auto"/>
              <w:ind w:right="113"/>
            </w:pPr>
          </w:p>
        </w:tc>
      </w:tr>
      <w:tr w:rsidR="002C0998" w:rsidRPr="00BF3214" w14:paraId="16BD5A57" w14:textId="77777777" w:rsidTr="00594C64">
        <w:tc>
          <w:tcPr>
            <w:tcW w:w="709" w:type="dxa"/>
            <w:shd w:val="clear" w:color="auto" w:fill="auto"/>
          </w:tcPr>
          <w:p w14:paraId="3DAAAD9B" w14:textId="77777777" w:rsidR="002C0998" w:rsidRPr="00BF3214" w:rsidRDefault="002C0998" w:rsidP="00594C64">
            <w:pPr>
              <w:spacing w:before="40" w:after="40" w:line="240" w:lineRule="auto"/>
              <w:ind w:right="113"/>
            </w:pPr>
            <w:r w:rsidRPr="00BF3214">
              <w:t xml:space="preserve">1 </w:t>
            </w:r>
          </w:p>
        </w:tc>
        <w:tc>
          <w:tcPr>
            <w:tcW w:w="2552" w:type="dxa"/>
            <w:shd w:val="clear" w:color="auto" w:fill="auto"/>
          </w:tcPr>
          <w:p w14:paraId="57D2F217" w14:textId="77777777" w:rsidR="002C0998" w:rsidRPr="00BF3214" w:rsidRDefault="002C0998" w:rsidP="00594C64">
            <w:pPr>
              <w:spacing w:before="40" w:after="40" w:line="240" w:lineRule="auto"/>
              <w:ind w:right="113"/>
            </w:pPr>
            <w:r w:rsidRPr="005523F3">
              <w:t xml:space="preserve">United Nations Resource Management System: </w:t>
            </w:r>
            <w:r w:rsidRPr="003842B1">
              <w:t>An overview of concepts, objectives and requirements</w:t>
            </w:r>
          </w:p>
        </w:tc>
        <w:tc>
          <w:tcPr>
            <w:tcW w:w="936" w:type="dxa"/>
            <w:shd w:val="clear" w:color="auto" w:fill="auto"/>
          </w:tcPr>
          <w:p w14:paraId="529E53F1" w14:textId="77777777" w:rsidR="002C0998" w:rsidRPr="00BF3214" w:rsidRDefault="002C0998" w:rsidP="00594C64">
            <w:pPr>
              <w:spacing w:before="40" w:after="40" w:line="240" w:lineRule="auto"/>
              <w:ind w:right="113"/>
            </w:pPr>
            <w:r w:rsidRPr="00BF3214">
              <w:t>2020</w:t>
            </w:r>
          </w:p>
        </w:tc>
        <w:tc>
          <w:tcPr>
            <w:tcW w:w="962" w:type="dxa"/>
            <w:shd w:val="clear" w:color="auto" w:fill="auto"/>
          </w:tcPr>
          <w:p w14:paraId="1F071A7F" w14:textId="77777777" w:rsidR="002C0998" w:rsidRPr="00BF3214" w:rsidRDefault="002C0998" w:rsidP="00594C64">
            <w:pPr>
              <w:spacing w:before="40" w:after="40" w:line="240" w:lineRule="auto"/>
              <w:ind w:right="113"/>
            </w:pPr>
            <w:r>
              <w:t>E</w:t>
            </w:r>
            <w:r w:rsidRPr="00BF3214">
              <w:t>lectronic</w:t>
            </w:r>
          </w:p>
        </w:tc>
        <w:tc>
          <w:tcPr>
            <w:tcW w:w="1238" w:type="dxa"/>
            <w:shd w:val="clear" w:color="auto" w:fill="auto"/>
          </w:tcPr>
          <w:p w14:paraId="6E903AB9" w14:textId="77777777" w:rsidR="002C0998" w:rsidRPr="00BF3214" w:rsidRDefault="002C0998" w:rsidP="00594C64">
            <w:pPr>
              <w:spacing w:before="40" w:after="40" w:line="240" w:lineRule="auto"/>
              <w:ind w:right="113"/>
            </w:pPr>
            <w:r>
              <w:t>1</w:t>
            </w:r>
            <w:r w:rsidRPr="00BF3214">
              <w:t>00</w:t>
            </w:r>
          </w:p>
        </w:tc>
        <w:tc>
          <w:tcPr>
            <w:tcW w:w="875" w:type="dxa"/>
            <w:shd w:val="clear" w:color="auto" w:fill="auto"/>
          </w:tcPr>
          <w:p w14:paraId="2E29BB14" w14:textId="77777777" w:rsidR="002C0998" w:rsidRPr="00BF3214" w:rsidRDefault="002C0998" w:rsidP="00594C64">
            <w:pPr>
              <w:spacing w:before="40" w:after="40" w:line="240" w:lineRule="auto"/>
              <w:ind w:right="113"/>
            </w:pPr>
            <w:r w:rsidRPr="00BF3214">
              <w:t>E</w:t>
            </w:r>
          </w:p>
        </w:tc>
        <w:tc>
          <w:tcPr>
            <w:tcW w:w="1012" w:type="dxa"/>
            <w:shd w:val="clear" w:color="auto" w:fill="auto"/>
          </w:tcPr>
          <w:p w14:paraId="11FAA916" w14:textId="77777777" w:rsidR="002C0998" w:rsidRPr="00BF3214" w:rsidRDefault="002C0998" w:rsidP="00594C64">
            <w:pPr>
              <w:spacing w:before="40" w:after="40" w:line="240" w:lineRule="auto"/>
              <w:ind w:right="113"/>
            </w:pPr>
            <w:r w:rsidRPr="00BF3214">
              <w:t xml:space="preserve"> F, R </w:t>
            </w:r>
          </w:p>
        </w:tc>
        <w:tc>
          <w:tcPr>
            <w:tcW w:w="1355" w:type="dxa"/>
            <w:shd w:val="clear" w:color="auto" w:fill="auto"/>
          </w:tcPr>
          <w:p w14:paraId="58357B05" w14:textId="77777777" w:rsidR="002C0998" w:rsidRPr="00BF3214" w:rsidRDefault="002C0998" w:rsidP="00594C64">
            <w:pPr>
              <w:spacing w:before="40" w:after="40" w:line="240" w:lineRule="auto"/>
              <w:ind w:right="113"/>
            </w:pPr>
          </w:p>
        </w:tc>
      </w:tr>
      <w:tr w:rsidR="002C0998" w:rsidRPr="00BF3214" w14:paraId="06634A1F" w14:textId="77777777" w:rsidTr="00594C64">
        <w:tc>
          <w:tcPr>
            <w:tcW w:w="709" w:type="dxa"/>
            <w:tcBorders>
              <w:bottom w:val="single" w:sz="4" w:space="0" w:color="auto"/>
            </w:tcBorders>
            <w:shd w:val="clear" w:color="auto" w:fill="auto"/>
          </w:tcPr>
          <w:p w14:paraId="793F882E" w14:textId="77777777" w:rsidR="002C0998" w:rsidRPr="00BF3214" w:rsidRDefault="002C0998" w:rsidP="00594C64">
            <w:pPr>
              <w:spacing w:before="40" w:after="40" w:line="240" w:lineRule="auto"/>
              <w:ind w:right="113"/>
            </w:pPr>
            <w:r w:rsidRPr="00BF3214">
              <w:t>2</w:t>
            </w:r>
          </w:p>
        </w:tc>
        <w:tc>
          <w:tcPr>
            <w:tcW w:w="2552" w:type="dxa"/>
            <w:tcBorders>
              <w:bottom w:val="single" w:sz="4" w:space="0" w:color="auto"/>
            </w:tcBorders>
            <w:shd w:val="clear" w:color="auto" w:fill="auto"/>
          </w:tcPr>
          <w:p w14:paraId="15583EFB" w14:textId="77777777" w:rsidR="002C0998" w:rsidRDefault="002C0998" w:rsidP="00594C64">
            <w:pPr>
              <w:spacing w:before="40" w:after="40" w:line="240" w:lineRule="auto"/>
              <w:ind w:right="113"/>
            </w:pPr>
            <w:r w:rsidRPr="00BF3214">
              <w:t xml:space="preserve">Promoting </w:t>
            </w:r>
            <w:r>
              <w:t>p</w:t>
            </w:r>
            <w:r w:rsidRPr="00BF3214">
              <w:t xml:space="preserve">olicies and </w:t>
            </w:r>
            <w:r>
              <w:t>m</w:t>
            </w:r>
            <w:r w:rsidRPr="00BF3214">
              <w:t xml:space="preserve">easures for </w:t>
            </w:r>
            <w:r>
              <w:t>e</w:t>
            </w:r>
            <w:r w:rsidRPr="00BF3214">
              <w:t xml:space="preserve">nergy </w:t>
            </w:r>
            <w:r>
              <w:t>e</w:t>
            </w:r>
            <w:r w:rsidRPr="00BF3214">
              <w:t xml:space="preserve">fficiency </w:t>
            </w:r>
            <w:r>
              <w:t>i</w:t>
            </w:r>
            <w:r w:rsidRPr="00BF3214">
              <w:t>mplementation</w:t>
            </w:r>
          </w:p>
          <w:p w14:paraId="7574D6CE" w14:textId="77777777" w:rsidR="002C0998" w:rsidRPr="00BF3214" w:rsidRDefault="002C0998" w:rsidP="00594C64">
            <w:pPr>
              <w:spacing w:before="40" w:after="40" w:line="240" w:lineRule="auto"/>
              <w:ind w:right="113"/>
            </w:pPr>
          </w:p>
        </w:tc>
        <w:tc>
          <w:tcPr>
            <w:tcW w:w="936" w:type="dxa"/>
            <w:tcBorders>
              <w:bottom w:val="single" w:sz="4" w:space="0" w:color="auto"/>
            </w:tcBorders>
            <w:shd w:val="clear" w:color="auto" w:fill="auto"/>
          </w:tcPr>
          <w:p w14:paraId="1E61A2CF" w14:textId="77777777" w:rsidR="002C0998" w:rsidRPr="00BF3214" w:rsidRDefault="002C0998" w:rsidP="00594C64">
            <w:pPr>
              <w:spacing w:before="40" w:after="40" w:line="240" w:lineRule="auto"/>
              <w:ind w:right="113"/>
            </w:pPr>
            <w:r w:rsidRPr="00BF3214">
              <w:t>2020</w:t>
            </w:r>
          </w:p>
        </w:tc>
        <w:tc>
          <w:tcPr>
            <w:tcW w:w="962" w:type="dxa"/>
            <w:tcBorders>
              <w:bottom w:val="single" w:sz="4" w:space="0" w:color="auto"/>
            </w:tcBorders>
            <w:shd w:val="clear" w:color="auto" w:fill="auto"/>
          </w:tcPr>
          <w:p w14:paraId="22AFB059" w14:textId="77777777" w:rsidR="002C0998" w:rsidRPr="00BF3214" w:rsidRDefault="002C0998" w:rsidP="00594C64">
            <w:pPr>
              <w:spacing w:before="40" w:after="40" w:line="240" w:lineRule="auto"/>
              <w:ind w:right="113"/>
              <w:rPr>
                <w:lang w:val="en-US"/>
              </w:rPr>
            </w:pPr>
            <w:r w:rsidRPr="00BF3214">
              <w:rPr>
                <w:lang w:val="en-US"/>
              </w:rPr>
              <w:t>Print and electronic</w:t>
            </w:r>
          </w:p>
        </w:tc>
        <w:tc>
          <w:tcPr>
            <w:tcW w:w="1238" w:type="dxa"/>
            <w:tcBorders>
              <w:bottom w:val="single" w:sz="4" w:space="0" w:color="auto"/>
            </w:tcBorders>
            <w:shd w:val="clear" w:color="auto" w:fill="auto"/>
          </w:tcPr>
          <w:p w14:paraId="490D154E" w14:textId="77777777" w:rsidR="002C0998" w:rsidRPr="00BF3214" w:rsidRDefault="002C0998" w:rsidP="00594C64">
            <w:pPr>
              <w:spacing w:before="40" w:after="40" w:line="240" w:lineRule="auto"/>
              <w:ind w:right="113"/>
            </w:pPr>
            <w:r w:rsidRPr="00BF3214">
              <w:t>90</w:t>
            </w:r>
          </w:p>
        </w:tc>
        <w:tc>
          <w:tcPr>
            <w:tcW w:w="875" w:type="dxa"/>
            <w:tcBorders>
              <w:bottom w:val="single" w:sz="4" w:space="0" w:color="auto"/>
            </w:tcBorders>
            <w:shd w:val="clear" w:color="auto" w:fill="auto"/>
          </w:tcPr>
          <w:p w14:paraId="15F73C69" w14:textId="77777777" w:rsidR="002C0998" w:rsidRPr="00BF3214" w:rsidRDefault="002C0998" w:rsidP="00594C64">
            <w:pPr>
              <w:spacing w:before="40" w:after="40" w:line="240" w:lineRule="auto"/>
              <w:ind w:right="113"/>
            </w:pPr>
            <w:r w:rsidRPr="00BF3214">
              <w:t>E</w:t>
            </w:r>
          </w:p>
        </w:tc>
        <w:tc>
          <w:tcPr>
            <w:tcW w:w="1012" w:type="dxa"/>
            <w:tcBorders>
              <w:bottom w:val="single" w:sz="4" w:space="0" w:color="auto"/>
            </w:tcBorders>
            <w:shd w:val="clear" w:color="auto" w:fill="auto"/>
          </w:tcPr>
          <w:p w14:paraId="48D55146" w14:textId="77777777" w:rsidR="002C0998" w:rsidRPr="00BF3214" w:rsidRDefault="002C0998" w:rsidP="00594C64">
            <w:pPr>
              <w:spacing w:before="40" w:after="40" w:line="240" w:lineRule="auto"/>
              <w:ind w:right="113"/>
            </w:pPr>
            <w:r>
              <w:rPr>
                <w:lang w:val="de-DE"/>
              </w:rPr>
              <w:t>F, R</w:t>
            </w:r>
          </w:p>
        </w:tc>
        <w:tc>
          <w:tcPr>
            <w:tcW w:w="1355" w:type="dxa"/>
            <w:tcBorders>
              <w:bottom w:val="single" w:sz="4" w:space="0" w:color="auto"/>
            </w:tcBorders>
            <w:shd w:val="clear" w:color="auto" w:fill="auto"/>
          </w:tcPr>
          <w:p w14:paraId="3A9BCF0F" w14:textId="77777777" w:rsidR="002C0998" w:rsidRPr="00BF3214" w:rsidRDefault="002C0998" w:rsidP="00594C64">
            <w:pPr>
              <w:spacing w:before="40" w:after="40" w:line="240" w:lineRule="auto"/>
              <w:ind w:right="113"/>
              <w:rPr>
                <w:lang w:val="en-US"/>
              </w:rPr>
            </w:pPr>
            <w:r>
              <w:rPr>
                <w:lang w:val="de-DE"/>
              </w:rPr>
              <w:t>500E, 100F, 400R</w:t>
            </w:r>
          </w:p>
        </w:tc>
      </w:tr>
    </w:tbl>
    <w:bookmarkEnd w:id="12"/>
    <w:p w14:paraId="2A1F284F" w14:textId="7F495DFA" w:rsidR="002C0998" w:rsidRPr="00D0510B" w:rsidRDefault="002C0998" w:rsidP="002C0998">
      <w:pPr>
        <w:pStyle w:val="H23G"/>
      </w:pPr>
      <w:r>
        <w:tab/>
        <w:t>Revised p</w:t>
      </w:r>
      <w:r w:rsidRPr="00D0510B">
        <w:t>ublication plan for 2021</w:t>
      </w:r>
      <w:r>
        <w:t xml:space="preserve"> </w:t>
      </w:r>
    </w:p>
    <w:tbl>
      <w:tblPr>
        <w:tblW w:w="9639" w:type="dxa"/>
        <w:tblLayout w:type="fixed"/>
        <w:tblCellMar>
          <w:left w:w="0" w:type="dxa"/>
          <w:right w:w="0" w:type="dxa"/>
        </w:tblCellMar>
        <w:tblLook w:val="04A0" w:firstRow="1" w:lastRow="0" w:firstColumn="1" w:lastColumn="0" w:noHBand="0" w:noVBand="1"/>
      </w:tblPr>
      <w:tblGrid>
        <w:gridCol w:w="709"/>
        <w:gridCol w:w="2552"/>
        <w:gridCol w:w="936"/>
        <w:gridCol w:w="962"/>
        <w:gridCol w:w="1238"/>
        <w:gridCol w:w="875"/>
        <w:gridCol w:w="1012"/>
        <w:gridCol w:w="1355"/>
      </w:tblGrid>
      <w:tr w:rsidR="002C0998" w:rsidRPr="00047E62" w14:paraId="70C9044A" w14:textId="77777777" w:rsidTr="00594C64">
        <w:trPr>
          <w:trHeight w:val="988"/>
        </w:trPr>
        <w:tc>
          <w:tcPr>
            <w:tcW w:w="709" w:type="dxa"/>
            <w:tcBorders>
              <w:top w:val="single" w:sz="4" w:space="0" w:color="auto"/>
              <w:bottom w:val="single" w:sz="12" w:space="0" w:color="auto"/>
            </w:tcBorders>
            <w:shd w:val="clear" w:color="auto" w:fill="auto"/>
          </w:tcPr>
          <w:p w14:paraId="085A1626" w14:textId="77777777" w:rsidR="002C0998" w:rsidRPr="00AB382F" w:rsidRDefault="002C0998" w:rsidP="00594C64">
            <w:pPr>
              <w:spacing w:before="40" w:after="120"/>
              <w:ind w:right="113"/>
              <w:rPr>
                <w:i/>
                <w:sz w:val="16"/>
              </w:rPr>
            </w:pPr>
            <w:r w:rsidRPr="00AB382F">
              <w:rPr>
                <w:i/>
                <w:sz w:val="16"/>
              </w:rPr>
              <w:t>Item no.</w:t>
            </w:r>
          </w:p>
        </w:tc>
        <w:tc>
          <w:tcPr>
            <w:tcW w:w="2552" w:type="dxa"/>
            <w:tcBorders>
              <w:top w:val="single" w:sz="4" w:space="0" w:color="auto"/>
              <w:bottom w:val="single" w:sz="12" w:space="0" w:color="auto"/>
            </w:tcBorders>
            <w:shd w:val="clear" w:color="auto" w:fill="auto"/>
          </w:tcPr>
          <w:p w14:paraId="0310732B" w14:textId="77777777" w:rsidR="002C0998" w:rsidRPr="00AB382F" w:rsidRDefault="002C0998" w:rsidP="00594C64">
            <w:pPr>
              <w:spacing w:before="40" w:after="120"/>
              <w:ind w:right="113"/>
              <w:rPr>
                <w:i/>
                <w:sz w:val="16"/>
              </w:rPr>
            </w:pPr>
            <w:r w:rsidRPr="00AB382F">
              <w:rPr>
                <w:i/>
                <w:sz w:val="16"/>
              </w:rPr>
              <w:t>Publication title</w:t>
            </w:r>
          </w:p>
        </w:tc>
        <w:tc>
          <w:tcPr>
            <w:tcW w:w="936" w:type="dxa"/>
            <w:tcBorders>
              <w:top w:val="single" w:sz="4" w:space="0" w:color="auto"/>
              <w:bottom w:val="single" w:sz="12" w:space="0" w:color="auto"/>
            </w:tcBorders>
            <w:shd w:val="clear" w:color="auto" w:fill="auto"/>
          </w:tcPr>
          <w:p w14:paraId="291EF76A" w14:textId="77777777" w:rsidR="002C0998" w:rsidRPr="00AB382F" w:rsidRDefault="002C0998" w:rsidP="00594C64">
            <w:pPr>
              <w:spacing w:before="40" w:after="120"/>
              <w:ind w:right="113"/>
              <w:rPr>
                <w:i/>
                <w:sz w:val="16"/>
              </w:rPr>
            </w:pPr>
            <w:r w:rsidRPr="00AB382F">
              <w:rPr>
                <w:i/>
                <w:sz w:val="16"/>
              </w:rPr>
              <w:t xml:space="preserve">Planned date of issue </w:t>
            </w:r>
          </w:p>
        </w:tc>
        <w:tc>
          <w:tcPr>
            <w:tcW w:w="962" w:type="dxa"/>
            <w:tcBorders>
              <w:top w:val="single" w:sz="4" w:space="0" w:color="auto"/>
              <w:bottom w:val="single" w:sz="12" w:space="0" w:color="auto"/>
            </w:tcBorders>
            <w:shd w:val="clear" w:color="auto" w:fill="auto"/>
          </w:tcPr>
          <w:p w14:paraId="2406593B" w14:textId="77777777" w:rsidR="002C0998" w:rsidRPr="00AB382F" w:rsidRDefault="002C0998" w:rsidP="00594C64">
            <w:pPr>
              <w:spacing w:before="40" w:after="120"/>
              <w:ind w:right="113"/>
              <w:rPr>
                <w:i/>
                <w:sz w:val="16"/>
              </w:rPr>
            </w:pPr>
            <w:r w:rsidRPr="00AB382F">
              <w:rPr>
                <w:i/>
                <w:sz w:val="16"/>
              </w:rPr>
              <w:t>Issue format (print and/or electronic)</w:t>
            </w:r>
          </w:p>
        </w:tc>
        <w:tc>
          <w:tcPr>
            <w:tcW w:w="1238" w:type="dxa"/>
            <w:tcBorders>
              <w:top w:val="single" w:sz="4" w:space="0" w:color="auto"/>
              <w:bottom w:val="single" w:sz="12" w:space="0" w:color="auto"/>
            </w:tcBorders>
            <w:shd w:val="clear" w:color="auto" w:fill="auto"/>
          </w:tcPr>
          <w:p w14:paraId="2299EDFF" w14:textId="77777777" w:rsidR="002C0998" w:rsidRPr="00AB382F" w:rsidRDefault="002C0998" w:rsidP="00594C64">
            <w:pPr>
              <w:spacing w:before="40" w:after="120"/>
              <w:ind w:right="113"/>
              <w:rPr>
                <w:i/>
                <w:sz w:val="16"/>
              </w:rPr>
            </w:pPr>
            <w:r w:rsidRPr="00AB382F">
              <w:rPr>
                <w:i/>
                <w:sz w:val="16"/>
              </w:rPr>
              <w:t>Number of pages in original language</w:t>
            </w:r>
          </w:p>
        </w:tc>
        <w:tc>
          <w:tcPr>
            <w:tcW w:w="875" w:type="dxa"/>
            <w:tcBorders>
              <w:top w:val="single" w:sz="4" w:space="0" w:color="auto"/>
              <w:bottom w:val="single" w:sz="12" w:space="0" w:color="auto"/>
            </w:tcBorders>
            <w:shd w:val="clear" w:color="auto" w:fill="auto"/>
          </w:tcPr>
          <w:p w14:paraId="064C2702" w14:textId="77777777" w:rsidR="002C0998" w:rsidRPr="00AB382F" w:rsidRDefault="002C0998" w:rsidP="00594C64">
            <w:pPr>
              <w:spacing w:before="40" w:after="120"/>
              <w:ind w:right="113"/>
              <w:rPr>
                <w:i/>
                <w:sz w:val="16"/>
              </w:rPr>
            </w:pPr>
            <w:r w:rsidRPr="00AB382F">
              <w:rPr>
                <w:i/>
                <w:sz w:val="16"/>
              </w:rPr>
              <w:t>Original language</w:t>
            </w:r>
          </w:p>
        </w:tc>
        <w:tc>
          <w:tcPr>
            <w:tcW w:w="1012" w:type="dxa"/>
            <w:tcBorders>
              <w:top w:val="single" w:sz="4" w:space="0" w:color="auto"/>
              <w:bottom w:val="single" w:sz="12" w:space="0" w:color="auto"/>
            </w:tcBorders>
            <w:shd w:val="clear" w:color="auto" w:fill="auto"/>
          </w:tcPr>
          <w:p w14:paraId="32812343" w14:textId="77777777" w:rsidR="002C0998" w:rsidRPr="00AB382F" w:rsidRDefault="002C0998" w:rsidP="00594C64">
            <w:pPr>
              <w:spacing w:before="40" w:after="120"/>
              <w:ind w:right="113"/>
              <w:rPr>
                <w:i/>
                <w:sz w:val="16"/>
              </w:rPr>
            </w:pPr>
            <w:r w:rsidRPr="00AB382F">
              <w:rPr>
                <w:i/>
                <w:sz w:val="16"/>
              </w:rPr>
              <w:t>Language for translation</w:t>
            </w:r>
          </w:p>
        </w:tc>
        <w:tc>
          <w:tcPr>
            <w:tcW w:w="1355" w:type="dxa"/>
            <w:tcBorders>
              <w:top w:val="single" w:sz="4" w:space="0" w:color="auto"/>
              <w:bottom w:val="single" w:sz="12" w:space="0" w:color="auto"/>
            </w:tcBorders>
            <w:shd w:val="clear" w:color="auto" w:fill="auto"/>
          </w:tcPr>
          <w:p w14:paraId="1F328946" w14:textId="77777777" w:rsidR="002C0998" w:rsidRPr="00AB382F" w:rsidRDefault="002C0998" w:rsidP="00594C64">
            <w:pPr>
              <w:spacing w:before="40" w:after="120"/>
              <w:ind w:right="113"/>
              <w:rPr>
                <w:i/>
                <w:sz w:val="16"/>
              </w:rPr>
            </w:pPr>
            <w:r w:rsidRPr="00AB382F">
              <w:rPr>
                <w:i/>
                <w:sz w:val="16"/>
              </w:rPr>
              <w:t xml:space="preserve">Number of copies and languages for reproduction </w:t>
            </w:r>
          </w:p>
        </w:tc>
      </w:tr>
      <w:tr w:rsidR="002C0998" w:rsidRPr="00AE6BE5" w14:paraId="44FD61E5" w14:textId="77777777" w:rsidTr="00594C64">
        <w:tc>
          <w:tcPr>
            <w:tcW w:w="709" w:type="dxa"/>
            <w:tcBorders>
              <w:top w:val="single" w:sz="12" w:space="0" w:color="auto"/>
            </w:tcBorders>
            <w:shd w:val="clear" w:color="auto" w:fill="auto"/>
          </w:tcPr>
          <w:p w14:paraId="6AB67E1F" w14:textId="77777777" w:rsidR="002C0998" w:rsidRPr="009D2CBB" w:rsidRDefault="002C0998" w:rsidP="00594C64">
            <w:pPr>
              <w:spacing w:before="40" w:after="40" w:line="240" w:lineRule="auto"/>
              <w:ind w:right="113"/>
              <w:rPr>
                <w:sz w:val="18"/>
                <w:szCs w:val="18"/>
              </w:rPr>
            </w:pPr>
          </w:p>
        </w:tc>
        <w:tc>
          <w:tcPr>
            <w:tcW w:w="2552" w:type="dxa"/>
            <w:tcBorders>
              <w:top w:val="single" w:sz="12" w:space="0" w:color="auto"/>
            </w:tcBorders>
            <w:shd w:val="clear" w:color="auto" w:fill="auto"/>
          </w:tcPr>
          <w:p w14:paraId="7611532F" w14:textId="77777777" w:rsidR="002C0998" w:rsidRPr="004F24D2" w:rsidRDefault="002C0998" w:rsidP="00594C64">
            <w:pPr>
              <w:spacing w:before="40" w:after="40" w:line="240" w:lineRule="auto"/>
              <w:ind w:right="113"/>
              <w:rPr>
                <w:b/>
              </w:rPr>
            </w:pPr>
            <w:r w:rsidRPr="004F24D2">
              <w:rPr>
                <w:b/>
              </w:rPr>
              <w:t>Non-recurrent publications</w:t>
            </w:r>
          </w:p>
        </w:tc>
        <w:tc>
          <w:tcPr>
            <w:tcW w:w="936" w:type="dxa"/>
            <w:tcBorders>
              <w:top w:val="single" w:sz="12" w:space="0" w:color="auto"/>
            </w:tcBorders>
            <w:shd w:val="clear" w:color="auto" w:fill="auto"/>
          </w:tcPr>
          <w:p w14:paraId="11B12FCF" w14:textId="77777777" w:rsidR="002C0998" w:rsidRPr="004F24D2" w:rsidRDefault="002C0998" w:rsidP="00594C64">
            <w:pPr>
              <w:spacing w:before="40" w:after="40" w:line="240" w:lineRule="auto"/>
              <w:ind w:right="113"/>
            </w:pPr>
          </w:p>
        </w:tc>
        <w:tc>
          <w:tcPr>
            <w:tcW w:w="962" w:type="dxa"/>
            <w:tcBorders>
              <w:top w:val="single" w:sz="12" w:space="0" w:color="auto"/>
            </w:tcBorders>
            <w:shd w:val="clear" w:color="auto" w:fill="auto"/>
          </w:tcPr>
          <w:p w14:paraId="5583C3E2" w14:textId="77777777" w:rsidR="002C0998" w:rsidRPr="004F24D2" w:rsidRDefault="002C0998" w:rsidP="00594C64">
            <w:pPr>
              <w:spacing w:before="40" w:after="40" w:line="240" w:lineRule="auto"/>
              <w:ind w:right="113"/>
            </w:pPr>
          </w:p>
        </w:tc>
        <w:tc>
          <w:tcPr>
            <w:tcW w:w="1238" w:type="dxa"/>
            <w:tcBorders>
              <w:top w:val="single" w:sz="12" w:space="0" w:color="auto"/>
            </w:tcBorders>
            <w:shd w:val="clear" w:color="auto" w:fill="auto"/>
          </w:tcPr>
          <w:p w14:paraId="3AFE8AF8" w14:textId="77777777" w:rsidR="002C0998" w:rsidRPr="004F24D2" w:rsidRDefault="002C0998" w:rsidP="00594C64">
            <w:pPr>
              <w:spacing w:before="40" w:after="40" w:line="240" w:lineRule="auto"/>
              <w:ind w:right="113"/>
            </w:pPr>
          </w:p>
        </w:tc>
        <w:tc>
          <w:tcPr>
            <w:tcW w:w="875" w:type="dxa"/>
            <w:tcBorders>
              <w:top w:val="single" w:sz="12" w:space="0" w:color="auto"/>
            </w:tcBorders>
            <w:shd w:val="clear" w:color="auto" w:fill="auto"/>
          </w:tcPr>
          <w:p w14:paraId="52262C13" w14:textId="77777777" w:rsidR="002C0998" w:rsidRPr="004F24D2" w:rsidRDefault="002C0998" w:rsidP="00594C64">
            <w:pPr>
              <w:spacing w:before="40" w:after="40" w:line="240" w:lineRule="auto"/>
              <w:ind w:right="113"/>
            </w:pPr>
          </w:p>
        </w:tc>
        <w:tc>
          <w:tcPr>
            <w:tcW w:w="1012" w:type="dxa"/>
            <w:tcBorders>
              <w:top w:val="single" w:sz="12" w:space="0" w:color="auto"/>
            </w:tcBorders>
            <w:shd w:val="clear" w:color="auto" w:fill="auto"/>
          </w:tcPr>
          <w:p w14:paraId="1D75C8E5" w14:textId="77777777" w:rsidR="002C0998" w:rsidRPr="004F24D2" w:rsidRDefault="002C0998" w:rsidP="00594C64">
            <w:pPr>
              <w:spacing w:before="40" w:after="40" w:line="240" w:lineRule="auto"/>
              <w:ind w:right="113"/>
            </w:pPr>
          </w:p>
        </w:tc>
        <w:tc>
          <w:tcPr>
            <w:tcW w:w="1355" w:type="dxa"/>
            <w:tcBorders>
              <w:top w:val="single" w:sz="12" w:space="0" w:color="auto"/>
            </w:tcBorders>
            <w:shd w:val="clear" w:color="auto" w:fill="auto"/>
          </w:tcPr>
          <w:p w14:paraId="4AA8B38F" w14:textId="77777777" w:rsidR="002C0998" w:rsidRPr="004F24D2" w:rsidRDefault="002C0998" w:rsidP="00594C64">
            <w:pPr>
              <w:spacing w:before="40" w:after="40" w:line="240" w:lineRule="auto"/>
              <w:ind w:right="113"/>
            </w:pPr>
          </w:p>
        </w:tc>
      </w:tr>
      <w:tr w:rsidR="002C0998" w:rsidRPr="00BF3214" w14:paraId="70B46A89" w14:textId="77777777" w:rsidTr="00594C64">
        <w:tc>
          <w:tcPr>
            <w:tcW w:w="709" w:type="dxa"/>
            <w:shd w:val="clear" w:color="auto" w:fill="auto"/>
          </w:tcPr>
          <w:p w14:paraId="47A16C14" w14:textId="77777777" w:rsidR="002C0998" w:rsidRPr="00955C86" w:rsidRDefault="002C0998" w:rsidP="00594C64">
            <w:pPr>
              <w:spacing w:before="40" w:after="40" w:line="240" w:lineRule="auto"/>
              <w:ind w:right="113"/>
            </w:pPr>
            <w:r w:rsidRPr="00955C86">
              <w:t xml:space="preserve">1 </w:t>
            </w:r>
          </w:p>
        </w:tc>
        <w:tc>
          <w:tcPr>
            <w:tcW w:w="2552" w:type="dxa"/>
            <w:shd w:val="clear" w:color="auto" w:fill="auto"/>
          </w:tcPr>
          <w:p w14:paraId="16BC0599" w14:textId="77777777" w:rsidR="002C0998" w:rsidRPr="00955C86" w:rsidRDefault="002C0998" w:rsidP="00594C64">
            <w:pPr>
              <w:spacing w:before="40" w:after="40" w:line="240" w:lineRule="auto"/>
              <w:ind w:right="113"/>
            </w:pPr>
            <w:r w:rsidRPr="00955C86">
              <w:t>Application of the United Nations Framework Classification for Resources</w:t>
            </w:r>
            <w:r>
              <w:t xml:space="preserve"> </w:t>
            </w:r>
            <w:r w:rsidRPr="00472C63">
              <w:t>and the United Nations Resource Management System</w:t>
            </w:r>
            <w:r w:rsidRPr="00955C86">
              <w:t xml:space="preserve"> </w:t>
            </w:r>
          </w:p>
        </w:tc>
        <w:tc>
          <w:tcPr>
            <w:tcW w:w="936" w:type="dxa"/>
            <w:shd w:val="clear" w:color="auto" w:fill="auto"/>
          </w:tcPr>
          <w:p w14:paraId="462F7940" w14:textId="77777777" w:rsidR="002C0998" w:rsidRPr="00F37392" w:rsidRDefault="002C0998" w:rsidP="00594C64">
            <w:pPr>
              <w:spacing w:before="40" w:after="40" w:line="240" w:lineRule="auto"/>
              <w:ind w:right="113"/>
            </w:pPr>
            <w:r w:rsidRPr="00F37392">
              <w:t>2021</w:t>
            </w:r>
          </w:p>
        </w:tc>
        <w:tc>
          <w:tcPr>
            <w:tcW w:w="962" w:type="dxa"/>
            <w:shd w:val="clear" w:color="auto" w:fill="auto"/>
          </w:tcPr>
          <w:p w14:paraId="264B6EB5" w14:textId="77777777" w:rsidR="002C0998" w:rsidRPr="00F37392" w:rsidRDefault="002C0998" w:rsidP="00594C64">
            <w:pPr>
              <w:spacing w:before="40" w:after="40" w:line="240" w:lineRule="auto"/>
              <w:ind w:right="113"/>
            </w:pPr>
            <w:r w:rsidRPr="00F37392">
              <w:t>Print and electronic</w:t>
            </w:r>
          </w:p>
        </w:tc>
        <w:tc>
          <w:tcPr>
            <w:tcW w:w="1238" w:type="dxa"/>
            <w:shd w:val="clear" w:color="auto" w:fill="auto"/>
          </w:tcPr>
          <w:p w14:paraId="36E2E328" w14:textId="77777777" w:rsidR="002C0998" w:rsidRPr="00F37392" w:rsidRDefault="002C0998" w:rsidP="00594C64">
            <w:pPr>
              <w:spacing w:before="40" w:after="40" w:line="240" w:lineRule="auto"/>
              <w:ind w:right="113"/>
            </w:pPr>
            <w:r>
              <w:t xml:space="preserve">150 </w:t>
            </w:r>
          </w:p>
        </w:tc>
        <w:tc>
          <w:tcPr>
            <w:tcW w:w="875" w:type="dxa"/>
            <w:shd w:val="clear" w:color="auto" w:fill="auto"/>
          </w:tcPr>
          <w:p w14:paraId="3931415C" w14:textId="77777777" w:rsidR="002C0998" w:rsidRPr="00F37392" w:rsidRDefault="002C0998" w:rsidP="00594C64">
            <w:pPr>
              <w:spacing w:before="40" w:after="40" w:line="240" w:lineRule="auto"/>
              <w:ind w:right="113"/>
            </w:pPr>
            <w:r w:rsidRPr="00F37392">
              <w:t>E</w:t>
            </w:r>
          </w:p>
        </w:tc>
        <w:tc>
          <w:tcPr>
            <w:tcW w:w="1012" w:type="dxa"/>
            <w:shd w:val="clear" w:color="auto" w:fill="auto"/>
          </w:tcPr>
          <w:p w14:paraId="31A5395E" w14:textId="77777777" w:rsidR="002C0998" w:rsidRPr="00F37392" w:rsidRDefault="002C0998" w:rsidP="00594C64">
            <w:pPr>
              <w:spacing w:before="40" w:after="40" w:line="240" w:lineRule="auto"/>
              <w:ind w:right="113"/>
            </w:pPr>
            <w:r w:rsidRPr="00F37392">
              <w:t>F, R</w:t>
            </w:r>
          </w:p>
        </w:tc>
        <w:tc>
          <w:tcPr>
            <w:tcW w:w="1355" w:type="dxa"/>
            <w:shd w:val="clear" w:color="auto" w:fill="auto"/>
          </w:tcPr>
          <w:p w14:paraId="2A96A7E9" w14:textId="77777777" w:rsidR="002C0998" w:rsidRPr="00F37392" w:rsidRDefault="002C0998" w:rsidP="00594C64">
            <w:pPr>
              <w:spacing w:before="40" w:after="40" w:line="240" w:lineRule="auto"/>
              <w:ind w:right="113"/>
            </w:pPr>
            <w:r>
              <w:t>500E, 100F, 300R</w:t>
            </w:r>
          </w:p>
        </w:tc>
      </w:tr>
      <w:tr w:rsidR="002C0998" w:rsidRPr="00BF3214" w14:paraId="0DF8A9CF" w14:textId="77777777" w:rsidTr="00594C64">
        <w:tc>
          <w:tcPr>
            <w:tcW w:w="709" w:type="dxa"/>
            <w:shd w:val="clear" w:color="auto" w:fill="auto"/>
          </w:tcPr>
          <w:p w14:paraId="54680241" w14:textId="77777777" w:rsidR="002C0998" w:rsidRDefault="002C0998" w:rsidP="00594C64">
            <w:pPr>
              <w:spacing w:before="40" w:after="40" w:line="240" w:lineRule="auto"/>
              <w:ind w:right="113"/>
            </w:pPr>
            <w:r w:rsidRPr="006C1701">
              <w:t>2</w:t>
            </w:r>
          </w:p>
          <w:p w14:paraId="352B5473" w14:textId="77777777" w:rsidR="002C0998" w:rsidRPr="006C1701" w:rsidRDefault="002C0998" w:rsidP="00594C64">
            <w:pPr>
              <w:spacing w:before="40" w:after="40" w:line="240" w:lineRule="auto"/>
              <w:ind w:right="113"/>
            </w:pPr>
          </w:p>
        </w:tc>
        <w:tc>
          <w:tcPr>
            <w:tcW w:w="2552" w:type="dxa"/>
            <w:shd w:val="clear" w:color="auto" w:fill="auto"/>
          </w:tcPr>
          <w:p w14:paraId="5A539BA3" w14:textId="77777777" w:rsidR="002C0998" w:rsidRPr="006C1701" w:rsidRDefault="002C0998" w:rsidP="00594C64">
            <w:pPr>
              <w:spacing w:before="40" w:after="40" w:line="240" w:lineRule="auto"/>
              <w:ind w:right="113"/>
            </w:pPr>
            <w:r>
              <w:t>Enhancing the r</w:t>
            </w:r>
            <w:r w:rsidRPr="006C1701">
              <w:t xml:space="preserve">ole of </w:t>
            </w:r>
            <w:r>
              <w:t>t</w:t>
            </w:r>
            <w:r w:rsidRPr="006C1701">
              <w:t>echnology</w:t>
            </w:r>
            <w:r>
              <w:t xml:space="preserve"> and innovation</w:t>
            </w:r>
            <w:r w:rsidRPr="006C1701">
              <w:t xml:space="preserve"> </w:t>
            </w:r>
            <w:r>
              <w:t>to attain</w:t>
            </w:r>
            <w:r w:rsidRPr="006C1701">
              <w:t xml:space="preserve"> </w:t>
            </w:r>
            <w:r>
              <w:t>s</w:t>
            </w:r>
            <w:r w:rsidRPr="006C1701">
              <w:t xml:space="preserve">ustainable </w:t>
            </w:r>
            <w:r>
              <w:t>e</w:t>
            </w:r>
            <w:r w:rsidRPr="006C1701">
              <w:t>nergy</w:t>
            </w:r>
          </w:p>
        </w:tc>
        <w:tc>
          <w:tcPr>
            <w:tcW w:w="936" w:type="dxa"/>
            <w:shd w:val="clear" w:color="auto" w:fill="auto"/>
          </w:tcPr>
          <w:p w14:paraId="5486B094" w14:textId="77777777" w:rsidR="002C0998" w:rsidRPr="00F37392" w:rsidRDefault="002C0998" w:rsidP="00594C64">
            <w:pPr>
              <w:spacing w:before="40" w:after="40" w:line="240" w:lineRule="auto"/>
              <w:ind w:right="113"/>
            </w:pPr>
            <w:r w:rsidRPr="00F37392">
              <w:t>2021</w:t>
            </w:r>
          </w:p>
        </w:tc>
        <w:tc>
          <w:tcPr>
            <w:tcW w:w="962" w:type="dxa"/>
            <w:shd w:val="clear" w:color="auto" w:fill="auto"/>
          </w:tcPr>
          <w:p w14:paraId="4E30FAFA" w14:textId="77777777" w:rsidR="002C0998" w:rsidRPr="00F37392" w:rsidRDefault="002C0998" w:rsidP="00594C64">
            <w:pPr>
              <w:spacing w:before="40" w:after="40" w:line="240" w:lineRule="auto"/>
              <w:ind w:right="113"/>
              <w:rPr>
                <w:lang w:val="en-US"/>
              </w:rPr>
            </w:pPr>
            <w:r w:rsidRPr="00F37392">
              <w:rPr>
                <w:lang w:val="en-US"/>
              </w:rPr>
              <w:t>Print and electronic</w:t>
            </w:r>
          </w:p>
        </w:tc>
        <w:tc>
          <w:tcPr>
            <w:tcW w:w="1238" w:type="dxa"/>
            <w:shd w:val="clear" w:color="auto" w:fill="auto"/>
          </w:tcPr>
          <w:p w14:paraId="48192129" w14:textId="77777777" w:rsidR="002C0998" w:rsidRPr="00F37392" w:rsidRDefault="002C0998" w:rsidP="00594C64">
            <w:pPr>
              <w:spacing w:before="40" w:after="40" w:line="240" w:lineRule="auto"/>
              <w:ind w:right="113"/>
            </w:pPr>
            <w:r w:rsidRPr="00F37392">
              <w:t>90</w:t>
            </w:r>
          </w:p>
        </w:tc>
        <w:tc>
          <w:tcPr>
            <w:tcW w:w="875" w:type="dxa"/>
            <w:shd w:val="clear" w:color="auto" w:fill="auto"/>
          </w:tcPr>
          <w:p w14:paraId="071A01A8" w14:textId="77777777" w:rsidR="002C0998" w:rsidRDefault="002C0998" w:rsidP="00594C64">
            <w:pPr>
              <w:spacing w:before="40" w:after="40" w:line="240" w:lineRule="auto"/>
              <w:ind w:right="113"/>
            </w:pPr>
            <w:r w:rsidRPr="00F37392">
              <w:t>E</w:t>
            </w:r>
          </w:p>
          <w:p w14:paraId="0BBE42C1" w14:textId="77777777" w:rsidR="002C0998" w:rsidRPr="00F37392" w:rsidRDefault="002C0998" w:rsidP="00594C64">
            <w:pPr>
              <w:spacing w:before="40" w:after="40" w:line="240" w:lineRule="auto"/>
              <w:ind w:right="113"/>
            </w:pPr>
          </w:p>
        </w:tc>
        <w:tc>
          <w:tcPr>
            <w:tcW w:w="1012" w:type="dxa"/>
            <w:shd w:val="clear" w:color="auto" w:fill="auto"/>
          </w:tcPr>
          <w:p w14:paraId="1D13ACD9" w14:textId="77777777" w:rsidR="002C0998" w:rsidRDefault="002C0998" w:rsidP="00594C64">
            <w:pPr>
              <w:spacing w:before="40" w:after="40" w:line="240" w:lineRule="auto"/>
              <w:ind w:right="113"/>
              <w:rPr>
                <w:lang w:val="de-DE"/>
              </w:rPr>
            </w:pPr>
            <w:r w:rsidRPr="00F37392">
              <w:rPr>
                <w:lang w:val="de-DE"/>
              </w:rPr>
              <w:t>F, R</w:t>
            </w:r>
          </w:p>
          <w:p w14:paraId="16DAC64B" w14:textId="77777777" w:rsidR="002C0998" w:rsidRDefault="002C0998" w:rsidP="00594C64">
            <w:pPr>
              <w:spacing w:before="40" w:after="40" w:line="240" w:lineRule="auto"/>
              <w:ind w:right="113"/>
              <w:rPr>
                <w:lang w:val="de-DE"/>
              </w:rPr>
            </w:pPr>
          </w:p>
          <w:p w14:paraId="61F5ED55" w14:textId="77777777" w:rsidR="002C0998" w:rsidRPr="00F37392" w:rsidRDefault="002C0998" w:rsidP="00594C64">
            <w:pPr>
              <w:spacing w:before="40" w:after="40" w:line="240" w:lineRule="auto"/>
              <w:ind w:right="113"/>
            </w:pPr>
          </w:p>
        </w:tc>
        <w:tc>
          <w:tcPr>
            <w:tcW w:w="1355" w:type="dxa"/>
            <w:shd w:val="clear" w:color="auto" w:fill="auto"/>
          </w:tcPr>
          <w:p w14:paraId="329EB7A9" w14:textId="77777777" w:rsidR="002C0998" w:rsidRPr="00F37392" w:rsidRDefault="002C0998" w:rsidP="00594C64">
            <w:pPr>
              <w:spacing w:before="40" w:after="40" w:line="240" w:lineRule="auto"/>
              <w:ind w:right="113"/>
              <w:rPr>
                <w:lang w:val="en-US"/>
              </w:rPr>
            </w:pPr>
            <w:r w:rsidRPr="00F37392">
              <w:rPr>
                <w:lang w:val="de-DE"/>
              </w:rPr>
              <w:t>500E, 100F, 400R</w:t>
            </w:r>
          </w:p>
        </w:tc>
      </w:tr>
      <w:tr w:rsidR="002C0998" w:rsidRPr="00BF3214" w14:paraId="09547FE4" w14:textId="77777777" w:rsidTr="00594C64">
        <w:tc>
          <w:tcPr>
            <w:tcW w:w="709" w:type="dxa"/>
            <w:tcBorders>
              <w:bottom w:val="single" w:sz="12" w:space="0" w:color="auto"/>
            </w:tcBorders>
            <w:shd w:val="clear" w:color="auto" w:fill="auto"/>
          </w:tcPr>
          <w:p w14:paraId="179734C1" w14:textId="77777777" w:rsidR="002C0998" w:rsidRDefault="002C0998" w:rsidP="00594C64">
            <w:pPr>
              <w:spacing w:before="40" w:after="40" w:line="240" w:lineRule="auto"/>
              <w:ind w:right="113"/>
            </w:pPr>
            <w:r>
              <w:t>3</w:t>
            </w:r>
          </w:p>
          <w:p w14:paraId="1ECF9FB1" w14:textId="77777777" w:rsidR="002C0998" w:rsidRDefault="002C0998" w:rsidP="00594C64">
            <w:pPr>
              <w:spacing w:before="40" w:after="40" w:line="240" w:lineRule="auto"/>
              <w:ind w:right="113"/>
            </w:pPr>
          </w:p>
          <w:p w14:paraId="1E2DF908" w14:textId="77777777" w:rsidR="002C0998" w:rsidRPr="006C1701" w:rsidRDefault="002C0998" w:rsidP="00594C64">
            <w:pPr>
              <w:spacing w:before="40" w:after="40" w:line="240" w:lineRule="auto"/>
              <w:ind w:right="113"/>
            </w:pPr>
          </w:p>
        </w:tc>
        <w:tc>
          <w:tcPr>
            <w:tcW w:w="2552" w:type="dxa"/>
            <w:tcBorders>
              <w:bottom w:val="single" w:sz="12" w:space="0" w:color="auto"/>
            </w:tcBorders>
            <w:shd w:val="clear" w:color="auto" w:fill="auto"/>
          </w:tcPr>
          <w:p w14:paraId="64B7766E" w14:textId="77777777" w:rsidR="002C0998" w:rsidRDefault="002C0998" w:rsidP="00594C64">
            <w:pPr>
              <w:spacing w:before="40" w:after="40" w:line="240" w:lineRule="auto"/>
              <w:ind w:right="113"/>
            </w:pPr>
            <w:r w:rsidRPr="00E720D3">
              <w:rPr>
                <w:rFonts w:eastAsia="Calibri"/>
              </w:rPr>
              <w:t>Carbon neutrality through synergies between gas and renewable energy</w:t>
            </w:r>
          </w:p>
          <w:p w14:paraId="6D474196" w14:textId="77777777" w:rsidR="002C0998" w:rsidRDefault="002C0998" w:rsidP="00594C64">
            <w:pPr>
              <w:spacing w:before="40" w:after="40" w:line="240" w:lineRule="auto"/>
              <w:ind w:right="113"/>
            </w:pPr>
          </w:p>
        </w:tc>
        <w:tc>
          <w:tcPr>
            <w:tcW w:w="936" w:type="dxa"/>
            <w:tcBorders>
              <w:bottom w:val="single" w:sz="12" w:space="0" w:color="auto"/>
            </w:tcBorders>
            <w:shd w:val="clear" w:color="auto" w:fill="auto"/>
          </w:tcPr>
          <w:p w14:paraId="61ABF959" w14:textId="77777777" w:rsidR="002C0998" w:rsidRPr="00F37392" w:rsidRDefault="002C0998" w:rsidP="00594C64">
            <w:pPr>
              <w:spacing w:before="40" w:after="40" w:line="240" w:lineRule="auto"/>
              <w:ind w:right="113"/>
            </w:pPr>
            <w:r>
              <w:t>2021</w:t>
            </w:r>
          </w:p>
        </w:tc>
        <w:tc>
          <w:tcPr>
            <w:tcW w:w="962" w:type="dxa"/>
            <w:tcBorders>
              <w:bottom w:val="single" w:sz="12" w:space="0" w:color="auto"/>
            </w:tcBorders>
            <w:shd w:val="clear" w:color="auto" w:fill="auto"/>
          </w:tcPr>
          <w:p w14:paraId="1D89ADDD" w14:textId="77777777" w:rsidR="002C0998" w:rsidRPr="00F37392" w:rsidRDefault="002C0998" w:rsidP="00594C64">
            <w:pPr>
              <w:spacing w:before="40" w:after="40" w:line="240" w:lineRule="auto"/>
              <w:ind w:right="113"/>
              <w:rPr>
                <w:lang w:val="en-US"/>
              </w:rPr>
            </w:pPr>
            <w:r>
              <w:rPr>
                <w:lang w:val="en-US"/>
              </w:rPr>
              <w:t>Electronic</w:t>
            </w:r>
          </w:p>
        </w:tc>
        <w:tc>
          <w:tcPr>
            <w:tcW w:w="1238" w:type="dxa"/>
            <w:tcBorders>
              <w:bottom w:val="single" w:sz="12" w:space="0" w:color="auto"/>
            </w:tcBorders>
            <w:shd w:val="clear" w:color="auto" w:fill="auto"/>
          </w:tcPr>
          <w:p w14:paraId="45DFCBA8" w14:textId="77777777" w:rsidR="002C0998" w:rsidRPr="00F37392" w:rsidRDefault="002C0998" w:rsidP="00594C64">
            <w:pPr>
              <w:spacing w:before="40" w:after="40" w:line="240" w:lineRule="auto"/>
              <w:ind w:right="113"/>
            </w:pPr>
          </w:p>
        </w:tc>
        <w:tc>
          <w:tcPr>
            <w:tcW w:w="875" w:type="dxa"/>
            <w:tcBorders>
              <w:bottom w:val="single" w:sz="12" w:space="0" w:color="auto"/>
            </w:tcBorders>
            <w:shd w:val="clear" w:color="auto" w:fill="auto"/>
          </w:tcPr>
          <w:p w14:paraId="3594B3BD" w14:textId="77777777" w:rsidR="002C0998" w:rsidRPr="00F37392" w:rsidRDefault="002C0998" w:rsidP="00594C64">
            <w:pPr>
              <w:spacing w:before="40" w:after="40" w:line="240" w:lineRule="auto"/>
              <w:ind w:right="113"/>
            </w:pPr>
            <w:r>
              <w:t>E</w:t>
            </w:r>
          </w:p>
        </w:tc>
        <w:tc>
          <w:tcPr>
            <w:tcW w:w="1012" w:type="dxa"/>
            <w:tcBorders>
              <w:bottom w:val="single" w:sz="12" w:space="0" w:color="auto"/>
            </w:tcBorders>
            <w:shd w:val="clear" w:color="auto" w:fill="auto"/>
          </w:tcPr>
          <w:p w14:paraId="24C02CFB" w14:textId="77777777" w:rsidR="002C0998" w:rsidRPr="00A554FE" w:rsidRDefault="002C0998" w:rsidP="00594C64">
            <w:pPr>
              <w:spacing w:before="40" w:after="40" w:line="240" w:lineRule="auto"/>
              <w:ind w:right="113"/>
            </w:pPr>
            <w:r>
              <w:t>F, R</w:t>
            </w:r>
          </w:p>
        </w:tc>
        <w:tc>
          <w:tcPr>
            <w:tcW w:w="1355" w:type="dxa"/>
            <w:tcBorders>
              <w:bottom w:val="single" w:sz="12" w:space="0" w:color="auto"/>
            </w:tcBorders>
            <w:shd w:val="clear" w:color="auto" w:fill="auto"/>
          </w:tcPr>
          <w:p w14:paraId="7B8A726B" w14:textId="77777777" w:rsidR="002C0998" w:rsidRPr="00A554FE" w:rsidRDefault="002C0998" w:rsidP="00594C64">
            <w:pPr>
              <w:spacing w:before="40" w:after="40" w:line="240" w:lineRule="auto"/>
              <w:ind w:right="113"/>
            </w:pPr>
          </w:p>
        </w:tc>
      </w:tr>
    </w:tbl>
    <w:p w14:paraId="09BAFB9D" w14:textId="3CA743C5" w:rsidR="002C0998" w:rsidRPr="00D0510B" w:rsidRDefault="002C0998" w:rsidP="002C0998">
      <w:pPr>
        <w:pStyle w:val="H23G"/>
      </w:pPr>
      <w:r>
        <w:tab/>
        <w:t>Pu</w:t>
      </w:r>
      <w:r w:rsidRPr="00D0510B">
        <w:t>blication plan for 202</w:t>
      </w:r>
      <w:r>
        <w:t>2</w:t>
      </w:r>
    </w:p>
    <w:tbl>
      <w:tblPr>
        <w:tblW w:w="9639" w:type="dxa"/>
        <w:tblLayout w:type="fixed"/>
        <w:tblCellMar>
          <w:left w:w="0" w:type="dxa"/>
          <w:right w:w="0" w:type="dxa"/>
        </w:tblCellMar>
        <w:tblLook w:val="04A0" w:firstRow="1" w:lastRow="0" w:firstColumn="1" w:lastColumn="0" w:noHBand="0" w:noVBand="1"/>
      </w:tblPr>
      <w:tblGrid>
        <w:gridCol w:w="709"/>
        <w:gridCol w:w="2388"/>
        <w:gridCol w:w="1100"/>
        <w:gridCol w:w="962"/>
        <w:gridCol w:w="1238"/>
        <w:gridCol w:w="875"/>
        <w:gridCol w:w="1012"/>
        <w:gridCol w:w="1355"/>
      </w:tblGrid>
      <w:tr w:rsidR="002C0998" w:rsidRPr="00047E62" w14:paraId="3F663409" w14:textId="77777777" w:rsidTr="00594C64">
        <w:trPr>
          <w:trHeight w:val="988"/>
        </w:trPr>
        <w:tc>
          <w:tcPr>
            <w:tcW w:w="709" w:type="dxa"/>
            <w:tcBorders>
              <w:top w:val="single" w:sz="4" w:space="0" w:color="auto"/>
              <w:bottom w:val="single" w:sz="12" w:space="0" w:color="auto"/>
            </w:tcBorders>
            <w:shd w:val="clear" w:color="auto" w:fill="auto"/>
          </w:tcPr>
          <w:p w14:paraId="655368D6" w14:textId="77777777" w:rsidR="002C0998" w:rsidRPr="00AB382F" w:rsidRDefault="002C0998" w:rsidP="00594C64">
            <w:pPr>
              <w:spacing w:before="40" w:after="120"/>
              <w:ind w:right="113"/>
              <w:rPr>
                <w:i/>
                <w:sz w:val="16"/>
              </w:rPr>
            </w:pPr>
            <w:r w:rsidRPr="00AB382F">
              <w:rPr>
                <w:i/>
                <w:sz w:val="16"/>
              </w:rPr>
              <w:t>Item no.</w:t>
            </w:r>
          </w:p>
        </w:tc>
        <w:tc>
          <w:tcPr>
            <w:tcW w:w="2388" w:type="dxa"/>
            <w:tcBorders>
              <w:top w:val="single" w:sz="4" w:space="0" w:color="auto"/>
              <w:bottom w:val="single" w:sz="12" w:space="0" w:color="auto"/>
            </w:tcBorders>
            <w:shd w:val="clear" w:color="auto" w:fill="auto"/>
          </w:tcPr>
          <w:p w14:paraId="4BE9B96D" w14:textId="77777777" w:rsidR="002C0998" w:rsidRPr="00AB382F" w:rsidRDefault="002C0998" w:rsidP="00594C64">
            <w:pPr>
              <w:spacing w:before="40" w:after="120"/>
              <w:ind w:right="113"/>
              <w:rPr>
                <w:i/>
                <w:sz w:val="16"/>
              </w:rPr>
            </w:pPr>
            <w:r w:rsidRPr="00AB382F">
              <w:rPr>
                <w:i/>
                <w:sz w:val="16"/>
              </w:rPr>
              <w:t>Publication title</w:t>
            </w:r>
          </w:p>
        </w:tc>
        <w:tc>
          <w:tcPr>
            <w:tcW w:w="1100" w:type="dxa"/>
            <w:tcBorders>
              <w:top w:val="single" w:sz="4" w:space="0" w:color="auto"/>
              <w:bottom w:val="single" w:sz="12" w:space="0" w:color="auto"/>
            </w:tcBorders>
            <w:shd w:val="clear" w:color="auto" w:fill="auto"/>
          </w:tcPr>
          <w:p w14:paraId="607B62B6" w14:textId="77777777" w:rsidR="002C0998" w:rsidRPr="00AB382F" w:rsidRDefault="002C0998" w:rsidP="00594C64">
            <w:pPr>
              <w:spacing w:before="40" w:after="120"/>
              <w:ind w:right="113"/>
              <w:rPr>
                <w:i/>
                <w:sz w:val="16"/>
              </w:rPr>
            </w:pPr>
            <w:r w:rsidRPr="00AB382F">
              <w:rPr>
                <w:i/>
                <w:sz w:val="16"/>
              </w:rPr>
              <w:t xml:space="preserve">Planned date of issue </w:t>
            </w:r>
          </w:p>
        </w:tc>
        <w:tc>
          <w:tcPr>
            <w:tcW w:w="962" w:type="dxa"/>
            <w:tcBorders>
              <w:top w:val="single" w:sz="4" w:space="0" w:color="auto"/>
              <w:bottom w:val="single" w:sz="12" w:space="0" w:color="auto"/>
            </w:tcBorders>
            <w:shd w:val="clear" w:color="auto" w:fill="auto"/>
          </w:tcPr>
          <w:p w14:paraId="7886D155" w14:textId="77777777" w:rsidR="002C0998" w:rsidRPr="00AB382F" w:rsidRDefault="002C0998" w:rsidP="00594C64">
            <w:pPr>
              <w:spacing w:before="40" w:after="120"/>
              <w:ind w:right="113"/>
              <w:rPr>
                <w:i/>
                <w:sz w:val="16"/>
              </w:rPr>
            </w:pPr>
            <w:r w:rsidRPr="00AB382F">
              <w:rPr>
                <w:i/>
                <w:sz w:val="16"/>
              </w:rPr>
              <w:t>Issue format (print and/or electronic)</w:t>
            </w:r>
          </w:p>
        </w:tc>
        <w:tc>
          <w:tcPr>
            <w:tcW w:w="1238" w:type="dxa"/>
            <w:tcBorders>
              <w:top w:val="single" w:sz="4" w:space="0" w:color="auto"/>
              <w:bottom w:val="single" w:sz="12" w:space="0" w:color="auto"/>
            </w:tcBorders>
            <w:shd w:val="clear" w:color="auto" w:fill="auto"/>
          </w:tcPr>
          <w:p w14:paraId="67199553" w14:textId="77777777" w:rsidR="002C0998" w:rsidRPr="00AB382F" w:rsidRDefault="002C0998" w:rsidP="00594C64">
            <w:pPr>
              <w:spacing w:before="40" w:after="120"/>
              <w:ind w:right="113"/>
              <w:rPr>
                <w:i/>
                <w:sz w:val="16"/>
              </w:rPr>
            </w:pPr>
            <w:r w:rsidRPr="00AB382F">
              <w:rPr>
                <w:i/>
                <w:sz w:val="16"/>
              </w:rPr>
              <w:t>Number of pages in original language</w:t>
            </w:r>
          </w:p>
        </w:tc>
        <w:tc>
          <w:tcPr>
            <w:tcW w:w="875" w:type="dxa"/>
            <w:tcBorders>
              <w:top w:val="single" w:sz="4" w:space="0" w:color="auto"/>
              <w:bottom w:val="single" w:sz="12" w:space="0" w:color="auto"/>
            </w:tcBorders>
            <w:shd w:val="clear" w:color="auto" w:fill="auto"/>
          </w:tcPr>
          <w:p w14:paraId="5B827D46" w14:textId="77777777" w:rsidR="002C0998" w:rsidRPr="00AB382F" w:rsidRDefault="002C0998" w:rsidP="00594C64">
            <w:pPr>
              <w:spacing w:before="40" w:after="120"/>
              <w:ind w:right="113"/>
              <w:rPr>
                <w:i/>
                <w:sz w:val="16"/>
              </w:rPr>
            </w:pPr>
            <w:r w:rsidRPr="00AB382F">
              <w:rPr>
                <w:i/>
                <w:sz w:val="16"/>
              </w:rPr>
              <w:t>Original language</w:t>
            </w:r>
          </w:p>
        </w:tc>
        <w:tc>
          <w:tcPr>
            <w:tcW w:w="1012" w:type="dxa"/>
            <w:tcBorders>
              <w:top w:val="single" w:sz="4" w:space="0" w:color="auto"/>
              <w:bottom w:val="single" w:sz="12" w:space="0" w:color="auto"/>
            </w:tcBorders>
            <w:shd w:val="clear" w:color="auto" w:fill="auto"/>
          </w:tcPr>
          <w:p w14:paraId="380CC464" w14:textId="77777777" w:rsidR="002C0998" w:rsidRPr="00AB382F" w:rsidRDefault="002C0998" w:rsidP="00594C64">
            <w:pPr>
              <w:spacing w:before="40" w:after="120"/>
              <w:ind w:right="113"/>
              <w:rPr>
                <w:i/>
                <w:sz w:val="16"/>
              </w:rPr>
            </w:pPr>
            <w:r w:rsidRPr="00AB382F">
              <w:rPr>
                <w:i/>
                <w:sz w:val="16"/>
              </w:rPr>
              <w:t>Language for translation</w:t>
            </w:r>
          </w:p>
        </w:tc>
        <w:tc>
          <w:tcPr>
            <w:tcW w:w="1355" w:type="dxa"/>
            <w:tcBorders>
              <w:top w:val="single" w:sz="4" w:space="0" w:color="auto"/>
              <w:bottom w:val="single" w:sz="12" w:space="0" w:color="auto"/>
            </w:tcBorders>
            <w:shd w:val="clear" w:color="auto" w:fill="auto"/>
          </w:tcPr>
          <w:p w14:paraId="5CD701A0" w14:textId="77777777" w:rsidR="002C0998" w:rsidRPr="00AB382F" w:rsidRDefault="002C0998" w:rsidP="00594C64">
            <w:pPr>
              <w:spacing w:before="40" w:after="120"/>
              <w:ind w:right="113"/>
              <w:rPr>
                <w:i/>
                <w:sz w:val="16"/>
              </w:rPr>
            </w:pPr>
            <w:r w:rsidRPr="00AB382F">
              <w:rPr>
                <w:i/>
                <w:sz w:val="16"/>
              </w:rPr>
              <w:t xml:space="preserve">Number of copies and languages for reproduction </w:t>
            </w:r>
          </w:p>
        </w:tc>
      </w:tr>
      <w:tr w:rsidR="002C0998" w:rsidRPr="00AE6BE5" w14:paraId="6127A4C5" w14:textId="77777777" w:rsidTr="00594C64">
        <w:tc>
          <w:tcPr>
            <w:tcW w:w="709" w:type="dxa"/>
            <w:tcBorders>
              <w:top w:val="single" w:sz="12" w:space="0" w:color="auto"/>
            </w:tcBorders>
            <w:shd w:val="clear" w:color="auto" w:fill="auto"/>
          </w:tcPr>
          <w:p w14:paraId="4EE72019" w14:textId="77777777" w:rsidR="002C0998" w:rsidRPr="009D2CBB" w:rsidRDefault="002C0998" w:rsidP="00594C64">
            <w:pPr>
              <w:spacing w:before="40" w:after="40" w:line="240" w:lineRule="auto"/>
              <w:ind w:right="113"/>
              <w:rPr>
                <w:sz w:val="18"/>
                <w:szCs w:val="18"/>
              </w:rPr>
            </w:pPr>
          </w:p>
        </w:tc>
        <w:tc>
          <w:tcPr>
            <w:tcW w:w="2388" w:type="dxa"/>
            <w:tcBorders>
              <w:top w:val="single" w:sz="12" w:space="0" w:color="auto"/>
            </w:tcBorders>
            <w:shd w:val="clear" w:color="auto" w:fill="auto"/>
          </w:tcPr>
          <w:p w14:paraId="13C74F54" w14:textId="77777777" w:rsidR="002C0998" w:rsidRPr="004F24D2" w:rsidRDefault="002C0998" w:rsidP="00594C64">
            <w:pPr>
              <w:spacing w:before="40" w:after="40" w:line="240" w:lineRule="auto"/>
              <w:ind w:right="113"/>
              <w:rPr>
                <w:b/>
              </w:rPr>
            </w:pPr>
            <w:r w:rsidRPr="004F24D2">
              <w:rPr>
                <w:b/>
              </w:rPr>
              <w:t>Non-recurrent publications</w:t>
            </w:r>
          </w:p>
        </w:tc>
        <w:tc>
          <w:tcPr>
            <w:tcW w:w="1100" w:type="dxa"/>
            <w:tcBorders>
              <w:top w:val="single" w:sz="12" w:space="0" w:color="auto"/>
            </w:tcBorders>
            <w:shd w:val="clear" w:color="auto" w:fill="auto"/>
          </w:tcPr>
          <w:p w14:paraId="603B00BC" w14:textId="77777777" w:rsidR="002C0998" w:rsidRPr="004F24D2" w:rsidRDefault="002C0998" w:rsidP="00594C64">
            <w:pPr>
              <w:spacing w:before="40" w:after="40" w:line="240" w:lineRule="auto"/>
              <w:ind w:right="113"/>
            </w:pPr>
          </w:p>
        </w:tc>
        <w:tc>
          <w:tcPr>
            <w:tcW w:w="962" w:type="dxa"/>
            <w:tcBorders>
              <w:top w:val="single" w:sz="12" w:space="0" w:color="auto"/>
            </w:tcBorders>
            <w:shd w:val="clear" w:color="auto" w:fill="auto"/>
          </w:tcPr>
          <w:p w14:paraId="5298277A" w14:textId="77777777" w:rsidR="002C0998" w:rsidRPr="004F24D2" w:rsidRDefault="002C0998" w:rsidP="00594C64">
            <w:pPr>
              <w:spacing w:before="40" w:after="40" w:line="240" w:lineRule="auto"/>
              <w:ind w:right="113"/>
            </w:pPr>
          </w:p>
        </w:tc>
        <w:tc>
          <w:tcPr>
            <w:tcW w:w="1238" w:type="dxa"/>
            <w:tcBorders>
              <w:top w:val="single" w:sz="12" w:space="0" w:color="auto"/>
            </w:tcBorders>
            <w:shd w:val="clear" w:color="auto" w:fill="auto"/>
          </w:tcPr>
          <w:p w14:paraId="322F64D6" w14:textId="77777777" w:rsidR="002C0998" w:rsidRPr="004F24D2" w:rsidRDefault="002C0998" w:rsidP="00594C64">
            <w:pPr>
              <w:spacing w:before="40" w:after="40" w:line="240" w:lineRule="auto"/>
              <w:ind w:right="113"/>
            </w:pPr>
          </w:p>
        </w:tc>
        <w:tc>
          <w:tcPr>
            <w:tcW w:w="875" w:type="dxa"/>
            <w:tcBorders>
              <w:top w:val="single" w:sz="12" w:space="0" w:color="auto"/>
            </w:tcBorders>
            <w:shd w:val="clear" w:color="auto" w:fill="auto"/>
          </w:tcPr>
          <w:p w14:paraId="5F3C46B3" w14:textId="77777777" w:rsidR="002C0998" w:rsidRPr="004F24D2" w:rsidRDefault="002C0998" w:rsidP="00594C64">
            <w:pPr>
              <w:spacing w:before="40" w:after="40" w:line="240" w:lineRule="auto"/>
              <w:ind w:right="113"/>
            </w:pPr>
          </w:p>
        </w:tc>
        <w:tc>
          <w:tcPr>
            <w:tcW w:w="1012" w:type="dxa"/>
            <w:tcBorders>
              <w:top w:val="single" w:sz="12" w:space="0" w:color="auto"/>
            </w:tcBorders>
            <w:shd w:val="clear" w:color="auto" w:fill="auto"/>
          </w:tcPr>
          <w:p w14:paraId="26711C84" w14:textId="77777777" w:rsidR="002C0998" w:rsidRPr="004F24D2" w:rsidRDefault="002C0998" w:rsidP="00594C64">
            <w:pPr>
              <w:spacing w:before="40" w:after="40" w:line="240" w:lineRule="auto"/>
              <w:ind w:right="113"/>
            </w:pPr>
          </w:p>
        </w:tc>
        <w:tc>
          <w:tcPr>
            <w:tcW w:w="1355" w:type="dxa"/>
            <w:tcBorders>
              <w:top w:val="single" w:sz="12" w:space="0" w:color="auto"/>
            </w:tcBorders>
            <w:shd w:val="clear" w:color="auto" w:fill="auto"/>
          </w:tcPr>
          <w:p w14:paraId="5C5FC579" w14:textId="77777777" w:rsidR="002C0998" w:rsidRPr="004F24D2" w:rsidRDefault="002C0998" w:rsidP="00594C64">
            <w:pPr>
              <w:spacing w:before="40" w:after="40" w:line="240" w:lineRule="auto"/>
              <w:ind w:right="113"/>
            </w:pPr>
          </w:p>
        </w:tc>
      </w:tr>
      <w:tr w:rsidR="002C0998" w:rsidRPr="00BF3214" w14:paraId="7E8ACC7D" w14:textId="77777777" w:rsidTr="00594C64">
        <w:tc>
          <w:tcPr>
            <w:tcW w:w="709" w:type="dxa"/>
            <w:shd w:val="clear" w:color="auto" w:fill="auto"/>
          </w:tcPr>
          <w:p w14:paraId="48E91666" w14:textId="77777777" w:rsidR="002C0998" w:rsidRPr="006C1701" w:rsidRDefault="002C0998" w:rsidP="00594C64">
            <w:pPr>
              <w:spacing w:before="40" w:after="40" w:line="240" w:lineRule="auto"/>
              <w:ind w:right="113"/>
            </w:pPr>
            <w:r w:rsidRPr="006C1701">
              <w:t xml:space="preserve">1 </w:t>
            </w:r>
          </w:p>
        </w:tc>
        <w:tc>
          <w:tcPr>
            <w:tcW w:w="2388" w:type="dxa"/>
            <w:shd w:val="clear" w:color="auto" w:fill="auto"/>
          </w:tcPr>
          <w:p w14:paraId="310D120F" w14:textId="77777777" w:rsidR="002C0998" w:rsidRPr="006C1701" w:rsidRDefault="002C0998" w:rsidP="00594C64">
            <w:pPr>
              <w:spacing w:before="40" w:after="40" w:line="240" w:lineRule="auto"/>
              <w:ind w:right="113"/>
            </w:pPr>
            <w:r>
              <w:t>Attaining carbon neutrality in the ECE region</w:t>
            </w:r>
          </w:p>
        </w:tc>
        <w:tc>
          <w:tcPr>
            <w:tcW w:w="1100" w:type="dxa"/>
            <w:shd w:val="clear" w:color="auto" w:fill="auto"/>
          </w:tcPr>
          <w:p w14:paraId="5D7A9C78" w14:textId="77777777" w:rsidR="002C0998" w:rsidRPr="00F37392" w:rsidRDefault="002C0998" w:rsidP="00594C64">
            <w:pPr>
              <w:spacing w:before="40" w:after="40" w:line="240" w:lineRule="auto"/>
              <w:ind w:right="113"/>
            </w:pPr>
            <w:r w:rsidRPr="00F37392">
              <w:t>202</w:t>
            </w:r>
            <w:r>
              <w:t>2</w:t>
            </w:r>
          </w:p>
        </w:tc>
        <w:tc>
          <w:tcPr>
            <w:tcW w:w="962" w:type="dxa"/>
            <w:shd w:val="clear" w:color="auto" w:fill="auto"/>
          </w:tcPr>
          <w:p w14:paraId="43D18B53" w14:textId="77777777" w:rsidR="002C0998" w:rsidRPr="00F37392" w:rsidRDefault="002C0998" w:rsidP="00594C64">
            <w:pPr>
              <w:spacing w:before="40" w:after="40" w:line="240" w:lineRule="auto"/>
              <w:ind w:right="113"/>
            </w:pPr>
            <w:r w:rsidRPr="00F37392">
              <w:t>Print and electronic</w:t>
            </w:r>
          </w:p>
        </w:tc>
        <w:tc>
          <w:tcPr>
            <w:tcW w:w="1238" w:type="dxa"/>
            <w:shd w:val="clear" w:color="auto" w:fill="auto"/>
          </w:tcPr>
          <w:p w14:paraId="58DABFED" w14:textId="77777777" w:rsidR="002C0998" w:rsidRPr="00F37392" w:rsidRDefault="002C0998" w:rsidP="00594C64">
            <w:pPr>
              <w:spacing w:before="40" w:after="40" w:line="240" w:lineRule="auto"/>
              <w:ind w:right="113"/>
            </w:pPr>
            <w:r>
              <w:t>15</w:t>
            </w:r>
            <w:r w:rsidRPr="00F37392">
              <w:t>0</w:t>
            </w:r>
          </w:p>
        </w:tc>
        <w:tc>
          <w:tcPr>
            <w:tcW w:w="875" w:type="dxa"/>
            <w:shd w:val="clear" w:color="auto" w:fill="auto"/>
          </w:tcPr>
          <w:p w14:paraId="5B01B998" w14:textId="77777777" w:rsidR="002C0998" w:rsidRPr="00F37392" w:rsidRDefault="002C0998" w:rsidP="00594C64">
            <w:pPr>
              <w:spacing w:before="40" w:after="40" w:line="240" w:lineRule="auto"/>
              <w:ind w:right="113"/>
            </w:pPr>
            <w:r w:rsidRPr="00F37392">
              <w:t>E</w:t>
            </w:r>
          </w:p>
        </w:tc>
        <w:tc>
          <w:tcPr>
            <w:tcW w:w="1012" w:type="dxa"/>
            <w:shd w:val="clear" w:color="auto" w:fill="auto"/>
          </w:tcPr>
          <w:p w14:paraId="6C39D588" w14:textId="77777777" w:rsidR="002C0998" w:rsidRPr="00F37392" w:rsidRDefault="002C0998" w:rsidP="00594C64">
            <w:pPr>
              <w:spacing w:before="40" w:after="40" w:line="240" w:lineRule="auto"/>
              <w:ind w:right="113"/>
            </w:pPr>
            <w:r w:rsidRPr="00F37392">
              <w:t>F, R</w:t>
            </w:r>
          </w:p>
        </w:tc>
        <w:tc>
          <w:tcPr>
            <w:tcW w:w="1355" w:type="dxa"/>
            <w:shd w:val="clear" w:color="auto" w:fill="auto"/>
          </w:tcPr>
          <w:p w14:paraId="01C1B008" w14:textId="77777777" w:rsidR="002C0998" w:rsidRPr="00F37392" w:rsidRDefault="002C0998" w:rsidP="00594C64">
            <w:pPr>
              <w:spacing w:before="40" w:after="40" w:line="240" w:lineRule="auto"/>
              <w:ind w:right="113"/>
            </w:pPr>
            <w:r>
              <w:t>500</w:t>
            </w:r>
            <w:r w:rsidRPr="00F37392">
              <w:t xml:space="preserve">E, </w:t>
            </w:r>
            <w:r>
              <w:t>100</w:t>
            </w:r>
            <w:r w:rsidRPr="00F37392">
              <w:t xml:space="preserve">F, </w:t>
            </w:r>
            <w:r>
              <w:t>4</w:t>
            </w:r>
            <w:r w:rsidRPr="00F37392">
              <w:t>00R</w:t>
            </w:r>
          </w:p>
        </w:tc>
      </w:tr>
      <w:tr w:rsidR="002C0998" w:rsidRPr="003005A6" w14:paraId="556A2245" w14:textId="77777777" w:rsidTr="00594C64">
        <w:tc>
          <w:tcPr>
            <w:tcW w:w="709" w:type="dxa"/>
            <w:shd w:val="clear" w:color="auto" w:fill="auto"/>
          </w:tcPr>
          <w:p w14:paraId="2DD3D059" w14:textId="77777777" w:rsidR="002C0998" w:rsidRDefault="002C0998" w:rsidP="00594C64">
            <w:pPr>
              <w:spacing w:before="40" w:after="40" w:line="240" w:lineRule="auto"/>
              <w:ind w:right="113"/>
            </w:pPr>
            <w:r w:rsidRPr="006C1701">
              <w:t>2</w:t>
            </w:r>
          </w:p>
          <w:p w14:paraId="31ECB755" w14:textId="77777777" w:rsidR="002C0998" w:rsidRPr="006C1701" w:rsidRDefault="002C0998" w:rsidP="00594C64">
            <w:pPr>
              <w:spacing w:before="40" w:after="40" w:line="240" w:lineRule="auto"/>
              <w:ind w:right="113"/>
            </w:pPr>
          </w:p>
        </w:tc>
        <w:tc>
          <w:tcPr>
            <w:tcW w:w="2388" w:type="dxa"/>
            <w:shd w:val="clear" w:color="auto" w:fill="auto"/>
          </w:tcPr>
          <w:p w14:paraId="6141F8EA" w14:textId="77777777" w:rsidR="002C0998" w:rsidRPr="000D3A87" w:rsidRDefault="002C0998" w:rsidP="00594C64">
            <w:pPr>
              <w:spacing w:before="40" w:after="40" w:line="240" w:lineRule="auto"/>
              <w:ind w:right="113"/>
            </w:pPr>
            <w:r w:rsidRPr="00D06B93">
              <w:t>Achieving carbon neutrality through hydrogen</w:t>
            </w:r>
          </w:p>
        </w:tc>
        <w:tc>
          <w:tcPr>
            <w:tcW w:w="1100" w:type="dxa"/>
            <w:shd w:val="clear" w:color="auto" w:fill="auto"/>
          </w:tcPr>
          <w:p w14:paraId="3AF71C53" w14:textId="77777777" w:rsidR="002C0998" w:rsidRDefault="002C0998" w:rsidP="00594C64">
            <w:pPr>
              <w:spacing w:before="40" w:after="40" w:line="240" w:lineRule="auto"/>
              <w:ind w:right="113"/>
            </w:pPr>
            <w:r w:rsidRPr="00F37392">
              <w:t>202</w:t>
            </w:r>
            <w:r>
              <w:t>2</w:t>
            </w:r>
          </w:p>
          <w:p w14:paraId="35066489" w14:textId="77777777" w:rsidR="002C0998" w:rsidRPr="00F37392" w:rsidRDefault="002C0998" w:rsidP="00594C64">
            <w:pPr>
              <w:spacing w:before="40" w:after="40" w:line="240" w:lineRule="auto"/>
              <w:ind w:right="113"/>
            </w:pPr>
          </w:p>
        </w:tc>
        <w:tc>
          <w:tcPr>
            <w:tcW w:w="962" w:type="dxa"/>
            <w:shd w:val="clear" w:color="auto" w:fill="auto"/>
          </w:tcPr>
          <w:p w14:paraId="514BA114" w14:textId="77777777" w:rsidR="002C0998" w:rsidRPr="00F37392" w:rsidRDefault="002C0998" w:rsidP="00594C64">
            <w:pPr>
              <w:spacing w:before="40" w:after="40" w:line="240" w:lineRule="auto"/>
              <w:ind w:right="113"/>
              <w:rPr>
                <w:lang w:val="en-US"/>
              </w:rPr>
            </w:pPr>
            <w:r w:rsidRPr="00F37392">
              <w:rPr>
                <w:lang w:val="en-US"/>
              </w:rPr>
              <w:t>Print and electronic</w:t>
            </w:r>
          </w:p>
        </w:tc>
        <w:tc>
          <w:tcPr>
            <w:tcW w:w="1238" w:type="dxa"/>
            <w:shd w:val="clear" w:color="auto" w:fill="auto"/>
          </w:tcPr>
          <w:p w14:paraId="5D6F56C7" w14:textId="77777777" w:rsidR="002C0998" w:rsidRPr="00F37392" w:rsidRDefault="002C0998" w:rsidP="00594C64">
            <w:pPr>
              <w:spacing w:before="40" w:after="40" w:line="240" w:lineRule="auto"/>
              <w:ind w:right="113"/>
            </w:pPr>
            <w:r>
              <w:t>150</w:t>
            </w:r>
          </w:p>
        </w:tc>
        <w:tc>
          <w:tcPr>
            <w:tcW w:w="875" w:type="dxa"/>
            <w:shd w:val="clear" w:color="auto" w:fill="auto"/>
          </w:tcPr>
          <w:p w14:paraId="1360FA52" w14:textId="77777777" w:rsidR="002C0998" w:rsidRDefault="002C0998" w:rsidP="00594C64">
            <w:pPr>
              <w:spacing w:before="40" w:after="40" w:line="240" w:lineRule="auto"/>
              <w:ind w:right="113"/>
            </w:pPr>
            <w:r w:rsidRPr="00F37392">
              <w:t>E</w:t>
            </w:r>
          </w:p>
          <w:p w14:paraId="0A6FD018" w14:textId="77777777" w:rsidR="002C0998" w:rsidRPr="00F37392" w:rsidRDefault="002C0998" w:rsidP="00594C64">
            <w:pPr>
              <w:spacing w:before="40" w:after="40" w:line="240" w:lineRule="auto"/>
              <w:ind w:right="113"/>
            </w:pPr>
          </w:p>
        </w:tc>
        <w:tc>
          <w:tcPr>
            <w:tcW w:w="1012" w:type="dxa"/>
            <w:shd w:val="clear" w:color="auto" w:fill="auto"/>
          </w:tcPr>
          <w:p w14:paraId="7E8ED3F3" w14:textId="77777777" w:rsidR="002C0998" w:rsidRDefault="002C0998" w:rsidP="00594C64">
            <w:pPr>
              <w:spacing w:before="40" w:after="40" w:line="240" w:lineRule="auto"/>
              <w:ind w:right="113"/>
              <w:rPr>
                <w:lang w:val="de-DE"/>
              </w:rPr>
            </w:pPr>
            <w:r w:rsidRPr="00F37392">
              <w:rPr>
                <w:lang w:val="de-DE"/>
              </w:rPr>
              <w:t>F, R</w:t>
            </w:r>
          </w:p>
          <w:p w14:paraId="48660A10" w14:textId="77777777" w:rsidR="002C0998" w:rsidRPr="00F37392" w:rsidRDefault="002C0998" w:rsidP="00594C64">
            <w:pPr>
              <w:spacing w:before="40" w:after="40" w:line="240" w:lineRule="auto"/>
              <w:ind w:right="113"/>
            </w:pPr>
          </w:p>
        </w:tc>
        <w:tc>
          <w:tcPr>
            <w:tcW w:w="1355" w:type="dxa"/>
            <w:shd w:val="clear" w:color="auto" w:fill="auto"/>
          </w:tcPr>
          <w:p w14:paraId="0D9CDA29" w14:textId="77777777" w:rsidR="002C0998" w:rsidRPr="00295FC0" w:rsidRDefault="002C0998" w:rsidP="00594C64">
            <w:pPr>
              <w:spacing w:before="40" w:after="40" w:line="240" w:lineRule="auto"/>
              <w:ind w:right="113"/>
              <w:rPr>
                <w:lang w:val="es-ES"/>
              </w:rPr>
            </w:pPr>
            <w:r w:rsidRPr="00F37392">
              <w:rPr>
                <w:lang w:val="de-DE"/>
              </w:rPr>
              <w:t>500E, 100F, 400R</w:t>
            </w:r>
          </w:p>
        </w:tc>
      </w:tr>
      <w:tr w:rsidR="002C0998" w:rsidRPr="003B5B19" w14:paraId="082A2794" w14:textId="77777777" w:rsidTr="00594C64">
        <w:tc>
          <w:tcPr>
            <w:tcW w:w="709" w:type="dxa"/>
            <w:shd w:val="clear" w:color="auto" w:fill="auto"/>
          </w:tcPr>
          <w:p w14:paraId="63B1A6ED" w14:textId="77777777" w:rsidR="002C0998" w:rsidRDefault="002C0998" w:rsidP="00594C64">
            <w:pPr>
              <w:spacing w:before="40" w:after="40" w:line="240" w:lineRule="auto"/>
              <w:ind w:right="113"/>
            </w:pPr>
            <w:r>
              <w:lastRenderedPageBreak/>
              <w:t>3</w:t>
            </w:r>
          </w:p>
        </w:tc>
        <w:tc>
          <w:tcPr>
            <w:tcW w:w="2388" w:type="dxa"/>
            <w:shd w:val="clear" w:color="auto" w:fill="auto"/>
          </w:tcPr>
          <w:p w14:paraId="315DC796" w14:textId="77777777" w:rsidR="002C0998" w:rsidRDefault="002C0998" w:rsidP="00594C64">
            <w:pPr>
              <w:spacing w:before="40" w:after="40" w:line="240" w:lineRule="auto"/>
              <w:ind w:right="113"/>
            </w:pPr>
            <w:r>
              <w:t xml:space="preserve">Carbon neutrality in the ECE region: </w:t>
            </w:r>
            <w:r w:rsidRPr="00955C86">
              <w:t>Integrated life cycle management of electricity sources</w:t>
            </w:r>
          </w:p>
        </w:tc>
        <w:tc>
          <w:tcPr>
            <w:tcW w:w="1100" w:type="dxa"/>
            <w:shd w:val="clear" w:color="auto" w:fill="auto"/>
          </w:tcPr>
          <w:p w14:paraId="75BE9823" w14:textId="77777777" w:rsidR="002C0998" w:rsidRDefault="002C0998" w:rsidP="00594C64">
            <w:pPr>
              <w:spacing w:before="40" w:after="40" w:line="240" w:lineRule="auto"/>
              <w:ind w:right="113"/>
            </w:pPr>
            <w:r>
              <w:t>2022</w:t>
            </w:r>
          </w:p>
        </w:tc>
        <w:tc>
          <w:tcPr>
            <w:tcW w:w="962" w:type="dxa"/>
            <w:shd w:val="clear" w:color="auto" w:fill="auto"/>
          </w:tcPr>
          <w:p w14:paraId="2BDF5DF8" w14:textId="77777777" w:rsidR="002C0998" w:rsidRPr="00F37392" w:rsidRDefault="002C0998" w:rsidP="00594C64">
            <w:pPr>
              <w:spacing w:before="40" w:after="40" w:line="240" w:lineRule="auto"/>
              <w:ind w:right="113"/>
              <w:rPr>
                <w:lang w:val="en-US"/>
              </w:rPr>
            </w:pPr>
            <w:r>
              <w:rPr>
                <w:lang w:val="en-US"/>
              </w:rPr>
              <w:t>Print and electronic</w:t>
            </w:r>
          </w:p>
        </w:tc>
        <w:tc>
          <w:tcPr>
            <w:tcW w:w="1238" w:type="dxa"/>
            <w:shd w:val="clear" w:color="auto" w:fill="auto"/>
          </w:tcPr>
          <w:p w14:paraId="3324B242" w14:textId="77777777" w:rsidR="002C0998" w:rsidRDefault="002C0998" w:rsidP="00594C64">
            <w:pPr>
              <w:spacing w:before="40" w:after="40" w:line="240" w:lineRule="auto"/>
              <w:ind w:right="113"/>
            </w:pPr>
            <w:r>
              <w:t>150</w:t>
            </w:r>
          </w:p>
        </w:tc>
        <w:tc>
          <w:tcPr>
            <w:tcW w:w="875" w:type="dxa"/>
            <w:shd w:val="clear" w:color="auto" w:fill="auto"/>
          </w:tcPr>
          <w:p w14:paraId="21D76C8A" w14:textId="77777777" w:rsidR="002C0998" w:rsidRDefault="002C0998" w:rsidP="00594C64">
            <w:pPr>
              <w:spacing w:before="40" w:after="40" w:line="240" w:lineRule="auto"/>
              <w:ind w:right="113"/>
            </w:pPr>
            <w:r>
              <w:t>E</w:t>
            </w:r>
          </w:p>
        </w:tc>
        <w:tc>
          <w:tcPr>
            <w:tcW w:w="1012" w:type="dxa"/>
            <w:shd w:val="clear" w:color="auto" w:fill="auto"/>
          </w:tcPr>
          <w:p w14:paraId="606BA673" w14:textId="77777777" w:rsidR="002C0998" w:rsidRPr="00204100" w:rsidRDefault="002C0998" w:rsidP="00594C64">
            <w:pPr>
              <w:spacing w:before="40" w:after="40" w:line="240" w:lineRule="auto"/>
              <w:ind w:right="113"/>
              <w:rPr>
                <w:lang w:val="en-US"/>
              </w:rPr>
            </w:pPr>
            <w:r>
              <w:rPr>
                <w:lang w:val="en-US"/>
              </w:rPr>
              <w:t>F, R</w:t>
            </w:r>
          </w:p>
        </w:tc>
        <w:tc>
          <w:tcPr>
            <w:tcW w:w="1355" w:type="dxa"/>
            <w:shd w:val="clear" w:color="auto" w:fill="auto"/>
          </w:tcPr>
          <w:p w14:paraId="1CDD6C16" w14:textId="77777777" w:rsidR="002C0998" w:rsidRDefault="002C0998" w:rsidP="00594C64">
            <w:pPr>
              <w:spacing w:before="40" w:after="40" w:line="240" w:lineRule="auto"/>
              <w:ind w:right="113"/>
              <w:rPr>
                <w:lang w:val="de-DE"/>
              </w:rPr>
            </w:pPr>
            <w:r w:rsidRPr="00F37392">
              <w:rPr>
                <w:lang w:val="de-DE"/>
              </w:rPr>
              <w:t>500E, 100F, 400R</w:t>
            </w:r>
          </w:p>
          <w:p w14:paraId="75884774" w14:textId="77777777" w:rsidR="002C0998" w:rsidRPr="00741884" w:rsidRDefault="002C0998" w:rsidP="00594C64">
            <w:pPr>
              <w:spacing w:before="40" w:after="40" w:line="240" w:lineRule="auto"/>
              <w:ind w:right="113"/>
            </w:pPr>
          </w:p>
        </w:tc>
      </w:tr>
      <w:tr w:rsidR="002C0998" w:rsidRPr="003B5B19" w14:paraId="2A0AE382" w14:textId="77777777" w:rsidTr="00594C64">
        <w:tc>
          <w:tcPr>
            <w:tcW w:w="709" w:type="dxa"/>
            <w:shd w:val="clear" w:color="auto" w:fill="auto"/>
          </w:tcPr>
          <w:p w14:paraId="543D04BF" w14:textId="77777777" w:rsidR="002C0998" w:rsidRDefault="002C0998" w:rsidP="00594C64">
            <w:pPr>
              <w:spacing w:before="40" w:after="40" w:line="240" w:lineRule="auto"/>
              <w:ind w:right="113"/>
            </w:pPr>
            <w:r>
              <w:t>4</w:t>
            </w:r>
          </w:p>
        </w:tc>
        <w:tc>
          <w:tcPr>
            <w:tcW w:w="2388" w:type="dxa"/>
            <w:shd w:val="clear" w:color="auto" w:fill="auto"/>
          </w:tcPr>
          <w:p w14:paraId="43EC0521" w14:textId="77777777" w:rsidR="002C0998" w:rsidRPr="003B5B19" w:rsidRDefault="002C0998" w:rsidP="00594C64">
            <w:pPr>
              <w:spacing w:before="40" w:after="40" w:line="240" w:lineRule="auto"/>
              <w:ind w:right="113"/>
            </w:pPr>
            <w:r>
              <w:t>United Nations Resource Management System</w:t>
            </w:r>
          </w:p>
        </w:tc>
        <w:tc>
          <w:tcPr>
            <w:tcW w:w="1100" w:type="dxa"/>
            <w:shd w:val="clear" w:color="auto" w:fill="auto"/>
          </w:tcPr>
          <w:p w14:paraId="508D927D" w14:textId="77777777" w:rsidR="002C0998" w:rsidRPr="003B5B19" w:rsidRDefault="002C0998" w:rsidP="00594C64">
            <w:pPr>
              <w:spacing w:before="40" w:after="40" w:line="240" w:lineRule="auto"/>
              <w:ind w:right="113"/>
            </w:pPr>
            <w:r>
              <w:t>2022</w:t>
            </w:r>
          </w:p>
        </w:tc>
        <w:tc>
          <w:tcPr>
            <w:tcW w:w="962" w:type="dxa"/>
            <w:shd w:val="clear" w:color="auto" w:fill="auto"/>
          </w:tcPr>
          <w:p w14:paraId="62399488" w14:textId="77777777" w:rsidR="002C0998" w:rsidRPr="003B5B19" w:rsidRDefault="002C0998" w:rsidP="00594C64">
            <w:pPr>
              <w:spacing w:before="40" w:after="40" w:line="240" w:lineRule="auto"/>
              <w:ind w:right="113"/>
              <w:rPr>
                <w:lang w:val="en-US"/>
              </w:rPr>
            </w:pPr>
            <w:r w:rsidRPr="00F37392">
              <w:rPr>
                <w:lang w:val="en-US"/>
              </w:rPr>
              <w:t>Print and electronic</w:t>
            </w:r>
          </w:p>
        </w:tc>
        <w:tc>
          <w:tcPr>
            <w:tcW w:w="1238" w:type="dxa"/>
            <w:shd w:val="clear" w:color="auto" w:fill="auto"/>
          </w:tcPr>
          <w:p w14:paraId="56041E6A" w14:textId="77777777" w:rsidR="002C0998" w:rsidRPr="003B5B19" w:rsidRDefault="002C0998" w:rsidP="00594C64">
            <w:pPr>
              <w:spacing w:before="40" w:after="40" w:line="240" w:lineRule="auto"/>
              <w:ind w:right="113"/>
            </w:pPr>
            <w:r>
              <w:t>150</w:t>
            </w:r>
          </w:p>
        </w:tc>
        <w:tc>
          <w:tcPr>
            <w:tcW w:w="875" w:type="dxa"/>
            <w:shd w:val="clear" w:color="auto" w:fill="auto"/>
          </w:tcPr>
          <w:p w14:paraId="770FAFC2" w14:textId="77777777" w:rsidR="002C0998" w:rsidRPr="003B5B19" w:rsidRDefault="002C0998" w:rsidP="00594C64">
            <w:pPr>
              <w:spacing w:before="40" w:after="40" w:line="240" w:lineRule="auto"/>
              <w:ind w:right="113"/>
            </w:pPr>
            <w:r>
              <w:t>E</w:t>
            </w:r>
          </w:p>
        </w:tc>
        <w:tc>
          <w:tcPr>
            <w:tcW w:w="1012" w:type="dxa"/>
            <w:shd w:val="clear" w:color="auto" w:fill="auto"/>
          </w:tcPr>
          <w:p w14:paraId="2FD68ADB" w14:textId="77777777" w:rsidR="002C0998" w:rsidRPr="00741884" w:rsidRDefault="002C0998" w:rsidP="00594C64">
            <w:pPr>
              <w:spacing w:before="40" w:after="40" w:line="240" w:lineRule="auto"/>
              <w:ind w:right="113"/>
            </w:pPr>
            <w:r w:rsidRPr="00204100">
              <w:rPr>
                <w:lang w:val="en-US"/>
              </w:rPr>
              <w:t>A,C,F,R,S</w:t>
            </w:r>
          </w:p>
        </w:tc>
        <w:tc>
          <w:tcPr>
            <w:tcW w:w="1355" w:type="dxa"/>
            <w:shd w:val="clear" w:color="auto" w:fill="auto"/>
          </w:tcPr>
          <w:p w14:paraId="5499C441" w14:textId="77777777" w:rsidR="002C0998" w:rsidRPr="00741884" w:rsidRDefault="002C0998" w:rsidP="00594C64">
            <w:pPr>
              <w:spacing w:before="40" w:after="40" w:line="240" w:lineRule="auto"/>
              <w:ind w:right="113"/>
            </w:pPr>
            <w:r>
              <w:rPr>
                <w:lang w:val="de-DE"/>
              </w:rPr>
              <w:t xml:space="preserve">100A, 100C, </w:t>
            </w:r>
            <w:r w:rsidRPr="00F37392">
              <w:rPr>
                <w:lang w:val="de-DE"/>
              </w:rPr>
              <w:t xml:space="preserve">500E, </w:t>
            </w:r>
            <w:r>
              <w:rPr>
                <w:lang w:val="de-DE"/>
              </w:rPr>
              <w:t>3</w:t>
            </w:r>
            <w:r w:rsidRPr="00F37392">
              <w:rPr>
                <w:lang w:val="de-DE"/>
              </w:rPr>
              <w:t>00F, 400R</w:t>
            </w:r>
            <w:r>
              <w:rPr>
                <w:lang w:val="de-DE"/>
              </w:rPr>
              <w:t>, 300S</w:t>
            </w:r>
          </w:p>
        </w:tc>
      </w:tr>
      <w:tr w:rsidR="002C0998" w:rsidRPr="003B5B19" w14:paraId="04A1998F" w14:textId="77777777" w:rsidTr="00594C64">
        <w:tc>
          <w:tcPr>
            <w:tcW w:w="709" w:type="dxa"/>
            <w:tcBorders>
              <w:bottom w:val="single" w:sz="12" w:space="0" w:color="auto"/>
            </w:tcBorders>
            <w:shd w:val="clear" w:color="auto" w:fill="auto"/>
          </w:tcPr>
          <w:p w14:paraId="7EC6A94C" w14:textId="77777777" w:rsidR="002C0998" w:rsidRPr="003B5B19" w:rsidRDefault="002C0998" w:rsidP="00594C64">
            <w:pPr>
              <w:spacing w:before="40" w:after="40" w:line="240" w:lineRule="auto"/>
              <w:ind w:right="113"/>
            </w:pPr>
            <w:r>
              <w:t>5</w:t>
            </w:r>
          </w:p>
        </w:tc>
        <w:tc>
          <w:tcPr>
            <w:tcW w:w="2388" w:type="dxa"/>
            <w:tcBorders>
              <w:bottom w:val="single" w:sz="12" w:space="0" w:color="auto"/>
            </w:tcBorders>
            <w:shd w:val="clear" w:color="auto" w:fill="auto"/>
          </w:tcPr>
          <w:p w14:paraId="2659B5DB" w14:textId="77777777" w:rsidR="002C0998" w:rsidRPr="003B5B19" w:rsidRDefault="002C0998" w:rsidP="00594C64">
            <w:pPr>
              <w:spacing w:before="40" w:after="40" w:line="240" w:lineRule="auto"/>
              <w:ind w:right="113"/>
            </w:pPr>
            <w:r w:rsidRPr="003B5B19">
              <w:t xml:space="preserve">Renewable Energy Status Report in the ECE Region </w:t>
            </w:r>
          </w:p>
        </w:tc>
        <w:tc>
          <w:tcPr>
            <w:tcW w:w="1100" w:type="dxa"/>
            <w:tcBorders>
              <w:bottom w:val="single" w:sz="12" w:space="0" w:color="auto"/>
            </w:tcBorders>
            <w:shd w:val="clear" w:color="auto" w:fill="auto"/>
          </w:tcPr>
          <w:p w14:paraId="5AA2661A" w14:textId="77777777" w:rsidR="002C0998" w:rsidRPr="003B5B19" w:rsidRDefault="002C0998" w:rsidP="00594C64">
            <w:pPr>
              <w:spacing w:before="40" w:after="40" w:line="240" w:lineRule="auto"/>
              <w:ind w:right="113"/>
            </w:pPr>
            <w:r w:rsidRPr="003B5B19">
              <w:t>20</w:t>
            </w:r>
            <w:r>
              <w:t>22</w:t>
            </w:r>
          </w:p>
          <w:p w14:paraId="2333E198" w14:textId="77777777" w:rsidR="002C0998" w:rsidRPr="003B5B19" w:rsidRDefault="002C0998" w:rsidP="00594C64">
            <w:pPr>
              <w:spacing w:before="40" w:after="40" w:line="240" w:lineRule="auto"/>
              <w:ind w:right="113"/>
            </w:pPr>
          </w:p>
        </w:tc>
        <w:tc>
          <w:tcPr>
            <w:tcW w:w="962" w:type="dxa"/>
            <w:tcBorders>
              <w:bottom w:val="single" w:sz="12" w:space="0" w:color="auto"/>
            </w:tcBorders>
            <w:shd w:val="clear" w:color="auto" w:fill="auto"/>
          </w:tcPr>
          <w:p w14:paraId="18623826" w14:textId="77777777" w:rsidR="002C0998" w:rsidRPr="003B5B19" w:rsidRDefault="002C0998" w:rsidP="00594C64">
            <w:pPr>
              <w:spacing w:before="40" w:after="40" w:line="240" w:lineRule="auto"/>
              <w:ind w:right="113"/>
              <w:rPr>
                <w:lang w:val="en-US"/>
              </w:rPr>
            </w:pPr>
            <w:r w:rsidRPr="003B5B19">
              <w:rPr>
                <w:lang w:val="en-US"/>
              </w:rPr>
              <w:t>Print and electronic</w:t>
            </w:r>
          </w:p>
        </w:tc>
        <w:tc>
          <w:tcPr>
            <w:tcW w:w="1238" w:type="dxa"/>
            <w:tcBorders>
              <w:bottom w:val="single" w:sz="12" w:space="0" w:color="auto"/>
            </w:tcBorders>
            <w:shd w:val="clear" w:color="auto" w:fill="auto"/>
          </w:tcPr>
          <w:p w14:paraId="0B10B890" w14:textId="77777777" w:rsidR="002C0998" w:rsidRPr="003B5B19" w:rsidRDefault="002C0998" w:rsidP="00594C64">
            <w:pPr>
              <w:spacing w:before="40" w:after="40" w:line="240" w:lineRule="auto"/>
              <w:ind w:right="113"/>
            </w:pPr>
            <w:r w:rsidRPr="003B5B19">
              <w:t>1</w:t>
            </w:r>
            <w:r>
              <w:t>2</w:t>
            </w:r>
            <w:r w:rsidRPr="003B5B19">
              <w:t>0</w:t>
            </w:r>
          </w:p>
          <w:p w14:paraId="1B852CFA" w14:textId="77777777" w:rsidR="002C0998" w:rsidRPr="003B5B19" w:rsidRDefault="002C0998" w:rsidP="00594C64">
            <w:pPr>
              <w:spacing w:before="40" w:after="40" w:line="240" w:lineRule="auto"/>
              <w:ind w:right="113"/>
            </w:pPr>
          </w:p>
        </w:tc>
        <w:tc>
          <w:tcPr>
            <w:tcW w:w="875" w:type="dxa"/>
            <w:tcBorders>
              <w:bottom w:val="single" w:sz="12" w:space="0" w:color="auto"/>
            </w:tcBorders>
            <w:shd w:val="clear" w:color="auto" w:fill="auto"/>
          </w:tcPr>
          <w:p w14:paraId="5F1B434B" w14:textId="77777777" w:rsidR="002C0998" w:rsidRPr="003B5B19" w:rsidRDefault="002C0998" w:rsidP="00594C64">
            <w:pPr>
              <w:spacing w:before="40" w:after="40" w:line="240" w:lineRule="auto"/>
              <w:ind w:right="113"/>
            </w:pPr>
            <w:r w:rsidRPr="003B5B19">
              <w:t>E</w:t>
            </w:r>
          </w:p>
        </w:tc>
        <w:tc>
          <w:tcPr>
            <w:tcW w:w="1012" w:type="dxa"/>
            <w:tcBorders>
              <w:bottom w:val="single" w:sz="12" w:space="0" w:color="auto"/>
            </w:tcBorders>
            <w:shd w:val="clear" w:color="auto" w:fill="auto"/>
          </w:tcPr>
          <w:p w14:paraId="33F1713C" w14:textId="77777777" w:rsidR="002C0998" w:rsidRPr="00A00093" w:rsidRDefault="002C0998" w:rsidP="00594C64">
            <w:pPr>
              <w:spacing w:before="40" w:after="40" w:line="240" w:lineRule="auto"/>
              <w:ind w:right="113"/>
              <w:rPr>
                <w:lang w:val="de-DE"/>
              </w:rPr>
            </w:pPr>
            <w:r w:rsidRPr="00A00093">
              <w:rPr>
                <w:lang w:val="de-DE"/>
              </w:rPr>
              <w:t>F, R</w:t>
            </w:r>
          </w:p>
        </w:tc>
        <w:tc>
          <w:tcPr>
            <w:tcW w:w="1355" w:type="dxa"/>
            <w:tcBorders>
              <w:bottom w:val="single" w:sz="12" w:space="0" w:color="auto"/>
            </w:tcBorders>
            <w:shd w:val="clear" w:color="auto" w:fill="auto"/>
          </w:tcPr>
          <w:p w14:paraId="5091CE3B" w14:textId="77777777" w:rsidR="002C0998" w:rsidRPr="003B5B19" w:rsidRDefault="002C0998" w:rsidP="00594C64">
            <w:pPr>
              <w:spacing w:before="40" w:after="40" w:line="240" w:lineRule="auto"/>
              <w:ind w:right="113"/>
              <w:rPr>
                <w:lang w:val="de-DE"/>
              </w:rPr>
            </w:pPr>
            <w:r w:rsidRPr="003B5B19">
              <w:rPr>
                <w:lang w:val="de-DE"/>
              </w:rPr>
              <w:t xml:space="preserve">500E, 100F, 400R </w:t>
            </w:r>
          </w:p>
        </w:tc>
      </w:tr>
    </w:tbl>
    <w:p w14:paraId="429789E9" w14:textId="77DFB175" w:rsidR="005A7560" w:rsidRPr="002C0998" w:rsidRDefault="002C0998" w:rsidP="002C0998">
      <w:pPr>
        <w:spacing w:before="240"/>
        <w:jc w:val="center"/>
        <w:rPr>
          <w:u w:val="single"/>
        </w:rPr>
      </w:pPr>
      <w:r>
        <w:rPr>
          <w:u w:val="single"/>
        </w:rPr>
        <w:tab/>
      </w:r>
      <w:r>
        <w:rPr>
          <w:u w:val="single"/>
        </w:rPr>
        <w:tab/>
      </w:r>
      <w:r>
        <w:rPr>
          <w:u w:val="single"/>
        </w:rPr>
        <w:tab/>
      </w:r>
    </w:p>
    <w:p w14:paraId="6E97D7CC" w14:textId="77777777" w:rsidR="005A7560" w:rsidRPr="00B77AF8" w:rsidRDefault="005A7560" w:rsidP="005A7560"/>
    <w:bookmarkEnd w:id="11"/>
    <w:bookmarkEnd w:id="3"/>
    <w:p w14:paraId="32E57D5A" w14:textId="009264C6" w:rsidR="001C6663" w:rsidRPr="002C0998" w:rsidRDefault="001C6663" w:rsidP="002C0998">
      <w:pPr>
        <w:suppressAutoHyphens w:val="0"/>
        <w:spacing w:line="240" w:lineRule="auto"/>
        <w:rPr>
          <w:b/>
          <w:bCs/>
          <w:sz w:val="28"/>
          <w:szCs w:val="28"/>
        </w:rPr>
      </w:pPr>
    </w:p>
    <w:sectPr w:rsidR="001C6663" w:rsidRPr="002C0998" w:rsidSect="00F64C5C">
      <w:headerReference w:type="even" r:id="rId14"/>
      <w:headerReference w:type="default" r:id="rId15"/>
      <w:footerReference w:type="even" r:id="rId16"/>
      <w:footerReference w:type="defaul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AD5CA" w14:textId="77777777" w:rsidR="00F10D9F" w:rsidRDefault="00F10D9F"/>
  </w:endnote>
  <w:endnote w:type="continuationSeparator" w:id="0">
    <w:p w14:paraId="050959AF" w14:textId="77777777" w:rsidR="00F10D9F" w:rsidRDefault="00F10D9F"/>
  </w:endnote>
  <w:endnote w:type="continuationNotice" w:id="1">
    <w:p w14:paraId="00E2C49B" w14:textId="77777777" w:rsidR="00F10D9F" w:rsidRDefault="00F10D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34653" w14:textId="77777777" w:rsidR="00F10D9F" w:rsidRPr="00F64C5C" w:rsidRDefault="00F10D9F" w:rsidP="00F64C5C">
    <w:pPr>
      <w:pStyle w:val="Footer"/>
      <w:tabs>
        <w:tab w:val="right" w:pos="9638"/>
      </w:tabs>
      <w:rPr>
        <w:sz w:val="18"/>
      </w:rPr>
    </w:pPr>
    <w:r w:rsidRPr="00F64C5C">
      <w:rPr>
        <w:b/>
        <w:sz w:val="18"/>
      </w:rPr>
      <w:fldChar w:fldCharType="begin"/>
    </w:r>
    <w:r w:rsidRPr="00F64C5C">
      <w:rPr>
        <w:b/>
        <w:sz w:val="18"/>
      </w:rPr>
      <w:instrText xml:space="preserve"> PAGE  \* MERGEFORMAT </w:instrText>
    </w:r>
    <w:r w:rsidRPr="00F64C5C">
      <w:rPr>
        <w:b/>
        <w:sz w:val="18"/>
      </w:rPr>
      <w:fldChar w:fldCharType="separate"/>
    </w:r>
    <w:r w:rsidRPr="00F64C5C">
      <w:rPr>
        <w:b/>
        <w:noProof/>
        <w:sz w:val="18"/>
      </w:rPr>
      <w:t>2</w:t>
    </w:r>
    <w:r w:rsidRPr="00F64C5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D494A" w14:textId="77777777" w:rsidR="00F10D9F" w:rsidRPr="00F64C5C" w:rsidRDefault="00F10D9F" w:rsidP="00F64C5C">
    <w:pPr>
      <w:pStyle w:val="Footer"/>
      <w:tabs>
        <w:tab w:val="right" w:pos="9638"/>
      </w:tabs>
      <w:rPr>
        <w:b/>
        <w:sz w:val="18"/>
      </w:rPr>
    </w:pPr>
    <w:r>
      <w:tab/>
    </w:r>
    <w:r w:rsidRPr="00F64C5C">
      <w:rPr>
        <w:b/>
        <w:sz w:val="18"/>
      </w:rPr>
      <w:fldChar w:fldCharType="begin"/>
    </w:r>
    <w:r w:rsidRPr="00F64C5C">
      <w:rPr>
        <w:b/>
        <w:sz w:val="18"/>
      </w:rPr>
      <w:instrText xml:space="preserve"> PAGE  \* MERGEFORMAT </w:instrText>
    </w:r>
    <w:r w:rsidRPr="00F64C5C">
      <w:rPr>
        <w:b/>
        <w:sz w:val="18"/>
      </w:rPr>
      <w:fldChar w:fldCharType="separate"/>
    </w:r>
    <w:r w:rsidRPr="00F64C5C">
      <w:rPr>
        <w:b/>
        <w:noProof/>
        <w:sz w:val="18"/>
      </w:rPr>
      <w:t>3</w:t>
    </w:r>
    <w:r w:rsidRPr="00F64C5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9E262" w14:textId="77777777" w:rsidR="00F10D9F" w:rsidRPr="00F64C5C" w:rsidRDefault="00F10D9F">
    <w:pPr>
      <w:pStyle w:val="Footer"/>
      <w:rPr>
        <w:sz w:val="20"/>
      </w:rPr>
    </w:pPr>
    <w:r>
      <w:rPr>
        <w:noProof/>
        <w:lang w:val="fr-CH" w:eastAsia="fr-CH"/>
      </w:rPr>
      <w:drawing>
        <wp:anchor distT="0" distB="0" distL="114300" distR="114300" simplePos="0" relativeHeight="251657728" behindDoc="0" locked="1" layoutInCell="1" allowOverlap="1" wp14:anchorId="25D9AC25" wp14:editId="2AADC7CE">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E4AF0" w14:textId="77777777" w:rsidR="00F10D9F" w:rsidRPr="000B175B" w:rsidRDefault="00F10D9F" w:rsidP="000B175B">
      <w:pPr>
        <w:tabs>
          <w:tab w:val="right" w:pos="2155"/>
        </w:tabs>
        <w:spacing w:after="80"/>
        <w:ind w:left="680"/>
        <w:rPr>
          <w:u w:val="single"/>
        </w:rPr>
      </w:pPr>
      <w:r>
        <w:rPr>
          <w:u w:val="single"/>
        </w:rPr>
        <w:tab/>
      </w:r>
    </w:p>
  </w:footnote>
  <w:footnote w:type="continuationSeparator" w:id="0">
    <w:p w14:paraId="1B20C313" w14:textId="77777777" w:rsidR="00F10D9F" w:rsidRPr="00FC68B7" w:rsidRDefault="00F10D9F" w:rsidP="00FC68B7">
      <w:pPr>
        <w:tabs>
          <w:tab w:val="left" w:pos="2155"/>
        </w:tabs>
        <w:spacing w:after="80"/>
        <w:ind w:left="680"/>
        <w:rPr>
          <w:u w:val="single"/>
        </w:rPr>
      </w:pPr>
      <w:r>
        <w:rPr>
          <w:u w:val="single"/>
        </w:rPr>
        <w:tab/>
      </w:r>
    </w:p>
  </w:footnote>
  <w:footnote w:type="continuationNotice" w:id="1">
    <w:p w14:paraId="3BD6E845" w14:textId="77777777" w:rsidR="00F10D9F" w:rsidRDefault="00F10D9F"/>
  </w:footnote>
  <w:footnote w:id="2">
    <w:p w14:paraId="445CA5E6" w14:textId="0E58EB77" w:rsidR="00346F33" w:rsidRPr="00346F33" w:rsidRDefault="00346F33">
      <w:pPr>
        <w:pStyle w:val="FootnoteText"/>
        <w:rPr>
          <w:lang w:val="fr-CH"/>
        </w:rPr>
      </w:pPr>
      <w:r>
        <w:rPr>
          <w:rStyle w:val="FootnoteReference"/>
        </w:rPr>
        <w:footnoteRef/>
      </w:r>
      <w:r>
        <w:t xml:space="preserve"> </w:t>
      </w:r>
      <w:r w:rsidRPr="00346F33">
        <w:t>https://www.unece.org/fileadmin/DAM/env/documents/2013/ece/e.ece.1464.e.ECE2005ReformOutcomes.pdf</w:t>
      </w:r>
    </w:p>
  </w:footnote>
  <w:footnote w:id="3">
    <w:p w14:paraId="2E6A95B5" w14:textId="6E08422C" w:rsidR="00D86751" w:rsidRPr="00D86751" w:rsidRDefault="00D86751">
      <w:pPr>
        <w:pStyle w:val="FootnoteText"/>
        <w:rPr>
          <w:lang w:val="fr-CH"/>
        </w:rPr>
      </w:pPr>
      <w:r>
        <w:rPr>
          <w:rStyle w:val="FootnoteReference"/>
        </w:rPr>
        <w:footnoteRef/>
      </w:r>
      <w:r w:rsidRPr="00D86751">
        <w:rPr>
          <w:lang w:val="fr-CH"/>
        </w:rPr>
        <w:t xml:space="preserve"> https://undocs.org/E/ECE/778/Rev.5</w:t>
      </w:r>
    </w:p>
  </w:footnote>
  <w:footnote w:id="4">
    <w:p w14:paraId="5686AE69" w14:textId="77777777" w:rsidR="00F10D9F" w:rsidRPr="002B464B" w:rsidRDefault="00F10D9F" w:rsidP="00F35A4A">
      <w:pPr>
        <w:pStyle w:val="FootnoteText"/>
      </w:pPr>
      <w:r w:rsidRPr="00D86751">
        <w:rPr>
          <w:lang w:val="fr-CH"/>
        </w:rPr>
        <w:tab/>
      </w:r>
      <w:r w:rsidRPr="002B464B">
        <w:rPr>
          <w:rStyle w:val="FootnoteReference"/>
        </w:rPr>
        <w:footnoteRef/>
      </w:r>
      <w:r w:rsidRPr="002B464B">
        <w:rPr>
          <w:rStyle w:val="FootnoteReference"/>
        </w:rPr>
        <w:t xml:space="preserve"> </w:t>
      </w:r>
      <w:r>
        <w:tab/>
      </w:r>
      <w:r w:rsidRPr="0010436B">
        <w:rPr>
          <w:sz w:val="16"/>
          <w:szCs w:val="18"/>
        </w:rPr>
        <w:t>The Committee determined the role of the Chairs of the subsidiary bodies from 2014 [ECE/ENERGY/119, para. 13; ECE/ENERGY/99, para. 12].</w:t>
      </w:r>
    </w:p>
  </w:footnote>
  <w:footnote w:id="5">
    <w:p w14:paraId="2EBD1399" w14:textId="77777777" w:rsidR="00F10D9F" w:rsidRPr="002B464B" w:rsidRDefault="00F10D9F" w:rsidP="00F21D76">
      <w:pPr>
        <w:pStyle w:val="FootnoteText"/>
      </w:pPr>
      <w:r>
        <w:tab/>
      </w:r>
      <w:r>
        <w:rPr>
          <w:rStyle w:val="FootnoteReference"/>
        </w:rPr>
        <w:footnoteRef/>
      </w:r>
      <w:r>
        <w:tab/>
        <w:t xml:space="preserve"> </w:t>
      </w:r>
      <w:r w:rsidRPr="002B464B">
        <w:t>ECE/EX/2/Rev.1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AA420" w14:textId="3B52C184" w:rsidR="00F10D9F" w:rsidRPr="00F64C5C" w:rsidRDefault="001A3FCC">
    <w:pPr>
      <w:pStyle w:val="Header"/>
    </w:pPr>
    <w:fldSimple w:instr=" TITLE  \* MERGEFORMAT ">
      <w:r w:rsidR="00F10D9F">
        <w:t>ECE/ENERGY/133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757AE" w14:textId="7AB57427" w:rsidR="00F10D9F" w:rsidRPr="00F64C5C" w:rsidRDefault="001A3FCC" w:rsidP="00F64C5C">
    <w:pPr>
      <w:pStyle w:val="Header"/>
      <w:jc w:val="right"/>
    </w:pPr>
    <w:fldSimple w:instr=" TITLE  \* MERGEFORMAT ">
      <w:r w:rsidR="00F10D9F">
        <w:t>ECE/ENERGY/133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FC81B6D"/>
    <w:multiLevelType w:val="hybridMultilevel"/>
    <w:tmpl w:val="1EEE160C"/>
    <w:lvl w:ilvl="0" w:tplc="BA0E4CD6">
      <w:start w:val="1"/>
      <w:numFmt w:val="bullet"/>
      <w:lvlText w:val="₋"/>
      <w:lvlJc w:val="left"/>
      <w:pPr>
        <w:ind w:left="2070" w:hanging="360"/>
      </w:pPr>
      <w:rPr>
        <w:rFonts w:ascii="Calibri" w:hAnsi="Calibri" w:cs="Calibri" w:hint="default"/>
        <w:caps w:val="0"/>
        <w:strike w:val="0"/>
        <w:dstrike w:val="0"/>
        <w:vanish w:val="0"/>
        <w:vertAlign w:val="baseline"/>
      </w:rPr>
    </w:lvl>
    <w:lvl w:ilvl="1" w:tplc="08090003" w:tentative="1">
      <w:start w:val="1"/>
      <w:numFmt w:val="bullet"/>
      <w:lvlText w:val="o"/>
      <w:lvlJc w:val="left"/>
      <w:pPr>
        <w:ind w:left="2790" w:hanging="360"/>
      </w:pPr>
      <w:rPr>
        <w:rFonts w:ascii="Courier New" w:hAnsi="Courier New" w:cs="Courier New" w:hint="default"/>
      </w:rPr>
    </w:lvl>
    <w:lvl w:ilvl="2" w:tplc="08090005" w:tentative="1">
      <w:start w:val="1"/>
      <w:numFmt w:val="bullet"/>
      <w:lvlText w:val=""/>
      <w:lvlJc w:val="left"/>
      <w:pPr>
        <w:ind w:left="3510" w:hanging="360"/>
      </w:pPr>
      <w:rPr>
        <w:rFonts w:ascii="Wingdings" w:hAnsi="Wingdings" w:hint="default"/>
      </w:rPr>
    </w:lvl>
    <w:lvl w:ilvl="3" w:tplc="08090001" w:tentative="1">
      <w:start w:val="1"/>
      <w:numFmt w:val="bullet"/>
      <w:lvlText w:val=""/>
      <w:lvlJc w:val="left"/>
      <w:pPr>
        <w:ind w:left="4230" w:hanging="360"/>
      </w:pPr>
      <w:rPr>
        <w:rFonts w:ascii="Symbol" w:hAnsi="Symbol" w:hint="default"/>
      </w:rPr>
    </w:lvl>
    <w:lvl w:ilvl="4" w:tplc="08090003" w:tentative="1">
      <w:start w:val="1"/>
      <w:numFmt w:val="bullet"/>
      <w:lvlText w:val="o"/>
      <w:lvlJc w:val="left"/>
      <w:pPr>
        <w:ind w:left="4950" w:hanging="360"/>
      </w:pPr>
      <w:rPr>
        <w:rFonts w:ascii="Courier New" w:hAnsi="Courier New" w:cs="Courier New" w:hint="default"/>
      </w:rPr>
    </w:lvl>
    <w:lvl w:ilvl="5" w:tplc="08090005" w:tentative="1">
      <w:start w:val="1"/>
      <w:numFmt w:val="bullet"/>
      <w:lvlText w:val=""/>
      <w:lvlJc w:val="left"/>
      <w:pPr>
        <w:ind w:left="5670" w:hanging="360"/>
      </w:pPr>
      <w:rPr>
        <w:rFonts w:ascii="Wingdings" w:hAnsi="Wingdings" w:hint="default"/>
      </w:rPr>
    </w:lvl>
    <w:lvl w:ilvl="6" w:tplc="08090001" w:tentative="1">
      <w:start w:val="1"/>
      <w:numFmt w:val="bullet"/>
      <w:lvlText w:val=""/>
      <w:lvlJc w:val="left"/>
      <w:pPr>
        <w:ind w:left="6390" w:hanging="360"/>
      </w:pPr>
      <w:rPr>
        <w:rFonts w:ascii="Symbol" w:hAnsi="Symbol" w:hint="default"/>
      </w:rPr>
    </w:lvl>
    <w:lvl w:ilvl="7" w:tplc="08090003" w:tentative="1">
      <w:start w:val="1"/>
      <w:numFmt w:val="bullet"/>
      <w:lvlText w:val="o"/>
      <w:lvlJc w:val="left"/>
      <w:pPr>
        <w:ind w:left="7110" w:hanging="360"/>
      </w:pPr>
      <w:rPr>
        <w:rFonts w:ascii="Courier New" w:hAnsi="Courier New" w:cs="Courier New" w:hint="default"/>
      </w:rPr>
    </w:lvl>
    <w:lvl w:ilvl="8" w:tplc="08090005" w:tentative="1">
      <w:start w:val="1"/>
      <w:numFmt w:val="bullet"/>
      <w:lvlText w:val=""/>
      <w:lvlJc w:val="left"/>
      <w:pPr>
        <w:ind w:left="7830" w:hanging="360"/>
      </w:pPr>
      <w:rPr>
        <w:rFonts w:ascii="Wingdings" w:hAnsi="Wingdings" w:hint="default"/>
      </w:r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966229"/>
    <w:multiLevelType w:val="hybridMultilevel"/>
    <w:tmpl w:val="18E8F72E"/>
    <w:lvl w:ilvl="0" w:tplc="BA0E4CD6">
      <w:start w:val="1"/>
      <w:numFmt w:val="bullet"/>
      <w:lvlText w:val="₋"/>
      <w:lvlJc w:val="left"/>
      <w:pPr>
        <w:ind w:left="1854" w:hanging="360"/>
      </w:pPr>
      <w:rPr>
        <w:rFonts w:ascii="Calibri" w:hAnsi="Calibri" w:cs="Calibri" w:hint="default"/>
        <w:caps w:val="0"/>
        <w:strike w:val="0"/>
        <w:dstrike w:val="0"/>
        <w:vanish w:val="0"/>
        <w:vertAlign w:val="baseline"/>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30F14578"/>
    <w:multiLevelType w:val="hybridMultilevel"/>
    <w:tmpl w:val="AAA4FAEE"/>
    <w:lvl w:ilvl="0" w:tplc="49F81F7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9966829"/>
    <w:multiLevelType w:val="hybridMultilevel"/>
    <w:tmpl w:val="650E2C00"/>
    <w:lvl w:ilvl="0" w:tplc="5C940C9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43B832E6"/>
    <w:multiLevelType w:val="hybridMultilevel"/>
    <w:tmpl w:val="28F23EBC"/>
    <w:lvl w:ilvl="0" w:tplc="17F8D59A">
      <w:start w:val="3"/>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497004FC"/>
    <w:multiLevelType w:val="hybridMultilevel"/>
    <w:tmpl w:val="D3C85E70"/>
    <w:lvl w:ilvl="0" w:tplc="2612CEB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55CC341A"/>
    <w:multiLevelType w:val="hybridMultilevel"/>
    <w:tmpl w:val="CF56BE3A"/>
    <w:lvl w:ilvl="0" w:tplc="30429ECA">
      <w:start w:val="1"/>
      <w:numFmt w:val="lowerRoman"/>
      <w:lvlText w:val="(%1)"/>
      <w:lvlJc w:val="left"/>
      <w:pPr>
        <w:ind w:left="1800" w:hanging="360"/>
      </w:pPr>
      <w:rPr>
        <w:rFonts w:ascii="Times New Roman" w:eastAsia="Times New Roman" w:hAnsi="Times New Roman" w:cs="Times New Roman"/>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5BCF6458"/>
    <w:multiLevelType w:val="hybridMultilevel"/>
    <w:tmpl w:val="3E9C770C"/>
    <w:lvl w:ilvl="0" w:tplc="FD36B71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E675BED"/>
    <w:multiLevelType w:val="hybridMultilevel"/>
    <w:tmpl w:val="2D8E176C"/>
    <w:lvl w:ilvl="0" w:tplc="B61E09E6">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65925DC1"/>
    <w:multiLevelType w:val="hybridMultilevel"/>
    <w:tmpl w:val="94B0B57E"/>
    <w:lvl w:ilvl="0" w:tplc="38DA659C">
      <w:start w:val="1"/>
      <w:numFmt w:val="bullet"/>
      <w:pStyle w:val="Bullet1G"/>
      <w:lvlText w:val="•"/>
      <w:lvlJc w:val="left"/>
      <w:pPr>
        <w:tabs>
          <w:tab w:val="num" w:pos="1701"/>
        </w:tabs>
        <w:ind w:left="1701" w:hanging="17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FD568B"/>
    <w:multiLevelType w:val="hybridMultilevel"/>
    <w:tmpl w:val="15B05FC8"/>
    <w:lvl w:ilvl="0" w:tplc="03C4BBD4">
      <w:start w:val="1"/>
      <w:numFmt w:val="lowerRoman"/>
      <w:lvlText w:val="(%1)"/>
      <w:lvlJc w:val="left"/>
      <w:pPr>
        <w:ind w:left="1854" w:hanging="360"/>
      </w:pPr>
      <w:rPr>
        <w:rFonts w:ascii="Times New Roman" w:eastAsia="Times New Roman" w:hAnsi="Times New Roman" w:cs="Times New Roman"/>
        <w:caps w:val="0"/>
        <w:strike w:val="0"/>
        <w:dstrike w:val="0"/>
        <w:vanish w:val="0"/>
        <w:vertAlign w:val="baseline"/>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8" w15:restartNumberingAfterBreak="0">
    <w:nsid w:val="67F97E0B"/>
    <w:multiLevelType w:val="hybridMultilevel"/>
    <w:tmpl w:val="2E942D28"/>
    <w:lvl w:ilvl="0" w:tplc="3FA89D68">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707F108C"/>
    <w:multiLevelType w:val="hybridMultilevel"/>
    <w:tmpl w:val="C5447A96"/>
    <w:lvl w:ilvl="0" w:tplc="F7CE3B0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5"/>
  </w:num>
  <w:num w:numId="13">
    <w:abstractNumId w:val="10"/>
  </w:num>
  <w:num w:numId="14">
    <w:abstractNumId w:val="13"/>
  </w:num>
  <w:num w:numId="15">
    <w:abstractNumId w:val="19"/>
  </w:num>
  <w:num w:numId="16">
    <w:abstractNumId w:val="14"/>
  </w:num>
  <w:num w:numId="17">
    <w:abstractNumId w:val="26"/>
  </w:num>
  <w:num w:numId="18">
    <w:abstractNumId w:val="30"/>
  </w:num>
  <w:num w:numId="19">
    <w:abstractNumId w:val="11"/>
  </w:num>
  <w:num w:numId="20">
    <w:abstractNumId w:val="17"/>
  </w:num>
  <w:num w:numId="21">
    <w:abstractNumId w:val="29"/>
  </w:num>
  <w:num w:numId="22">
    <w:abstractNumId w:val="27"/>
  </w:num>
  <w:num w:numId="23">
    <w:abstractNumId w:val="28"/>
  </w:num>
  <w:num w:numId="24">
    <w:abstractNumId w:val="23"/>
  </w:num>
  <w:num w:numId="25">
    <w:abstractNumId w:val="16"/>
  </w:num>
  <w:num w:numId="26">
    <w:abstractNumId w:val="25"/>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1"/>
  </w:num>
  <w:num w:numId="30">
    <w:abstractNumId w:val="22"/>
  </w:num>
  <w:num w:numId="31">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C5C"/>
    <w:rsid w:val="00002A7D"/>
    <w:rsid w:val="000038A8"/>
    <w:rsid w:val="000048F3"/>
    <w:rsid w:val="00006790"/>
    <w:rsid w:val="00024C1D"/>
    <w:rsid w:val="00027624"/>
    <w:rsid w:val="00036F10"/>
    <w:rsid w:val="00050F6B"/>
    <w:rsid w:val="000615C9"/>
    <w:rsid w:val="000678CD"/>
    <w:rsid w:val="00072C8C"/>
    <w:rsid w:val="000759B7"/>
    <w:rsid w:val="00081CE0"/>
    <w:rsid w:val="00084D30"/>
    <w:rsid w:val="00090320"/>
    <w:rsid w:val="000931C0"/>
    <w:rsid w:val="000A2E09"/>
    <w:rsid w:val="000B175B"/>
    <w:rsid w:val="000B3A0F"/>
    <w:rsid w:val="000E0415"/>
    <w:rsid w:val="000F2066"/>
    <w:rsid w:val="000F7715"/>
    <w:rsid w:val="001071BE"/>
    <w:rsid w:val="001328ED"/>
    <w:rsid w:val="00156B99"/>
    <w:rsid w:val="00166124"/>
    <w:rsid w:val="00184DDA"/>
    <w:rsid w:val="001900CD"/>
    <w:rsid w:val="00193C6A"/>
    <w:rsid w:val="001A0452"/>
    <w:rsid w:val="001A3FCC"/>
    <w:rsid w:val="001B4B04"/>
    <w:rsid w:val="001B5875"/>
    <w:rsid w:val="001C4B9C"/>
    <w:rsid w:val="001C6663"/>
    <w:rsid w:val="001C7895"/>
    <w:rsid w:val="001D26DF"/>
    <w:rsid w:val="001F1599"/>
    <w:rsid w:val="001F19C4"/>
    <w:rsid w:val="002043F0"/>
    <w:rsid w:val="00211E0B"/>
    <w:rsid w:val="00232575"/>
    <w:rsid w:val="00247258"/>
    <w:rsid w:val="00247E7C"/>
    <w:rsid w:val="00257CAC"/>
    <w:rsid w:val="0027237A"/>
    <w:rsid w:val="002775FA"/>
    <w:rsid w:val="00277935"/>
    <w:rsid w:val="002974E9"/>
    <w:rsid w:val="002A73DB"/>
    <w:rsid w:val="002A7F94"/>
    <w:rsid w:val="002B109A"/>
    <w:rsid w:val="002B2283"/>
    <w:rsid w:val="002B2AF1"/>
    <w:rsid w:val="002C0998"/>
    <w:rsid w:val="002C6D45"/>
    <w:rsid w:val="002D6E53"/>
    <w:rsid w:val="002F046D"/>
    <w:rsid w:val="002F3023"/>
    <w:rsid w:val="00301764"/>
    <w:rsid w:val="003229D8"/>
    <w:rsid w:val="00336C97"/>
    <w:rsid w:val="00337F88"/>
    <w:rsid w:val="00342432"/>
    <w:rsid w:val="00346F33"/>
    <w:rsid w:val="0035223F"/>
    <w:rsid w:val="00352D4B"/>
    <w:rsid w:val="0035638C"/>
    <w:rsid w:val="00363F29"/>
    <w:rsid w:val="003A46BB"/>
    <w:rsid w:val="003A4EC7"/>
    <w:rsid w:val="003A7295"/>
    <w:rsid w:val="003A7894"/>
    <w:rsid w:val="003B1F60"/>
    <w:rsid w:val="003C2CC4"/>
    <w:rsid w:val="003D07DA"/>
    <w:rsid w:val="003D4B23"/>
    <w:rsid w:val="003E278A"/>
    <w:rsid w:val="003F6146"/>
    <w:rsid w:val="004004A6"/>
    <w:rsid w:val="004006FC"/>
    <w:rsid w:val="00413520"/>
    <w:rsid w:val="004325CB"/>
    <w:rsid w:val="00440A07"/>
    <w:rsid w:val="00442C0B"/>
    <w:rsid w:val="00462880"/>
    <w:rsid w:val="00476F24"/>
    <w:rsid w:val="004C55B0"/>
    <w:rsid w:val="004D5765"/>
    <w:rsid w:val="004F6BA0"/>
    <w:rsid w:val="00503BEA"/>
    <w:rsid w:val="005168FB"/>
    <w:rsid w:val="00533616"/>
    <w:rsid w:val="00535ABA"/>
    <w:rsid w:val="0053768B"/>
    <w:rsid w:val="0054071D"/>
    <w:rsid w:val="005420F2"/>
    <w:rsid w:val="0054285C"/>
    <w:rsid w:val="00584173"/>
    <w:rsid w:val="00594C64"/>
    <w:rsid w:val="00595520"/>
    <w:rsid w:val="005A44B9"/>
    <w:rsid w:val="005A7560"/>
    <w:rsid w:val="005B1BA0"/>
    <w:rsid w:val="005B3DB3"/>
    <w:rsid w:val="005D15CA"/>
    <w:rsid w:val="005D32F0"/>
    <w:rsid w:val="005D7328"/>
    <w:rsid w:val="005F08DF"/>
    <w:rsid w:val="005F3066"/>
    <w:rsid w:val="005F3E61"/>
    <w:rsid w:val="00602DEB"/>
    <w:rsid w:val="00604DDD"/>
    <w:rsid w:val="006115CC"/>
    <w:rsid w:val="00611FC4"/>
    <w:rsid w:val="006176FB"/>
    <w:rsid w:val="00630FCB"/>
    <w:rsid w:val="00640B26"/>
    <w:rsid w:val="00647F99"/>
    <w:rsid w:val="0065766B"/>
    <w:rsid w:val="006770B2"/>
    <w:rsid w:val="0068058C"/>
    <w:rsid w:val="00686A48"/>
    <w:rsid w:val="006940E1"/>
    <w:rsid w:val="006A3C72"/>
    <w:rsid w:val="006A7392"/>
    <w:rsid w:val="006B03A1"/>
    <w:rsid w:val="006B67D9"/>
    <w:rsid w:val="006C5535"/>
    <w:rsid w:val="006D0589"/>
    <w:rsid w:val="006E564B"/>
    <w:rsid w:val="006E7154"/>
    <w:rsid w:val="007003CD"/>
    <w:rsid w:val="0070701E"/>
    <w:rsid w:val="00712980"/>
    <w:rsid w:val="0072632A"/>
    <w:rsid w:val="007358E8"/>
    <w:rsid w:val="00736ECE"/>
    <w:rsid w:val="0074533B"/>
    <w:rsid w:val="007643BC"/>
    <w:rsid w:val="00766236"/>
    <w:rsid w:val="00780C68"/>
    <w:rsid w:val="007959FE"/>
    <w:rsid w:val="007A0CF1"/>
    <w:rsid w:val="007B2705"/>
    <w:rsid w:val="007B6BA5"/>
    <w:rsid w:val="007C3390"/>
    <w:rsid w:val="007C42D8"/>
    <w:rsid w:val="007C4F4B"/>
    <w:rsid w:val="007D7362"/>
    <w:rsid w:val="007F5CE2"/>
    <w:rsid w:val="007F6611"/>
    <w:rsid w:val="00810BAC"/>
    <w:rsid w:val="008175E9"/>
    <w:rsid w:val="008242D7"/>
    <w:rsid w:val="0082577B"/>
    <w:rsid w:val="00866893"/>
    <w:rsid w:val="00866F02"/>
    <w:rsid w:val="00867D18"/>
    <w:rsid w:val="00871F9A"/>
    <w:rsid w:val="00871FD5"/>
    <w:rsid w:val="0088172E"/>
    <w:rsid w:val="00881EFA"/>
    <w:rsid w:val="008879CB"/>
    <w:rsid w:val="00894A5C"/>
    <w:rsid w:val="008979B1"/>
    <w:rsid w:val="008A6B25"/>
    <w:rsid w:val="008A6C4F"/>
    <w:rsid w:val="008B389E"/>
    <w:rsid w:val="008D045E"/>
    <w:rsid w:val="008D3F25"/>
    <w:rsid w:val="008D4D82"/>
    <w:rsid w:val="008E0E46"/>
    <w:rsid w:val="008E0FAD"/>
    <w:rsid w:val="008E7116"/>
    <w:rsid w:val="008F143B"/>
    <w:rsid w:val="008F16ED"/>
    <w:rsid w:val="008F3882"/>
    <w:rsid w:val="008F4B7C"/>
    <w:rsid w:val="00926E47"/>
    <w:rsid w:val="00945EF4"/>
    <w:rsid w:val="00947162"/>
    <w:rsid w:val="009526D4"/>
    <w:rsid w:val="009610D0"/>
    <w:rsid w:val="0096375C"/>
    <w:rsid w:val="009662E6"/>
    <w:rsid w:val="0097095E"/>
    <w:rsid w:val="0098592B"/>
    <w:rsid w:val="00985FC4"/>
    <w:rsid w:val="00990766"/>
    <w:rsid w:val="00991261"/>
    <w:rsid w:val="009964C4"/>
    <w:rsid w:val="009A7B81"/>
    <w:rsid w:val="009C206C"/>
    <w:rsid w:val="009C2611"/>
    <w:rsid w:val="009D01C0"/>
    <w:rsid w:val="009D5660"/>
    <w:rsid w:val="009D6A08"/>
    <w:rsid w:val="009E0A16"/>
    <w:rsid w:val="009E6CB7"/>
    <w:rsid w:val="009E7970"/>
    <w:rsid w:val="009F2EAC"/>
    <w:rsid w:val="009F57E3"/>
    <w:rsid w:val="00A10F4F"/>
    <w:rsid w:val="00A11067"/>
    <w:rsid w:val="00A1704A"/>
    <w:rsid w:val="00A33FA2"/>
    <w:rsid w:val="00A425EB"/>
    <w:rsid w:val="00A72F22"/>
    <w:rsid w:val="00A733BC"/>
    <w:rsid w:val="00A748A6"/>
    <w:rsid w:val="00A76A69"/>
    <w:rsid w:val="00A879A4"/>
    <w:rsid w:val="00AA0FF8"/>
    <w:rsid w:val="00AC0F2C"/>
    <w:rsid w:val="00AC502A"/>
    <w:rsid w:val="00AD131F"/>
    <w:rsid w:val="00AF58C1"/>
    <w:rsid w:val="00B04A3F"/>
    <w:rsid w:val="00B06643"/>
    <w:rsid w:val="00B15055"/>
    <w:rsid w:val="00B20551"/>
    <w:rsid w:val="00B30179"/>
    <w:rsid w:val="00B33FC7"/>
    <w:rsid w:val="00B37B15"/>
    <w:rsid w:val="00B37C58"/>
    <w:rsid w:val="00B45C02"/>
    <w:rsid w:val="00B70B63"/>
    <w:rsid w:val="00B72A1E"/>
    <w:rsid w:val="00B81E12"/>
    <w:rsid w:val="00B85118"/>
    <w:rsid w:val="00BA339B"/>
    <w:rsid w:val="00BC1E7E"/>
    <w:rsid w:val="00BC3A2E"/>
    <w:rsid w:val="00BC74E9"/>
    <w:rsid w:val="00BE36A9"/>
    <w:rsid w:val="00BE618E"/>
    <w:rsid w:val="00BE7BEC"/>
    <w:rsid w:val="00BF0A5A"/>
    <w:rsid w:val="00BF0E63"/>
    <w:rsid w:val="00BF12A3"/>
    <w:rsid w:val="00BF16D7"/>
    <w:rsid w:val="00BF2373"/>
    <w:rsid w:val="00C02558"/>
    <w:rsid w:val="00C044E2"/>
    <w:rsid w:val="00C048CB"/>
    <w:rsid w:val="00C066F3"/>
    <w:rsid w:val="00C463DD"/>
    <w:rsid w:val="00C745C3"/>
    <w:rsid w:val="00C978F5"/>
    <w:rsid w:val="00CA24A4"/>
    <w:rsid w:val="00CB348D"/>
    <w:rsid w:val="00CB5E74"/>
    <w:rsid w:val="00CB7956"/>
    <w:rsid w:val="00CD46F5"/>
    <w:rsid w:val="00CE4A8F"/>
    <w:rsid w:val="00CF0454"/>
    <w:rsid w:val="00CF071D"/>
    <w:rsid w:val="00CF5F77"/>
    <w:rsid w:val="00D0123D"/>
    <w:rsid w:val="00D12164"/>
    <w:rsid w:val="00D15B04"/>
    <w:rsid w:val="00D2031B"/>
    <w:rsid w:val="00D25FE2"/>
    <w:rsid w:val="00D35934"/>
    <w:rsid w:val="00D37DA9"/>
    <w:rsid w:val="00D406A7"/>
    <w:rsid w:val="00D43252"/>
    <w:rsid w:val="00D44D86"/>
    <w:rsid w:val="00D50B7D"/>
    <w:rsid w:val="00D52012"/>
    <w:rsid w:val="00D704E5"/>
    <w:rsid w:val="00D72727"/>
    <w:rsid w:val="00D83F37"/>
    <w:rsid w:val="00D86751"/>
    <w:rsid w:val="00D92A6B"/>
    <w:rsid w:val="00D978C6"/>
    <w:rsid w:val="00DA0956"/>
    <w:rsid w:val="00DA357F"/>
    <w:rsid w:val="00DA3E12"/>
    <w:rsid w:val="00DB5EBC"/>
    <w:rsid w:val="00DC18AD"/>
    <w:rsid w:val="00DD0F5C"/>
    <w:rsid w:val="00DD1E05"/>
    <w:rsid w:val="00DF7CAE"/>
    <w:rsid w:val="00E10B84"/>
    <w:rsid w:val="00E423C0"/>
    <w:rsid w:val="00E435BE"/>
    <w:rsid w:val="00E478D8"/>
    <w:rsid w:val="00E6414C"/>
    <w:rsid w:val="00E6416E"/>
    <w:rsid w:val="00E7260F"/>
    <w:rsid w:val="00E72993"/>
    <w:rsid w:val="00E8523E"/>
    <w:rsid w:val="00E8702D"/>
    <w:rsid w:val="00E905F4"/>
    <w:rsid w:val="00E916A9"/>
    <w:rsid w:val="00E916DE"/>
    <w:rsid w:val="00E925AD"/>
    <w:rsid w:val="00E96630"/>
    <w:rsid w:val="00EA34F4"/>
    <w:rsid w:val="00EC4520"/>
    <w:rsid w:val="00ED07CA"/>
    <w:rsid w:val="00ED18DC"/>
    <w:rsid w:val="00ED6201"/>
    <w:rsid w:val="00ED7A2A"/>
    <w:rsid w:val="00EF1D7F"/>
    <w:rsid w:val="00F0137E"/>
    <w:rsid w:val="00F10D9F"/>
    <w:rsid w:val="00F21786"/>
    <w:rsid w:val="00F21D76"/>
    <w:rsid w:val="00F35A4A"/>
    <w:rsid w:val="00F3742B"/>
    <w:rsid w:val="00F41FDB"/>
    <w:rsid w:val="00F56D63"/>
    <w:rsid w:val="00F609A9"/>
    <w:rsid w:val="00F64C5C"/>
    <w:rsid w:val="00F80C99"/>
    <w:rsid w:val="00F867EC"/>
    <w:rsid w:val="00F91B2B"/>
    <w:rsid w:val="00F977E2"/>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7D704CC"/>
  <w15:docId w15:val="{9F7A55E7-C8FB-4C93-9957-3A17E179C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tref"/>
    <w:basedOn w:val="DefaultParagraphFont"/>
    <w:uiPriority w:val="99"/>
    <w:qFormat/>
    <w:rsid w:val="00E925AD"/>
    <w:rPr>
      <w:rFonts w:ascii="Times New Roman" w:hAnsi="Times New Roman"/>
      <w:sz w:val="18"/>
      <w:vertAlign w:val="superscript"/>
    </w:rPr>
  </w:style>
  <w:style w:type="paragraph" w:styleId="FootnoteText">
    <w:name w:val="footnote text"/>
    <w:aliases w:val="5_G,Footnote Text Char2,Footnote Text Char1 Char,Footnote Text Char Char Char,Footnote Text Char1 Char Char Char Char,Footnote Text Char Char Char Char Char Char,Footnote Text Char1 Char Char1 Char,f,Fußnote,Footnote Text Char Char,Fußno"/>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EC452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EC452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E8523E"/>
    <w:pPr>
      <w:numPr>
        <w:numId w:val="19"/>
      </w:numPr>
      <w:suppressAutoHyphens w:val="0"/>
    </w:pPr>
  </w:style>
  <w:style w:type="character" w:customStyle="1" w:styleId="HChGChar">
    <w:name w:val="_ H _Ch_G Char"/>
    <w:link w:val="HChG"/>
    <w:rsid w:val="00277935"/>
    <w:rPr>
      <w:b/>
      <w:sz w:val="28"/>
      <w:lang w:val="en-GB"/>
    </w:rPr>
  </w:style>
  <w:style w:type="character" w:customStyle="1" w:styleId="SingleTxtGChar">
    <w:name w:val="_ Single Txt_G Char"/>
    <w:link w:val="SingleTxtG"/>
    <w:uiPriority w:val="99"/>
    <w:rsid w:val="00277935"/>
    <w:rPr>
      <w:lang w:val="en-GB"/>
    </w:rPr>
  </w:style>
  <w:style w:type="character" w:customStyle="1" w:styleId="H1GChar">
    <w:name w:val="_ H_1_G Char"/>
    <w:link w:val="H1G"/>
    <w:rsid w:val="009D5660"/>
    <w:rPr>
      <w:b/>
      <w:sz w:val="24"/>
      <w:lang w:val="en-GB"/>
    </w:rPr>
  </w:style>
  <w:style w:type="paragraph" w:styleId="ListParagraph">
    <w:name w:val="List Paragraph"/>
    <w:aliases w:val="Main numbered paragraph,List Paragraph (numbered (a)),Normal 2,References,List_Paragraph,Multilevel para_II,List Paragraph1,Numbered List Paragraph,Bullets,Colorful List - Accent 11,123 List Paragraph,Bullet,Normal 2 DC,Liste 1,Dot pt"/>
    <w:basedOn w:val="Normal"/>
    <w:link w:val="ListParagraphChar"/>
    <w:uiPriority w:val="34"/>
    <w:qFormat/>
    <w:rsid w:val="00E72993"/>
    <w:pPr>
      <w:ind w:left="720"/>
      <w:contextualSpacing/>
    </w:pPr>
    <w:rPr>
      <w:lang w:eastAsia="en-US"/>
    </w:rPr>
  </w:style>
  <w:style w:type="character" w:customStyle="1" w:styleId="ListParagraphChar">
    <w:name w:val="List Paragraph Char"/>
    <w:aliases w:val="Main numbered paragraph Char,List Paragraph (numbered (a)) Char,Normal 2 Char,References Char,List_Paragraph Char,Multilevel para_II Char,List Paragraph1 Char,Numbered List Paragraph Char,Bullets Char,Colorful List - Accent 11 Char"/>
    <w:link w:val="ListParagraph"/>
    <w:uiPriority w:val="34"/>
    <w:qFormat/>
    <w:rsid w:val="00E72993"/>
    <w:rPr>
      <w:lang w:val="en-GB" w:eastAsia="en-US"/>
    </w:rPr>
  </w:style>
  <w:style w:type="character" w:customStyle="1" w:styleId="FootnoteTextChar">
    <w:name w:val="Footnote Text Char"/>
    <w:aliases w:val="5_G Char,Footnote Text Char2 Char,Footnote Text Char1 Char Char,Footnote Text Char Char Char Char,Footnote Text Char1 Char Char Char Char Char,Footnote Text Char Char Char Char Char Char Char,Footnote Text Char1 Char Char1 Char Char"/>
    <w:link w:val="FootnoteText"/>
    <w:locked/>
    <w:rsid w:val="00F35A4A"/>
    <w:rPr>
      <w:sz w:val="18"/>
      <w:lang w:val="en-GB"/>
    </w:rPr>
  </w:style>
  <w:style w:type="paragraph" w:styleId="BodyText">
    <w:name w:val="Body Text"/>
    <w:basedOn w:val="Normal"/>
    <w:link w:val="BodyTextChar"/>
    <w:uiPriority w:val="1"/>
    <w:qFormat/>
    <w:rsid w:val="00F21D76"/>
    <w:pPr>
      <w:widowControl w:val="0"/>
      <w:suppressAutoHyphens w:val="0"/>
      <w:autoSpaceDE w:val="0"/>
      <w:autoSpaceDN w:val="0"/>
      <w:spacing w:line="240" w:lineRule="auto"/>
    </w:pPr>
    <w:rPr>
      <w:sz w:val="24"/>
      <w:szCs w:val="24"/>
      <w:lang w:eastAsia="en-US"/>
    </w:rPr>
  </w:style>
  <w:style w:type="character" w:customStyle="1" w:styleId="BodyTextChar">
    <w:name w:val="Body Text Char"/>
    <w:basedOn w:val="DefaultParagraphFont"/>
    <w:link w:val="BodyText"/>
    <w:uiPriority w:val="1"/>
    <w:rsid w:val="00F21D7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en.wikipedia.org/wiki/Greenhouse_gas"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ece.org/fileadmin/DAM/energy/se/pdfs/geee/geee7_Sept2020/GEEE-7.2020.INF.3.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ce.org/fileadmin/DAM/energy/se/pdfs/geee/geee7_Sept2020/ECE_ENERGY_GE.6_2020_4e.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nece.org/fileadmin/DAM/energy/se/pdfs/geee/geee7_Sept2020/ECE_ENERGY_GE.6_2020_3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ece.org/fileadmin/DAM/energy/se/pdfs/geee/geee7_Sept2020/GEEE-7.2020.INF.3.pdf"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ENERGY\ENERGY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6D8AF-A0A3-4EFF-BA20-ADE3E4CCC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ENERGY_E.dotm</Template>
  <TotalTime>41</TotalTime>
  <Pages>21</Pages>
  <Words>7851</Words>
  <Characters>48285</Characters>
  <Application>Microsoft Office Word</Application>
  <DocSecurity>0</DocSecurity>
  <Lines>2414</Lines>
  <Paragraphs>1871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ECE/ENERGY/133</vt:lpstr>
      <vt:lpstr/>
    </vt:vector>
  </TitlesOfParts>
  <Company>CSD</Company>
  <LinksUpToDate>false</LinksUpToDate>
  <CharactersWithSpaces>54265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ECE/ENERGY/133</dc:title>
  <dc:creator>Laurence ROTTA</dc:creator>
  <cp:lastModifiedBy>Charlotte Griffiths</cp:lastModifiedBy>
  <cp:revision>7</cp:revision>
  <cp:lastPrinted>2020-12-01T11:52:00Z</cp:lastPrinted>
  <dcterms:created xsi:type="dcterms:W3CDTF">2020-12-02T15:15:00Z</dcterms:created>
  <dcterms:modified xsi:type="dcterms:W3CDTF">2020-12-03T15:20:00Z</dcterms:modified>
</cp:coreProperties>
</file>