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450055144"/>
        <w:docPartObj>
          <w:docPartGallery w:val="Cover Pages"/>
          <w:docPartUnique/>
        </w:docPartObj>
      </w:sdtPr>
      <w:sdtContent>
        <w:p w14:paraId="133CDEAB" w14:textId="77777777" w:rsidR="00CF493E" w:rsidRPr="00890EE8" w:rsidRDefault="00CF493E">
          <w:pPr>
            <w:rPr>
              <w:lang w:val="en-GB"/>
            </w:rPr>
          </w:pPr>
          <w:r w:rsidRPr="00890EE8">
            <w:rPr>
              <w:noProof/>
              <w:lang w:eastAsia="nb-NO"/>
            </w:rPr>
            <w:drawing>
              <wp:anchor distT="0" distB="0" distL="114300" distR="114300" simplePos="0" relativeHeight="251658240" behindDoc="1" locked="0" layoutInCell="1" allowOverlap="1" wp14:anchorId="351A9602" wp14:editId="57F9A191">
                <wp:simplePos x="0" y="0"/>
                <wp:positionH relativeFrom="page">
                  <wp:posOffset>0</wp:posOffset>
                </wp:positionH>
                <wp:positionV relativeFrom="page">
                  <wp:posOffset>68580</wp:posOffset>
                </wp:positionV>
                <wp:extent cx="7560860" cy="10686197"/>
                <wp:effectExtent l="0" t="0" r="2540" b="127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jpg"/>
                        <pic:cNvPicPr/>
                      </pic:nvPicPr>
                      <pic:blipFill>
                        <a:blip r:embed="rId10">
                          <a:extLst>
                            <a:ext uri="{28A0092B-C50C-407E-A947-70E740481C1C}">
                              <a14:useLocalDpi xmlns:a14="http://schemas.microsoft.com/office/drawing/2010/main" val="0"/>
                            </a:ext>
                          </a:extLst>
                        </a:blip>
                        <a:stretch>
                          <a:fillRect/>
                        </a:stretch>
                      </pic:blipFill>
                      <pic:spPr>
                        <a:xfrm>
                          <a:off x="0" y="0"/>
                          <a:ext cx="7560860" cy="10686197"/>
                        </a:xfrm>
                        <a:prstGeom prst="rect">
                          <a:avLst/>
                        </a:prstGeom>
                      </pic:spPr>
                    </pic:pic>
                  </a:graphicData>
                </a:graphic>
              </wp:anchor>
            </w:drawing>
          </w:r>
        </w:p>
        <w:p w14:paraId="2136F494" w14:textId="77777777" w:rsidR="00CF493E" w:rsidRPr="00890EE8" w:rsidRDefault="00CF493E" w:rsidP="00E03E2A">
          <w:pPr>
            <w:rPr>
              <w:lang w:val="en-GB"/>
            </w:rPr>
          </w:pPr>
        </w:p>
        <w:tbl>
          <w:tblPr>
            <w:tblpPr w:leftFromText="142" w:rightFromText="142" w:vertAnchor="page" w:tblpY="3800"/>
            <w:tblOverlap w:val="never"/>
            <w:tblW w:w="9354" w:type="dxa"/>
            <w:tblLayout w:type="fixed"/>
            <w:tblCellMar>
              <w:left w:w="0" w:type="dxa"/>
              <w:right w:w="0" w:type="dxa"/>
            </w:tblCellMar>
            <w:tblLook w:val="04A0" w:firstRow="1" w:lastRow="0" w:firstColumn="1" w:lastColumn="0" w:noHBand="0" w:noVBand="1"/>
          </w:tblPr>
          <w:tblGrid>
            <w:gridCol w:w="9354"/>
          </w:tblGrid>
          <w:tr w:rsidR="00CF493E" w:rsidRPr="00C3032E" w14:paraId="7761A600" w14:textId="77777777" w:rsidTr="00357330">
            <w:trPr>
              <w:trHeight w:hRule="exact" w:val="3402"/>
            </w:trPr>
            <w:tc>
              <w:tcPr>
                <w:tcW w:w="9354" w:type="dxa"/>
              </w:tcPr>
              <w:sdt>
                <w:sdtPr>
                  <w:rPr>
                    <w:lang w:val="en-GB"/>
                  </w:rPr>
                  <w:alias w:val="Title"/>
                  <w:tag w:val="Title"/>
                  <w:id w:val="1031527759"/>
                  <w:dataBinding w:xpath="/root[1]/title[1]" w:storeItemID="{6A794F77-6155-4743-A5D0-93F902BDDDB0}"/>
                  <w:text w:multiLine="1"/>
                </w:sdtPr>
                <w:sdtContent>
                  <w:p w14:paraId="54519CEB" w14:textId="1B35E761" w:rsidR="00CF493E" w:rsidRPr="00890EE8" w:rsidRDefault="00357330" w:rsidP="00CF493E">
                    <w:pPr>
                      <w:pStyle w:val="Title"/>
                      <w:rPr>
                        <w:lang w:val="en-GB"/>
                      </w:rPr>
                    </w:pPr>
                    <w:r>
                      <w:rPr>
                        <w:lang w:val="en-GB"/>
                      </w:rPr>
                      <w:t>Best Practice Guid</w:t>
                    </w:r>
                    <w:r w:rsidR="000941A9">
                      <w:rPr>
                        <w:lang w:val="en-GB"/>
                      </w:rPr>
                      <w:t>ance</w:t>
                    </w:r>
                    <w:r>
                      <w:rPr>
                        <w:lang w:val="en-GB"/>
                      </w:rPr>
                      <w:t xml:space="preserve"> for </w:t>
                    </w:r>
                    <w:r w:rsidR="00116607" w:rsidRPr="00890EE8">
                      <w:rPr>
                        <w:lang w:val="en-GB"/>
                      </w:rPr>
                      <w:t xml:space="preserve">Methane </w:t>
                    </w:r>
                    <w:r>
                      <w:rPr>
                        <w:lang w:val="en-GB"/>
                      </w:rPr>
                      <w:t xml:space="preserve">Management in the Oil and Gas Sector </w:t>
                    </w:r>
                  </w:p>
                </w:sdtContent>
              </w:sdt>
              <w:sdt>
                <w:sdtPr>
                  <w:rPr>
                    <w:lang w:val="en-GB"/>
                  </w:rPr>
                  <w:alias w:val="Subtitle"/>
                  <w:tag w:val="Subtitle"/>
                  <w:id w:val="-194467257"/>
                  <w:dataBinding w:xpath="/root[1]/subtitle[1]" w:storeItemID="{6A794F77-6155-4743-A5D0-93F902BDDDB0}"/>
                  <w:text w:multiLine="1"/>
                </w:sdtPr>
                <w:sdtContent>
                  <w:p w14:paraId="59FDC454" w14:textId="345753D3" w:rsidR="00CF493E" w:rsidRPr="00890EE8" w:rsidRDefault="00C3032E" w:rsidP="00197034">
                    <w:pPr>
                      <w:pStyle w:val="Subtitle"/>
                      <w:rPr>
                        <w:lang w:val="en-GB"/>
                      </w:rPr>
                    </w:pPr>
                    <w:r>
                      <w:rPr>
                        <w:lang w:val="en-GB"/>
                      </w:rPr>
                      <w:t xml:space="preserve">Draft </w:t>
                    </w:r>
                    <w:r w:rsidR="005C3F55">
                      <w:rPr>
                        <w:lang w:val="en-GB"/>
                      </w:rPr>
                      <w:t>1</w:t>
                    </w:r>
                    <w:r w:rsidR="00197034">
                      <w:rPr>
                        <w:lang w:val="en-GB"/>
                      </w:rPr>
                      <w:t>4</w:t>
                    </w:r>
                    <w:r>
                      <w:rPr>
                        <w:lang w:val="en-GB"/>
                      </w:rPr>
                      <w:t xml:space="preserve">th March 2019  </w:t>
                    </w:r>
                  </w:p>
                </w:sdtContent>
              </w:sdt>
            </w:tc>
          </w:tr>
        </w:tbl>
        <w:p w14:paraId="782A45E2" w14:textId="77777777" w:rsidR="00CF493E" w:rsidRPr="00890EE8" w:rsidRDefault="00CF493E">
          <w:pPr>
            <w:rPr>
              <w:lang w:val="en-GB"/>
            </w:rPr>
          </w:pPr>
          <w:r w:rsidRPr="00890EE8">
            <w:rPr>
              <w:lang w:val="en-GB"/>
            </w:rPr>
            <w:br w:type="page"/>
          </w:r>
        </w:p>
      </w:sdtContent>
    </w:sdt>
    <w:p w14:paraId="08C7E0EC" w14:textId="77777777" w:rsidR="00CF493E" w:rsidRPr="00890EE8" w:rsidRDefault="00CF493E">
      <w:pPr>
        <w:rPr>
          <w:lang w:val="en-GB"/>
        </w:rPr>
      </w:pPr>
    </w:p>
    <w:tbl>
      <w:tblPr>
        <w:tblW w:w="5000" w:type="pct"/>
        <w:tblBorders>
          <w:bottom w:val="single" w:sz="8" w:space="0" w:color="2BB673"/>
          <w:insideH w:val="single" w:sz="8" w:space="0" w:color="2BB673"/>
        </w:tblBorders>
        <w:tblLayout w:type="fixed"/>
        <w:tblCellMar>
          <w:top w:w="284" w:type="dxa"/>
          <w:left w:w="0" w:type="dxa"/>
          <w:bottom w:w="284" w:type="dxa"/>
          <w:right w:w="0" w:type="dxa"/>
        </w:tblCellMar>
        <w:tblLook w:val="04A0" w:firstRow="1" w:lastRow="0" w:firstColumn="1" w:lastColumn="0" w:noHBand="0" w:noVBand="1"/>
      </w:tblPr>
      <w:tblGrid>
        <w:gridCol w:w="9099"/>
      </w:tblGrid>
      <w:tr w:rsidR="00CB1D5D" w:rsidRPr="00104E87" w14:paraId="5DB14554" w14:textId="77777777" w:rsidTr="00F12FE6">
        <w:tc>
          <w:tcPr>
            <w:tcW w:w="9099" w:type="dxa"/>
            <w:tcBorders>
              <w:bottom w:val="single" w:sz="8" w:space="0" w:color="2BB673"/>
            </w:tcBorders>
            <w:tcMar>
              <w:top w:w="0" w:type="dxa"/>
            </w:tcMar>
          </w:tcPr>
          <w:p w14:paraId="770C6DE9" w14:textId="77777777" w:rsidR="00CB1D5D" w:rsidRPr="00890EE8" w:rsidRDefault="00CB1D5D" w:rsidP="006775A9">
            <w:pPr>
              <w:pStyle w:val="BodyText"/>
              <w:rPr>
                <w:b/>
                <w:bCs/>
                <w:lang w:val="en-GB"/>
              </w:rPr>
            </w:pPr>
            <w:r w:rsidRPr="00890EE8">
              <w:rPr>
                <w:b/>
                <w:bCs/>
                <w:lang w:val="en-GB"/>
              </w:rPr>
              <w:t xml:space="preserve">This report was prepared by </w:t>
            </w:r>
            <w:r w:rsidR="00357330" w:rsidRPr="00357330">
              <w:rPr>
                <w:b/>
                <w:bCs/>
                <w:lang w:val="en-GB"/>
              </w:rPr>
              <w:t>Torleif Haugland</w:t>
            </w:r>
          </w:p>
          <w:p w14:paraId="32E17BFB" w14:textId="77777777" w:rsidR="00CB1D5D" w:rsidRPr="00890EE8" w:rsidRDefault="00CB1D5D" w:rsidP="006775A9">
            <w:pPr>
              <w:pStyle w:val="BodyText"/>
              <w:rPr>
                <w:b/>
                <w:bCs/>
                <w:lang w:val="en-GB"/>
              </w:rPr>
            </w:pPr>
          </w:p>
          <w:p w14:paraId="0F5E1B3C" w14:textId="77777777" w:rsidR="00CB1D5D" w:rsidRPr="00890EE8" w:rsidRDefault="00CB1D5D" w:rsidP="006775A9">
            <w:pPr>
              <w:pStyle w:val="BodyText"/>
              <w:rPr>
                <w:b/>
                <w:bCs/>
                <w:lang w:val="en-GB"/>
              </w:rPr>
            </w:pPr>
            <w:r w:rsidRPr="00890EE8">
              <w:rPr>
                <w:b/>
                <w:bCs/>
                <w:lang w:val="en-GB"/>
              </w:rPr>
              <w:t>Project title:</w:t>
            </w:r>
          </w:p>
          <w:sdt>
            <w:sdtPr>
              <w:rPr>
                <w:color w:val="2BB673"/>
                <w:lang w:val="en-US"/>
              </w:rPr>
              <w:alias w:val="Project title"/>
              <w:tag w:val="Project title"/>
              <w:id w:val="1964760640"/>
              <w:dataBinding w:xpath="/root[1]/title[1]" w:storeItemID="{6A794F77-6155-4743-A5D0-93F902BDDDB0}"/>
              <w:text w:multiLine="1"/>
            </w:sdtPr>
            <w:sdtContent>
              <w:p w14:paraId="2847987A" w14:textId="01006716" w:rsidR="00CB1D5D" w:rsidRPr="00890EE8" w:rsidRDefault="000941A9" w:rsidP="006775A9">
                <w:pPr>
                  <w:pStyle w:val="BodyText"/>
                  <w:rPr>
                    <w:lang w:val="en-GB"/>
                  </w:rPr>
                </w:pPr>
                <w:r>
                  <w:rPr>
                    <w:color w:val="2BB673"/>
                    <w:lang w:val="en-US"/>
                  </w:rPr>
                  <w:t xml:space="preserve">Best Practice Guidance for Methane Management in the Oil and Gas Sector </w:t>
                </w:r>
              </w:p>
            </w:sdtContent>
          </w:sdt>
        </w:tc>
      </w:tr>
    </w:tbl>
    <w:p w14:paraId="74BD8C84" w14:textId="77777777" w:rsidR="00960901" w:rsidRPr="00890EE8" w:rsidRDefault="00960901" w:rsidP="00960901">
      <w:pPr>
        <w:pStyle w:val="BodyText"/>
        <w:rPr>
          <w:lang w:val="en-GB"/>
        </w:rPr>
      </w:pPr>
    </w:p>
    <w:p w14:paraId="035D0349" w14:textId="55292399" w:rsidR="00197034" w:rsidRDefault="00197034">
      <w:pPr>
        <w:pStyle w:val="TOC1"/>
        <w:rPr>
          <w:rFonts w:eastAsiaTheme="minorEastAsia"/>
          <w:noProof/>
          <w:sz w:val="22"/>
          <w:lang w:eastAsia="nb-NO"/>
        </w:rPr>
      </w:pPr>
      <w:r>
        <w:rPr>
          <w:lang w:val="en-GB"/>
        </w:rPr>
        <w:fldChar w:fldCharType="begin"/>
      </w:r>
      <w:r>
        <w:rPr>
          <w:lang w:val="en-GB"/>
        </w:rPr>
        <w:instrText xml:space="preserve"> TOC \o "1-2" \h \z \u </w:instrText>
      </w:r>
      <w:r>
        <w:rPr>
          <w:lang w:val="en-GB"/>
        </w:rPr>
        <w:fldChar w:fldCharType="separate"/>
      </w:r>
      <w:hyperlink w:anchor="_Toc3472987" w:history="1">
        <w:r w:rsidRPr="00A47DB0">
          <w:rPr>
            <w:rStyle w:val="Hyperlink"/>
            <w:noProof/>
            <w:lang w:val="en-GB"/>
          </w:rPr>
          <w:t>Foreword</w:t>
        </w:r>
        <w:r>
          <w:rPr>
            <w:noProof/>
            <w:webHidden/>
          </w:rPr>
          <w:tab/>
        </w:r>
        <w:r>
          <w:rPr>
            <w:noProof/>
            <w:webHidden/>
          </w:rPr>
          <w:fldChar w:fldCharType="begin"/>
        </w:r>
        <w:r>
          <w:rPr>
            <w:noProof/>
            <w:webHidden/>
          </w:rPr>
          <w:instrText xml:space="preserve"> PAGEREF _Toc3472987 \h </w:instrText>
        </w:r>
        <w:r>
          <w:rPr>
            <w:noProof/>
            <w:webHidden/>
          </w:rPr>
        </w:r>
        <w:r>
          <w:rPr>
            <w:noProof/>
            <w:webHidden/>
          </w:rPr>
          <w:fldChar w:fldCharType="separate"/>
        </w:r>
        <w:r w:rsidR="006C76B7">
          <w:rPr>
            <w:noProof/>
            <w:webHidden/>
          </w:rPr>
          <w:t>2</w:t>
        </w:r>
        <w:r>
          <w:rPr>
            <w:noProof/>
            <w:webHidden/>
          </w:rPr>
          <w:fldChar w:fldCharType="end"/>
        </w:r>
      </w:hyperlink>
    </w:p>
    <w:p w14:paraId="2253BC45" w14:textId="659CDCA5" w:rsidR="00197034" w:rsidRDefault="000941A9">
      <w:pPr>
        <w:pStyle w:val="TOC1"/>
        <w:rPr>
          <w:rFonts w:eastAsiaTheme="minorEastAsia"/>
          <w:noProof/>
          <w:sz w:val="22"/>
          <w:lang w:eastAsia="nb-NO"/>
        </w:rPr>
      </w:pPr>
      <w:hyperlink w:anchor="_Toc3472988" w:history="1">
        <w:r w:rsidR="00197034" w:rsidRPr="00A47DB0">
          <w:rPr>
            <w:rStyle w:val="Hyperlink"/>
            <w:noProof/>
            <w:lang w:val="en-GB"/>
          </w:rPr>
          <w:t>Acknowledgements</w:t>
        </w:r>
        <w:r w:rsidR="00197034">
          <w:rPr>
            <w:noProof/>
            <w:webHidden/>
          </w:rPr>
          <w:tab/>
        </w:r>
        <w:r w:rsidR="00197034">
          <w:rPr>
            <w:noProof/>
            <w:webHidden/>
          </w:rPr>
          <w:fldChar w:fldCharType="begin"/>
        </w:r>
        <w:r w:rsidR="00197034">
          <w:rPr>
            <w:noProof/>
            <w:webHidden/>
          </w:rPr>
          <w:instrText xml:space="preserve"> PAGEREF _Toc3472988 \h </w:instrText>
        </w:r>
        <w:r w:rsidR="00197034">
          <w:rPr>
            <w:noProof/>
            <w:webHidden/>
          </w:rPr>
        </w:r>
        <w:r w:rsidR="00197034">
          <w:rPr>
            <w:noProof/>
            <w:webHidden/>
          </w:rPr>
          <w:fldChar w:fldCharType="separate"/>
        </w:r>
        <w:r w:rsidR="006C76B7">
          <w:rPr>
            <w:noProof/>
            <w:webHidden/>
          </w:rPr>
          <w:t>2</w:t>
        </w:r>
        <w:r w:rsidR="00197034">
          <w:rPr>
            <w:noProof/>
            <w:webHidden/>
          </w:rPr>
          <w:fldChar w:fldCharType="end"/>
        </w:r>
      </w:hyperlink>
    </w:p>
    <w:p w14:paraId="016A781D" w14:textId="49570960" w:rsidR="00197034" w:rsidRDefault="000941A9">
      <w:pPr>
        <w:pStyle w:val="TOC1"/>
        <w:rPr>
          <w:rFonts w:eastAsiaTheme="minorEastAsia"/>
          <w:noProof/>
          <w:sz w:val="22"/>
          <w:lang w:eastAsia="nb-NO"/>
        </w:rPr>
      </w:pPr>
      <w:hyperlink w:anchor="_Toc3472989" w:history="1">
        <w:r w:rsidR="00197034" w:rsidRPr="00A47DB0">
          <w:rPr>
            <w:rStyle w:val="Hyperlink"/>
            <w:noProof/>
            <w:lang w:val="en-GB"/>
          </w:rPr>
          <w:t>Acronyms and Abbreviations</w:t>
        </w:r>
        <w:r w:rsidR="00197034">
          <w:rPr>
            <w:noProof/>
            <w:webHidden/>
          </w:rPr>
          <w:tab/>
        </w:r>
        <w:r w:rsidR="00197034">
          <w:rPr>
            <w:noProof/>
            <w:webHidden/>
          </w:rPr>
          <w:fldChar w:fldCharType="begin"/>
        </w:r>
        <w:r w:rsidR="00197034">
          <w:rPr>
            <w:noProof/>
            <w:webHidden/>
          </w:rPr>
          <w:instrText xml:space="preserve"> PAGEREF _Toc3472989 \h </w:instrText>
        </w:r>
        <w:r w:rsidR="00197034">
          <w:rPr>
            <w:noProof/>
            <w:webHidden/>
          </w:rPr>
        </w:r>
        <w:r w:rsidR="00197034">
          <w:rPr>
            <w:noProof/>
            <w:webHidden/>
          </w:rPr>
          <w:fldChar w:fldCharType="separate"/>
        </w:r>
        <w:r w:rsidR="006C76B7">
          <w:rPr>
            <w:noProof/>
            <w:webHidden/>
          </w:rPr>
          <w:t>2</w:t>
        </w:r>
        <w:r w:rsidR="00197034">
          <w:rPr>
            <w:noProof/>
            <w:webHidden/>
          </w:rPr>
          <w:fldChar w:fldCharType="end"/>
        </w:r>
      </w:hyperlink>
    </w:p>
    <w:p w14:paraId="6C8EAA3A" w14:textId="0DA812E1" w:rsidR="00197034" w:rsidRDefault="000941A9">
      <w:pPr>
        <w:pStyle w:val="TOC1"/>
        <w:rPr>
          <w:rFonts w:eastAsiaTheme="minorEastAsia"/>
          <w:noProof/>
          <w:sz w:val="22"/>
          <w:lang w:eastAsia="nb-NO"/>
        </w:rPr>
      </w:pPr>
      <w:hyperlink w:anchor="_Toc3472990" w:history="1">
        <w:r w:rsidR="00197034" w:rsidRPr="00A47DB0">
          <w:rPr>
            <w:rStyle w:val="Hyperlink"/>
            <w:noProof/>
            <w:lang w:val="en-GB"/>
          </w:rPr>
          <w:t>Glossary and Terms</w:t>
        </w:r>
        <w:r w:rsidR="00197034">
          <w:rPr>
            <w:noProof/>
            <w:webHidden/>
          </w:rPr>
          <w:tab/>
        </w:r>
        <w:r w:rsidR="00197034">
          <w:rPr>
            <w:noProof/>
            <w:webHidden/>
          </w:rPr>
          <w:fldChar w:fldCharType="begin"/>
        </w:r>
        <w:r w:rsidR="00197034">
          <w:rPr>
            <w:noProof/>
            <w:webHidden/>
          </w:rPr>
          <w:instrText xml:space="preserve"> PAGEREF _Toc3472990 \h </w:instrText>
        </w:r>
        <w:r w:rsidR="00197034">
          <w:rPr>
            <w:noProof/>
            <w:webHidden/>
          </w:rPr>
        </w:r>
        <w:r w:rsidR="00197034">
          <w:rPr>
            <w:noProof/>
            <w:webHidden/>
          </w:rPr>
          <w:fldChar w:fldCharType="separate"/>
        </w:r>
        <w:r w:rsidR="006C76B7">
          <w:rPr>
            <w:noProof/>
            <w:webHidden/>
          </w:rPr>
          <w:t>3</w:t>
        </w:r>
        <w:r w:rsidR="00197034">
          <w:rPr>
            <w:noProof/>
            <w:webHidden/>
          </w:rPr>
          <w:fldChar w:fldCharType="end"/>
        </w:r>
      </w:hyperlink>
    </w:p>
    <w:p w14:paraId="38256E08" w14:textId="1BBAC927" w:rsidR="00197034" w:rsidRDefault="000941A9">
      <w:pPr>
        <w:pStyle w:val="TOC1"/>
        <w:rPr>
          <w:rFonts w:eastAsiaTheme="minorEastAsia"/>
          <w:noProof/>
          <w:sz w:val="22"/>
          <w:lang w:eastAsia="nb-NO"/>
        </w:rPr>
      </w:pPr>
      <w:hyperlink w:anchor="_Toc3472991" w:history="1">
        <w:r w:rsidR="00197034" w:rsidRPr="00A47DB0">
          <w:rPr>
            <w:rStyle w:val="Hyperlink"/>
            <w:noProof/>
            <w:lang w:val="en-GB"/>
          </w:rPr>
          <w:t>1. Introduction</w:t>
        </w:r>
        <w:r w:rsidR="00197034">
          <w:rPr>
            <w:noProof/>
            <w:webHidden/>
          </w:rPr>
          <w:tab/>
        </w:r>
        <w:r w:rsidR="00197034">
          <w:rPr>
            <w:noProof/>
            <w:webHidden/>
          </w:rPr>
          <w:fldChar w:fldCharType="begin"/>
        </w:r>
        <w:r w:rsidR="00197034">
          <w:rPr>
            <w:noProof/>
            <w:webHidden/>
          </w:rPr>
          <w:instrText xml:space="preserve"> PAGEREF _Toc3472991 \h </w:instrText>
        </w:r>
        <w:r w:rsidR="00197034">
          <w:rPr>
            <w:noProof/>
            <w:webHidden/>
          </w:rPr>
        </w:r>
        <w:r w:rsidR="00197034">
          <w:rPr>
            <w:noProof/>
            <w:webHidden/>
          </w:rPr>
          <w:fldChar w:fldCharType="separate"/>
        </w:r>
        <w:r w:rsidR="006C76B7">
          <w:rPr>
            <w:noProof/>
            <w:webHidden/>
          </w:rPr>
          <w:t>4</w:t>
        </w:r>
        <w:r w:rsidR="00197034">
          <w:rPr>
            <w:noProof/>
            <w:webHidden/>
          </w:rPr>
          <w:fldChar w:fldCharType="end"/>
        </w:r>
      </w:hyperlink>
    </w:p>
    <w:p w14:paraId="0EFAEAC6" w14:textId="58EC296F" w:rsidR="00197034" w:rsidRDefault="000941A9">
      <w:pPr>
        <w:pStyle w:val="TOC2"/>
        <w:tabs>
          <w:tab w:val="right" w:leader="dot" w:pos="9089"/>
        </w:tabs>
        <w:rPr>
          <w:rFonts w:eastAsiaTheme="minorEastAsia"/>
          <w:noProof/>
          <w:sz w:val="22"/>
          <w:lang w:eastAsia="nb-NO"/>
        </w:rPr>
      </w:pPr>
      <w:hyperlink w:anchor="_Toc3472992" w:history="1">
        <w:r w:rsidR="00197034" w:rsidRPr="00A47DB0">
          <w:rPr>
            <w:rStyle w:val="Hyperlink"/>
            <w:noProof/>
            <w:lang w:val="en-US"/>
          </w:rPr>
          <w:t>1.1 Scope and objectives of this guidance document</w:t>
        </w:r>
        <w:r w:rsidR="00197034">
          <w:rPr>
            <w:noProof/>
            <w:webHidden/>
          </w:rPr>
          <w:tab/>
        </w:r>
        <w:r w:rsidR="00197034">
          <w:rPr>
            <w:noProof/>
            <w:webHidden/>
          </w:rPr>
          <w:fldChar w:fldCharType="begin"/>
        </w:r>
        <w:r w:rsidR="00197034">
          <w:rPr>
            <w:noProof/>
            <w:webHidden/>
          </w:rPr>
          <w:instrText xml:space="preserve"> PAGEREF _Toc3472992 \h </w:instrText>
        </w:r>
        <w:r w:rsidR="00197034">
          <w:rPr>
            <w:noProof/>
            <w:webHidden/>
          </w:rPr>
        </w:r>
        <w:r w:rsidR="00197034">
          <w:rPr>
            <w:noProof/>
            <w:webHidden/>
          </w:rPr>
          <w:fldChar w:fldCharType="separate"/>
        </w:r>
        <w:r w:rsidR="006C76B7">
          <w:rPr>
            <w:noProof/>
            <w:webHidden/>
          </w:rPr>
          <w:t>4</w:t>
        </w:r>
        <w:r w:rsidR="00197034">
          <w:rPr>
            <w:noProof/>
            <w:webHidden/>
          </w:rPr>
          <w:fldChar w:fldCharType="end"/>
        </w:r>
      </w:hyperlink>
    </w:p>
    <w:p w14:paraId="4B0D5471" w14:textId="19A88580" w:rsidR="00197034" w:rsidRDefault="000941A9">
      <w:pPr>
        <w:pStyle w:val="TOC2"/>
        <w:tabs>
          <w:tab w:val="right" w:leader="dot" w:pos="9089"/>
        </w:tabs>
        <w:rPr>
          <w:rFonts w:eastAsiaTheme="minorEastAsia"/>
          <w:noProof/>
          <w:sz w:val="22"/>
          <w:lang w:eastAsia="nb-NO"/>
        </w:rPr>
      </w:pPr>
      <w:hyperlink w:anchor="_Toc3472993" w:history="1">
        <w:r w:rsidR="00197034" w:rsidRPr="00A47DB0">
          <w:rPr>
            <w:rStyle w:val="Hyperlink"/>
            <w:noProof/>
            <w:lang w:val="en-US"/>
          </w:rPr>
          <w:t>1.2 The issues</w:t>
        </w:r>
        <w:r w:rsidR="00197034">
          <w:rPr>
            <w:noProof/>
            <w:webHidden/>
          </w:rPr>
          <w:tab/>
        </w:r>
        <w:r w:rsidR="00197034">
          <w:rPr>
            <w:noProof/>
            <w:webHidden/>
          </w:rPr>
          <w:fldChar w:fldCharType="begin"/>
        </w:r>
        <w:r w:rsidR="00197034">
          <w:rPr>
            <w:noProof/>
            <w:webHidden/>
          </w:rPr>
          <w:instrText xml:space="preserve"> PAGEREF _Toc3472993 \h </w:instrText>
        </w:r>
        <w:r w:rsidR="00197034">
          <w:rPr>
            <w:noProof/>
            <w:webHidden/>
          </w:rPr>
        </w:r>
        <w:r w:rsidR="00197034">
          <w:rPr>
            <w:noProof/>
            <w:webHidden/>
          </w:rPr>
          <w:fldChar w:fldCharType="separate"/>
        </w:r>
        <w:r w:rsidR="006C76B7">
          <w:rPr>
            <w:noProof/>
            <w:webHidden/>
          </w:rPr>
          <w:t>4</w:t>
        </w:r>
        <w:r w:rsidR="00197034">
          <w:rPr>
            <w:noProof/>
            <w:webHidden/>
          </w:rPr>
          <w:fldChar w:fldCharType="end"/>
        </w:r>
      </w:hyperlink>
    </w:p>
    <w:p w14:paraId="596D5AD3" w14:textId="7BC57174" w:rsidR="00197034" w:rsidRDefault="000941A9">
      <w:pPr>
        <w:pStyle w:val="TOC2"/>
        <w:tabs>
          <w:tab w:val="right" w:leader="dot" w:pos="9089"/>
        </w:tabs>
        <w:rPr>
          <w:rFonts w:eastAsiaTheme="minorEastAsia"/>
          <w:noProof/>
          <w:sz w:val="22"/>
          <w:lang w:eastAsia="nb-NO"/>
        </w:rPr>
      </w:pPr>
      <w:hyperlink w:anchor="_Toc3472994" w:history="1">
        <w:r w:rsidR="00197034" w:rsidRPr="00A47DB0">
          <w:rPr>
            <w:rStyle w:val="Hyperlink"/>
            <w:noProof/>
            <w:lang w:val="en-US"/>
          </w:rPr>
          <w:t>1.3 MRV and mitigation</w:t>
        </w:r>
        <w:r w:rsidR="00197034">
          <w:rPr>
            <w:noProof/>
            <w:webHidden/>
          </w:rPr>
          <w:tab/>
        </w:r>
        <w:r w:rsidR="00197034">
          <w:rPr>
            <w:noProof/>
            <w:webHidden/>
          </w:rPr>
          <w:fldChar w:fldCharType="begin"/>
        </w:r>
        <w:r w:rsidR="00197034">
          <w:rPr>
            <w:noProof/>
            <w:webHidden/>
          </w:rPr>
          <w:instrText xml:space="preserve"> PAGEREF _Toc3472994 \h </w:instrText>
        </w:r>
        <w:r w:rsidR="00197034">
          <w:rPr>
            <w:noProof/>
            <w:webHidden/>
          </w:rPr>
        </w:r>
        <w:r w:rsidR="00197034">
          <w:rPr>
            <w:noProof/>
            <w:webHidden/>
          </w:rPr>
          <w:fldChar w:fldCharType="separate"/>
        </w:r>
        <w:r w:rsidR="006C76B7">
          <w:rPr>
            <w:noProof/>
            <w:webHidden/>
          </w:rPr>
          <w:t>5</w:t>
        </w:r>
        <w:r w:rsidR="00197034">
          <w:rPr>
            <w:noProof/>
            <w:webHidden/>
          </w:rPr>
          <w:fldChar w:fldCharType="end"/>
        </w:r>
      </w:hyperlink>
    </w:p>
    <w:p w14:paraId="53424072" w14:textId="39E5CBEC" w:rsidR="00197034" w:rsidRDefault="000941A9">
      <w:pPr>
        <w:pStyle w:val="TOC2"/>
        <w:tabs>
          <w:tab w:val="right" w:leader="dot" w:pos="9089"/>
        </w:tabs>
        <w:rPr>
          <w:rFonts w:eastAsiaTheme="minorEastAsia"/>
          <w:noProof/>
          <w:sz w:val="22"/>
          <w:lang w:eastAsia="nb-NO"/>
        </w:rPr>
      </w:pPr>
      <w:hyperlink w:anchor="_Toc3472995" w:history="1">
        <w:r w:rsidR="00197034" w:rsidRPr="00A47DB0">
          <w:rPr>
            <w:rStyle w:val="Hyperlink"/>
            <w:noProof/>
            <w:lang w:val="en-US"/>
          </w:rPr>
          <w:t>1.4 Structure of this document</w:t>
        </w:r>
        <w:r w:rsidR="00197034">
          <w:rPr>
            <w:noProof/>
            <w:webHidden/>
          </w:rPr>
          <w:tab/>
        </w:r>
        <w:r w:rsidR="00197034">
          <w:rPr>
            <w:noProof/>
            <w:webHidden/>
          </w:rPr>
          <w:fldChar w:fldCharType="begin"/>
        </w:r>
        <w:r w:rsidR="00197034">
          <w:rPr>
            <w:noProof/>
            <w:webHidden/>
          </w:rPr>
          <w:instrText xml:space="preserve"> PAGEREF _Toc3472995 \h </w:instrText>
        </w:r>
        <w:r w:rsidR="00197034">
          <w:rPr>
            <w:noProof/>
            <w:webHidden/>
          </w:rPr>
        </w:r>
        <w:r w:rsidR="00197034">
          <w:rPr>
            <w:noProof/>
            <w:webHidden/>
          </w:rPr>
          <w:fldChar w:fldCharType="separate"/>
        </w:r>
        <w:r w:rsidR="006C76B7">
          <w:rPr>
            <w:noProof/>
            <w:webHidden/>
          </w:rPr>
          <w:t>6</w:t>
        </w:r>
        <w:r w:rsidR="00197034">
          <w:rPr>
            <w:noProof/>
            <w:webHidden/>
          </w:rPr>
          <w:fldChar w:fldCharType="end"/>
        </w:r>
      </w:hyperlink>
    </w:p>
    <w:p w14:paraId="2FAF2F8E" w14:textId="3455E000" w:rsidR="00197034" w:rsidRDefault="000941A9">
      <w:pPr>
        <w:pStyle w:val="TOC1"/>
        <w:rPr>
          <w:rFonts w:eastAsiaTheme="minorEastAsia"/>
          <w:noProof/>
          <w:sz w:val="22"/>
          <w:lang w:eastAsia="nb-NO"/>
        </w:rPr>
      </w:pPr>
      <w:hyperlink w:anchor="_Toc3472996" w:history="1">
        <w:r w:rsidR="00197034" w:rsidRPr="00A47DB0">
          <w:rPr>
            <w:rStyle w:val="Hyperlink"/>
            <w:noProof/>
            <w:lang w:val="en-GB"/>
          </w:rPr>
          <w:t>2. Methane emissions in the oil and gas industry</w:t>
        </w:r>
        <w:r w:rsidR="00197034">
          <w:rPr>
            <w:noProof/>
            <w:webHidden/>
          </w:rPr>
          <w:tab/>
        </w:r>
        <w:r w:rsidR="00197034">
          <w:rPr>
            <w:noProof/>
            <w:webHidden/>
          </w:rPr>
          <w:fldChar w:fldCharType="begin"/>
        </w:r>
        <w:r w:rsidR="00197034">
          <w:rPr>
            <w:noProof/>
            <w:webHidden/>
          </w:rPr>
          <w:instrText xml:space="preserve"> PAGEREF _Toc3472996 \h </w:instrText>
        </w:r>
        <w:r w:rsidR="00197034">
          <w:rPr>
            <w:noProof/>
            <w:webHidden/>
          </w:rPr>
        </w:r>
        <w:r w:rsidR="00197034">
          <w:rPr>
            <w:noProof/>
            <w:webHidden/>
          </w:rPr>
          <w:fldChar w:fldCharType="separate"/>
        </w:r>
        <w:r w:rsidR="006C76B7">
          <w:rPr>
            <w:noProof/>
            <w:webHidden/>
          </w:rPr>
          <w:t>7</w:t>
        </w:r>
        <w:r w:rsidR="00197034">
          <w:rPr>
            <w:noProof/>
            <w:webHidden/>
          </w:rPr>
          <w:fldChar w:fldCharType="end"/>
        </w:r>
      </w:hyperlink>
    </w:p>
    <w:p w14:paraId="6EC021C4" w14:textId="7168467A" w:rsidR="00197034" w:rsidRDefault="000941A9">
      <w:pPr>
        <w:pStyle w:val="TOC2"/>
        <w:tabs>
          <w:tab w:val="right" w:leader="dot" w:pos="9089"/>
        </w:tabs>
        <w:rPr>
          <w:rFonts w:eastAsiaTheme="minorEastAsia"/>
          <w:noProof/>
          <w:sz w:val="22"/>
          <w:lang w:eastAsia="nb-NO"/>
        </w:rPr>
      </w:pPr>
      <w:hyperlink w:anchor="_Toc3472997" w:history="1">
        <w:r w:rsidR="00197034" w:rsidRPr="00A47DB0">
          <w:rPr>
            <w:rStyle w:val="Hyperlink"/>
            <w:noProof/>
            <w:lang w:val="en-GB"/>
          </w:rPr>
          <w:t>2. 1 The basis for emissions estimates</w:t>
        </w:r>
        <w:r w:rsidR="00197034">
          <w:rPr>
            <w:noProof/>
            <w:webHidden/>
          </w:rPr>
          <w:tab/>
        </w:r>
        <w:r w:rsidR="00197034">
          <w:rPr>
            <w:noProof/>
            <w:webHidden/>
          </w:rPr>
          <w:fldChar w:fldCharType="begin"/>
        </w:r>
        <w:r w:rsidR="00197034">
          <w:rPr>
            <w:noProof/>
            <w:webHidden/>
          </w:rPr>
          <w:instrText xml:space="preserve"> PAGEREF _Toc3472997 \h </w:instrText>
        </w:r>
        <w:r w:rsidR="00197034">
          <w:rPr>
            <w:noProof/>
            <w:webHidden/>
          </w:rPr>
        </w:r>
        <w:r w:rsidR="00197034">
          <w:rPr>
            <w:noProof/>
            <w:webHidden/>
          </w:rPr>
          <w:fldChar w:fldCharType="separate"/>
        </w:r>
        <w:r w:rsidR="006C76B7">
          <w:rPr>
            <w:noProof/>
            <w:webHidden/>
          </w:rPr>
          <w:t>7</w:t>
        </w:r>
        <w:r w:rsidR="00197034">
          <w:rPr>
            <w:noProof/>
            <w:webHidden/>
          </w:rPr>
          <w:fldChar w:fldCharType="end"/>
        </w:r>
      </w:hyperlink>
    </w:p>
    <w:p w14:paraId="5BDC4B78" w14:textId="5A8A26B3" w:rsidR="00197034" w:rsidRDefault="000941A9">
      <w:pPr>
        <w:pStyle w:val="TOC2"/>
        <w:tabs>
          <w:tab w:val="right" w:leader="dot" w:pos="9089"/>
        </w:tabs>
        <w:rPr>
          <w:rFonts w:eastAsiaTheme="minorEastAsia"/>
          <w:noProof/>
          <w:sz w:val="22"/>
          <w:lang w:eastAsia="nb-NO"/>
        </w:rPr>
      </w:pPr>
      <w:hyperlink w:anchor="_Toc3472998" w:history="1">
        <w:r w:rsidR="00197034" w:rsidRPr="00A47DB0">
          <w:rPr>
            <w:rStyle w:val="Hyperlink"/>
            <w:noProof/>
            <w:lang w:val="en-GB"/>
          </w:rPr>
          <w:t>2.2 Estimated methane emission levels – global and for the ECE countries region</w:t>
        </w:r>
        <w:r w:rsidR="00197034">
          <w:rPr>
            <w:noProof/>
            <w:webHidden/>
          </w:rPr>
          <w:tab/>
        </w:r>
        <w:r w:rsidR="00197034">
          <w:rPr>
            <w:noProof/>
            <w:webHidden/>
          </w:rPr>
          <w:fldChar w:fldCharType="begin"/>
        </w:r>
        <w:r w:rsidR="00197034">
          <w:rPr>
            <w:noProof/>
            <w:webHidden/>
          </w:rPr>
          <w:instrText xml:space="preserve"> PAGEREF _Toc3472998 \h </w:instrText>
        </w:r>
        <w:r w:rsidR="00197034">
          <w:rPr>
            <w:noProof/>
            <w:webHidden/>
          </w:rPr>
        </w:r>
        <w:r w:rsidR="00197034">
          <w:rPr>
            <w:noProof/>
            <w:webHidden/>
          </w:rPr>
          <w:fldChar w:fldCharType="separate"/>
        </w:r>
        <w:r w:rsidR="006C76B7">
          <w:rPr>
            <w:noProof/>
            <w:webHidden/>
          </w:rPr>
          <w:t>10</w:t>
        </w:r>
        <w:r w:rsidR="00197034">
          <w:rPr>
            <w:noProof/>
            <w:webHidden/>
          </w:rPr>
          <w:fldChar w:fldCharType="end"/>
        </w:r>
      </w:hyperlink>
    </w:p>
    <w:p w14:paraId="2D4830C2" w14:textId="4BAAFC8D" w:rsidR="00197034" w:rsidRDefault="000941A9">
      <w:pPr>
        <w:pStyle w:val="TOC1"/>
        <w:rPr>
          <w:rFonts w:eastAsiaTheme="minorEastAsia"/>
          <w:noProof/>
          <w:sz w:val="22"/>
          <w:lang w:eastAsia="nb-NO"/>
        </w:rPr>
      </w:pPr>
      <w:hyperlink w:anchor="_Toc3472999" w:history="1">
        <w:r w:rsidR="00197034" w:rsidRPr="00A47DB0">
          <w:rPr>
            <w:rStyle w:val="Hyperlink"/>
            <w:noProof/>
            <w:lang w:val="en-GB"/>
          </w:rPr>
          <w:t>3. Monitoring, reporting and verification (MRV)</w:t>
        </w:r>
        <w:r w:rsidR="00197034">
          <w:rPr>
            <w:noProof/>
            <w:webHidden/>
          </w:rPr>
          <w:tab/>
        </w:r>
        <w:r w:rsidR="00197034">
          <w:rPr>
            <w:noProof/>
            <w:webHidden/>
          </w:rPr>
          <w:fldChar w:fldCharType="begin"/>
        </w:r>
        <w:r w:rsidR="00197034">
          <w:rPr>
            <w:noProof/>
            <w:webHidden/>
          </w:rPr>
          <w:instrText xml:space="preserve"> PAGEREF _Toc3472999 \h </w:instrText>
        </w:r>
        <w:r w:rsidR="00197034">
          <w:rPr>
            <w:noProof/>
            <w:webHidden/>
          </w:rPr>
        </w:r>
        <w:r w:rsidR="00197034">
          <w:rPr>
            <w:noProof/>
            <w:webHidden/>
          </w:rPr>
          <w:fldChar w:fldCharType="separate"/>
        </w:r>
        <w:r w:rsidR="006C76B7">
          <w:rPr>
            <w:noProof/>
            <w:webHidden/>
          </w:rPr>
          <w:t>13</w:t>
        </w:r>
        <w:r w:rsidR="00197034">
          <w:rPr>
            <w:noProof/>
            <w:webHidden/>
          </w:rPr>
          <w:fldChar w:fldCharType="end"/>
        </w:r>
      </w:hyperlink>
    </w:p>
    <w:p w14:paraId="4583471C" w14:textId="2C2E9FDA" w:rsidR="00197034" w:rsidRDefault="000941A9">
      <w:pPr>
        <w:pStyle w:val="TOC2"/>
        <w:tabs>
          <w:tab w:val="right" w:leader="dot" w:pos="9089"/>
        </w:tabs>
        <w:rPr>
          <w:rFonts w:eastAsiaTheme="minorEastAsia"/>
          <w:noProof/>
          <w:sz w:val="22"/>
          <w:lang w:eastAsia="nb-NO"/>
        </w:rPr>
      </w:pPr>
      <w:hyperlink w:anchor="_Toc3473000" w:history="1">
        <w:r w:rsidR="00197034" w:rsidRPr="00A47DB0">
          <w:rPr>
            <w:rStyle w:val="Hyperlink"/>
            <w:noProof/>
            <w:lang w:val="en-GB"/>
          </w:rPr>
          <w:t>Key messages</w:t>
        </w:r>
        <w:r w:rsidR="00197034">
          <w:rPr>
            <w:noProof/>
            <w:webHidden/>
          </w:rPr>
          <w:tab/>
        </w:r>
        <w:r w:rsidR="00197034">
          <w:rPr>
            <w:noProof/>
            <w:webHidden/>
          </w:rPr>
          <w:fldChar w:fldCharType="begin"/>
        </w:r>
        <w:r w:rsidR="00197034">
          <w:rPr>
            <w:noProof/>
            <w:webHidden/>
          </w:rPr>
          <w:instrText xml:space="preserve"> PAGEREF _Toc3473000 \h </w:instrText>
        </w:r>
        <w:r w:rsidR="00197034">
          <w:rPr>
            <w:noProof/>
            <w:webHidden/>
          </w:rPr>
        </w:r>
        <w:r w:rsidR="00197034">
          <w:rPr>
            <w:noProof/>
            <w:webHidden/>
          </w:rPr>
          <w:fldChar w:fldCharType="separate"/>
        </w:r>
        <w:r w:rsidR="006C76B7">
          <w:rPr>
            <w:noProof/>
            <w:webHidden/>
          </w:rPr>
          <w:t>13</w:t>
        </w:r>
        <w:r w:rsidR="00197034">
          <w:rPr>
            <w:noProof/>
            <w:webHidden/>
          </w:rPr>
          <w:fldChar w:fldCharType="end"/>
        </w:r>
      </w:hyperlink>
    </w:p>
    <w:p w14:paraId="584BE5B2" w14:textId="79BACE48" w:rsidR="00197034" w:rsidRDefault="000941A9">
      <w:pPr>
        <w:pStyle w:val="TOC2"/>
        <w:tabs>
          <w:tab w:val="right" w:leader="dot" w:pos="9089"/>
        </w:tabs>
        <w:rPr>
          <w:rFonts w:eastAsiaTheme="minorEastAsia"/>
          <w:noProof/>
          <w:sz w:val="22"/>
          <w:lang w:eastAsia="nb-NO"/>
        </w:rPr>
      </w:pPr>
      <w:hyperlink w:anchor="_Toc3473001" w:history="1">
        <w:r w:rsidR="00197034" w:rsidRPr="00A47DB0">
          <w:rPr>
            <w:rStyle w:val="Hyperlink"/>
            <w:noProof/>
            <w:lang w:val="en-GB"/>
          </w:rPr>
          <w:t>3.1 Overview of challenges and approaches with methane measurement</w:t>
        </w:r>
        <w:r w:rsidR="00197034">
          <w:rPr>
            <w:noProof/>
            <w:webHidden/>
          </w:rPr>
          <w:tab/>
        </w:r>
        <w:r w:rsidR="00197034">
          <w:rPr>
            <w:noProof/>
            <w:webHidden/>
          </w:rPr>
          <w:fldChar w:fldCharType="begin"/>
        </w:r>
        <w:r w:rsidR="00197034">
          <w:rPr>
            <w:noProof/>
            <w:webHidden/>
          </w:rPr>
          <w:instrText xml:space="preserve"> PAGEREF _Toc3473001 \h </w:instrText>
        </w:r>
        <w:r w:rsidR="00197034">
          <w:rPr>
            <w:noProof/>
            <w:webHidden/>
          </w:rPr>
        </w:r>
        <w:r w:rsidR="00197034">
          <w:rPr>
            <w:noProof/>
            <w:webHidden/>
          </w:rPr>
          <w:fldChar w:fldCharType="separate"/>
        </w:r>
        <w:r w:rsidR="006C76B7">
          <w:rPr>
            <w:noProof/>
            <w:webHidden/>
          </w:rPr>
          <w:t>13</w:t>
        </w:r>
        <w:r w:rsidR="00197034">
          <w:rPr>
            <w:noProof/>
            <w:webHidden/>
          </w:rPr>
          <w:fldChar w:fldCharType="end"/>
        </w:r>
      </w:hyperlink>
    </w:p>
    <w:p w14:paraId="72B7C669" w14:textId="2B2EF327" w:rsidR="00197034" w:rsidRDefault="000941A9">
      <w:pPr>
        <w:pStyle w:val="TOC2"/>
        <w:tabs>
          <w:tab w:val="right" w:leader="dot" w:pos="9089"/>
        </w:tabs>
        <w:rPr>
          <w:rFonts w:eastAsiaTheme="minorEastAsia"/>
          <w:noProof/>
          <w:sz w:val="22"/>
          <w:lang w:eastAsia="nb-NO"/>
        </w:rPr>
      </w:pPr>
      <w:hyperlink w:anchor="_Toc3473002" w:history="1">
        <w:r w:rsidR="00197034" w:rsidRPr="00A47DB0">
          <w:rPr>
            <w:rStyle w:val="Hyperlink"/>
            <w:noProof/>
            <w:lang w:val="en-GB"/>
          </w:rPr>
          <w:t>3.2 MRV at the facility and company level</w:t>
        </w:r>
        <w:r w:rsidR="00197034">
          <w:rPr>
            <w:noProof/>
            <w:webHidden/>
          </w:rPr>
          <w:tab/>
        </w:r>
        <w:r w:rsidR="00197034">
          <w:rPr>
            <w:noProof/>
            <w:webHidden/>
          </w:rPr>
          <w:fldChar w:fldCharType="begin"/>
        </w:r>
        <w:r w:rsidR="00197034">
          <w:rPr>
            <w:noProof/>
            <w:webHidden/>
          </w:rPr>
          <w:instrText xml:space="preserve"> PAGEREF _Toc3473002 \h </w:instrText>
        </w:r>
        <w:r w:rsidR="00197034">
          <w:rPr>
            <w:noProof/>
            <w:webHidden/>
          </w:rPr>
        </w:r>
        <w:r w:rsidR="00197034">
          <w:rPr>
            <w:noProof/>
            <w:webHidden/>
          </w:rPr>
          <w:fldChar w:fldCharType="separate"/>
        </w:r>
        <w:r w:rsidR="006C76B7">
          <w:rPr>
            <w:noProof/>
            <w:webHidden/>
          </w:rPr>
          <w:t>16</w:t>
        </w:r>
        <w:r w:rsidR="00197034">
          <w:rPr>
            <w:noProof/>
            <w:webHidden/>
          </w:rPr>
          <w:fldChar w:fldCharType="end"/>
        </w:r>
      </w:hyperlink>
    </w:p>
    <w:p w14:paraId="0F43A7CD" w14:textId="12B613DD" w:rsidR="00197034" w:rsidRDefault="000941A9">
      <w:pPr>
        <w:pStyle w:val="TOC2"/>
        <w:tabs>
          <w:tab w:val="right" w:leader="dot" w:pos="9089"/>
        </w:tabs>
        <w:rPr>
          <w:rFonts w:eastAsiaTheme="minorEastAsia"/>
          <w:noProof/>
          <w:sz w:val="22"/>
          <w:lang w:eastAsia="nb-NO"/>
        </w:rPr>
      </w:pPr>
      <w:hyperlink w:anchor="_Toc3473003" w:history="1">
        <w:r w:rsidR="00197034" w:rsidRPr="00A47DB0">
          <w:rPr>
            <w:rStyle w:val="Hyperlink"/>
            <w:noProof/>
            <w:lang w:val="en-GB"/>
          </w:rPr>
          <w:t>3.3 MRV at the national level and international reporting</w:t>
        </w:r>
        <w:r w:rsidR="00197034">
          <w:rPr>
            <w:noProof/>
            <w:webHidden/>
          </w:rPr>
          <w:tab/>
        </w:r>
        <w:r w:rsidR="00197034">
          <w:rPr>
            <w:noProof/>
            <w:webHidden/>
          </w:rPr>
          <w:fldChar w:fldCharType="begin"/>
        </w:r>
        <w:r w:rsidR="00197034">
          <w:rPr>
            <w:noProof/>
            <w:webHidden/>
          </w:rPr>
          <w:instrText xml:space="preserve"> PAGEREF _Toc3473003 \h </w:instrText>
        </w:r>
        <w:r w:rsidR="00197034">
          <w:rPr>
            <w:noProof/>
            <w:webHidden/>
          </w:rPr>
        </w:r>
        <w:r w:rsidR="00197034">
          <w:rPr>
            <w:noProof/>
            <w:webHidden/>
          </w:rPr>
          <w:fldChar w:fldCharType="separate"/>
        </w:r>
        <w:r w:rsidR="006C76B7">
          <w:rPr>
            <w:noProof/>
            <w:webHidden/>
          </w:rPr>
          <w:t>23</w:t>
        </w:r>
        <w:r w:rsidR="00197034">
          <w:rPr>
            <w:noProof/>
            <w:webHidden/>
          </w:rPr>
          <w:fldChar w:fldCharType="end"/>
        </w:r>
      </w:hyperlink>
    </w:p>
    <w:p w14:paraId="31892E7A" w14:textId="5B4B25A9" w:rsidR="00197034" w:rsidRDefault="000941A9">
      <w:pPr>
        <w:pStyle w:val="TOC1"/>
        <w:rPr>
          <w:noProof/>
        </w:rPr>
      </w:pPr>
      <w:hyperlink w:anchor="_Toc3473004" w:history="1">
        <w:r w:rsidR="00197034" w:rsidRPr="00A47DB0">
          <w:rPr>
            <w:rStyle w:val="Hyperlink"/>
            <w:noProof/>
            <w:lang w:val="en-GB"/>
          </w:rPr>
          <w:t xml:space="preserve">4. </w:t>
        </w:r>
        <w:r w:rsidR="00197034" w:rsidRPr="00A47DB0">
          <w:rPr>
            <w:rStyle w:val="Hyperlink"/>
            <w:noProof/>
            <w:lang w:val="en-GB"/>
          </w:rPr>
          <w:t>Mitigation</w:t>
        </w:r>
        <w:r w:rsidR="00197034">
          <w:rPr>
            <w:noProof/>
            <w:webHidden/>
          </w:rPr>
          <w:tab/>
        </w:r>
        <w:r w:rsidR="00197034">
          <w:rPr>
            <w:noProof/>
            <w:webHidden/>
          </w:rPr>
          <w:fldChar w:fldCharType="begin"/>
        </w:r>
        <w:r w:rsidR="00197034">
          <w:rPr>
            <w:noProof/>
            <w:webHidden/>
          </w:rPr>
          <w:instrText xml:space="preserve"> PAGEREF _Toc3473004 \h </w:instrText>
        </w:r>
        <w:r w:rsidR="00197034">
          <w:rPr>
            <w:noProof/>
            <w:webHidden/>
          </w:rPr>
        </w:r>
        <w:r w:rsidR="00197034">
          <w:rPr>
            <w:noProof/>
            <w:webHidden/>
          </w:rPr>
          <w:fldChar w:fldCharType="separate"/>
        </w:r>
        <w:r w:rsidR="006C76B7">
          <w:rPr>
            <w:noProof/>
            <w:webHidden/>
          </w:rPr>
          <w:t>2</w:t>
        </w:r>
        <w:r w:rsidR="00197034">
          <w:rPr>
            <w:noProof/>
            <w:webHidden/>
          </w:rPr>
          <w:fldChar w:fldCharType="end"/>
        </w:r>
      </w:hyperlink>
      <w:r w:rsidR="003A4A29">
        <w:rPr>
          <w:noProof/>
        </w:rPr>
        <w:t>8</w:t>
      </w:r>
    </w:p>
    <w:p w14:paraId="6CF0A0C7" w14:textId="4B75C597" w:rsidR="003A4A29" w:rsidRPr="003A4A29" w:rsidRDefault="003A4A29" w:rsidP="003A4A29">
      <w:pPr>
        <w:ind w:firstLine="200"/>
        <w:rPr>
          <w:noProof/>
        </w:rPr>
      </w:pPr>
      <w:r w:rsidRPr="003A4A29">
        <w:rPr>
          <w:noProof/>
        </w:rPr>
        <w:t>Key messages</w:t>
      </w:r>
      <w:r>
        <w:rPr>
          <w:noProof/>
          <w:webHidden/>
        </w:rPr>
        <w:t>....................................................................................................................................28</w:t>
      </w:r>
      <w:r w:rsidRPr="003A4A29">
        <w:rPr>
          <w:noProof/>
          <w:webHidden/>
        </w:rPr>
        <w:fldChar w:fldCharType="begin"/>
      </w:r>
      <w:r w:rsidRPr="003A4A29">
        <w:rPr>
          <w:noProof/>
          <w:webHidden/>
        </w:rPr>
        <w:instrText xml:space="preserve"> PAGEREF _Toc3473000 \h </w:instrText>
      </w:r>
      <w:r w:rsidRPr="003A4A29">
        <w:rPr>
          <w:noProof/>
          <w:webHidden/>
        </w:rPr>
      </w:r>
      <w:r w:rsidRPr="003A4A29">
        <w:rPr>
          <w:noProof/>
          <w:webHidden/>
        </w:rPr>
        <w:fldChar w:fldCharType="separate"/>
      </w:r>
      <w:r w:rsidRPr="003A4A29">
        <w:rPr>
          <w:noProof/>
          <w:webHidden/>
        </w:rPr>
        <w:fldChar w:fldCharType="end"/>
      </w:r>
    </w:p>
    <w:p w14:paraId="76C8D156" w14:textId="482C0F47" w:rsidR="00197034" w:rsidRDefault="000941A9">
      <w:pPr>
        <w:pStyle w:val="TOC2"/>
        <w:tabs>
          <w:tab w:val="right" w:leader="dot" w:pos="9089"/>
        </w:tabs>
        <w:rPr>
          <w:rFonts w:eastAsiaTheme="minorEastAsia"/>
          <w:noProof/>
          <w:sz w:val="22"/>
          <w:lang w:eastAsia="nb-NO"/>
        </w:rPr>
      </w:pPr>
      <w:hyperlink w:anchor="_Toc3473005" w:history="1">
        <w:r w:rsidR="00197034" w:rsidRPr="00A47DB0">
          <w:rPr>
            <w:rStyle w:val="Hyperlink"/>
            <w:noProof/>
            <w:lang w:val="en-GB"/>
          </w:rPr>
          <w:t>4.1 Abatement opportunities and barriers to action</w:t>
        </w:r>
        <w:r w:rsidR="00197034">
          <w:rPr>
            <w:noProof/>
            <w:webHidden/>
          </w:rPr>
          <w:tab/>
        </w:r>
        <w:r w:rsidR="00197034">
          <w:rPr>
            <w:noProof/>
            <w:webHidden/>
          </w:rPr>
          <w:fldChar w:fldCharType="begin"/>
        </w:r>
        <w:r w:rsidR="00197034">
          <w:rPr>
            <w:noProof/>
            <w:webHidden/>
          </w:rPr>
          <w:instrText xml:space="preserve"> PAGEREF _Toc3473005 \h </w:instrText>
        </w:r>
        <w:r w:rsidR="00197034">
          <w:rPr>
            <w:noProof/>
            <w:webHidden/>
          </w:rPr>
        </w:r>
        <w:r w:rsidR="00197034">
          <w:rPr>
            <w:noProof/>
            <w:webHidden/>
          </w:rPr>
          <w:fldChar w:fldCharType="separate"/>
        </w:r>
        <w:r w:rsidR="006C76B7">
          <w:rPr>
            <w:noProof/>
            <w:webHidden/>
          </w:rPr>
          <w:t>2</w:t>
        </w:r>
        <w:r w:rsidR="00197034">
          <w:rPr>
            <w:noProof/>
            <w:webHidden/>
          </w:rPr>
          <w:fldChar w:fldCharType="end"/>
        </w:r>
      </w:hyperlink>
      <w:r w:rsidR="00562A4B">
        <w:rPr>
          <w:noProof/>
        </w:rPr>
        <w:t>8</w:t>
      </w:r>
    </w:p>
    <w:p w14:paraId="1113DA57" w14:textId="51790D70" w:rsidR="00197034" w:rsidRDefault="000941A9">
      <w:pPr>
        <w:pStyle w:val="TOC2"/>
        <w:tabs>
          <w:tab w:val="right" w:leader="dot" w:pos="9089"/>
        </w:tabs>
        <w:rPr>
          <w:rFonts w:eastAsiaTheme="minorEastAsia"/>
          <w:noProof/>
          <w:sz w:val="22"/>
          <w:lang w:eastAsia="nb-NO"/>
        </w:rPr>
      </w:pPr>
      <w:r>
        <w:rPr>
          <w:rStyle w:val="Hyperlink"/>
          <w:noProof/>
          <w:lang w:val="en-GB"/>
        </w:rPr>
        <w:fldChar w:fldCharType="begin"/>
      </w:r>
      <w:r>
        <w:rPr>
          <w:rStyle w:val="Hyperlink"/>
          <w:noProof/>
          <w:lang w:val="en-GB"/>
        </w:rPr>
        <w:instrText xml:space="preserve"> HYPERLINK \l "_Toc3473006" </w:instrText>
      </w:r>
      <w:r>
        <w:rPr>
          <w:rStyle w:val="Hyperlink"/>
          <w:noProof/>
          <w:lang w:val="en-GB"/>
        </w:rPr>
        <w:fldChar w:fldCharType="separate"/>
      </w:r>
      <w:r w:rsidR="00197034" w:rsidRPr="00A47DB0">
        <w:rPr>
          <w:rStyle w:val="Hyperlink"/>
          <w:noProof/>
          <w:lang w:val="en-GB"/>
        </w:rPr>
        <w:t>4.2 Company strategies and actions</w:t>
      </w:r>
      <w:r w:rsidR="00197034">
        <w:rPr>
          <w:noProof/>
          <w:webHidden/>
        </w:rPr>
        <w:tab/>
      </w:r>
      <w:r w:rsidR="00197034">
        <w:rPr>
          <w:noProof/>
          <w:webHidden/>
        </w:rPr>
        <w:fldChar w:fldCharType="begin"/>
      </w:r>
      <w:r w:rsidR="00197034">
        <w:rPr>
          <w:noProof/>
          <w:webHidden/>
        </w:rPr>
        <w:instrText xml:space="preserve"> PAGEREF _Toc3473006 \h </w:instrText>
      </w:r>
      <w:r w:rsidR="00197034">
        <w:rPr>
          <w:noProof/>
          <w:webHidden/>
        </w:rPr>
      </w:r>
      <w:r w:rsidR="00197034">
        <w:rPr>
          <w:noProof/>
          <w:webHidden/>
        </w:rPr>
        <w:fldChar w:fldCharType="separate"/>
      </w:r>
      <w:r w:rsidR="006C76B7">
        <w:rPr>
          <w:noProof/>
          <w:webHidden/>
        </w:rPr>
        <w:t>3</w:t>
      </w:r>
      <w:r w:rsidR="00197034">
        <w:rPr>
          <w:noProof/>
          <w:webHidden/>
        </w:rPr>
        <w:fldChar w:fldCharType="end"/>
      </w:r>
      <w:r>
        <w:rPr>
          <w:noProof/>
        </w:rPr>
        <w:fldChar w:fldCharType="end"/>
      </w:r>
      <w:r w:rsidR="00562A4B">
        <w:rPr>
          <w:noProof/>
        </w:rPr>
        <w:t>1</w:t>
      </w:r>
    </w:p>
    <w:p w14:paraId="41ABE617" w14:textId="64FC970F" w:rsidR="00197034" w:rsidRDefault="000941A9">
      <w:pPr>
        <w:pStyle w:val="TOC2"/>
        <w:tabs>
          <w:tab w:val="right" w:leader="dot" w:pos="9089"/>
        </w:tabs>
        <w:rPr>
          <w:rFonts w:eastAsiaTheme="minorEastAsia"/>
          <w:noProof/>
          <w:sz w:val="22"/>
          <w:lang w:eastAsia="nb-NO"/>
        </w:rPr>
      </w:pPr>
      <w:r>
        <w:rPr>
          <w:rStyle w:val="Hyperlink"/>
          <w:noProof/>
          <w:lang w:val="en-GB"/>
        </w:rPr>
        <w:fldChar w:fldCharType="begin"/>
      </w:r>
      <w:r>
        <w:rPr>
          <w:rStyle w:val="Hyperlink"/>
          <w:noProof/>
          <w:lang w:val="en-GB"/>
        </w:rPr>
        <w:instrText xml:space="preserve"> HYPERLINK \l "_Toc3473007" </w:instrText>
      </w:r>
      <w:r>
        <w:rPr>
          <w:rStyle w:val="Hyperlink"/>
          <w:noProof/>
          <w:lang w:val="en-GB"/>
        </w:rPr>
        <w:fldChar w:fldCharType="separate"/>
      </w:r>
      <w:r w:rsidR="00197034" w:rsidRPr="00A47DB0">
        <w:rPr>
          <w:rStyle w:val="Hyperlink"/>
          <w:noProof/>
          <w:lang w:val="en-GB"/>
        </w:rPr>
        <w:t>4.3 National policies and regulations</w:t>
      </w:r>
      <w:r w:rsidR="00197034">
        <w:rPr>
          <w:noProof/>
          <w:webHidden/>
        </w:rPr>
        <w:tab/>
      </w:r>
      <w:r w:rsidR="00197034">
        <w:rPr>
          <w:noProof/>
          <w:webHidden/>
        </w:rPr>
        <w:fldChar w:fldCharType="begin"/>
      </w:r>
      <w:r w:rsidR="00197034">
        <w:rPr>
          <w:noProof/>
          <w:webHidden/>
        </w:rPr>
        <w:instrText xml:space="preserve"> PAGEREF _Toc3473007 \h </w:instrText>
      </w:r>
      <w:r w:rsidR="00197034">
        <w:rPr>
          <w:noProof/>
          <w:webHidden/>
        </w:rPr>
      </w:r>
      <w:r w:rsidR="00197034">
        <w:rPr>
          <w:noProof/>
          <w:webHidden/>
        </w:rPr>
        <w:fldChar w:fldCharType="separate"/>
      </w:r>
      <w:r w:rsidR="006C76B7">
        <w:rPr>
          <w:noProof/>
          <w:webHidden/>
        </w:rPr>
        <w:t>3</w:t>
      </w:r>
      <w:r w:rsidR="00197034">
        <w:rPr>
          <w:noProof/>
          <w:webHidden/>
        </w:rPr>
        <w:fldChar w:fldCharType="end"/>
      </w:r>
      <w:r>
        <w:rPr>
          <w:noProof/>
        </w:rPr>
        <w:fldChar w:fldCharType="end"/>
      </w:r>
      <w:r w:rsidR="00562A4B">
        <w:rPr>
          <w:noProof/>
        </w:rPr>
        <w:t>7</w:t>
      </w:r>
    </w:p>
    <w:p w14:paraId="7AA6D9D1" w14:textId="1CC9C48A" w:rsidR="00197034" w:rsidRDefault="000941A9">
      <w:pPr>
        <w:pStyle w:val="TOC2"/>
        <w:tabs>
          <w:tab w:val="right" w:leader="dot" w:pos="9089"/>
        </w:tabs>
        <w:rPr>
          <w:rFonts w:eastAsiaTheme="minorEastAsia"/>
          <w:noProof/>
          <w:sz w:val="22"/>
          <w:lang w:eastAsia="nb-NO"/>
        </w:rPr>
      </w:pPr>
      <w:r>
        <w:rPr>
          <w:rStyle w:val="Hyperlink"/>
          <w:noProof/>
          <w:lang w:val="en-GB"/>
        </w:rPr>
        <w:fldChar w:fldCharType="begin"/>
      </w:r>
      <w:r>
        <w:rPr>
          <w:rStyle w:val="Hyperlink"/>
          <w:noProof/>
          <w:lang w:val="en-GB"/>
        </w:rPr>
        <w:instrText xml:space="preserve"> HYPERLINK \l "_Toc3473008" </w:instrText>
      </w:r>
      <w:r>
        <w:rPr>
          <w:rStyle w:val="Hyperlink"/>
          <w:noProof/>
          <w:lang w:val="en-GB"/>
        </w:rPr>
        <w:fldChar w:fldCharType="separate"/>
      </w:r>
      <w:r w:rsidR="00197034" w:rsidRPr="00A47DB0">
        <w:rPr>
          <w:rStyle w:val="Hyperlink"/>
          <w:noProof/>
          <w:lang w:val="en-GB"/>
        </w:rPr>
        <w:t>4.4 International initiatives and climate policies</w:t>
      </w:r>
      <w:r w:rsidR="00197034">
        <w:rPr>
          <w:noProof/>
          <w:webHidden/>
        </w:rPr>
        <w:tab/>
      </w:r>
      <w:r w:rsidR="00197034">
        <w:rPr>
          <w:noProof/>
          <w:webHidden/>
        </w:rPr>
        <w:fldChar w:fldCharType="begin"/>
      </w:r>
      <w:r w:rsidR="00197034">
        <w:rPr>
          <w:noProof/>
          <w:webHidden/>
        </w:rPr>
        <w:instrText xml:space="preserve"> PAGEREF _Toc3473008 \h </w:instrText>
      </w:r>
      <w:r w:rsidR="00197034">
        <w:rPr>
          <w:noProof/>
          <w:webHidden/>
        </w:rPr>
      </w:r>
      <w:r w:rsidR="00197034">
        <w:rPr>
          <w:noProof/>
          <w:webHidden/>
        </w:rPr>
        <w:fldChar w:fldCharType="separate"/>
      </w:r>
      <w:r w:rsidR="006C76B7">
        <w:rPr>
          <w:noProof/>
          <w:webHidden/>
        </w:rPr>
        <w:t>4</w:t>
      </w:r>
      <w:r w:rsidR="00197034">
        <w:rPr>
          <w:noProof/>
          <w:webHidden/>
        </w:rPr>
        <w:fldChar w:fldCharType="end"/>
      </w:r>
      <w:r>
        <w:rPr>
          <w:noProof/>
        </w:rPr>
        <w:fldChar w:fldCharType="end"/>
      </w:r>
      <w:r w:rsidR="00562A4B">
        <w:rPr>
          <w:noProof/>
        </w:rPr>
        <w:t>2</w:t>
      </w:r>
    </w:p>
    <w:p w14:paraId="6DFF227B" w14:textId="1E1F31B8" w:rsidR="00197034" w:rsidRDefault="000941A9">
      <w:pPr>
        <w:pStyle w:val="TOC1"/>
        <w:tabs>
          <w:tab w:val="left" w:pos="400"/>
        </w:tabs>
        <w:rPr>
          <w:rFonts w:eastAsiaTheme="minorEastAsia"/>
          <w:noProof/>
          <w:sz w:val="22"/>
          <w:lang w:eastAsia="nb-NO"/>
        </w:rPr>
      </w:pPr>
      <w:r>
        <w:rPr>
          <w:rStyle w:val="Hyperlink"/>
          <w:noProof/>
          <w:lang w:val="en-US"/>
        </w:rPr>
        <w:fldChar w:fldCharType="begin"/>
      </w:r>
      <w:r>
        <w:rPr>
          <w:rStyle w:val="Hyperlink"/>
          <w:noProof/>
          <w:lang w:val="en-US"/>
        </w:rPr>
        <w:instrText xml:space="preserve"> HYPERLINK \l "_Toc3473009" </w:instrText>
      </w:r>
      <w:r>
        <w:rPr>
          <w:rStyle w:val="Hyperlink"/>
          <w:noProof/>
          <w:lang w:val="en-US"/>
        </w:rPr>
        <w:fldChar w:fldCharType="separate"/>
      </w:r>
      <w:r w:rsidR="00197034" w:rsidRPr="00A47DB0">
        <w:rPr>
          <w:rStyle w:val="Hyperlink"/>
          <w:noProof/>
          <w:lang w:val="en-US"/>
        </w:rPr>
        <w:t>5.</w:t>
      </w:r>
      <w:r w:rsidR="00197034">
        <w:rPr>
          <w:rFonts w:eastAsiaTheme="minorEastAsia"/>
          <w:noProof/>
          <w:sz w:val="22"/>
          <w:lang w:eastAsia="nb-NO"/>
        </w:rPr>
        <w:tab/>
      </w:r>
      <w:r w:rsidR="00197034" w:rsidRPr="00A47DB0">
        <w:rPr>
          <w:rStyle w:val="Hyperlink"/>
          <w:noProof/>
          <w:lang w:val="en-US"/>
        </w:rPr>
        <w:t>Conclusions and summary for policy makers</w:t>
      </w:r>
      <w:r w:rsidR="00197034">
        <w:rPr>
          <w:noProof/>
          <w:webHidden/>
        </w:rPr>
        <w:tab/>
      </w:r>
      <w:r w:rsidR="00197034">
        <w:rPr>
          <w:noProof/>
          <w:webHidden/>
        </w:rPr>
        <w:fldChar w:fldCharType="begin"/>
      </w:r>
      <w:r w:rsidR="00197034">
        <w:rPr>
          <w:noProof/>
          <w:webHidden/>
        </w:rPr>
        <w:instrText xml:space="preserve"> PAGEREF _Toc3473009 \h </w:instrText>
      </w:r>
      <w:r w:rsidR="00197034">
        <w:rPr>
          <w:noProof/>
          <w:webHidden/>
        </w:rPr>
      </w:r>
      <w:r w:rsidR="00197034">
        <w:rPr>
          <w:noProof/>
          <w:webHidden/>
        </w:rPr>
        <w:fldChar w:fldCharType="separate"/>
      </w:r>
      <w:r w:rsidR="006C76B7">
        <w:rPr>
          <w:noProof/>
          <w:webHidden/>
        </w:rPr>
        <w:t>4</w:t>
      </w:r>
      <w:r w:rsidR="00197034">
        <w:rPr>
          <w:noProof/>
          <w:webHidden/>
        </w:rPr>
        <w:fldChar w:fldCharType="end"/>
      </w:r>
      <w:r>
        <w:rPr>
          <w:noProof/>
        </w:rPr>
        <w:fldChar w:fldCharType="end"/>
      </w:r>
      <w:r w:rsidR="00562A4B">
        <w:rPr>
          <w:noProof/>
        </w:rPr>
        <w:t>5</w:t>
      </w:r>
    </w:p>
    <w:p w14:paraId="6FDAB6C0" w14:textId="3269A433" w:rsidR="00197034" w:rsidRDefault="000941A9">
      <w:pPr>
        <w:pStyle w:val="TOC1"/>
        <w:tabs>
          <w:tab w:val="left" w:pos="400"/>
        </w:tabs>
        <w:rPr>
          <w:rFonts w:eastAsiaTheme="minorEastAsia"/>
          <w:noProof/>
          <w:sz w:val="22"/>
          <w:lang w:eastAsia="nb-NO"/>
        </w:rPr>
      </w:pPr>
      <w:r>
        <w:rPr>
          <w:rStyle w:val="Hyperlink"/>
          <w:noProof/>
          <w:lang w:val="en-US"/>
        </w:rPr>
        <w:fldChar w:fldCharType="begin"/>
      </w:r>
      <w:r>
        <w:rPr>
          <w:rStyle w:val="Hyperlink"/>
          <w:noProof/>
          <w:lang w:val="en-US"/>
        </w:rPr>
        <w:instrText xml:space="preserve"> HYPERLINK \l "_Toc3473010" </w:instrText>
      </w:r>
      <w:r>
        <w:rPr>
          <w:rStyle w:val="Hyperlink"/>
          <w:noProof/>
          <w:lang w:val="en-US"/>
        </w:rPr>
        <w:fldChar w:fldCharType="separate"/>
      </w:r>
      <w:r w:rsidR="00197034" w:rsidRPr="00A47DB0">
        <w:rPr>
          <w:rStyle w:val="Hyperlink"/>
          <w:noProof/>
          <w:lang w:val="en-US"/>
        </w:rPr>
        <w:t>6.</w:t>
      </w:r>
      <w:r w:rsidR="00197034">
        <w:rPr>
          <w:rFonts w:eastAsiaTheme="minorEastAsia"/>
          <w:noProof/>
          <w:sz w:val="22"/>
          <w:lang w:eastAsia="nb-NO"/>
        </w:rPr>
        <w:tab/>
      </w:r>
      <w:r w:rsidR="00197034" w:rsidRPr="00A47DB0">
        <w:rPr>
          <w:rStyle w:val="Hyperlink"/>
          <w:noProof/>
          <w:lang w:val="en-US"/>
        </w:rPr>
        <w:t>Case studies</w:t>
      </w:r>
      <w:r w:rsidR="00197034">
        <w:rPr>
          <w:noProof/>
          <w:webHidden/>
        </w:rPr>
        <w:tab/>
      </w:r>
      <w:r w:rsidR="00197034">
        <w:rPr>
          <w:noProof/>
          <w:webHidden/>
        </w:rPr>
        <w:fldChar w:fldCharType="begin"/>
      </w:r>
      <w:r w:rsidR="00197034">
        <w:rPr>
          <w:noProof/>
          <w:webHidden/>
        </w:rPr>
        <w:instrText xml:space="preserve"> PAGEREF _Toc3473010 \h </w:instrText>
      </w:r>
      <w:r w:rsidR="00197034">
        <w:rPr>
          <w:noProof/>
          <w:webHidden/>
        </w:rPr>
      </w:r>
      <w:r w:rsidR="00197034">
        <w:rPr>
          <w:noProof/>
          <w:webHidden/>
        </w:rPr>
        <w:fldChar w:fldCharType="separate"/>
      </w:r>
      <w:r w:rsidR="006C76B7">
        <w:rPr>
          <w:noProof/>
          <w:webHidden/>
        </w:rPr>
        <w:t>4</w:t>
      </w:r>
      <w:r w:rsidR="00197034">
        <w:rPr>
          <w:noProof/>
          <w:webHidden/>
        </w:rPr>
        <w:fldChar w:fldCharType="end"/>
      </w:r>
      <w:r>
        <w:rPr>
          <w:noProof/>
        </w:rPr>
        <w:fldChar w:fldCharType="end"/>
      </w:r>
      <w:r w:rsidR="00562A4B">
        <w:rPr>
          <w:noProof/>
        </w:rPr>
        <w:t>7</w:t>
      </w:r>
    </w:p>
    <w:p w14:paraId="34A1DD82" w14:textId="6A6BFBA6" w:rsidR="00197034" w:rsidRDefault="000941A9">
      <w:pPr>
        <w:pStyle w:val="TOC1"/>
        <w:rPr>
          <w:rFonts w:eastAsiaTheme="minorEastAsia"/>
          <w:noProof/>
          <w:sz w:val="22"/>
          <w:lang w:eastAsia="nb-NO"/>
        </w:rPr>
      </w:pPr>
      <w:r>
        <w:rPr>
          <w:rStyle w:val="Hyperlink"/>
          <w:noProof/>
          <w:lang w:val="en-GB"/>
        </w:rPr>
        <w:fldChar w:fldCharType="begin"/>
      </w:r>
      <w:r>
        <w:rPr>
          <w:rStyle w:val="Hyperlink"/>
          <w:noProof/>
          <w:lang w:val="en-GB"/>
        </w:rPr>
        <w:instrText xml:space="preserve"> HYPERLINK \l "_Toc3473011" </w:instrText>
      </w:r>
      <w:r>
        <w:rPr>
          <w:rStyle w:val="Hyperlink"/>
          <w:noProof/>
          <w:lang w:val="en-GB"/>
        </w:rPr>
        <w:fldChar w:fldCharType="separate"/>
      </w:r>
      <w:r w:rsidR="00197034" w:rsidRPr="00A47DB0">
        <w:rPr>
          <w:rStyle w:val="Hyperlink"/>
          <w:noProof/>
          <w:lang w:val="en-GB"/>
        </w:rPr>
        <w:t>Annex 1 Emission source categories along the value chain</w:t>
      </w:r>
      <w:r w:rsidR="00197034">
        <w:rPr>
          <w:noProof/>
          <w:webHidden/>
        </w:rPr>
        <w:tab/>
      </w:r>
      <w:r w:rsidR="00197034">
        <w:rPr>
          <w:noProof/>
          <w:webHidden/>
        </w:rPr>
        <w:fldChar w:fldCharType="begin"/>
      </w:r>
      <w:r w:rsidR="00197034">
        <w:rPr>
          <w:noProof/>
          <w:webHidden/>
        </w:rPr>
        <w:instrText xml:space="preserve"> PAGEREF _Toc3473011 \h </w:instrText>
      </w:r>
      <w:r w:rsidR="00197034">
        <w:rPr>
          <w:noProof/>
          <w:webHidden/>
        </w:rPr>
      </w:r>
      <w:r w:rsidR="00197034">
        <w:rPr>
          <w:noProof/>
          <w:webHidden/>
        </w:rPr>
        <w:fldChar w:fldCharType="separate"/>
      </w:r>
      <w:r w:rsidR="006C76B7">
        <w:rPr>
          <w:noProof/>
          <w:webHidden/>
        </w:rPr>
        <w:t>4</w:t>
      </w:r>
      <w:r w:rsidR="00197034">
        <w:rPr>
          <w:noProof/>
          <w:webHidden/>
        </w:rPr>
        <w:fldChar w:fldCharType="end"/>
      </w:r>
      <w:r>
        <w:rPr>
          <w:noProof/>
        </w:rPr>
        <w:fldChar w:fldCharType="end"/>
      </w:r>
      <w:r w:rsidR="00562A4B">
        <w:rPr>
          <w:noProof/>
        </w:rPr>
        <w:t>8</w:t>
      </w:r>
    </w:p>
    <w:p w14:paraId="40BBA482" w14:textId="1E5A3807" w:rsidR="00197034" w:rsidRDefault="000941A9">
      <w:pPr>
        <w:pStyle w:val="TOC1"/>
        <w:rPr>
          <w:rFonts w:eastAsiaTheme="minorEastAsia"/>
          <w:noProof/>
          <w:sz w:val="22"/>
          <w:lang w:eastAsia="nb-NO"/>
        </w:rPr>
      </w:pPr>
      <w:r>
        <w:rPr>
          <w:rStyle w:val="Hyperlink"/>
          <w:noProof/>
          <w:lang w:val="en-GB"/>
        </w:rPr>
        <w:fldChar w:fldCharType="begin"/>
      </w:r>
      <w:r>
        <w:rPr>
          <w:rStyle w:val="Hyperlink"/>
          <w:noProof/>
          <w:lang w:val="en-GB"/>
        </w:rPr>
        <w:instrText xml:space="preserve"> HYPERLINK \l "_Toc3473012" </w:instrText>
      </w:r>
      <w:r>
        <w:rPr>
          <w:rStyle w:val="Hyperlink"/>
          <w:noProof/>
          <w:lang w:val="en-GB"/>
        </w:rPr>
        <w:fldChar w:fldCharType="separate"/>
      </w:r>
      <w:r w:rsidR="00197034" w:rsidRPr="00A47DB0">
        <w:rPr>
          <w:rStyle w:val="Hyperlink"/>
          <w:noProof/>
          <w:lang w:val="en-GB"/>
        </w:rPr>
        <w:t>Annex 2 Mature detection and quantification technologies</w:t>
      </w:r>
      <w:r w:rsidR="00197034">
        <w:rPr>
          <w:noProof/>
          <w:webHidden/>
        </w:rPr>
        <w:tab/>
      </w:r>
      <w:r w:rsidR="00197034">
        <w:rPr>
          <w:noProof/>
          <w:webHidden/>
        </w:rPr>
        <w:fldChar w:fldCharType="begin"/>
      </w:r>
      <w:r w:rsidR="00197034">
        <w:rPr>
          <w:noProof/>
          <w:webHidden/>
        </w:rPr>
        <w:instrText xml:space="preserve"> PAGEREF _Toc3473012 \h </w:instrText>
      </w:r>
      <w:r w:rsidR="00197034">
        <w:rPr>
          <w:noProof/>
          <w:webHidden/>
        </w:rPr>
      </w:r>
      <w:r w:rsidR="00197034">
        <w:rPr>
          <w:noProof/>
          <w:webHidden/>
        </w:rPr>
        <w:fldChar w:fldCharType="separate"/>
      </w:r>
      <w:r w:rsidR="006C76B7">
        <w:rPr>
          <w:noProof/>
          <w:webHidden/>
        </w:rPr>
        <w:t>5</w:t>
      </w:r>
      <w:r w:rsidR="00197034">
        <w:rPr>
          <w:noProof/>
          <w:webHidden/>
        </w:rPr>
        <w:fldChar w:fldCharType="end"/>
      </w:r>
      <w:r>
        <w:rPr>
          <w:noProof/>
        </w:rPr>
        <w:fldChar w:fldCharType="end"/>
      </w:r>
      <w:r w:rsidR="00562A4B">
        <w:rPr>
          <w:noProof/>
        </w:rPr>
        <w:t>6</w:t>
      </w:r>
      <w:bookmarkStart w:id="0" w:name="_GoBack"/>
      <w:bookmarkEnd w:id="0"/>
    </w:p>
    <w:p w14:paraId="4094646D" w14:textId="15247B96" w:rsidR="00D872E5" w:rsidRPr="00890EE8" w:rsidRDefault="00197034" w:rsidP="00960901">
      <w:pPr>
        <w:pStyle w:val="BodyText"/>
        <w:rPr>
          <w:lang w:val="en-GB"/>
        </w:rPr>
      </w:pPr>
      <w:r>
        <w:rPr>
          <w:sz w:val="20"/>
          <w:lang w:val="en-GB"/>
        </w:rPr>
        <w:fldChar w:fldCharType="end"/>
      </w:r>
    </w:p>
    <w:p w14:paraId="17DD89F5" w14:textId="77777777" w:rsidR="00A0524C" w:rsidRPr="0091139A" w:rsidRDefault="00A0524C" w:rsidP="00A0524C">
      <w:pPr>
        <w:pStyle w:val="Heading1"/>
        <w:numPr>
          <w:ilvl w:val="0"/>
          <w:numId w:val="0"/>
        </w:numPr>
        <w:rPr>
          <w:lang w:val="en-GB"/>
        </w:rPr>
      </w:pPr>
      <w:r>
        <w:rPr>
          <w:lang w:val="en-GB"/>
        </w:rPr>
        <w:br w:type="column"/>
      </w:r>
      <w:bookmarkStart w:id="1" w:name="_Toc531690963"/>
      <w:bookmarkStart w:id="2" w:name="_Toc531691015"/>
      <w:bookmarkStart w:id="3" w:name="_Toc3472987"/>
      <w:r w:rsidRPr="0091139A">
        <w:rPr>
          <w:lang w:val="en-GB"/>
        </w:rPr>
        <w:lastRenderedPageBreak/>
        <w:t>Foreword</w:t>
      </w:r>
      <w:bookmarkEnd w:id="1"/>
      <w:bookmarkEnd w:id="2"/>
      <w:bookmarkEnd w:id="3"/>
      <w:r w:rsidRPr="0091139A">
        <w:rPr>
          <w:lang w:val="en-GB"/>
        </w:rPr>
        <w:t xml:space="preserve"> </w:t>
      </w:r>
    </w:p>
    <w:p w14:paraId="57486C4C" w14:textId="0A615936" w:rsidR="00A0524C" w:rsidRPr="00A0524C" w:rsidRDefault="00A0524C" w:rsidP="004150E7">
      <w:pPr>
        <w:pStyle w:val="Heading1"/>
        <w:numPr>
          <w:ilvl w:val="0"/>
          <w:numId w:val="0"/>
        </w:numPr>
        <w:rPr>
          <w:lang w:val="en-GB"/>
        </w:rPr>
      </w:pPr>
      <w:bookmarkStart w:id="4" w:name="_Toc531690964"/>
      <w:bookmarkStart w:id="5" w:name="_Toc531691016"/>
      <w:bookmarkStart w:id="6" w:name="_Toc3472988"/>
      <w:r w:rsidRPr="0091139A">
        <w:rPr>
          <w:lang w:val="en-GB"/>
        </w:rPr>
        <w:t>Acknowledgements</w:t>
      </w:r>
      <w:bookmarkEnd w:id="4"/>
      <w:bookmarkEnd w:id="5"/>
      <w:bookmarkEnd w:id="6"/>
      <w:r w:rsidRPr="0091139A">
        <w:rPr>
          <w:lang w:val="en-GB"/>
        </w:rPr>
        <w:t xml:space="preserve"> </w:t>
      </w:r>
    </w:p>
    <w:p w14:paraId="106F8E6E" w14:textId="77777777" w:rsidR="00A0524C" w:rsidRDefault="00A0524C" w:rsidP="00A0524C">
      <w:pPr>
        <w:pStyle w:val="Heading1"/>
        <w:numPr>
          <w:ilvl w:val="0"/>
          <w:numId w:val="0"/>
        </w:numPr>
        <w:rPr>
          <w:lang w:val="en-GB"/>
        </w:rPr>
      </w:pPr>
      <w:bookmarkStart w:id="7" w:name="_Toc531690965"/>
      <w:bookmarkStart w:id="8" w:name="_Toc531691017"/>
      <w:bookmarkStart w:id="9" w:name="_Toc3472989"/>
      <w:bookmarkStart w:id="10" w:name="_Hlk3364245"/>
      <w:r w:rsidRPr="0091139A">
        <w:rPr>
          <w:lang w:val="en-GB"/>
        </w:rPr>
        <w:t>Acronyms and Abbreviations</w:t>
      </w:r>
      <w:bookmarkEnd w:id="7"/>
      <w:bookmarkEnd w:id="8"/>
      <w:bookmarkEnd w:id="9"/>
      <w:r w:rsidRPr="0091139A">
        <w:rPr>
          <w:lang w:val="en-GB"/>
        </w:rPr>
        <w:t xml:space="preserve"> </w:t>
      </w:r>
    </w:p>
    <w:p w14:paraId="15A0266B" w14:textId="77777777" w:rsidR="004150E7" w:rsidRPr="00784AA0" w:rsidRDefault="004150E7" w:rsidP="004150E7">
      <w:pPr>
        <w:rPr>
          <w:rFonts w:ascii="Arial" w:hAnsi="Arial" w:cs="Arial"/>
          <w:szCs w:val="20"/>
          <w:lang w:val="en-GB"/>
        </w:rPr>
      </w:pPr>
      <w:bookmarkStart w:id="11" w:name="_Toc531690966"/>
      <w:bookmarkStart w:id="12" w:name="_Toc531691018"/>
      <w:bookmarkEnd w:id="10"/>
      <w:r w:rsidRPr="00784AA0">
        <w:rPr>
          <w:rFonts w:ascii="Arial" w:hAnsi="Arial" w:cs="Arial"/>
          <w:szCs w:val="20"/>
          <w:lang w:val="en-GB"/>
        </w:rPr>
        <w:t xml:space="preserve">BAT – Best Available Techniques </w:t>
      </w:r>
    </w:p>
    <w:p w14:paraId="3BEE9643"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CIS – Commonwealth of Independent States </w:t>
      </w:r>
    </w:p>
    <w:p w14:paraId="4B075571" w14:textId="51BE9CBD" w:rsidR="004150E7" w:rsidRPr="00784AA0" w:rsidRDefault="004150E7" w:rsidP="004150E7">
      <w:pPr>
        <w:rPr>
          <w:rFonts w:ascii="Arial" w:hAnsi="Arial" w:cs="Arial"/>
          <w:szCs w:val="20"/>
          <w:lang w:val="en-GB"/>
        </w:rPr>
      </w:pPr>
      <w:r w:rsidRPr="00784AA0">
        <w:rPr>
          <w:rFonts w:ascii="Arial" w:hAnsi="Arial" w:cs="Arial"/>
          <w:szCs w:val="20"/>
          <w:lang w:val="en-GB"/>
        </w:rPr>
        <w:t>CO</w:t>
      </w:r>
      <w:r w:rsidR="00794DCE">
        <w:rPr>
          <w:rFonts w:ascii="Arial" w:hAnsi="Arial" w:cs="Arial"/>
          <w:szCs w:val="20"/>
          <w:vertAlign w:val="subscript"/>
          <w:lang w:val="en-GB"/>
        </w:rPr>
        <w:t>2</w:t>
      </w:r>
      <w:r w:rsidRPr="00784AA0">
        <w:rPr>
          <w:rFonts w:ascii="Arial" w:hAnsi="Arial" w:cs="Arial"/>
          <w:szCs w:val="20"/>
          <w:lang w:val="en-GB"/>
        </w:rPr>
        <w:t xml:space="preserve"> – Carbon dioxide</w:t>
      </w:r>
    </w:p>
    <w:p w14:paraId="7365A65E"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CORSIA – Carbon Offsetting and Reduction Scheme for International Aviation </w:t>
      </w:r>
    </w:p>
    <w:p w14:paraId="1DAC4795"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DI&amp;M – Directed Inspection and </w:t>
      </w:r>
      <w:proofErr w:type="spellStart"/>
      <w:r w:rsidRPr="00784AA0">
        <w:rPr>
          <w:rFonts w:ascii="Arial" w:hAnsi="Arial" w:cs="Arial"/>
          <w:szCs w:val="20"/>
          <w:lang w:val="en-GB"/>
        </w:rPr>
        <w:t>Maintenanc</w:t>
      </w:r>
      <w:proofErr w:type="spellEnd"/>
      <w:r w:rsidRPr="00784AA0">
        <w:rPr>
          <w:rFonts w:ascii="Arial" w:hAnsi="Arial" w:cs="Arial"/>
          <w:szCs w:val="20"/>
          <w:lang w:val="en-GB"/>
        </w:rPr>
        <w:t xml:space="preserve"> </w:t>
      </w:r>
    </w:p>
    <w:p w14:paraId="7542D41A" w14:textId="77777777" w:rsidR="004150E7" w:rsidRPr="00784AA0" w:rsidRDefault="004150E7" w:rsidP="004150E7">
      <w:pPr>
        <w:rPr>
          <w:rFonts w:ascii="Arial" w:hAnsi="Arial" w:cs="Arial"/>
          <w:szCs w:val="20"/>
          <w:lang w:val="en-GB"/>
        </w:rPr>
      </w:pPr>
      <w:r w:rsidRPr="00784AA0">
        <w:rPr>
          <w:rFonts w:ascii="Arial" w:hAnsi="Arial" w:cs="Arial"/>
          <w:szCs w:val="20"/>
          <w:lang w:val="en-GB"/>
        </w:rPr>
        <w:t>FQD – Fuel Quality Directive</w:t>
      </w:r>
    </w:p>
    <w:p w14:paraId="1FCFD365"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EU ETS – European </w:t>
      </w:r>
      <w:proofErr w:type="spellStart"/>
      <w:r w:rsidRPr="00784AA0">
        <w:rPr>
          <w:rFonts w:ascii="Arial" w:hAnsi="Arial" w:cs="Arial"/>
          <w:szCs w:val="20"/>
          <w:lang w:val="en-GB"/>
        </w:rPr>
        <w:t>Eunion</w:t>
      </w:r>
      <w:proofErr w:type="spellEnd"/>
      <w:r w:rsidRPr="00784AA0">
        <w:rPr>
          <w:rFonts w:ascii="Arial" w:hAnsi="Arial" w:cs="Arial"/>
          <w:szCs w:val="20"/>
          <w:lang w:val="en-GB"/>
        </w:rPr>
        <w:t xml:space="preserve"> Emissions Trading System  </w:t>
      </w:r>
    </w:p>
    <w:p w14:paraId="02ED9D8A"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GCF – </w:t>
      </w:r>
      <w:r w:rsidRPr="00784AA0">
        <w:rPr>
          <w:rFonts w:ascii="Arial" w:hAnsi="Arial" w:cs="Arial"/>
          <w:szCs w:val="20"/>
          <w:lang w:val="en-US"/>
        </w:rPr>
        <w:t xml:space="preserve">Green Climate Fund </w:t>
      </w:r>
    </w:p>
    <w:p w14:paraId="70C1746C" w14:textId="77777777" w:rsidR="004150E7" w:rsidRPr="00784AA0" w:rsidRDefault="004150E7" w:rsidP="004150E7">
      <w:pPr>
        <w:rPr>
          <w:rFonts w:ascii="Arial" w:hAnsi="Arial" w:cs="Arial"/>
          <w:szCs w:val="20"/>
          <w:lang w:val="en-GB"/>
        </w:rPr>
      </w:pPr>
      <w:r w:rsidRPr="00784AA0">
        <w:rPr>
          <w:rFonts w:ascii="Arial" w:hAnsi="Arial" w:cs="Arial"/>
          <w:szCs w:val="20"/>
          <w:lang w:val="en-GB"/>
        </w:rPr>
        <w:t>GHG – Greenhouse gas</w:t>
      </w:r>
    </w:p>
    <w:p w14:paraId="489C4367"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GPS – Global Positioning System </w:t>
      </w:r>
    </w:p>
    <w:p w14:paraId="2DD2B40A" w14:textId="77777777" w:rsidR="004150E7" w:rsidRPr="00784AA0" w:rsidRDefault="004150E7" w:rsidP="004150E7">
      <w:pPr>
        <w:rPr>
          <w:rFonts w:ascii="Arial" w:hAnsi="Arial" w:cs="Arial"/>
          <w:szCs w:val="20"/>
          <w:lang w:val="en-GB"/>
        </w:rPr>
      </w:pPr>
      <w:r w:rsidRPr="00784AA0">
        <w:rPr>
          <w:rFonts w:ascii="Arial" w:hAnsi="Arial" w:cs="Arial"/>
          <w:szCs w:val="20"/>
          <w:lang w:val="en-GB"/>
        </w:rPr>
        <w:t>GWP – Global warming potential</w:t>
      </w:r>
    </w:p>
    <w:p w14:paraId="0751B383" w14:textId="77777777" w:rsidR="004150E7" w:rsidRPr="00784AA0" w:rsidRDefault="004150E7" w:rsidP="004150E7">
      <w:pPr>
        <w:rPr>
          <w:rFonts w:ascii="Arial" w:hAnsi="Arial" w:cs="Arial"/>
          <w:szCs w:val="20"/>
          <w:lang w:val="en-GB"/>
        </w:rPr>
      </w:pPr>
      <w:r w:rsidRPr="00784AA0">
        <w:rPr>
          <w:rFonts w:ascii="Arial" w:hAnsi="Arial" w:cs="Arial"/>
          <w:szCs w:val="20"/>
          <w:lang w:val="en-GB"/>
        </w:rPr>
        <w:t>ECE (UNECE) – United Nation’s Economic Commission for Europe</w:t>
      </w:r>
    </w:p>
    <w:p w14:paraId="64604DD4" w14:textId="77777777" w:rsidR="004150E7" w:rsidRPr="00784AA0" w:rsidRDefault="004150E7" w:rsidP="004150E7">
      <w:pPr>
        <w:rPr>
          <w:rFonts w:ascii="Arial" w:hAnsi="Arial" w:cs="Arial"/>
          <w:szCs w:val="20"/>
          <w:lang w:val="en-GB"/>
        </w:rPr>
      </w:pPr>
      <w:r w:rsidRPr="00784AA0">
        <w:rPr>
          <w:rFonts w:ascii="Arial" w:hAnsi="Arial" w:cs="Arial"/>
          <w:szCs w:val="20"/>
          <w:lang w:val="en-GB"/>
        </w:rPr>
        <w:t>EDGAR – Emissions Database for Global Atmospheric Research</w:t>
      </w:r>
    </w:p>
    <w:p w14:paraId="5D96A26B" w14:textId="77777777" w:rsidR="004150E7" w:rsidRPr="00784AA0" w:rsidRDefault="004150E7" w:rsidP="004150E7">
      <w:pPr>
        <w:rPr>
          <w:rFonts w:ascii="Arial" w:hAnsi="Arial" w:cs="Arial"/>
          <w:szCs w:val="20"/>
          <w:lang w:val="en-US"/>
        </w:rPr>
      </w:pPr>
      <w:r w:rsidRPr="00784AA0">
        <w:rPr>
          <w:rFonts w:ascii="Arial" w:hAnsi="Arial" w:cs="Arial"/>
          <w:szCs w:val="20"/>
          <w:lang w:val="en-GB"/>
        </w:rPr>
        <w:t xml:space="preserve">ETS – Emission Trading </w:t>
      </w:r>
      <w:r w:rsidRPr="00784AA0">
        <w:rPr>
          <w:rFonts w:ascii="Arial" w:hAnsi="Arial" w:cs="Arial"/>
          <w:szCs w:val="20"/>
          <w:lang w:val="en-US"/>
        </w:rPr>
        <w:t>System</w:t>
      </w:r>
    </w:p>
    <w:p w14:paraId="76E1CBFE" w14:textId="77777777" w:rsidR="004150E7" w:rsidRPr="00784AA0" w:rsidRDefault="004150E7" w:rsidP="004150E7">
      <w:pPr>
        <w:rPr>
          <w:rFonts w:ascii="Arial" w:hAnsi="Arial" w:cs="Arial"/>
          <w:szCs w:val="20"/>
          <w:lang w:val="en-US"/>
        </w:rPr>
      </w:pPr>
      <w:r w:rsidRPr="00784AA0">
        <w:rPr>
          <w:rFonts w:ascii="Arial" w:hAnsi="Arial" w:cs="Arial"/>
          <w:szCs w:val="20"/>
          <w:lang w:val="en-US"/>
        </w:rPr>
        <w:t>FID –</w:t>
      </w:r>
      <w:r w:rsidRPr="00784AA0">
        <w:rPr>
          <w:rFonts w:ascii="Arial" w:hAnsi="Arial" w:cs="Arial"/>
          <w:bCs/>
          <w:szCs w:val="20"/>
          <w:lang w:val="en-US"/>
        </w:rPr>
        <w:t xml:space="preserve"> flame ionization detector</w:t>
      </w:r>
    </w:p>
    <w:p w14:paraId="4F5BC968" w14:textId="77777777" w:rsidR="004150E7" w:rsidRPr="00784AA0" w:rsidRDefault="004150E7" w:rsidP="004150E7">
      <w:pPr>
        <w:rPr>
          <w:rFonts w:ascii="Arial" w:hAnsi="Arial" w:cs="Arial"/>
          <w:szCs w:val="20"/>
          <w:lang w:val="en-GB"/>
        </w:rPr>
      </w:pPr>
      <w:r w:rsidRPr="00784AA0">
        <w:rPr>
          <w:rFonts w:ascii="Arial" w:hAnsi="Arial" w:cs="Arial"/>
          <w:szCs w:val="20"/>
          <w:lang w:val="en-GB"/>
        </w:rPr>
        <w:t>GMI - Global Methane Initiative</w:t>
      </w:r>
    </w:p>
    <w:p w14:paraId="0F4A779F"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ICAO – International Civil Aviation Organization </w:t>
      </w:r>
    </w:p>
    <w:p w14:paraId="36DBC443"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IEA – International Energy Agency </w:t>
      </w:r>
    </w:p>
    <w:p w14:paraId="28050C58" w14:textId="77777777" w:rsidR="004150E7" w:rsidRPr="00784AA0" w:rsidRDefault="004150E7" w:rsidP="004150E7">
      <w:pPr>
        <w:rPr>
          <w:rFonts w:ascii="Arial" w:hAnsi="Arial" w:cs="Arial"/>
          <w:szCs w:val="20"/>
          <w:lang w:val="en-GB"/>
        </w:rPr>
      </w:pPr>
      <w:r w:rsidRPr="00784AA0">
        <w:rPr>
          <w:rFonts w:ascii="Arial" w:hAnsi="Arial" w:cs="Arial"/>
          <w:szCs w:val="20"/>
          <w:lang w:val="en-GB"/>
        </w:rPr>
        <w:t>IIASA - International Institute for Applied Systems Analysis</w:t>
      </w:r>
    </w:p>
    <w:p w14:paraId="64B742D0" w14:textId="77777777" w:rsidR="004150E7" w:rsidRPr="00784AA0" w:rsidRDefault="004150E7" w:rsidP="004150E7">
      <w:pPr>
        <w:rPr>
          <w:rFonts w:ascii="Arial" w:hAnsi="Arial" w:cs="Arial"/>
          <w:szCs w:val="20"/>
          <w:lang w:val="en-US"/>
        </w:rPr>
      </w:pPr>
      <w:r w:rsidRPr="00784AA0">
        <w:rPr>
          <w:rFonts w:ascii="Arial" w:hAnsi="Arial" w:cs="Arial"/>
          <w:szCs w:val="20"/>
          <w:lang w:val="en-GB"/>
        </w:rPr>
        <w:t xml:space="preserve">INDC – Intended Nationally Determined Contributions </w:t>
      </w:r>
    </w:p>
    <w:p w14:paraId="658B2444"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IPCC – Intergovernmental Panel on Climate Change </w:t>
      </w:r>
    </w:p>
    <w:p w14:paraId="25FB2477" w14:textId="77777777" w:rsidR="004150E7" w:rsidRPr="00784AA0" w:rsidRDefault="004150E7" w:rsidP="004150E7">
      <w:pPr>
        <w:rPr>
          <w:rFonts w:ascii="Arial" w:hAnsi="Arial" w:cs="Arial"/>
          <w:szCs w:val="20"/>
          <w:lang w:val="en-GB"/>
        </w:rPr>
      </w:pPr>
      <w:r w:rsidRPr="00784AA0">
        <w:rPr>
          <w:rFonts w:ascii="Arial" w:hAnsi="Arial" w:cs="Arial"/>
          <w:szCs w:val="20"/>
          <w:lang w:val="en-US"/>
        </w:rPr>
        <w:t>ITMOs – Internationally Transferable Mitigation Outcomes</w:t>
      </w:r>
    </w:p>
    <w:p w14:paraId="2EB2A1F4"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KPI – Key Performance Indicator </w:t>
      </w:r>
    </w:p>
    <w:p w14:paraId="15FBD460" w14:textId="77777777" w:rsidR="004150E7" w:rsidRPr="00784AA0" w:rsidRDefault="004150E7" w:rsidP="004150E7">
      <w:pPr>
        <w:rPr>
          <w:rFonts w:ascii="Arial" w:hAnsi="Arial" w:cs="Arial"/>
          <w:szCs w:val="20"/>
          <w:lang w:val="en-GB"/>
        </w:rPr>
      </w:pPr>
      <w:r w:rsidRPr="00784AA0">
        <w:rPr>
          <w:rFonts w:ascii="Arial" w:hAnsi="Arial" w:cs="Arial"/>
          <w:szCs w:val="20"/>
          <w:lang w:val="en-GB"/>
        </w:rPr>
        <w:t>LDAR - Leak Detection and Repair</w:t>
      </w:r>
    </w:p>
    <w:p w14:paraId="790F2C55"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MDP – </w:t>
      </w:r>
      <w:r w:rsidRPr="00784AA0">
        <w:rPr>
          <w:rFonts w:ascii="Arial" w:hAnsi="Arial" w:cs="Arial"/>
          <w:szCs w:val="20"/>
          <w:lang w:val="en-US"/>
        </w:rPr>
        <w:t xml:space="preserve">Multilateral Development Banks </w:t>
      </w:r>
    </w:p>
    <w:p w14:paraId="5624A154"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MRV – Monitoring, reporting and verification </w:t>
      </w:r>
    </w:p>
    <w:p w14:paraId="564DF572" w14:textId="77777777" w:rsidR="004150E7" w:rsidRPr="00784AA0" w:rsidRDefault="004150E7" w:rsidP="004150E7">
      <w:pPr>
        <w:rPr>
          <w:rFonts w:ascii="Arial" w:hAnsi="Arial" w:cs="Arial"/>
          <w:szCs w:val="20"/>
          <w:lang w:val="en-GB"/>
        </w:rPr>
      </w:pPr>
      <w:r w:rsidRPr="00784AA0">
        <w:rPr>
          <w:rFonts w:ascii="Arial" w:hAnsi="Arial" w:cs="Arial"/>
          <w:szCs w:val="20"/>
          <w:lang w:val="en-GB"/>
        </w:rPr>
        <w:t>Mt – Million tonnes</w:t>
      </w:r>
    </w:p>
    <w:p w14:paraId="07CDFFC4"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MPG – Modalities, procedures and guidelines </w:t>
      </w:r>
    </w:p>
    <w:p w14:paraId="04D9C485" w14:textId="77777777" w:rsidR="004150E7" w:rsidRPr="00784AA0" w:rsidRDefault="004150E7" w:rsidP="004150E7">
      <w:pPr>
        <w:rPr>
          <w:rFonts w:ascii="Arial" w:hAnsi="Arial" w:cs="Arial"/>
          <w:szCs w:val="20"/>
          <w:lang w:val="en-GB"/>
        </w:rPr>
      </w:pPr>
      <w:r w:rsidRPr="00784AA0">
        <w:rPr>
          <w:rFonts w:ascii="Arial" w:hAnsi="Arial" w:cs="Arial"/>
          <w:szCs w:val="20"/>
          <w:lang w:val="en-GB"/>
        </w:rPr>
        <w:t>NC – National Communications</w:t>
      </w:r>
    </w:p>
    <w:p w14:paraId="3154CC47"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NDC – Nationally Determined Contributions </w:t>
      </w:r>
    </w:p>
    <w:p w14:paraId="1D2D8ED8" w14:textId="77777777" w:rsidR="004150E7" w:rsidRPr="00784AA0" w:rsidRDefault="004150E7" w:rsidP="004150E7">
      <w:pPr>
        <w:rPr>
          <w:rFonts w:ascii="Arial" w:hAnsi="Arial" w:cs="Arial"/>
          <w:szCs w:val="20"/>
          <w:lang w:val="en-GB"/>
        </w:rPr>
      </w:pPr>
      <w:r w:rsidRPr="00784AA0">
        <w:rPr>
          <w:rFonts w:ascii="Arial" w:hAnsi="Arial" w:cs="Arial"/>
          <w:szCs w:val="20"/>
          <w:lang w:val="en-GB"/>
        </w:rPr>
        <w:t>NIR – National Inventory Report</w:t>
      </w:r>
    </w:p>
    <w:p w14:paraId="77CDC025" w14:textId="77777777" w:rsidR="004150E7" w:rsidRPr="00784AA0" w:rsidRDefault="004150E7" w:rsidP="004150E7">
      <w:pPr>
        <w:rPr>
          <w:rFonts w:ascii="Arial" w:hAnsi="Arial" w:cs="Arial"/>
          <w:szCs w:val="20"/>
          <w:lang w:val="en-GB"/>
        </w:rPr>
      </w:pPr>
      <w:r w:rsidRPr="00784AA0">
        <w:rPr>
          <w:rFonts w:ascii="Arial" w:hAnsi="Arial" w:cs="Arial"/>
          <w:szCs w:val="20"/>
          <w:lang w:val="en-GB"/>
        </w:rPr>
        <w:lastRenderedPageBreak/>
        <w:t>NPRI - National Pollutant Release Inventory</w:t>
      </w:r>
    </w:p>
    <w:p w14:paraId="2B5136D1" w14:textId="77777777" w:rsidR="004150E7" w:rsidRPr="00784AA0" w:rsidRDefault="004150E7" w:rsidP="004150E7">
      <w:pPr>
        <w:rPr>
          <w:rFonts w:ascii="Arial" w:hAnsi="Arial" w:cs="Arial"/>
          <w:szCs w:val="20"/>
          <w:lang w:val="en-GB"/>
        </w:rPr>
      </w:pPr>
      <w:r w:rsidRPr="00784AA0">
        <w:rPr>
          <w:rFonts w:ascii="Arial" w:hAnsi="Arial" w:cs="Arial"/>
          <w:szCs w:val="20"/>
          <w:lang w:val="en-GB"/>
        </w:rPr>
        <w:t>OGCI - Oil and Gas Carbon Initiative</w:t>
      </w:r>
    </w:p>
    <w:p w14:paraId="65B0AEA4" w14:textId="77777777" w:rsidR="004150E7" w:rsidRPr="00784AA0" w:rsidRDefault="004150E7" w:rsidP="004150E7">
      <w:pPr>
        <w:rPr>
          <w:rFonts w:ascii="Arial" w:hAnsi="Arial" w:cs="Arial"/>
          <w:szCs w:val="20"/>
          <w:lang w:val="en-GB"/>
        </w:rPr>
      </w:pPr>
      <w:r w:rsidRPr="00784AA0">
        <w:rPr>
          <w:rFonts w:ascii="Arial" w:hAnsi="Arial" w:cs="Arial"/>
          <w:szCs w:val="20"/>
          <w:lang w:val="en-GB"/>
        </w:rPr>
        <w:t>OGMP - The Oil and Gas Methane Partnership</w:t>
      </w:r>
    </w:p>
    <w:p w14:paraId="4628A4B1"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OVAs – Organic Vapor </w:t>
      </w:r>
      <w:proofErr w:type="spellStart"/>
      <w:r w:rsidRPr="00784AA0">
        <w:rPr>
          <w:rFonts w:ascii="Arial" w:hAnsi="Arial" w:cs="Arial"/>
          <w:szCs w:val="20"/>
          <w:lang w:val="en-GB"/>
        </w:rPr>
        <w:t>Analyzers</w:t>
      </w:r>
      <w:proofErr w:type="spellEnd"/>
      <w:r w:rsidRPr="00784AA0">
        <w:rPr>
          <w:rFonts w:ascii="Arial" w:hAnsi="Arial" w:cs="Arial"/>
          <w:szCs w:val="20"/>
          <w:lang w:val="en-GB"/>
        </w:rPr>
        <w:t xml:space="preserve"> </w:t>
      </w:r>
    </w:p>
    <w:p w14:paraId="2042EF59" w14:textId="77777777" w:rsidR="004150E7" w:rsidRPr="00784AA0" w:rsidRDefault="004150E7" w:rsidP="004150E7">
      <w:pPr>
        <w:rPr>
          <w:rFonts w:ascii="Arial" w:hAnsi="Arial" w:cs="Arial"/>
          <w:szCs w:val="20"/>
          <w:lang w:val="en-GB"/>
        </w:rPr>
      </w:pPr>
      <w:r w:rsidRPr="00784AA0">
        <w:rPr>
          <w:rFonts w:ascii="Arial" w:hAnsi="Arial" w:cs="Arial"/>
          <w:szCs w:val="20"/>
          <w:lang w:val="en-GB"/>
        </w:rPr>
        <w:t xml:space="preserve">PID – </w:t>
      </w:r>
      <w:r w:rsidRPr="00784AA0">
        <w:rPr>
          <w:rFonts w:ascii="Arial" w:hAnsi="Arial" w:cs="Arial"/>
          <w:bCs/>
          <w:szCs w:val="20"/>
          <w:lang w:val="en-US"/>
        </w:rPr>
        <w:t>photoionization detector</w:t>
      </w:r>
    </w:p>
    <w:p w14:paraId="42E4E307" w14:textId="77777777" w:rsidR="004150E7" w:rsidRPr="00784AA0" w:rsidRDefault="004150E7" w:rsidP="004150E7">
      <w:pPr>
        <w:rPr>
          <w:rFonts w:ascii="Arial" w:hAnsi="Arial" w:cs="Arial"/>
          <w:bCs/>
          <w:szCs w:val="20"/>
          <w:lang w:val="en-US"/>
        </w:rPr>
      </w:pPr>
      <w:r w:rsidRPr="00784AA0">
        <w:rPr>
          <w:rFonts w:ascii="Arial" w:hAnsi="Arial" w:cs="Arial"/>
          <w:bCs/>
          <w:szCs w:val="20"/>
          <w:lang w:val="en-US"/>
        </w:rPr>
        <w:t xml:space="preserve">RMLD – Remote Methane Leak Detector </w:t>
      </w:r>
    </w:p>
    <w:p w14:paraId="61E65823" w14:textId="77777777" w:rsidR="004150E7" w:rsidRPr="00784AA0" w:rsidRDefault="004150E7" w:rsidP="004150E7">
      <w:pPr>
        <w:rPr>
          <w:rFonts w:ascii="Arial" w:hAnsi="Arial" w:cs="Arial"/>
          <w:szCs w:val="20"/>
          <w:lang w:val="en-US"/>
        </w:rPr>
      </w:pPr>
      <w:r w:rsidRPr="00784AA0">
        <w:rPr>
          <w:rFonts w:ascii="Arial" w:hAnsi="Arial" w:cs="Arial"/>
          <w:bCs/>
          <w:szCs w:val="20"/>
          <w:lang w:val="en-US"/>
        </w:rPr>
        <w:t xml:space="preserve">TVAs– Toxic Vapor Analyzers </w:t>
      </w:r>
    </w:p>
    <w:p w14:paraId="5CD01353" w14:textId="77777777" w:rsidR="004150E7" w:rsidRPr="00784AA0" w:rsidRDefault="004150E7" w:rsidP="004150E7">
      <w:pPr>
        <w:rPr>
          <w:rFonts w:ascii="Arial" w:hAnsi="Arial" w:cs="Arial"/>
          <w:szCs w:val="20"/>
          <w:lang w:val="en-GB"/>
        </w:rPr>
      </w:pPr>
      <w:r w:rsidRPr="00784AA0">
        <w:rPr>
          <w:rFonts w:ascii="Arial" w:hAnsi="Arial" w:cs="Arial"/>
          <w:szCs w:val="20"/>
          <w:lang w:val="en-GB"/>
        </w:rPr>
        <w:t>UNFCCC – United Nations Framework Convention on Climate Change ¨</w:t>
      </w:r>
    </w:p>
    <w:p w14:paraId="35824479" w14:textId="77777777" w:rsidR="004150E7" w:rsidRPr="00784AA0" w:rsidRDefault="004150E7" w:rsidP="004150E7">
      <w:pPr>
        <w:rPr>
          <w:rFonts w:ascii="Arial" w:hAnsi="Arial" w:cs="Arial"/>
          <w:szCs w:val="20"/>
          <w:lang w:val="en-GB"/>
        </w:rPr>
      </w:pPr>
      <w:r w:rsidRPr="00784AA0">
        <w:rPr>
          <w:rFonts w:ascii="Arial" w:hAnsi="Arial" w:cs="Arial"/>
          <w:szCs w:val="20"/>
          <w:lang w:val="en-GB"/>
        </w:rPr>
        <w:t>USD – US Dollars</w:t>
      </w:r>
    </w:p>
    <w:p w14:paraId="6189B052" w14:textId="77777777" w:rsidR="004150E7" w:rsidRPr="00784AA0" w:rsidRDefault="004150E7" w:rsidP="004150E7">
      <w:pPr>
        <w:rPr>
          <w:rFonts w:ascii="Arial" w:hAnsi="Arial" w:cs="Arial"/>
          <w:szCs w:val="20"/>
          <w:lang w:val="en-GB"/>
        </w:rPr>
      </w:pPr>
      <w:r w:rsidRPr="00784AA0">
        <w:rPr>
          <w:rFonts w:ascii="Arial" w:hAnsi="Arial" w:cs="Arial"/>
          <w:szCs w:val="20"/>
          <w:lang w:val="en-GB"/>
        </w:rPr>
        <w:t>US EPA - The United States Environmental Protection Agency</w:t>
      </w:r>
    </w:p>
    <w:p w14:paraId="7A3E15DF" w14:textId="77777777" w:rsidR="004150E7" w:rsidRPr="00784AA0" w:rsidRDefault="004150E7" w:rsidP="004150E7">
      <w:pPr>
        <w:rPr>
          <w:rFonts w:ascii="Arial" w:hAnsi="Arial" w:cs="Arial"/>
          <w:szCs w:val="20"/>
          <w:lang w:val="en-GB"/>
        </w:rPr>
      </w:pPr>
      <w:r w:rsidRPr="00784AA0">
        <w:rPr>
          <w:rFonts w:ascii="Arial" w:hAnsi="Arial" w:cs="Arial"/>
          <w:szCs w:val="20"/>
          <w:lang w:val="en-GB"/>
        </w:rPr>
        <w:t>VOC – Volatile Organic Compounds</w:t>
      </w:r>
    </w:p>
    <w:p w14:paraId="3ADA1548" w14:textId="77777777" w:rsidR="004150E7" w:rsidRPr="00784AA0" w:rsidRDefault="004150E7" w:rsidP="004150E7">
      <w:pPr>
        <w:rPr>
          <w:rFonts w:ascii="Arial" w:hAnsi="Arial" w:cs="Arial"/>
          <w:szCs w:val="20"/>
          <w:lang w:val="en-GB"/>
        </w:rPr>
      </w:pPr>
      <w:r w:rsidRPr="00784AA0">
        <w:rPr>
          <w:rFonts w:ascii="Arial" w:hAnsi="Arial" w:cs="Arial"/>
          <w:szCs w:val="20"/>
          <w:lang w:val="en-GB"/>
        </w:rPr>
        <w:t>VRU – Vapor recovery unit</w:t>
      </w:r>
    </w:p>
    <w:p w14:paraId="02D5A08E" w14:textId="77777777" w:rsidR="00A0524C" w:rsidRPr="0091139A" w:rsidRDefault="00A0524C" w:rsidP="00A0524C">
      <w:pPr>
        <w:pStyle w:val="Heading1"/>
        <w:numPr>
          <w:ilvl w:val="0"/>
          <w:numId w:val="0"/>
        </w:numPr>
        <w:rPr>
          <w:lang w:val="en-GB"/>
        </w:rPr>
      </w:pPr>
      <w:bookmarkStart w:id="13" w:name="_Toc3472990"/>
      <w:r w:rsidRPr="0091139A">
        <w:rPr>
          <w:lang w:val="en-GB"/>
        </w:rPr>
        <w:t>Glossary and Terms</w:t>
      </w:r>
      <w:bookmarkEnd w:id="11"/>
      <w:bookmarkEnd w:id="12"/>
      <w:bookmarkEnd w:id="13"/>
      <w:r w:rsidRPr="0091139A">
        <w:rPr>
          <w:lang w:val="en-GB"/>
        </w:rPr>
        <w:t xml:space="preserve"> </w:t>
      </w:r>
    </w:p>
    <w:p w14:paraId="587D2B9F" w14:textId="77777777" w:rsidR="00D872E5" w:rsidRPr="00890EE8" w:rsidRDefault="00A0524C">
      <w:pPr>
        <w:spacing w:after="200"/>
        <w:rPr>
          <w:sz w:val="18"/>
          <w:lang w:val="en-GB"/>
        </w:rPr>
      </w:pPr>
      <w:r w:rsidRPr="00A0524C">
        <w:rPr>
          <w:highlight w:val="yellow"/>
          <w:lang w:val="en-GB"/>
        </w:rPr>
        <w:t>To be completed based on http://www.ipieca.org/resources/awareness-briefing/methane-glossary/</w:t>
      </w:r>
      <w:r w:rsidR="00D872E5" w:rsidRPr="00890EE8">
        <w:rPr>
          <w:lang w:val="en-GB"/>
        </w:rPr>
        <w:br w:type="page"/>
      </w:r>
    </w:p>
    <w:p w14:paraId="54FF49E8" w14:textId="77777777" w:rsidR="000352A7" w:rsidRPr="004A01FD" w:rsidRDefault="000352A7" w:rsidP="005D2939">
      <w:pPr>
        <w:pStyle w:val="Heading1"/>
        <w:numPr>
          <w:ilvl w:val="0"/>
          <w:numId w:val="28"/>
        </w:numPr>
        <w:rPr>
          <w:lang w:val="en-GB"/>
        </w:rPr>
      </w:pPr>
      <w:bookmarkStart w:id="14" w:name="_Toc531690968"/>
      <w:bookmarkStart w:id="15" w:name="_Toc3472991"/>
      <w:r w:rsidRPr="004A01FD">
        <w:rPr>
          <w:lang w:val="en-GB"/>
        </w:rPr>
        <w:lastRenderedPageBreak/>
        <w:t>Introduction</w:t>
      </w:r>
      <w:bookmarkEnd w:id="14"/>
      <w:bookmarkEnd w:id="15"/>
    </w:p>
    <w:p w14:paraId="60C31D46" w14:textId="77777777" w:rsidR="00AB5409" w:rsidRPr="00945408" w:rsidRDefault="00D87FC0" w:rsidP="00AB5409">
      <w:pPr>
        <w:pStyle w:val="Heading2"/>
        <w:rPr>
          <w:sz w:val="22"/>
          <w:szCs w:val="22"/>
          <w:lang w:val="en-US"/>
        </w:rPr>
      </w:pPr>
      <w:bookmarkStart w:id="16" w:name="_Toc521656526"/>
      <w:bookmarkStart w:id="17" w:name="_Toc531690970"/>
      <w:bookmarkStart w:id="18" w:name="_Toc3472992"/>
      <w:r>
        <w:rPr>
          <w:sz w:val="22"/>
          <w:szCs w:val="22"/>
          <w:lang w:val="en-US"/>
        </w:rPr>
        <w:t>Scope and o</w:t>
      </w:r>
      <w:r w:rsidR="00AB5409" w:rsidRPr="00945408">
        <w:rPr>
          <w:sz w:val="22"/>
          <w:szCs w:val="22"/>
          <w:lang w:val="en-US"/>
        </w:rPr>
        <w:t>bjectives of this guidance document</w:t>
      </w:r>
      <w:bookmarkEnd w:id="16"/>
      <w:bookmarkEnd w:id="17"/>
      <w:bookmarkEnd w:id="18"/>
      <w:r w:rsidR="00AB5409" w:rsidRPr="00945408">
        <w:rPr>
          <w:sz w:val="22"/>
          <w:szCs w:val="22"/>
          <w:lang w:val="en-US"/>
        </w:rPr>
        <w:t xml:space="preserve"> </w:t>
      </w:r>
    </w:p>
    <w:p w14:paraId="3846F806" w14:textId="1FFC2C4D" w:rsidR="00B07167" w:rsidRDefault="00AB5409" w:rsidP="00EB7A1E">
      <w:pPr>
        <w:spacing w:before="120" w:after="0"/>
        <w:rPr>
          <w:lang w:val="en-US"/>
        </w:rPr>
      </w:pPr>
      <w:r w:rsidRPr="006F6315">
        <w:rPr>
          <w:lang w:val="en-US"/>
        </w:rPr>
        <w:t xml:space="preserve">This document </w:t>
      </w:r>
      <w:r w:rsidRPr="00E21C85">
        <w:rPr>
          <w:lang w:val="en-US"/>
        </w:rPr>
        <w:t>provide</w:t>
      </w:r>
      <w:r w:rsidR="00D87FC0" w:rsidRPr="00E21C85">
        <w:rPr>
          <w:lang w:val="en-US"/>
        </w:rPr>
        <w:t>s</w:t>
      </w:r>
      <w:r w:rsidRPr="00E21C85">
        <w:rPr>
          <w:lang w:val="en-US"/>
        </w:rPr>
        <w:t xml:space="preserve"> </w:t>
      </w:r>
      <w:r w:rsidRPr="00BD3EE5">
        <w:rPr>
          <w:lang w:val="en-US"/>
        </w:rPr>
        <w:t>guidance</w:t>
      </w:r>
      <w:r w:rsidRPr="00E21C85">
        <w:rPr>
          <w:lang w:val="en-US"/>
        </w:rPr>
        <w:t xml:space="preserve"> </w:t>
      </w:r>
      <w:r w:rsidR="00104C61">
        <w:rPr>
          <w:lang w:val="en-US"/>
        </w:rPr>
        <w:t>for</w:t>
      </w:r>
      <w:r w:rsidR="00104C61" w:rsidRPr="00E21C85">
        <w:rPr>
          <w:lang w:val="en-US"/>
        </w:rPr>
        <w:t xml:space="preserve"> develo</w:t>
      </w:r>
      <w:r w:rsidR="00104C61">
        <w:rPr>
          <w:lang w:val="en-US"/>
        </w:rPr>
        <w:t>pin</w:t>
      </w:r>
      <w:r w:rsidR="00104C61" w:rsidRPr="00E21C85">
        <w:rPr>
          <w:lang w:val="en-US"/>
        </w:rPr>
        <w:t>g</w:t>
      </w:r>
      <w:r w:rsidR="00AC5DB9" w:rsidRPr="00E21C85">
        <w:rPr>
          <w:lang w:val="en-US"/>
        </w:rPr>
        <w:t xml:space="preserve"> and implement</w:t>
      </w:r>
      <w:r w:rsidR="00104C61">
        <w:rPr>
          <w:lang w:val="en-US"/>
        </w:rPr>
        <w:t>ing</w:t>
      </w:r>
      <w:r w:rsidR="00AC5DB9" w:rsidRPr="00E21C85">
        <w:rPr>
          <w:lang w:val="en-US"/>
        </w:rPr>
        <w:t xml:space="preserve"> effective monitoring, reporting and verification (MRV) practices, as well as </w:t>
      </w:r>
      <w:r w:rsidR="00104C61">
        <w:rPr>
          <w:lang w:val="en-US"/>
        </w:rPr>
        <w:t xml:space="preserve">for mitigating </w:t>
      </w:r>
      <w:r w:rsidR="00AC5DB9">
        <w:rPr>
          <w:lang w:val="en-US"/>
        </w:rPr>
        <w:t xml:space="preserve">methane </w:t>
      </w:r>
      <w:r w:rsidR="00AC5DB9" w:rsidRPr="006F6315">
        <w:rPr>
          <w:lang w:val="en-US"/>
        </w:rPr>
        <w:t>emissions</w:t>
      </w:r>
      <w:r w:rsidR="00204D12">
        <w:rPr>
          <w:lang w:val="en-US"/>
        </w:rPr>
        <w:t>,</w:t>
      </w:r>
      <w:r w:rsidR="00104C61">
        <w:rPr>
          <w:lang w:val="en-US"/>
        </w:rPr>
        <w:t xml:space="preserve"> from the oil and gas sector</w:t>
      </w:r>
      <w:r w:rsidR="00AC5DB9">
        <w:rPr>
          <w:lang w:val="en-US"/>
        </w:rPr>
        <w:t>.</w:t>
      </w:r>
      <w:r w:rsidR="00336988" w:rsidRPr="00E21C85">
        <w:rPr>
          <w:rStyle w:val="FootnoteReference"/>
          <w:lang w:val="en-US"/>
        </w:rPr>
        <w:footnoteReference w:id="2"/>
      </w:r>
      <w:r w:rsidR="00336988" w:rsidRPr="00E21C85">
        <w:rPr>
          <w:lang w:val="en-US"/>
        </w:rPr>
        <w:t xml:space="preserve"> </w:t>
      </w:r>
      <w:r w:rsidR="00AC5DB9">
        <w:rPr>
          <w:lang w:val="en-US"/>
        </w:rPr>
        <w:t xml:space="preserve"> </w:t>
      </w:r>
      <w:r w:rsidRPr="006F6315">
        <w:rPr>
          <w:lang w:val="en-US"/>
        </w:rPr>
        <w:t xml:space="preserve">Methane emissions </w:t>
      </w:r>
      <w:r>
        <w:rPr>
          <w:lang w:val="en-US"/>
        </w:rPr>
        <w:t xml:space="preserve">from </w:t>
      </w:r>
      <w:r w:rsidR="00104C61">
        <w:rPr>
          <w:lang w:val="en-US"/>
        </w:rPr>
        <w:t xml:space="preserve">this sector present a safety risk, </w:t>
      </w:r>
      <w:r w:rsidR="00B07167">
        <w:rPr>
          <w:lang w:val="en-US"/>
        </w:rPr>
        <w:t xml:space="preserve">are </w:t>
      </w:r>
      <w:r w:rsidRPr="007857E3">
        <w:rPr>
          <w:lang w:val="en-US"/>
        </w:rPr>
        <w:t xml:space="preserve">a waste of </w:t>
      </w:r>
      <w:r w:rsidR="00104C61">
        <w:rPr>
          <w:lang w:val="en-US"/>
        </w:rPr>
        <w:t xml:space="preserve">valuable energy </w:t>
      </w:r>
      <w:r w:rsidRPr="007857E3">
        <w:rPr>
          <w:lang w:val="en-US"/>
        </w:rPr>
        <w:t>resources</w:t>
      </w:r>
      <w:r w:rsidR="00104C61">
        <w:rPr>
          <w:lang w:val="en-US"/>
        </w:rPr>
        <w:t xml:space="preserve">, </w:t>
      </w:r>
      <w:r w:rsidR="00204D12">
        <w:rPr>
          <w:lang w:val="en-US"/>
        </w:rPr>
        <w:t xml:space="preserve">and </w:t>
      </w:r>
      <w:r w:rsidR="00B07167">
        <w:rPr>
          <w:lang w:val="en-US"/>
        </w:rPr>
        <w:t>are also</w:t>
      </w:r>
      <w:r w:rsidR="00F867C2">
        <w:rPr>
          <w:lang w:val="en-US"/>
        </w:rPr>
        <w:t xml:space="preserve"> a </w:t>
      </w:r>
      <w:r w:rsidRPr="007857E3">
        <w:rPr>
          <w:lang w:val="en-US"/>
        </w:rPr>
        <w:t>precu</w:t>
      </w:r>
      <w:r>
        <w:rPr>
          <w:lang w:val="en-US"/>
        </w:rPr>
        <w:t>r</w:t>
      </w:r>
      <w:r w:rsidRPr="007857E3">
        <w:rPr>
          <w:lang w:val="en-US"/>
        </w:rPr>
        <w:t>sor of tropospheric ozone and a significant d</w:t>
      </w:r>
      <w:r>
        <w:rPr>
          <w:lang w:val="en-US"/>
        </w:rPr>
        <w:t>r</w:t>
      </w:r>
      <w:r w:rsidRPr="007857E3">
        <w:rPr>
          <w:lang w:val="en-US"/>
        </w:rPr>
        <w:t>iver of climate change</w:t>
      </w:r>
      <w:r>
        <w:rPr>
          <w:lang w:val="en-US"/>
        </w:rPr>
        <w:t xml:space="preserve">. </w:t>
      </w:r>
      <w:r w:rsidR="00104C61">
        <w:rPr>
          <w:lang w:val="en-US"/>
        </w:rPr>
        <w:t>In its discussion of MRV and mitigation opportunities, this document is meant to serve as a resource for a broad audience, including owners and operators of oil and gas facilities and policymakers at all levels of government.</w:t>
      </w:r>
      <w:r w:rsidR="00822E7B">
        <w:rPr>
          <w:lang w:val="en-US"/>
        </w:rPr>
        <w:t xml:space="preserve"> It</w:t>
      </w:r>
      <w:r w:rsidR="00822E7B" w:rsidRPr="00EB7A1E">
        <w:rPr>
          <w:lang w:val="en-US"/>
        </w:rPr>
        <w:t xml:space="preserve"> is intentionally “principles-based”</w:t>
      </w:r>
      <w:r w:rsidR="00822E7B">
        <w:rPr>
          <w:lang w:val="en-US"/>
        </w:rPr>
        <w:t xml:space="preserve">, recognizing </w:t>
      </w:r>
      <w:r w:rsidR="00822E7B" w:rsidRPr="00EB7A1E">
        <w:rPr>
          <w:lang w:val="en-US"/>
        </w:rPr>
        <w:t>that conditions vary greatly across oil and gas facilities, and that legal, political and institutional aspects differ by jurisdictions</w:t>
      </w:r>
      <w:r w:rsidR="00822E7B">
        <w:rPr>
          <w:lang w:val="en-US"/>
        </w:rPr>
        <w:t>.</w:t>
      </w:r>
      <w:r w:rsidR="00104C61">
        <w:rPr>
          <w:lang w:val="en-US"/>
        </w:rPr>
        <w:t xml:space="preserve"> </w:t>
      </w:r>
    </w:p>
    <w:p w14:paraId="15A5BFBF" w14:textId="77777777" w:rsidR="00FF5A27" w:rsidRDefault="001A64E5" w:rsidP="00EB7A1E">
      <w:pPr>
        <w:spacing w:before="120" w:after="0"/>
        <w:rPr>
          <w:lang w:val="en-US"/>
        </w:rPr>
      </w:pPr>
      <w:r>
        <w:rPr>
          <w:lang w:val="en-US"/>
        </w:rPr>
        <w:t xml:space="preserve">The </w:t>
      </w:r>
      <w:r w:rsidR="00FF5A27">
        <w:rPr>
          <w:lang w:val="en-US"/>
        </w:rPr>
        <w:t xml:space="preserve">document </w:t>
      </w:r>
      <w:r w:rsidR="00AC5DB9">
        <w:rPr>
          <w:lang w:val="en-US"/>
        </w:rPr>
        <w:t xml:space="preserve">covers </w:t>
      </w:r>
      <w:r w:rsidR="00F10154">
        <w:rPr>
          <w:lang w:val="en-US"/>
        </w:rPr>
        <w:t xml:space="preserve">many aspects of </w:t>
      </w:r>
      <w:r w:rsidR="00FF5A27">
        <w:rPr>
          <w:lang w:val="en-US"/>
        </w:rPr>
        <w:t>methane management</w:t>
      </w:r>
      <w:r w:rsidR="00F10154">
        <w:rPr>
          <w:lang w:val="en-US"/>
        </w:rPr>
        <w:t>,</w:t>
      </w:r>
      <w:r w:rsidR="00AC5DB9">
        <w:rPr>
          <w:lang w:val="en-US"/>
        </w:rPr>
        <w:t xml:space="preserve"> </w:t>
      </w:r>
      <w:r>
        <w:rPr>
          <w:lang w:val="en-US"/>
        </w:rPr>
        <w:t>along two dimensions</w:t>
      </w:r>
      <w:r w:rsidR="00FF5A27">
        <w:rPr>
          <w:lang w:val="en-US"/>
        </w:rPr>
        <w:t>:</w:t>
      </w:r>
    </w:p>
    <w:p w14:paraId="12B9B365" w14:textId="77777777" w:rsidR="00FF5A27" w:rsidRDefault="00204D12" w:rsidP="005D2939">
      <w:pPr>
        <w:pStyle w:val="ListParagraph"/>
        <w:numPr>
          <w:ilvl w:val="0"/>
          <w:numId w:val="29"/>
        </w:numPr>
        <w:spacing w:before="120" w:after="0" w:line="276" w:lineRule="auto"/>
        <w:contextualSpacing w:val="0"/>
      </w:pPr>
      <w:r>
        <w:t xml:space="preserve">Physical dimension: </w:t>
      </w:r>
      <w:r w:rsidR="004C73E6">
        <w:t>All of the o</w:t>
      </w:r>
      <w:r w:rsidR="001A64E5" w:rsidRPr="00FF5A27">
        <w:t>il and gas s</w:t>
      </w:r>
      <w:r w:rsidR="004C73E6">
        <w:t>upply systems</w:t>
      </w:r>
      <w:r w:rsidR="006B75BE">
        <w:t xml:space="preserve"> are </w:t>
      </w:r>
      <w:r w:rsidR="004C73E6">
        <w:t xml:space="preserve">included, </w:t>
      </w:r>
      <w:r w:rsidR="001A64E5" w:rsidRPr="00FF5A27">
        <w:t>from exploration, extraction</w:t>
      </w:r>
      <w:r w:rsidR="00EC0FF0">
        <w:t>, gathering</w:t>
      </w:r>
      <w:r w:rsidR="001A64E5" w:rsidRPr="00FF5A27">
        <w:t xml:space="preserve"> and processing</w:t>
      </w:r>
      <w:r w:rsidR="004C73E6">
        <w:t>,</w:t>
      </w:r>
      <w:r w:rsidR="001A64E5" w:rsidRPr="00FF5A27">
        <w:t xml:space="preserve"> to long distance transmission and transportation, and finally refining and distribution to end users</w:t>
      </w:r>
      <w:r w:rsidR="00E21C85">
        <w:t>, and covering natural and technical circumstances that diverge greatly.</w:t>
      </w:r>
    </w:p>
    <w:p w14:paraId="7923D539" w14:textId="77777777" w:rsidR="00EB7A1E" w:rsidRDefault="00204D12" w:rsidP="005D2939">
      <w:pPr>
        <w:pStyle w:val="ListParagraph"/>
        <w:numPr>
          <w:ilvl w:val="0"/>
          <w:numId w:val="29"/>
        </w:numPr>
        <w:spacing w:before="120" w:after="0" w:line="276" w:lineRule="auto"/>
        <w:contextualSpacing w:val="0"/>
      </w:pPr>
      <w:r>
        <w:t xml:space="preserve">Institutional dimension: </w:t>
      </w:r>
      <w:r w:rsidR="00345B66" w:rsidRPr="00345B66">
        <w:t>Methane management</w:t>
      </w:r>
      <w:r w:rsidR="0085685B">
        <w:t xml:space="preserve"> practices </w:t>
      </w:r>
      <w:r w:rsidR="00345B66" w:rsidRPr="00345B66">
        <w:t>are addressed at the company, national and international levels,</w:t>
      </w:r>
      <w:r w:rsidR="00EC0FF0">
        <w:t xml:space="preserve"> as well as discussions </w:t>
      </w:r>
      <w:r w:rsidR="00345B66" w:rsidRPr="00345B66">
        <w:t>on how coordination and collaboration at the different levels can help enhance methane emission reduction</w:t>
      </w:r>
      <w:r w:rsidR="006B75BE">
        <w:t>.</w:t>
      </w:r>
    </w:p>
    <w:p w14:paraId="6EB7DA00" w14:textId="2E1BDD40" w:rsidR="004800B7" w:rsidRDefault="00345B66">
      <w:pPr>
        <w:spacing w:before="120" w:after="0"/>
        <w:rPr>
          <w:lang w:val="en-US"/>
        </w:rPr>
      </w:pPr>
      <w:r w:rsidRPr="006B75BE">
        <w:rPr>
          <w:lang w:val="en-GB"/>
        </w:rPr>
        <w:t>There are numerous initiatives,</w:t>
      </w:r>
      <w:r w:rsidR="00BD1FC9">
        <w:rPr>
          <w:lang w:val="en-GB"/>
        </w:rPr>
        <w:t xml:space="preserve"> including regulatory efforts,</w:t>
      </w:r>
      <w:r w:rsidRPr="006B75BE">
        <w:rPr>
          <w:lang w:val="en-GB"/>
        </w:rPr>
        <w:t xml:space="preserve"> public-private partnerships and </w:t>
      </w:r>
      <w:r w:rsidR="00BD1FC9">
        <w:rPr>
          <w:lang w:val="en-GB"/>
        </w:rPr>
        <w:t>industry collaborations</w:t>
      </w:r>
      <w:r w:rsidRPr="006B75BE">
        <w:rPr>
          <w:lang w:val="en-GB"/>
        </w:rPr>
        <w:t xml:space="preserve">, focusing on </w:t>
      </w:r>
      <w:r w:rsidR="00822E7B">
        <w:rPr>
          <w:lang w:val="en-GB"/>
        </w:rPr>
        <w:t xml:space="preserve">tracking and reducing methane emissions from the </w:t>
      </w:r>
      <w:r w:rsidRPr="006B75BE">
        <w:rPr>
          <w:lang w:val="en-GB"/>
        </w:rPr>
        <w:t>oil</w:t>
      </w:r>
      <w:r w:rsidRPr="00AC5DB9">
        <w:rPr>
          <w:lang w:val="en-US"/>
        </w:rPr>
        <w:t xml:space="preserve"> and gas </w:t>
      </w:r>
      <w:r w:rsidR="00822E7B">
        <w:rPr>
          <w:lang w:val="en-US"/>
        </w:rPr>
        <w:t>sector</w:t>
      </w:r>
      <w:r w:rsidRPr="00F10154">
        <w:rPr>
          <w:lang w:val="en-GB"/>
        </w:rPr>
        <w:t xml:space="preserve">. This document </w:t>
      </w:r>
      <w:r w:rsidR="00BD1FC9">
        <w:rPr>
          <w:lang w:val="en-GB"/>
        </w:rPr>
        <w:t>present</w:t>
      </w:r>
      <w:r w:rsidR="00B61A72">
        <w:rPr>
          <w:lang w:val="en-GB"/>
        </w:rPr>
        <w:t xml:space="preserve">s some of these initiatives and, in some cases, draws heavily on the technical guidance documents they have developed to inform the discussion of best practices for methane MRV and mitigation. </w:t>
      </w:r>
      <w:r w:rsidR="00B61A72">
        <w:rPr>
          <w:lang w:val="en-US"/>
        </w:rPr>
        <w:t xml:space="preserve">The reader is encouraged to explore these documents as useful complementary information when considering MRV and mitigation plans. </w:t>
      </w:r>
    </w:p>
    <w:p w14:paraId="7E039958" w14:textId="77777777" w:rsidR="004150E7" w:rsidRDefault="004150E7">
      <w:pPr>
        <w:spacing w:before="120" w:after="0"/>
        <w:rPr>
          <w:lang w:val="en-US"/>
        </w:rPr>
      </w:pPr>
    </w:p>
    <w:p w14:paraId="1E331A3A" w14:textId="77777777" w:rsidR="00AB5409" w:rsidRPr="00945408" w:rsidRDefault="000A17EE" w:rsidP="00AB5409">
      <w:pPr>
        <w:pStyle w:val="Heading2"/>
        <w:rPr>
          <w:sz w:val="22"/>
          <w:szCs w:val="22"/>
          <w:lang w:val="en-US"/>
        </w:rPr>
      </w:pPr>
      <w:r w:rsidRPr="008A04E1">
        <w:rPr>
          <w:lang w:val="en-US"/>
        </w:rPr>
        <w:t xml:space="preserve">  </w:t>
      </w:r>
      <w:bookmarkStart w:id="19" w:name="_Toc521656527"/>
      <w:bookmarkStart w:id="20" w:name="_Toc531690971"/>
      <w:bookmarkStart w:id="21" w:name="_Toc3472993"/>
      <w:r w:rsidR="00AB5409" w:rsidRPr="00945408">
        <w:rPr>
          <w:sz w:val="22"/>
          <w:szCs w:val="22"/>
          <w:lang w:val="en-US"/>
        </w:rPr>
        <w:t>The issues</w:t>
      </w:r>
      <w:bookmarkEnd w:id="19"/>
      <w:bookmarkEnd w:id="20"/>
      <w:bookmarkEnd w:id="21"/>
      <w:r w:rsidR="00AB5409" w:rsidRPr="00945408">
        <w:rPr>
          <w:sz w:val="22"/>
          <w:szCs w:val="22"/>
          <w:lang w:val="en-US"/>
        </w:rPr>
        <w:t xml:space="preserve"> </w:t>
      </w:r>
    </w:p>
    <w:p w14:paraId="2981F006" w14:textId="1E72499B" w:rsidR="00AB5409" w:rsidRDefault="00AB5409" w:rsidP="00AB5409">
      <w:pPr>
        <w:spacing w:before="120"/>
        <w:rPr>
          <w:lang w:val="en-US"/>
        </w:rPr>
      </w:pPr>
      <w:r w:rsidRPr="00281521">
        <w:rPr>
          <w:lang w:val="en-US"/>
        </w:rPr>
        <w:t xml:space="preserve">Oil and gas supplies will continue to play a key role in a future sustainable energy system to </w:t>
      </w:r>
      <w:r w:rsidR="00AF6607">
        <w:rPr>
          <w:lang w:val="en-US"/>
        </w:rPr>
        <w:t>support</w:t>
      </w:r>
      <w:r w:rsidR="00AF6607" w:rsidRPr="00281521">
        <w:rPr>
          <w:lang w:val="en-US"/>
        </w:rPr>
        <w:t xml:space="preserve"> </w:t>
      </w:r>
      <w:r w:rsidRPr="00281521">
        <w:rPr>
          <w:lang w:val="en-US"/>
        </w:rPr>
        <w:t xml:space="preserve">economic growth and social progress, </w:t>
      </w:r>
      <w:r w:rsidR="00AF6607">
        <w:rPr>
          <w:lang w:val="en-US"/>
        </w:rPr>
        <w:t xml:space="preserve">even </w:t>
      </w:r>
      <w:r>
        <w:rPr>
          <w:lang w:val="en-US"/>
        </w:rPr>
        <w:t xml:space="preserve">under a scenario </w:t>
      </w:r>
      <w:r w:rsidR="00AF6607">
        <w:rPr>
          <w:lang w:val="en-US"/>
        </w:rPr>
        <w:t xml:space="preserve">in which </w:t>
      </w:r>
      <w:r w:rsidRPr="00281521">
        <w:rPr>
          <w:lang w:val="en-US"/>
        </w:rPr>
        <w:t xml:space="preserve">stringent climate policies and measures </w:t>
      </w:r>
      <w:r w:rsidR="00AF6607">
        <w:rPr>
          <w:lang w:val="en-US"/>
        </w:rPr>
        <w:t>are</w:t>
      </w:r>
      <w:r w:rsidR="00AF6607" w:rsidRPr="00281521">
        <w:rPr>
          <w:lang w:val="en-US"/>
        </w:rPr>
        <w:t xml:space="preserve"> </w:t>
      </w:r>
      <w:r w:rsidRPr="00281521">
        <w:rPr>
          <w:lang w:val="en-US"/>
        </w:rPr>
        <w:t>implemented</w:t>
      </w:r>
      <w:r>
        <w:rPr>
          <w:lang w:val="en-US"/>
        </w:rPr>
        <w:t>.</w:t>
      </w:r>
      <w:r w:rsidRPr="00281521">
        <w:rPr>
          <w:lang w:val="en-US"/>
        </w:rPr>
        <w:t xml:space="preserve"> The Sustainable Development Scenario presented in IEA’s World Energy Outlook 2017</w:t>
      </w:r>
      <w:r w:rsidR="0091103C">
        <w:rPr>
          <w:lang w:val="en-US"/>
        </w:rPr>
        <w:t>,</w:t>
      </w:r>
      <w:r w:rsidRPr="00281521">
        <w:rPr>
          <w:lang w:val="en-US"/>
        </w:rPr>
        <w:t xml:space="preserve"> assum</w:t>
      </w:r>
      <w:r>
        <w:rPr>
          <w:lang w:val="en-US"/>
        </w:rPr>
        <w:t xml:space="preserve">ing </w:t>
      </w:r>
      <w:r w:rsidRPr="00281521">
        <w:rPr>
          <w:lang w:val="en-US"/>
        </w:rPr>
        <w:t>a global reduction of energy</w:t>
      </w:r>
      <w:r w:rsidR="0091103C">
        <w:rPr>
          <w:lang w:val="en-US"/>
        </w:rPr>
        <w:t>-</w:t>
      </w:r>
      <w:r w:rsidRPr="00281521">
        <w:rPr>
          <w:lang w:val="en-US"/>
        </w:rPr>
        <w:t xml:space="preserve">related greenhouse gas emissions of more than 40% by 2040, still </w:t>
      </w:r>
      <w:r>
        <w:rPr>
          <w:lang w:val="en-US"/>
        </w:rPr>
        <w:t xml:space="preserve">has </w:t>
      </w:r>
      <w:r w:rsidRPr="00281521">
        <w:rPr>
          <w:lang w:val="en-US"/>
        </w:rPr>
        <w:t>oil and gas account</w:t>
      </w:r>
      <w:r w:rsidR="0091103C">
        <w:rPr>
          <w:lang w:val="en-US"/>
        </w:rPr>
        <w:t>ing</w:t>
      </w:r>
      <w:r w:rsidRPr="00281521">
        <w:rPr>
          <w:lang w:val="en-US"/>
        </w:rPr>
        <w:t xml:space="preserve"> for 48% of total energy supplies in 2040, down from 55% in 2016</w:t>
      </w:r>
      <w:r>
        <w:rPr>
          <w:lang w:val="en-US"/>
        </w:rPr>
        <w:t>, with total oil volume contracting 25% and gas increasing 15% for the period.</w:t>
      </w:r>
      <w:r w:rsidR="00336988" w:rsidRPr="00281521">
        <w:rPr>
          <w:rStyle w:val="FootnoteReference"/>
          <w:lang w:val="en-US"/>
        </w:rPr>
        <w:footnoteReference w:id="3"/>
      </w:r>
    </w:p>
    <w:p w14:paraId="78E1DE8F" w14:textId="77777777" w:rsidR="00AB5409" w:rsidRDefault="00AB5409" w:rsidP="00AB5409">
      <w:pPr>
        <w:spacing w:before="120"/>
        <w:rPr>
          <w:lang w:val="en-US"/>
        </w:rPr>
      </w:pPr>
      <w:r w:rsidRPr="00281521">
        <w:rPr>
          <w:lang w:val="en-US"/>
        </w:rPr>
        <w:t xml:space="preserve">In the end, the </w:t>
      </w:r>
      <w:r w:rsidR="00AF6607">
        <w:rPr>
          <w:lang w:val="en-US"/>
        </w:rPr>
        <w:t xml:space="preserve">world’s energy </w:t>
      </w:r>
      <w:r w:rsidRPr="00281521">
        <w:rPr>
          <w:lang w:val="en-US"/>
        </w:rPr>
        <w:t xml:space="preserve">supply mix will be determined by implemented policies and measures </w:t>
      </w:r>
      <w:r w:rsidR="00AF6607">
        <w:rPr>
          <w:lang w:val="en-US"/>
        </w:rPr>
        <w:t xml:space="preserve">and by </w:t>
      </w:r>
      <w:r w:rsidRPr="00281521">
        <w:rPr>
          <w:lang w:val="en-US"/>
        </w:rPr>
        <w:t>market competition where</w:t>
      </w:r>
      <w:r w:rsidR="0091103C">
        <w:rPr>
          <w:lang w:val="en-US"/>
        </w:rPr>
        <w:t>in</w:t>
      </w:r>
      <w:r w:rsidRPr="00281521">
        <w:rPr>
          <w:lang w:val="en-US"/>
        </w:rPr>
        <w:t xml:space="preserve"> </w:t>
      </w:r>
      <w:r w:rsidR="00AF6607">
        <w:rPr>
          <w:lang w:val="en-US"/>
        </w:rPr>
        <w:t xml:space="preserve">the </w:t>
      </w:r>
      <w:r w:rsidRPr="00281521">
        <w:rPr>
          <w:lang w:val="en-US"/>
        </w:rPr>
        <w:t>costs and sustainability attributes of energy alternatives are decisive factors</w:t>
      </w:r>
      <w:r>
        <w:rPr>
          <w:lang w:val="en-US"/>
        </w:rPr>
        <w:t>.</w:t>
      </w:r>
      <w:r w:rsidRPr="00A13F94">
        <w:rPr>
          <w:lang w:val="en-US"/>
        </w:rPr>
        <w:t xml:space="preserve"> Th</w:t>
      </w:r>
      <w:r w:rsidR="00AF6607">
        <w:rPr>
          <w:lang w:val="en-US"/>
        </w:rPr>
        <w:t xml:space="preserve">e enduring role of oil and gas obliges </w:t>
      </w:r>
      <w:r w:rsidRPr="00A13F94">
        <w:rPr>
          <w:lang w:val="en-US"/>
        </w:rPr>
        <w:t xml:space="preserve">increased attention on </w:t>
      </w:r>
      <w:r w:rsidRPr="00281521">
        <w:rPr>
          <w:lang w:val="en-US"/>
        </w:rPr>
        <w:t xml:space="preserve">methane emissions from </w:t>
      </w:r>
      <w:r w:rsidRPr="00A13F94">
        <w:rPr>
          <w:lang w:val="en-US"/>
        </w:rPr>
        <w:t xml:space="preserve">the entire oil and gas value chain from </w:t>
      </w:r>
      <w:r w:rsidRPr="00067B3E">
        <w:rPr>
          <w:lang w:val="en-US"/>
        </w:rPr>
        <w:t>exploration and extraction to end use</w:t>
      </w:r>
      <w:r w:rsidRPr="00281521">
        <w:rPr>
          <w:lang w:val="en-US"/>
        </w:rPr>
        <w:t xml:space="preserve">. </w:t>
      </w:r>
    </w:p>
    <w:p w14:paraId="0C23FFA0" w14:textId="217E8EA9" w:rsidR="00AB5409" w:rsidRPr="006F6315" w:rsidRDefault="00AB5409" w:rsidP="00AB5409">
      <w:pPr>
        <w:spacing w:before="120"/>
        <w:rPr>
          <w:lang w:val="en-US"/>
        </w:rPr>
      </w:pPr>
      <w:r w:rsidRPr="006F6315">
        <w:rPr>
          <w:lang w:val="en-US"/>
        </w:rPr>
        <w:t xml:space="preserve">Methane is </w:t>
      </w:r>
      <w:r>
        <w:rPr>
          <w:lang w:val="en-US"/>
        </w:rPr>
        <w:t>considered a</w:t>
      </w:r>
      <w:r w:rsidRPr="006F6315">
        <w:rPr>
          <w:lang w:val="en-US"/>
        </w:rPr>
        <w:t xml:space="preserve"> short-lived climate pollutant with an atmospheric lifetime of about 12 years. It</w:t>
      </w:r>
      <w:r>
        <w:rPr>
          <w:lang w:val="en-US"/>
        </w:rPr>
        <w:t>s</w:t>
      </w:r>
      <w:r w:rsidRPr="006F6315">
        <w:rPr>
          <w:lang w:val="en-US"/>
        </w:rPr>
        <w:t xml:space="preserve"> ability to </w:t>
      </w:r>
      <w:r>
        <w:rPr>
          <w:lang w:val="en-US"/>
        </w:rPr>
        <w:t>trap heat in the atmosphere, also known as its global warming potential</w:t>
      </w:r>
      <w:r w:rsidR="009A710F">
        <w:rPr>
          <w:lang w:val="en-US"/>
        </w:rPr>
        <w:t xml:space="preserve"> (GWP)</w:t>
      </w:r>
      <w:r>
        <w:rPr>
          <w:lang w:val="en-US"/>
        </w:rPr>
        <w:t xml:space="preserve">, is </w:t>
      </w:r>
      <w:r w:rsidR="000E569A">
        <w:rPr>
          <w:lang w:val="en-US"/>
        </w:rPr>
        <w:t>28</w:t>
      </w:r>
      <w:r w:rsidRPr="006F6315">
        <w:rPr>
          <w:lang w:val="en-US"/>
        </w:rPr>
        <w:t xml:space="preserve"> </w:t>
      </w:r>
      <w:r>
        <w:rPr>
          <w:lang w:val="en-US"/>
        </w:rPr>
        <w:t xml:space="preserve">times </w:t>
      </w:r>
      <w:r w:rsidRPr="006F6315">
        <w:rPr>
          <w:lang w:val="en-US"/>
        </w:rPr>
        <w:t>more potent that carbon dioxide</w:t>
      </w:r>
      <w:r w:rsidR="00226F87">
        <w:rPr>
          <w:lang w:val="en-US"/>
        </w:rPr>
        <w:t xml:space="preserve"> (CO</w:t>
      </w:r>
      <w:r w:rsidR="00226F87">
        <w:rPr>
          <w:vertAlign w:val="subscript"/>
          <w:lang w:val="en-US"/>
        </w:rPr>
        <w:t>2</w:t>
      </w:r>
      <w:r w:rsidR="00226F87" w:rsidRPr="00C3032E">
        <w:rPr>
          <w:lang w:val="en-US"/>
        </w:rPr>
        <w:t>)</w:t>
      </w:r>
      <w:r w:rsidRPr="006F6315">
        <w:rPr>
          <w:lang w:val="en-US"/>
        </w:rPr>
        <w:t xml:space="preserve"> over a </w:t>
      </w:r>
      <w:r w:rsidR="000E569A">
        <w:rPr>
          <w:lang w:val="en-US"/>
        </w:rPr>
        <w:t>100</w:t>
      </w:r>
      <w:r w:rsidRPr="006F6315">
        <w:rPr>
          <w:lang w:val="en-US"/>
        </w:rPr>
        <w:t>- year time horizon</w:t>
      </w:r>
      <w:r w:rsidR="00BD3EE5">
        <w:rPr>
          <w:lang w:val="en-US"/>
        </w:rPr>
        <w:t xml:space="preserve"> and 84 </w:t>
      </w:r>
      <w:r w:rsidR="00226F87">
        <w:rPr>
          <w:lang w:val="en-US"/>
        </w:rPr>
        <w:t xml:space="preserve">times </w:t>
      </w:r>
      <w:r w:rsidR="00BD3EE5">
        <w:rPr>
          <w:lang w:val="en-US"/>
        </w:rPr>
        <w:t>higher than CO</w:t>
      </w:r>
      <w:r w:rsidR="00BD3EE5">
        <w:rPr>
          <w:vertAlign w:val="subscript"/>
          <w:lang w:val="en-US"/>
        </w:rPr>
        <w:t xml:space="preserve">2 </w:t>
      </w:r>
      <w:r w:rsidR="00BD3EE5">
        <w:rPr>
          <w:lang w:val="en-US"/>
        </w:rPr>
        <w:t xml:space="preserve">over </w:t>
      </w:r>
      <w:r w:rsidR="00226F87">
        <w:rPr>
          <w:lang w:val="en-US"/>
        </w:rPr>
        <w:t xml:space="preserve">a </w:t>
      </w:r>
      <w:r w:rsidR="00BD3EE5">
        <w:rPr>
          <w:lang w:val="en-US"/>
        </w:rPr>
        <w:t>20</w:t>
      </w:r>
      <w:r w:rsidR="00226F87">
        <w:rPr>
          <w:lang w:val="en-US"/>
        </w:rPr>
        <w:t>-year</w:t>
      </w:r>
      <w:r w:rsidR="00BD3EE5">
        <w:rPr>
          <w:lang w:val="en-US"/>
        </w:rPr>
        <w:t xml:space="preserve"> </w:t>
      </w:r>
      <w:r w:rsidR="00226F87">
        <w:rPr>
          <w:lang w:val="en-US"/>
        </w:rPr>
        <w:t>horizon</w:t>
      </w:r>
      <w:r w:rsidRPr="006F6315">
        <w:rPr>
          <w:lang w:val="en-US"/>
        </w:rPr>
        <w:t xml:space="preserve">. Recent research shows that methane emissions </w:t>
      </w:r>
      <w:r w:rsidR="00226F87">
        <w:rPr>
          <w:lang w:val="en-US"/>
        </w:rPr>
        <w:t xml:space="preserve">are responsible for </w:t>
      </w:r>
      <w:r>
        <w:rPr>
          <w:lang w:val="en-US"/>
        </w:rPr>
        <w:t xml:space="preserve">about </w:t>
      </w:r>
      <w:r w:rsidR="00226F87">
        <w:rPr>
          <w:lang w:val="en-US"/>
        </w:rPr>
        <w:t xml:space="preserve">one </w:t>
      </w:r>
      <w:r w:rsidR="00226F87">
        <w:rPr>
          <w:lang w:val="en-US"/>
        </w:rPr>
        <w:lastRenderedPageBreak/>
        <w:t>fourth</w:t>
      </w:r>
      <w:r w:rsidR="00226F87" w:rsidRPr="006F6315">
        <w:rPr>
          <w:lang w:val="en-US"/>
        </w:rPr>
        <w:t xml:space="preserve"> </w:t>
      </w:r>
      <w:r w:rsidRPr="006F6315">
        <w:rPr>
          <w:lang w:val="en-US"/>
        </w:rPr>
        <w:t xml:space="preserve">of </w:t>
      </w:r>
      <w:r>
        <w:rPr>
          <w:lang w:val="en-US"/>
        </w:rPr>
        <w:t xml:space="preserve">manmade </w:t>
      </w:r>
      <w:r w:rsidRPr="006F6315">
        <w:rPr>
          <w:lang w:val="en-US"/>
        </w:rPr>
        <w:t>global warming</w:t>
      </w:r>
      <w:r w:rsidR="00226F87">
        <w:rPr>
          <w:lang w:val="en-US"/>
        </w:rPr>
        <w:t>, and methane emissions are on the rise.</w:t>
      </w:r>
      <w:r w:rsidR="00590585" w:rsidRPr="00C42CDE">
        <w:rPr>
          <w:rStyle w:val="FootnoteReference"/>
        </w:rPr>
        <w:footnoteReference w:id="4"/>
      </w:r>
      <w:r w:rsidR="00226F87">
        <w:rPr>
          <w:lang w:val="en-US"/>
        </w:rPr>
        <w:t xml:space="preserve"> Because of its relatively short atmospheric lifetime of 12 years, reducing methane emissions presents an important </w:t>
      </w:r>
      <w:r w:rsidRPr="006F6315">
        <w:rPr>
          <w:lang w:val="en-US"/>
        </w:rPr>
        <w:t>near</w:t>
      </w:r>
      <w:r w:rsidR="00AF6607">
        <w:rPr>
          <w:lang w:val="en-US"/>
        </w:rPr>
        <w:t>-</w:t>
      </w:r>
      <w:r w:rsidRPr="006F6315">
        <w:rPr>
          <w:lang w:val="en-US"/>
        </w:rPr>
        <w:t xml:space="preserve">term </w:t>
      </w:r>
      <w:r w:rsidR="00226F87">
        <w:rPr>
          <w:lang w:val="en-US"/>
        </w:rPr>
        <w:t>opportunity</w:t>
      </w:r>
      <w:r w:rsidRPr="006F6315">
        <w:rPr>
          <w:lang w:val="en-US"/>
        </w:rPr>
        <w:t xml:space="preserve"> to </w:t>
      </w:r>
      <w:r w:rsidR="00226F87">
        <w:rPr>
          <w:lang w:val="en-US"/>
        </w:rPr>
        <w:t>address</w:t>
      </w:r>
      <w:r w:rsidR="00226F87" w:rsidRPr="006F6315">
        <w:rPr>
          <w:lang w:val="en-US"/>
        </w:rPr>
        <w:t xml:space="preserve"> </w:t>
      </w:r>
      <w:r w:rsidRPr="006F6315">
        <w:rPr>
          <w:lang w:val="en-US"/>
        </w:rPr>
        <w:t>climate change.</w:t>
      </w:r>
      <w:r w:rsidR="00225C0C">
        <w:rPr>
          <w:rStyle w:val="FootnoteReference"/>
          <w:lang w:val="en-US"/>
        </w:rPr>
        <w:footnoteReference w:id="5"/>
      </w:r>
      <w:r w:rsidRPr="006F6315">
        <w:rPr>
          <w:lang w:val="en-US"/>
        </w:rPr>
        <w:t xml:space="preserve"> </w:t>
      </w:r>
    </w:p>
    <w:p w14:paraId="5C125159" w14:textId="787E5A13" w:rsidR="00AB5409" w:rsidRPr="00E76C56" w:rsidRDefault="00AB5409" w:rsidP="00AB5409">
      <w:pPr>
        <w:spacing w:before="120"/>
        <w:rPr>
          <w:lang w:val="en-US"/>
        </w:rPr>
      </w:pPr>
      <w:r>
        <w:rPr>
          <w:lang w:val="en-US"/>
        </w:rPr>
        <w:t xml:space="preserve">Currently, oil and gas sector operations account for </w:t>
      </w:r>
      <w:r w:rsidR="00226F87">
        <w:rPr>
          <w:lang w:val="en-US"/>
        </w:rPr>
        <w:t xml:space="preserve">one fourth </w:t>
      </w:r>
      <w:r>
        <w:rPr>
          <w:lang w:val="en-US"/>
        </w:rPr>
        <w:t>of global anthropogenic methane emissions</w:t>
      </w:r>
      <w:r w:rsidR="00226F87">
        <w:rPr>
          <w:lang w:val="en-US"/>
        </w:rPr>
        <w:t>,</w:t>
      </w:r>
      <w:r>
        <w:rPr>
          <w:lang w:val="en-US"/>
        </w:rPr>
        <w:t xml:space="preserve"> and there are several projections indicating that emissions could increase significantly</w:t>
      </w:r>
      <w:r w:rsidR="00226F87">
        <w:rPr>
          <w:lang w:val="en-US"/>
        </w:rPr>
        <w:t>.</w:t>
      </w:r>
      <w:r>
        <w:rPr>
          <w:rStyle w:val="FootnoteReference"/>
          <w:lang w:val="en-US"/>
        </w:rPr>
        <w:footnoteReference w:id="6"/>
      </w:r>
      <w:r w:rsidR="00336988" w:rsidRPr="00336988">
        <w:rPr>
          <w:rStyle w:val="FootnoteReference"/>
          <w:lang w:val="en-US"/>
        </w:rPr>
        <w:t xml:space="preserve"> </w:t>
      </w:r>
      <w:r w:rsidR="00336988">
        <w:rPr>
          <w:rStyle w:val="FootnoteReference"/>
          <w:lang w:val="en-US"/>
        </w:rPr>
        <w:footnoteReference w:id="7"/>
      </w:r>
      <w:r w:rsidR="00336988">
        <w:rPr>
          <w:lang w:val="en-US"/>
        </w:rPr>
        <w:t xml:space="preserve"> </w:t>
      </w:r>
      <w:r>
        <w:rPr>
          <w:lang w:val="en-US"/>
        </w:rPr>
        <w:t xml:space="preserve">  The IEA predicts oil and gas methane emissions </w:t>
      </w:r>
      <w:r w:rsidR="00522ED5">
        <w:rPr>
          <w:lang w:val="en-US"/>
        </w:rPr>
        <w:t xml:space="preserve">will </w:t>
      </w:r>
      <w:r>
        <w:rPr>
          <w:lang w:val="en-US"/>
        </w:rPr>
        <w:t>increase some 40% by 2040 in the absence of new and more stringent measures.</w:t>
      </w:r>
      <w:r>
        <w:rPr>
          <w:rStyle w:val="FootnoteReference"/>
          <w:lang w:val="en-US"/>
        </w:rPr>
        <w:footnoteReference w:id="8"/>
      </w:r>
      <w:r>
        <w:rPr>
          <w:lang w:val="en-US"/>
        </w:rPr>
        <w:t xml:space="preserve"> However, the sustainability of oil and gas supplies can be considerably improved through targeted and cost-efficient measures to reduce the</w:t>
      </w:r>
      <w:r w:rsidR="00522ED5">
        <w:rPr>
          <w:lang w:val="en-US"/>
        </w:rPr>
        <w:t xml:space="preserve"> </w:t>
      </w:r>
      <w:r>
        <w:rPr>
          <w:lang w:val="en-US"/>
        </w:rPr>
        <w:t>emissions. For example, t</w:t>
      </w:r>
      <w:r w:rsidRPr="004A6D6C">
        <w:rPr>
          <w:lang w:val="en-US"/>
        </w:rPr>
        <w:t>he IEA has estimated that 75% of global oil and gas methane emissions are technically feasible to eliminate (at currently expected oil and gas supply levels), while almost 50% can be reduced with no net costs.</w:t>
      </w:r>
      <w:r>
        <w:rPr>
          <w:rStyle w:val="FootnoteReference"/>
          <w:lang w:val="en-US"/>
        </w:rPr>
        <w:footnoteReference w:id="9"/>
      </w:r>
      <w:r w:rsidRPr="004A6D6C">
        <w:rPr>
          <w:lang w:val="en-US"/>
        </w:rPr>
        <w:t xml:space="preserve">   </w:t>
      </w:r>
    </w:p>
    <w:p w14:paraId="45C7B453" w14:textId="6B1EAE8A" w:rsidR="00AB5409" w:rsidRDefault="00AB5409" w:rsidP="00AB5409">
      <w:pPr>
        <w:spacing w:before="120" w:after="0"/>
        <w:rPr>
          <w:lang w:val="en-US"/>
        </w:rPr>
      </w:pPr>
      <w:r w:rsidRPr="004A6D6C">
        <w:rPr>
          <w:lang w:val="en-US"/>
        </w:rPr>
        <w:t xml:space="preserve">Many oil and gas companies already have procedures in place to </w:t>
      </w:r>
      <w:r w:rsidR="00226F87">
        <w:rPr>
          <w:lang w:val="en-US"/>
        </w:rPr>
        <w:t xml:space="preserve">reduce waste methane flaring and to </w:t>
      </w:r>
      <w:r w:rsidRPr="004A6D6C">
        <w:rPr>
          <w:lang w:val="en-US"/>
        </w:rPr>
        <w:t>detect methane emissions</w:t>
      </w:r>
      <w:r w:rsidR="00226F87">
        <w:rPr>
          <w:lang w:val="en-US"/>
        </w:rPr>
        <w:t xml:space="preserve"> at their facilities</w:t>
      </w:r>
      <w:r w:rsidRPr="004A6D6C">
        <w:rPr>
          <w:lang w:val="en-US"/>
        </w:rPr>
        <w:t xml:space="preserve"> to avoid safety risks and health hazards. In addition, </w:t>
      </w:r>
      <w:r w:rsidR="00463A16">
        <w:rPr>
          <w:lang w:val="en-US"/>
        </w:rPr>
        <w:t xml:space="preserve">many </w:t>
      </w:r>
      <w:r w:rsidRPr="004A6D6C">
        <w:rPr>
          <w:lang w:val="en-US"/>
        </w:rPr>
        <w:t xml:space="preserve">companies and governments </w:t>
      </w:r>
      <w:r w:rsidR="00463A16">
        <w:rPr>
          <w:lang w:val="en-US"/>
        </w:rPr>
        <w:t xml:space="preserve">are now increasing </w:t>
      </w:r>
      <w:r w:rsidRPr="004A6D6C">
        <w:rPr>
          <w:lang w:val="en-US"/>
        </w:rPr>
        <w:t xml:space="preserve">their methane MRV and mitigation efforts </w:t>
      </w:r>
      <w:r w:rsidR="00463A16">
        <w:rPr>
          <w:lang w:val="en-US"/>
        </w:rPr>
        <w:t>as contributions to climate change mitigation</w:t>
      </w:r>
      <w:r w:rsidRPr="004A6D6C">
        <w:rPr>
          <w:lang w:val="en-US"/>
        </w:rPr>
        <w:t xml:space="preserve">. This guidance document, together with a number of other international initiatives, </w:t>
      </w:r>
      <w:r w:rsidR="00522ED5">
        <w:rPr>
          <w:lang w:val="en-US"/>
        </w:rPr>
        <w:t>builds on this</w:t>
      </w:r>
      <w:r w:rsidR="00463A16">
        <w:rPr>
          <w:lang w:val="en-US"/>
        </w:rPr>
        <w:t xml:space="preserve"> work</w:t>
      </w:r>
      <w:r w:rsidRPr="004A6D6C">
        <w:rPr>
          <w:lang w:val="en-US"/>
        </w:rPr>
        <w:t>.</w:t>
      </w:r>
    </w:p>
    <w:p w14:paraId="131AE1CA" w14:textId="77777777" w:rsidR="004150E7" w:rsidRPr="00E76C56" w:rsidRDefault="004150E7" w:rsidP="00AB5409">
      <w:pPr>
        <w:spacing w:before="120" w:after="0"/>
        <w:rPr>
          <w:lang w:val="en-US"/>
        </w:rPr>
      </w:pPr>
    </w:p>
    <w:p w14:paraId="195DAAB2" w14:textId="77777777" w:rsidR="00AB5409" w:rsidRPr="00945408" w:rsidRDefault="00AB5409" w:rsidP="00AB5409">
      <w:pPr>
        <w:pStyle w:val="Heading2"/>
        <w:rPr>
          <w:sz w:val="22"/>
          <w:szCs w:val="22"/>
          <w:lang w:val="en-US"/>
        </w:rPr>
      </w:pPr>
      <w:bookmarkStart w:id="22" w:name="_Toc521656528"/>
      <w:bookmarkStart w:id="23" w:name="_Toc531690972"/>
      <w:bookmarkStart w:id="24" w:name="_Toc3472994"/>
      <w:r w:rsidRPr="00945408">
        <w:rPr>
          <w:sz w:val="22"/>
          <w:szCs w:val="22"/>
          <w:lang w:val="en-US"/>
        </w:rPr>
        <w:t>MRV and mitigation</w:t>
      </w:r>
      <w:bookmarkEnd w:id="22"/>
      <w:bookmarkEnd w:id="23"/>
      <w:bookmarkEnd w:id="24"/>
      <w:r w:rsidRPr="00945408">
        <w:rPr>
          <w:sz w:val="22"/>
          <w:szCs w:val="22"/>
          <w:lang w:val="en-US"/>
        </w:rPr>
        <w:t xml:space="preserve"> </w:t>
      </w:r>
    </w:p>
    <w:p w14:paraId="396A40A3" w14:textId="77777777" w:rsidR="00703DA0" w:rsidRDefault="00AB5409" w:rsidP="00AB5409">
      <w:pPr>
        <w:spacing w:before="120"/>
        <w:rPr>
          <w:lang w:val="en-US"/>
        </w:rPr>
      </w:pPr>
      <w:r>
        <w:rPr>
          <w:lang w:val="en-US"/>
        </w:rPr>
        <w:t>While MRV and mitigation are distinct activities, they are also strongly related</w:t>
      </w:r>
      <w:r w:rsidR="00125A20">
        <w:rPr>
          <w:lang w:val="en-US"/>
        </w:rPr>
        <w:t>. M</w:t>
      </w:r>
      <w:r>
        <w:rPr>
          <w:lang w:val="en-US"/>
        </w:rPr>
        <w:t>itigation can be most effective and cost-efficient when based on sound MRV practices.</w:t>
      </w:r>
      <w:r w:rsidR="00125A20">
        <w:rPr>
          <w:lang w:val="en-US"/>
        </w:rPr>
        <w:t xml:space="preserve"> This interplay of MRV and mitigation is important </w:t>
      </w:r>
      <w:r>
        <w:rPr>
          <w:lang w:val="en-US"/>
        </w:rPr>
        <w:t xml:space="preserve">and </w:t>
      </w:r>
      <w:r w:rsidR="00125A20">
        <w:rPr>
          <w:lang w:val="en-US"/>
        </w:rPr>
        <w:t xml:space="preserve">is </w:t>
      </w:r>
      <w:r>
        <w:rPr>
          <w:lang w:val="en-US"/>
        </w:rPr>
        <w:t xml:space="preserve">addressed in this </w:t>
      </w:r>
      <w:r w:rsidR="00125A20">
        <w:rPr>
          <w:lang w:val="en-US"/>
        </w:rPr>
        <w:t>document</w:t>
      </w:r>
      <w:r w:rsidR="00703DA0">
        <w:rPr>
          <w:lang w:val="en-US"/>
        </w:rPr>
        <w:t>, see Figure 1.1</w:t>
      </w:r>
      <w:r w:rsidR="008C25BA">
        <w:rPr>
          <w:lang w:val="en-US"/>
        </w:rPr>
        <w:t xml:space="preserve">. </w:t>
      </w:r>
    </w:p>
    <w:p w14:paraId="3C3E7C1D" w14:textId="77777777" w:rsidR="00703DA0" w:rsidRDefault="00703DA0" w:rsidP="00703DA0">
      <w:pPr>
        <w:pStyle w:val="Caption"/>
        <w:rPr>
          <w:lang w:val="en-US"/>
        </w:rPr>
      </w:pPr>
      <w:r w:rsidRPr="006F6315">
        <w:rPr>
          <w:lang w:val="en-US"/>
        </w:rPr>
        <w:t xml:space="preserve">Figure 1.1 </w:t>
      </w:r>
      <w:r>
        <w:rPr>
          <w:lang w:val="en-US"/>
        </w:rPr>
        <w:t>MRV and Mitigation – Facility/Company, National, and International Levels</w:t>
      </w:r>
      <w:r w:rsidRPr="006F6315">
        <w:rPr>
          <w:lang w:val="en-US"/>
        </w:rPr>
        <w:t xml:space="preserve"> </w:t>
      </w:r>
    </w:p>
    <w:p w14:paraId="442C48A4" w14:textId="77777777" w:rsidR="00703DA0" w:rsidRDefault="00703DA0" w:rsidP="00AB5409">
      <w:pPr>
        <w:spacing w:before="120"/>
        <w:rPr>
          <w:lang w:val="en-US"/>
        </w:rPr>
      </w:pPr>
      <w:r>
        <w:rPr>
          <w:noProof/>
          <w:lang w:eastAsia="nb-NO"/>
        </w:rPr>
        <w:drawing>
          <wp:inline distT="0" distB="0" distL="0" distR="0" wp14:anchorId="1EB82586" wp14:editId="19844419">
            <wp:extent cx="5777865" cy="2803992"/>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865" cy="2803992"/>
                    </a:xfrm>
                    <a:prstGeom prst="rect">
                      <a:avLst/>
                    </a:prstGeom>
                    <a:noFill/>
                  </pic:spPr>
                </pic:pic>
              </a:graphicData>
            </a:graphic>
          </wp:inline>
        </w:drawing>
      </w:r>
    </w:p>
    <w:p w14:paraId="71EB88D4" w14:textId="77777777" w:rsidR="00AB5409" w:rsidRDefault="008C25BA" w:rsidP="00AB5409">
      <w:pPr>
        <w:spacing w:before="120"/>
        <w:rPr>
          <w:lang w:val="en-US"/>
        </w:rPr>
      </w:pPr>
      <w:r>
        <w:rPr>
          <w:lang w:val="en-US"/>
        </w:rPr>
        <w:t>Cost-efficient and effective mitigation measures typically rely on sound results from MRV methods and practices. MRV is also important for design and implementation of policies and regulations</w:t>
      </w:r>
      <w:r w:rsidR="006D4772">
        <w:rPr>
          <w:lang w:val="en-US"/>
        </w:rPr>
        <w:t xml:space="preserve"> since reliable quantification and reporting of emissions is essential for monitoring compliance and assessing progress emission reduction efforts. With respect to technology application and practices MRV and </w:t>
      </w:r>
      <w:r w:rsidR="006D4772">
        <w:rPr>
          <w:lang w:val="en-US"/>
        </w:rPr>
        <w:lastRenderedPageBreak/>
        <w:t xml:space="preserve">mitigation and also be integrated, as for example with so-called </w:t>
      </w:r>
      <w:r w:rsidR="00AB5409">
        <w:rPr>
          <w:lang w:val="en-US"/>
        </w:rPr>
        <w:t>leak</w:t>
      </w:r>
      <w:r w:rsidR="006D4772">
        <w:rPr>
          <w:lang w:val="en-US"/>
        </w:rPr>
        <w:t xml:space="preserve"> detection and repair </w:t>
      </w:r>
      <w:proofErr w:type="spellStart"/>
      <w:r w:rsidR="006D4772">
        <w:rPr>
          <w:lang w:val="en-US"/>
        </w:rPr>
        <w:t>programme</w:t>
      </w:r>
      <w:proofErr w:type="spellEnd"/>
      <w:r w:rsidR="006D4772">
        <w:rPr>
          <w:lang w:val="en-US"/>
        </w:rPr>
        <w:t>, which can be mandatory or conducted on a voluntary basis by industry.</w:t>
      </w:r>
    </w:p>
    <w:p w14:paraId="73ED1144" w14:textId="0954CD64" w:rsidR="00AB5409" w:rsidRDefault="00AB5409" w:rsidP="00AB5409">
      <w:pPr>
        <w:spacing w:before="120"/>
        <w:rPr>
          <w:lang w:val="en-US"/>
        </w:rPr>
      </w:pPr>
      <w:r>
        <w:rPr>
          <w:lang w:val="en-US"/>
        </w:rPr>
        <w:t xml:space="preserve">MRV </w:t>
      </w:r>
      <w:r w:rsidRPr="006F6315">
        <w:rPr>
          <w:lang w:val="en-US"/>
        </w:rPr>
        <w:t xml:space="preserve">and mitigation practices at the facility and company level are </w:t>
      </w:r>
      <w:r>
        <w:rPr>
          <w:lang w:val="en-US"/>
        </w:rPr>
        <w:t>often</w:t>
      </w:r>
      <w:r w:rsidRPr="006F6315">
        <w:rPr>
          <w:lang w:val="en-US"/>
        </w:rPr>
        <w:t xml:space="preserve"> interrelated with those developed at national level</w:t>
      </w:r>
      <w:r w:rsidR="00D3140A">
        <w:rPr>
          <w:lang w:val="en-US"/>
        </w:rPr>
        <w:t>.</w:t>
      </w:r>
      <w:r w:rsidR="00463A16">
        <w:rPr>
          <w:lang w:val="en-US"/>
        </w:rPr>
        <w:t xml:space="preserve"> </w:t>
      </w:r>
      <w:r w:rsidR="00D3140A">
        <w:rPr>
          <w:lang w:val="en-US"/>
        </w:rPr>
        <w:t xml:space="preserve"> </w:t>
      </w:r>
      <w:r w:rsidR="00463A16">
        <w:rPr>
          <w:lang w:val="en-US"/>
        </w:rPr>
        <w:t xml:space="preserve">Further, </w:t>
      </w:r>
      <w:r w:rsidRPr="006F6315">
        <w:rPr>
          <w:lang w:val="en-US"/>
        </w:rPr>
        <w:t xml:space="preserve">national level practices </w:t>
      </w:r>
      <w:r>
        <w:rPr>
          <w:lang w:val="en-US"/>
        </w:rPr>
        <w:t>can be</w:t>
      </w:r>
      <w:r w:rsidRPr="006F6315">
        <w:rPr>
          <w:lang w:val="en-US"/>
        </w:rPr>
        <w:t xml:space="preserve"> influence</w:t>
      </w:r>
      <w:r>
        <w:rPr>
          <w:lang w:val="en-US"/>
        </w:rPr>
        <w:t>d</w:t>
      </w:r>
      <w:r w:rsidRPr="006F6315">
        <w:rPr>
          <w:lang w:val="en-US"/>
        </w:rPr>
        <w:t xml:space="preserve"> by international guidelines and commitments, particularly those established under the </w:t>
      </w:r>
      <w:bookmarkStart w:id="25" w:name="_Hlk3295050"/>
      <w:r w:rsidR="004C2C53">
        <w:rPr>
          <w:lang w:val="en-US"/>
        </w:rPr>
        <w:t>I</w:t>
      </w:r>
      <w:r w:rsidR="00B452BC">
        <w:rPr>
          <w:lang w:val="en-US"/>
        </w:rPr>
        <w:t xml:space="preserve">ntergovernmental Panel on Climate Change (IPCC) and the </w:t>
      </w:r>
      <w:r w:rsidRPr="006F6315">
        <w:rPr>
          <w:lang w:val="en-US"/>
        </w:rPr>
        <w:t xml:space="preserve">United Nations Framework Convention on Climate Change (UNFCCC). </w:t>
      </w:r>
    </w:p>
    <w:p w14:paraId="155821FD" w14:textId="77777777" w:rsidR="004150E7" w:rsidRDefault="004150E7" w:rsidP="00AB5409">
      <w:pPr>
        <w:spacing w:before="120"/>
        <w:rPr>
          <w:lang w:val="en-US"/>
        </w:rPr>
      </w:pPr>
    </w:p>
    <w:p w14:paraId="68BC5F67" w14:textId="77777777" w:rsidR="00B452BC" w:rsidRPr="00C3032E" w:rsidRDefault="00B452BC" w:rsidP="00C3032E">
      <w:pPr>
        <w:pStyle w:val="Heading2"/>
        <w:rPr>
          <w:sz w:val="22"/>
          <w:szCs w:val="22"/>
          <w:lang w:val="en-US"/>
        </w:rPr>
      </w:pPr>
      <w:bookmarkStart w:id="26" w:name="_Toc3472995"/>
      <w:bookmarkEnd w:id="25"/>
      <w:r w:rsidRPr="00C3032E">
        <w:rPr>
          <w:sz w:val="22"/>
          <w:szCs w:val="22"/>
          <w:lang w:val="en-US"/>
        </w:rPr>
        <w:t>Structure of this document</w:t>
      </w:r>
      <w:bookmarkEnd w:id="26"/>
    </w:p>
    <w:p w14:paraId="1DA4DC72" w14:textId="77777777" w:rsidR="00D3140A" w:rsidRDefault="00D3140A" w:rsidP="0091139A">
      <w:pPr>
        <w:pStyle w:val="Heading3"/>
        <w:rPr>
          <w:b w:val="0"/>
          <w:lang w:val="en-US"/>
        </w:rPr>
      </w:pPr>
      <w:bookmarkStart w:id="27" w:name="_Toc531690973"/>
      <w:r w:rsidRPr="00EB22F9">
        <w:rPr>
          <w:b w:val="0"/>
          <w:lang w:val="en-US"/>
        </w:rPr>
        <w:t>After methane emission levels and emission reduction opportunities are briefly surveyed in Chapter 2 of this document, MRV and mitigation are s</w:t>
      </w:r>
      <w:r w:rsidR="00EB22F9" w:rsidRPr="00EB22F9">
        <w:rPr>
          <w:b w:val="0"/>
          <w:lang w:val="en-US"/>
        </w:rPr>
        <w:t xml:space="preserve">ubsequently </w:t>
      </w:r>
      <w:r w:rsidRPr="00EB22F9">
        <w:rPr>
          <w:b w:val="0"/>
          <w:lang w:val="en-US"/>
        </w:rPr>
        <w:t xml:space="preserve">discussed </w:t>
      </w:r>
      <w:r w:rsidR="00EB22F9" w:rsidRPr="00EB22F9">
        <w:rPr>
          <w:b w:val="0"/>
          <w:lang w:val="en-US"/>
        </w:rPr>
        <w:t xml:space="preserve">in Chapter 3 and Chapter 4. This </w:t>
      </w:r>
      <w:r w:rsidR="00EB22F9">
        <w:rPr>
          <w:b w:val="0"/>
          <w:lang w:val="en-US"/>
        </w:rPr>
        <w:t xml:space="preserve">is the </w:t>
      </w:r>
      <w:r w:rsidR="00EB22F9" w:rsidRPr="00EB22F9">
        <w:rPr>
          <w:b w:val="0"/>
          <w:lang w:val="en-US"/>
        </w:rPr>
        <w:t xml:space="preserve">core of the document and is </w:t>
      </w:r>
      <w:r w:rsidR="00EB22F9">
        <w:rPr>
          <w:b w:val="0"/>
          <w:lang w:val="en-US"/>
        </w:rPr>
        <w:t xml:space="preserve">further </w:t>
      </w:r>
      <w:r w:rsidR="00B452BC">
        <w:rPr>
          <w:b w:val="0"/>
          <w:lang w:val="en-US"/>
        </w:rPr>
        <w:t xml:space="preserve">supported by two technical annexes: </w:t>
      </w:r>
      <w:r w:rsidR="00EB22F9">
        <w:rPr>
          <w:b w:val="0"/>
          <w:lang w:val="en-US"/>
        </w:rPr>
        <w:t xml:space="preserve">Annex 1 on </w:t>
      </w:r>
      <w:r w:rsidR="0061403C">
        <w:rPr>
          <w:b w:val="0"/>
          <w:lang w:val="en-US"/>
        </w:rPr>
        <w:t xml:space="preserve">emission sources and mitigation </w:t>
      </w:r>
      <w:r w:rsidR="00B452BC">
        <w:rPr>
          <w:b w:val="0"/>
          <w:lang w:val="en-US"/>
        </w:rPr>
        <w:t xml:space="preserve">techniques, </w:t>
      </w:r>
      <w:r w:rsidR="0061403C">
        <w:rPr>
          <w:b w:val="0"/>
          <w:lang w:val="en-US"/>
        </w:rPr>
        <w:t xml:space="preserve">and Annex 2 on emission detection and quantification technologies. </w:t>
      </w:r>
    </w:p>
    <w:p w14:paraId="58A9B5B6" w14:textId="77777777" w:rsidR="00115450" w:rsidRDefault="0003047E" w:rsidP="0061403C">
      <w:pPr>
        <w:rPr>
          <w:lang w:val="en-US"/>
        </w:rPr>
      </w:pPr>
      <w:r>
        <w:rPr>
          <w:lang w:val="en-US"/>
        </w:rPr>
        <w:t xml:space="preserve">Chapter 3 discusses approaches and practices for MRV at the facility, company and national levels. </w:t>
      </w:r>
      <w:r w:rsidR="00B452BC">
        <w:rPr>
          <w:lang w:val="en-US"/>
        </w:rPr>
        <w:t>It also covers t</w:t>
      </w:r>
      <w:r>
        <w:rPr>
          <w:lang w:val="en-US"/>
        </w:rPr>
        <w:t>he interplay between the levels</w:t>
      </w:r>
      <w:r w:rsidR="00B452BC">
        <w:rPr>
          <w:lang w:val="en-US"/>
        </w:rPr>
        <w:t xml:space="preserve">, and </w:t>
      </w:r>
      <w:r w:rsidR="00115450">
        <w:rPr>
          <w:lang w:val="en-US"/>
        </w:rPr>
        <w:t xml:space="preserve">the influence from </w:t>
      </w:r>
      <w:r w:rsidR="00DC37D4">
        <w:rPr>
          <w:lang w:val="en-US"/>
        </w:rPr>
        <w:t xml:space="preserve">international processed such as those under the </w:t>
      </w:r>
      <w:r w:rsidR="00D0710F">
        <w:rPr>
          <w:lang w:val="en-US"/>
        </w:rPr>
        <w:t>United Nationals Framework Convention on Climate Change (UNFCCC), intra-industry associations and public- private initiatives, and international research.</w:t>
      </w:r>
    </w:p>
    <w:p w14:paraId="01ACFF15" w14:textId="77777777" w:rsidR="00A84666" w:rsidRDefault="00115450" w:rsidP="00C3032E">
      <w:pPr>
        <w:rPr>
          <w:lang w:val="en-US"/>
        </w:rPr>
      </w:pPr>
      <w:r>
        <w:rPr>
          <w:lang w:val="en-US"/>
        </w:rPr>
        <w:t>In the same way, Chapter 4 on mitigation start</w:t>
      </w:r>
      <w:r w:rsidR="00D6348C">
        <w:rPr>
          <w:lang w:val="en-US"/>
        </w:rPr>
        <w:t>s</w:t>
      </w:r>
      <w:r>
        <w:rPr>
          <w:lang w:val="en-US"/>
        </w:rPr>
        <w:t xml:space="preserve"> with the facility/ company perspective followed by a discussion of mitigation poli</w:t>
      </w:r>
      <w:r w:rsidR="00B452BC">
        <w:rPr>
          <w:lang w:val="en-US"/>
        </w:rPr>
        <w:t>ci</w:t>
      </w:r>
      <w:r>
        <w:rPr>
          <w:lang w:val="en-US"/>
        </w:rPr>
        <w:t>es and regulations at the national level</w:t>
      </w:r>
      <w:r w:rsidR="00DC37D4">
        <w:rPr>
          <w:lang w:val="en-US"/>
        </w:rPr>
        <w:t xml:space="preserve">. </w:t>
      </w:r>
      <w:r w:rsidR="00B452BC">
        <w:rPr>
          <w:lang w:val="en-US"/>
        </w:rPr>
        <w:t xml:space="preserve">This chapter also discusses commonly-encountered barriers to implementation of cost-efficient mitigation opportunities, with a view toward informing policies and regulations that may address these barriers. </w:t>
      </w:r>
      <w:r w:rsidR="00D0710F">
        <w:rPr>
          <w:lang w:val="en-US"/>
        </w:rPr>
        <w:t xml:space="preserve">Finally, this </w:t>
      </w:r>
      <w:r w:rsidR="00183426">
        <w:rPr>
          <w:lang w:val="en-US"/>
        </w:rPr>
        <w:t>chapter covers aspects of i</w:t>
      </w:r>
      <w:r w:rsidR="00183426" w:rsidRPr="00300FD8">
        <w:rPr>
          <w:lang w:val="en-US"/>
        </w:rPr>
        <w:t xml:space="preserve">nternational </w:t>
      </w:r>
      <w:r w:rsidR="00CE22AE">
        <w:rPr>
          <w:lang w:val="en-US"/>
        </w:rPr>
        <w:t xml:space="preserve">climate policies, including </w:t>
      </w:r>
      <w:r w:rsidR="00183426" w:rsidRPr="00300FD8">
        <w:rPr>
          <w:lang w:val="en-US"/>
        </w:rPr>
        <w:t>carbon pricing</w:t>
      </w:r>
      <w:r w:rsidR="00CE22AE">
        <w:rPr>
          <w:lang w:val="en-US"/>
        </w:rPr>
        <w:t>,</w:t>
      </w:r>
      <w:r w:rsidR="00183426">
        <w:rPr>
          <w:lang w:val="en-US"/>
        </w:rPr>
        <w:t xml:space="preserve"> which can help enhance methane mitigation efforts</w:t>
      </w:r>
      <w:r w:rsidR="00A84666">
        <w:rPr>
          <w:lang w:val="en-US"/>
        </w:rPr>
        <w:t xml:space="preserve">. </w:t>
      </w:r>
    </w:p>
    <w:p w14:paraId="6EF9FDA7" w14:textId="77777777" w:rsidR="00F979FC" w:rsidRDefault="00A84666" w:rsidP="00C3032E">
      <w:pPr>
        <w:rPr>
          <w:lang w:val="en-US"/>
        </w:rPr>
      </w:pPr>
      <w:r>
        <w:rPr>
          <w:lang w:val="en-US"/>
        </w:rPr>
        <w:t xml:space="preserve">Chapter 5 </w:t>
      </w:r>
      <w:r w:rsidR="0076441E">
        <w:rPr>
          <w:lang w:val="en-US"/>
        </w:rPr>
        <w:t>presents key conclusions and summary for policy makers</w:t>
      </w:r>
      <w:r w:rsidR="00183426">
        <w:rPr>
          <w:lang w:val="en-US"/>
        </w:rPr>
        <w:t>.</w:t>
      </w:r>
      <w:r w:rsidR="00E54B2D">
        <w:rPr>
          <w:lang w:val="en-US"/>
        </w:rPr>
        <w:t xml:space="preserve"> </w:t>
      </w:r>
    </w:p>
    <w:p w14:paraId="64C274AF" w14:textId="0784DBF1" w:rsidR="0076441E" w:rsidRDefault="00E54B2D" w:rsidP="00C3032E">
      <w:pPr>
        <w:rPr>
          <w:lang w:val="en-US"/>
        </w:rPr>
      </w:pPr>
      <w:r>
        <w:rPr>
          <w:lang w:val="en-US"/>
        </w:rPr>
        <w:t xml:space="preserve">Chapter 6 presents case study examples of MRV and mitigation best practices. </w:t>
      </w:r>
      <w:r w:rsidRPr="00E54B2D">
        <w:rPr>
          <w:highlight w:val="yellow"/>
          <w:lang w:val="en-US"/>
        </w:rPr>
        <w:t>[In this draft only a sample of two case studies are presented. Reviewer of the draft are invited to propose case studies to be included in final version of the document]</w:t>
      </w:r>
      <w:r>
        <w:rPr>
          <w:lang w:val="en-US"/>
        </w:rPr>
        <w:t xml:space="preserve">  </w:t>
      </w:r>
      <w:r w:rsidR="00DD044F">
        <w:rPr>
          <w:lang w:val="en-US"/>
        </w:rPr>
        <w:t xml:space="preserve"> </w:t>
      </w:r>
    </w:p>
    <w:p w14:paraId="00911FFF" w14:textId="77777777" w:rsidR="00F979FC" w:rsidRDefault="00E54B2D" w:rsidP="004A5B23">
      <w:pPr>
        <w:spacing w:before="120"/>
        <w:rPr>
          <w:lang w:val="en-US"/>
        </w:rPr>
      </w:pPr>
      <w:r w:rsidRPr="00F979FC">
        <w:rPr>
          <w:lang w:val="en-US"/>
        </w:rPr>
        <w:t xml:space="preserve">Two annex are included at the end of the document. </w:t>
      </w:r>
    </w:p>
    <w:p w14:paraId="423087E5" w14:textId="6D27D887" w:rsidR="00F979FC" w:rsidRDefault="004A5B23" w:rsidP="004A5B23">
      <w:pPr>
        <w:spacing w:before="120"/>
        <w:rPr>
          <w:lang w:val="en-US"/>
        </w:rPr>
      </w:pPr>
      <w:r w:rsidRPr="00F979FC">
        <w:rPr>
          <w:lang w:val="en-US"/>
        </w:rPr>
        <w:t>Building on the nine 'core' emission sources of methane defined by the Oil and Gas Methane Partnership (OGMP</w:t>
      </w:r>
      <w:r>
        <w:rPr>
          <w:lang w:val="en-US"/>
        </w:rPr>
        <w:t xml:space="preserve">) and explained in the OGMP Technical Guidance Documents, Annex 1 describe in detail twelve emissions sources, including </w:t>
      </w:r>
      <w:r w:rsidRPr="004A5B23">
        <w:rPr>
          <w:szCs w:val="20"/>
          <w:lang w:val="en-US"/>
        </w:rPr>
        <w:t>mitigation techniques and applicable emission detection and quantification equipment.</w:t>
      </w:r>
      <w:r w:rsidR="00336988">
        <w:rPr>
          <w:rStyle w:val="FootnoteReference"/>
          <w:szCs w:val="20"/>
          <w:lang w:val="en-US"/>
        </w:rPr>
        <w:footnoteReference w:id="10"/>
      </w:r>
      <w:r w:rsidRPr="004A5B23">
        <w:rPr>
          <w:szCs w:val="20"/>
          <w:lang w:val="en-US"/>
        </w:rPr>
        <w:t xml:space="preserve"> </w:t>
      </w:r>
      <w:r w:rsidR="00F979FC">
        <w:rPr>
          <w:szCs w:val="20"/>
          <w:lang w:val="en-US"/>
        </w:rPr>
        <w:t>The presentation is based on a number of sources referenced in the annex. M</w:t>
      </w:r>
      <w:r>
        <w:rPr>
          <w:lang w:val="en-US"/>
        </w:rPr>
        <w:t xml:space="preserve">ore categories </w:t>
      </w:r>
      <w:r w:rsidR="00F979FC">
        <w:rPr>
          <w:lang w:val="en-US"/>
        </w:rPr>
        <w:t xml:space="preserve">are listed </w:t>
      </w:r>
      <w:r>
        <w:rPr>
          <w:lang w:val="en-US"/>
        </w:rPr>
        <w:t xml:space="preserve">than the Technical Guidance Documents of the OGMP </w:t>
      </w:r>
      <w:r w:rsidR="00F979FC">
        <w:rPr>
          <w:lang w:val="en-US"/>
        </w:rPr>
        <w:t xml:space="preserve">since downstream emission sources are covered. </w:t>
      </w:r>
    </w:p>
    <w:p w14:paraId="71F9CE38" w14:textId="54998A4A" w:rsidR="00E54B2D" w:rsidRPr="00336988" w:rsidRDefault="00F979FC" w:rsidP="00F979FC">
      <w:pPr>
        <w:spacing w:before="120"/>
        <w:rPr>
          <w:szCs w:val="20"/>
          <w:lang w:val="en-US"/>
        </w:rPr>
      </w:pPr>
      <w:r>
        <w:rPr>
          <w:lang w:val="en-US"/>
        </w:rPr>
        <w:t xml:space="preserve">Annex 2 </w:t>
      </w:r>
      <w:r w:rsidRPr="007554E6">
        <w:rPr>
          <w:rFonts w:eastAsia="Calibri"/>
          <w:szCs w:val="20"/>
          <w:lang w:val="en-US"/>
        </w:rPr>
        <w:t>presents a very brief overview of various methane detection and quantification technologies currently available. This is primarily based on Climate and Clean Air Coalition’s Technical Guidance Document and EPA’s Star Program</w:t>
      </w:r>
      <w:r w:rsidR="004150E7">
        <w:rPr>
          <w:rFonts w:eastAsia="Calibri"/>
          <w:szCs w:val="20"/>
          <w:lang w:val="en-US"/>
        </w:rPr>
        <w:t>.</w:t>
      </w:r>
      <w:r w:rsidR="00336988">
        <w:rPr>
          <w:rStyle w:val="FootnoteReference"/>
          <w:rFonts w:eastAsia="Calibri"/>
          <w:szCs w:val="20"/>
          <w:lang w:val="en-US"/>
        </w:rPr>
        <w:footnoteReference w:id="11"/>
      </w:r>
      <w:r w:rsidR="00336988">
        <w:rPr>
          <w:rFonts w:eastAsia="Calibri"/>
          <w:szCs w:val="20"/>
          <w:vertAlign w:val="superscript"/>
          <w:lang w:val="en-US"/>
        </w:rPr>
        <w:t>,</w:t>
      </w:r>
      <w:r w:rsidR="00336988">
        <w:rPr>
          <w:rStyle w:val="FootnoteReference"/>
          <w:rFonts w:eastAsia="Calibri"/>
          <w:szCs w:val="20"/>
          <w:lang w:val="en-US"/>
        </w:rPr>
        <w:footnoteReference w:id="12"/>
      </w:r>
      <w:r w:rsidRPr="007554E6">
        <w:rPr>
          <w:rFonts w:eastAsia="Calibri"/>
          <w:szCs w:val="20"/>
          <w:lang w:val="en-US"/>
        </w:rPr>
        <w:t xml:space="preserve"> </w:t>
      </w:r>
      <w:bookmarkEnd w:id="27"/>
    </w:p>
    <w:p w14:paraId="021210E8" w14:textId="77777777" w:rsidR="00C3032E" w:rsidRDefault="00703DA0" w:rsidP="00703DA0">
      <w:pPr>
        <w:pStyle w:val="Heading1"/>
        <w:rPr>
          <w:lang w:val="en-GB"/>
        </w:rPr>
      </w:pPr>
      <w:r>
        <w:rPr>
          <w:lang w:val="en-US"/>
        </w:rPr>
        <w:br w:type="column"/>
      </w:r>
      <w:bookmarkStart w:id="28" w:name="_Toc521656529"/>
      <w:bookmarkStart w:id="29" w:name="_Toc531690979"/>
      <w:bookmarkStart w:id="30" w:name="_Toc531691025"/>
      <w:bookmarkStart w:id="31" w:name="_Toc3472996"/>
      <w:r w:rsidR="00C3032E" w:rsidRPr="004A01FD">
        <w:rPr>
          <w:lang w:val="en-GB"/>
        </w:rPr>
        <w:lastRenderedPageBreak/>
        <w:t>Methane emissions in the oil and gas industry</w:t>
      </w:r>
      <w:bookmarkEnd w:id="28"/>
      <w:bookmarkEnd w:id="29"/>
      <w:bookmarkEnd w:id="30"/>
      <w:bookmarkEnd w:id="31"/>
      <w:r w:rsidR="00C3032E" w:rsidRPr="004A01FD">
        <w:rPr>
          <w:lang w:val="en-GB"/>
        </w:rPr>
        <w:t xml:space="preserve"> </w:t>
      </w:r>
    </w:p>
    <w:p w14:paraId="0A1F345B" w14:textId="77777777" w:rsidR="00C3032E" w:rsidRDefault="00123D4B" w:rsidP="00123D4B">
      <w:pPr>
        <w:pStyle w:val="Heading2"/>
        <w:numPr>
          <w:ilvl w:val="0"/>
          <w:numId w:val="0"/>
        </w:numPr>
        <w:ind w:left="284"/>
        <w:rPr>
          <w:lang w:val="en-GB"/>
        </w:rPr>
      </w:pPr>
      <w:bookmarkStart w:id="32" w:name="_Toc3472997"/>
      <w:r>
        <w:rPr>
          <w:lang w:val="en-GB"/>
        </w:rPr>
        <w:t xml:space="preserve">2. 1 </w:t>
      </w:r>
      <w:r w:rsidR="00C3032E" w:rsidRPr="007777C5">
        <w:rPr>
          <w:lang w:val="en-GB"/>
        </w:rPr>
        <w:t>The basis for emissions estimates</w:t>
      </w:r>
      <w:bookmarkEnd w:id="32"/>
      <w:r w:rsidR="00C3032E" w:rsidRPr="007777C5">
        <w:rPr>
          <w:lang w:val="en-GB"/>
        </w:rPr>
        <w:t xml:space="preserve"> </w:t>
      </w:r>
    </w:p>
    <w:p w14:paraId="6A2830A5" w14:textId="77777777" w:rsidR="00C3032E" w:rsidRDefault="00C3032E" w:rsidP="00C3032E">
      <w:pPr>
        <w:rPr>
          <w:lang w:val="en-GB"/>
        </w:rPr>
      </w:pPr>
      <w:r w:rsidRPr="00517D55">
        <w:rPr>
          <w:lang w:val="en-GB"/>
        </w:rPr>
        <w:t>Making accurate oil and gas sector methane emissions estimates is difficult</w:t>
      </w:r>
      <w:r>
        <w:rPr>
          <w:lang w:val="en-GB"/>
        </w:rPr>
        <w:t>. Q</w:t>
      </w:r>
      <w:r w:rsidRPr="00517D55">
        <w:rPr>
          <w:lang w:val="en-GB"/>
        </w:rPr>
        <w:t xml:space="preserve">uantification cannot be based on emissions measurements alone, but requires the use of activity data (e.g. throughput of oil and gas) and corresponding emission factors, which should represent the average emissions per unit of the </w:t>
      </w:r>
      <w:r w:rsidR="005C0C1A">
        <w:rPr>
          <w:lang w:val="en-GB"/>
        </w:rPr>
        <w:t xml:space="preserve">selected </w:t>
      </w:r>
      <w:r w:rsidRPr="00517D55">
        <w:rPr>
          <w:lang w:val="en-GB"/>
        </w:rPr>
        <w:t xml:space="preserve">activity </w:t>
      </w:r>
      <w:r w:rsidR="005C0C1A">
        <w:rPr>
          <w:lang w:val="en-GB"/>
        </w:rPr>
        <w:t>data</w:t>
      </w:r>
      <w:r w:rsidRPr="00517D55">
        <w:rPr>
          <w:lang w:val="en-GB"/>
        </w:rPr>
        <w:t>. Unlike energy combustion CO</w:t>
      </w:r>
      <w:r w:rsidRPr="00517D55">
        <w:rPr>
          <w:vertAlign w:val="subscript"/>
          <w:lang w:val="en-GB"/>
        </w:rPr>
        <w:t>2</w:t>
      </w:r>
      <w:r w:rsidRPr="00517D55">
        <w:rPr>
          <w:lang w:val="en-GB"/>
        </w:rPr>
        <w:t xml:space="preserve"> emission factors, emission factors for methane vary greatly depending on a large number of factors, including the configuration of the oil and gas supply chain in question, the </w:t>
      </w:r>
      <w:r>
        <w:rPr>
          <w:lang w:val="en-GB"/>
        </w:rPr>
        <w:t xml:space="preserve">age and </w:t>
      </w:r>
      <w:r w:rsidRPr="00517D55">
        <w:rPr>
          <w:lang w:val="en-GB"/>
        </w:rPr>
        <w:t>technical standard of machinery and equipment</w:t>
      </w:r>
      <w:r>
        <w:rPr>
          <w:lang w:val="en-GB"/>
        </w:rPr>
        <w:t xml:space="preserve">, severity of operating conditions and maintenance and other </w:t>
      </w:r>
      <w:r w:rsidRPr="00517D55">
        <w:rPr>
          <w:lang w:val="en-GB"/>
        </w:rPr>
        <w:t xml:space="preserve">operational practices. The task of making reliable estimates is further complicated by the fact that methane originates from </w:t>
      </w:r>
      <w:r>
        <w:rPr>
          <w:lang w:val="en-GB"/>
        </w:rPr>
        <w:t xml:space="preserve">a vast number of </w:t>
      </w:r>
      <w:r w:rsidRPr="00517D55">
        <w:rPr>
          <w:lang w:val="en-GB"/>
        </w:rPr>
        <w:t>emission sources along the oil and gas value chain.</w:t>
      </w:r>
    </w:p>
    <w:p w14:paraId="22DF1382" w14:textId="77777777" w:rsidR="005C0C1A" w:rsidRDefault="00C3032E" w:rsidP="00C3032E">
      <w:pPr>
        <w:rPr>
          <w:lang w:val="en-GB"/>
        </w:rPr>
      </w:pPr>
      <w:r>
        <w:rPr>
          <w:lang w:val="en-GB"/>
        </w:rPr>
        <w:t xml:space="preserve">The quality of national methane emissions data depends on the availability of </w:t>
      </w:r>
      <w:r w:rsidR="003E7F47">
        <w:rPr>
          <w:lang w:val="en-GB"/>
        </w:rPr>
        <w:t>country-</w:t>
      </w:r>
      <w:r>
        <w:rPr>
          <w:lang w:val="en-GB"/>
        </w:rPr>
        <w:t xml:space="preserve">specific emission factors, coupled with detailed and reliable activity data. </w:t>
      </w:r>
    </w:p>
    <w:p w14:paraId="62FC2A28" w14:textId="03A39217" w:rsidR="00C3032E" w:rsidRDefault="005C0C1A" w:rsidP="00C3032E">
      <w:pPr>
        <w:rPr>
          <w:lang w:val="en-GB"/>
        </w:rPr>
      </w:pPr>
      <w:r>
        <w:rPr>
          <w:lang w:val="en-GB"/>
        </w:rPr>
        <w:t>T</w:t>
      </w:r>
      <w:r w:rsidRPr="005A08B9">
        <w:rPr>
          <w:lang w:val="en-GB"/>
        </w:rPr>
        <w:t>he Intergovernmental Panel on Climate Change (IPCC</w:t>
      </w:r>
      <w:r>
        <w:rPr>
          <w:lang w:val="en-GB"/>
        </w:rPr>
        <w:t xml:space="preserve">) has </w:t>
      </w:r>
      <w:r w:rsidR="00DA4275">
        <w:rPr>
          <w:lang w:val="en-GB"/>
        </w:rPr>
        <w:t>developed g</w:t>
      </w:r>
      <w:r w:rsidR="00C3032E" w:rsidRPr="005A08B9">
        <w:rPr>
          <w:lang w:val="en-GB"/>
        </w:rPr>
        <w:t xml:space="preserve">uidelines </w:t>
      </w:r>
      <w:r w:rsidR="00C3032E">
        <w:rPr>
          <w:lang w:val="en-GB"/>
        </w:rPr>
        <w:t>for preparing greenhouse</w:t>
      </w:r>
      <w:r w:rsidR="004C4E31">
        <w:rPr>
          <w:lang w:val="en-GB"/>
        </w:rPr>
        <w:t xml:space="preserve"> gas</w:t>
      </w:r>
      <w:r w:rsidR="00C3032E">
        <w:rPr>
          <w:lang w:val="en-GB"/>
        </w:rPr>
        <w:t xml:space="preserve"> (GHG) inventories </w:t>
      </w:r>
      <w:r w:rsidR="00DA4275">
        <w:rPr>
          <w:lang w:val="en-GB"/>
        </w:rPr>
        <w:t>(</w:t>
      </w:r>
      <w:r w:rsidR="00C3032E">
        <w:rPr>
          <w:lang w:val="en-GB"/>
        </w:rPr>
        <w:t>IPCC Guidelines</w:t>
      </w:r>
      <w:r w:rsidR="00C3032E" w:rsidRPr="005A08B9">
        <w:rPr>
          <w:lang w:val="en-GB"/>
        </w:rPr>
        <w:t>)</w:t>
      </w:r>
      <w:r w:rsidR="00DA4275">
        <w:rPr>
          <w:lang w:val="en-GB"/>
        </w:rPr>
        <w:t>.</w:t>
      </w:r>
      <w:r w:rsidR="00336988" w:rsidRPr="00336988">
        <w:rPr>
          <w:vertAlign w:val="superscript"/>
          <w:lang w:val="en-GB"/>
        </w:rPr>
        <w:t xml:space="preserve"> </w:t>
      </w:r>
      <w:r w:rsidR="00336988" w:rsidRPr="005A08B9">
        <w:rPr>
          <w:vertAlign w:val="superscript"/>
          <w:lang w:val="en-GB"/>
        </w:rPr>
        <w:footnoteReference w:id="13"/>
      </w:r>
      <w:r w:rsidR="00DA4275">
        <w:rPr>
          <w:lang w:val="en-GB"/>
        </w:rPr>
        <w:t xml:space="preserve"> The Guidelines </w:t>
      </w:r>
      <w:r w:rsidR="00C3032E">
        <w:rPr>
          <w:lang w:val="en-GB"/>
        </w:rPr>
        <w:t>distinguish</w:t>
      </w:r>
      <w:r w:rsidR="00DA4275">
        <w:rPr>
          <w:lang w:val="en-GB"/>
        </w:rPr>
        <w:t>es</w:t>
      </w:r>
      <w:r w:rsidR="00C3032E">
        <w:rPr>
          <w:lang w:val="en-GB"/>
        </w:rPr>
        <w:t xml:space="preserve"> between three levels for emissions calculations, with Tier 3 being the most rigours method of calculation and Tier 1 the simplest, see Box 2-1. The</w:t>
      </w:r>
      <w:r w:rsidR="00DA4275">
        <w:rPr>
          <w:lang w:val="en-GB"/>
        </w:rPr>
        <w:t xml:space="preserve">y </w:t>
      </w:r>
      <w:r w:rsidR="00204D12">
        <w:rPr>
          <w:lang w:val="en-GB"/>
        </w:rPr>
        <w:t xml:space="preserve">are </w:t>
      </w:r>
      <w:r w:rsidR="00C3032E">
        <w:rPr>
          <w:lang w:val="en-GB"/>
        </w:rPr>
        <w:t xml:space="preserve">the basis for preparing and reporting national GHG inventories to the UNFCCC. </w:t>
      </w:r>
    </w:p>
    <w:p w14:paraId="35283886" w14:textId="77777777" w:rsidR="006C76B7" w:rsidRDefault="006C76B7" w:rsidP="00C3032E">
      <w:pPr>
        <w:rPr>
          <w:lang w:val="en-GB"/>
        </w:rPr>
      </w:pPr>
    </w:p>
    <w:tbl>
      <w:tblPr>
        <w:tblStyle w:val="TableGrid"/>
        <w:tblW w:w="0" w:type="auto"/>
        <w:shd w:val="clear" w:color="auto" w:fill="F2F2F2" w:themeFill="background1" w:themeFillShade="F2"/>
        <w:tblLook w:val="04A0" w:firstRow="1" w:lastRow="0" w:firstColumn="1" w:lastColumn="0" w:noHBand="0" w:noVBand="1"/>
      </w:tblPr>
      <w:tblGrid>
        <w:gridCol w:w="9089"/>
      </w:tblGrid>
      <w:tr w:rsidR="00C3032E" w:rsidRPr="00104E87" w14:paraId="221A4A8D" w14:textId="77777777" w:rsidTr="00C84AF3">
        <w:tc>
          <w:tcPr>
            <w:tcW w:w="9239" w:type="dxa"/>
            <w:shd w:val="clear" w:color="auto" w:fill="F2F2F2" w:themeFill="background1" w:themeFillShade="F2"/>
          </w:tcPr>
          <w:p w14:paraId="7EEA28C1" w14:textId="77777777" w:rsidR="00C3032E" w:rsidRPr="00D37EE0" w:rsidRDefault="00C3032E" w:rsidP="00C84AF3">
            <w:pPr>
              <w:shd w:val="clear" w:color="auto" w:fill="F2F2F2" w:themeFill="background1" w:themeFillShade="F2"/>
              <w:spacing w:before="60" w:after="0"/>
              <w:rPr>
                <w:b/>
                <w:sz w:val="18"/>
                <w:szCs w:val="18"/>
                <w:lang w:val="en-US"/>
              </w:rPr>
            </w:pPr>
            <w:r w:rsidRPr="00D37EE0">
              <w:rPr>
                <w:b/>
                <w:sz w:val="18"/>
                <w:szCs w:val="18"/>
                <w:lang w:val="en-US"/>
              </w:rPr>
              <w:t>Box 2</w:t>
            </w:r>
            <w:r>
              <w:rPr>
                <w:b/>
                <w:sz w:val="18"/>
                <w:szCs w:val="18"/>
                <w:lang w:val="en-US"/>
              </w:rPr>
              <w:t>-1</w:t>
            </w:r>
            <w:r w:rsidRPr="00D37EE0">
              <w:rPr>
                <w:b/>
                <w:sz w:val="18"/>
                <w:szCs w:val="18"/>
                <w:lang w:val="en-US"/>
              </w:rPr>
              <w:t xml:space="preserve"> </w:t>
            </w:r>
            <w:r>
              <w:rPr>
                <w:b/>
                <w:sz w:val="18"/>
                <w:szCs w:val="18"/>
                <w:lang w:val="en-US"/>
              </w:rPr>
              <w:t xml:space="preserve">Tree tiers for emissions calculations according to IPCCC Guidelines  </w:t>
            </w:r>
          </w:p>
          <w:p w14:paraId="782A675A" w14:textId="77777777" w:rsidR="00C3032E" w:rsidRPr="00703DA0" w:rsidRDefault="00C3032E" w:rsidP="00C84AF3">
            <w:pPr>
              <w:spacing w:before="60" w:after="0"/>
              <w:rPr>
                <w:sz w:val="18"/>
                <w:szCs w:val="18"/>
                <w:lang w:val="en-GB"/>
              </w:rPr>
            </w:pPr>
            <w:r w:rsidRPr="00703DA0">
              <w:rPr>
                <w:sz w:val="18"/>
                <w:szCs w:val="18"/>
                <w:lang w:val="en-GB"/>
              </w:rPr>
              <w:t>The IPCC Guidelines include</w:t>
            </w:r>
            <w:r w:rsidR="005F128C" w:rsidRPr="00703DA0">
              <w:rPr>
                <w:sz w:val="18"/>
                <w:szCs w:val="18"/>
                <w:lang w:val="en-GB"/>
              </w:rPr>
              <w:t xml:space="preserve"> methods for quantifying emis</w:t>
            </w:r>
            <w:r w:rsidR="00DA4275" w:rsidRPr="00703DA0">
              <w:rPr>
                <w:sz w:val="18"/>
                <w:szCs w:val="18"/>
                <w:lang w:val="en-GB"/>
              </w:rPr>
              <w:t>s</w:t>
            </w:r>
            <w:r w:rsidR="005F128C" w:rsidRPr="00703DA0">
              <w:rPr>
                <w:sz w:val="18"/>
                <w:szCs w:val="18"/>
                <w:lang w:val="en-GB"/>
              </w:rPr>
              <w:t xml:space="preserve">ions.  </w:t>
            </w:r>
            <w:r w:rsidRPr="00703DA0">
              <w:rPr>
                <w:sz w:val="18"/>
                <w:szCs w:val="18"/>
                <w:lang w:val="en-GB"/>
              </w:rPr>
              <w:t>Typically, estimates are made using the following equation (according to so-called Tier 1 and 2 methods</w:t>
            </w:r>
            <w:r w:rsidRPr="00703DA0">
              <w:rPr>
                <w:rStyle w:val="FootnoteReference"/>
                <w:sz w:val="18"/>
                <w:szCs w:val="18"/>
                <w:lang w:val="en-GB"/>
              </w:rPr>
              <w:footnoteRef/>
            </w:r>
            <w:r w:rsidRPr="00703DA0">
              <w:rPr>
                <w:sz w:val="18"/>
                <w:szCs w:val="18"/>
                <w:lang w:val="en-GB"/>
              </w:rPr>
              <w:t>):</w:t>
            </w:r>
          </w:p>
          <w:p w14:paraId="0DCBCFA0" w14:textId="77777777" w:rsidR="00C3032E" w:rsidRPr="00703DA0" w:rsidRDefault="00C3032E" w:rsidP="00C84AF3">
            <w:pPr>
              <w:spacing w:before="60" w:after="0"/>
              <w:rPr>
                <w:sz w:val="18"/>
                <w:szCs w:val="18"/>
                <w:lang w:val="en-GB"/>
              </w:rPr>
            </w:pPr>
            <w:r w:rsidRPr="00703DA0">
              <w:rPr>
                <w:sz w:val="18"/>
                <w:szCs w:val="18"/>
                <w:lang w:val="en-GB"/>
              </w:rPr>
              <w:t xml:space="preserve">E </w:t>
            </w:r>
            <w:r w:rsidRPr="00703DA0">
              <w:rPr>
                <w:sz w:val="18"/>
                <w:szCs w:val="18"/>
                <w:vertAlign w:val="subscript"/>
                <w:lang w:val="en-GB"/>
              </w:rPr>
              <w:t xml:space="preserve">methane, industry segment </w:t>
            </w:r>
            <w:r w:rsidRPr="00703DA0">
              <w:rPr>
                <w:sz w:val="18"/>
                <w:szCs w:val="18"/>
                <w:lang w:val="en-GB"/>
              </w:rPr>
              <w:t xml:space="preserve">= A </w:t>
            </w:r>
            <w:r w:rsidRPr="00703DA0">
              <w:rPr>
                <w:sz w:val="18"/>
                <w:szCs w:val="18"/>
                <w:vertAlign w:val="subscript"/>
                <w:lang w:val="en-GB"/>
              </w:rPr>
              <w:t xml:space="preserve">industry segment </w:t>
            </w:r>
            <w:r w:rsidRPr="00703DA0">
              <w:rPr>
                <w:rFonts w:cstheme="minorHAnsi"/>
                <w:sz w:val="18"/>
                <w:szCs w:val="18"/>
                <w:lang w:val="en-GB"/>
              </w:rPr>
              <w:t>•</w:t>
            </w:r>
            <w:r w:rsidRPr="00703DA0">
              <w:rPr>
                <w:rFonts w:cstheme="minorHAnsi"/>
                <w:sz w:val="18"/>
                <w:szCs w:val="18"/>
                <w:vertAlign w:val="subscript"/>
                <w:lang w:val="en-GB"/>
              </w:rPr>
              <w:t xml:space="preserve"> </w:t>
            </w:r>
            <w:r w:rsidRPr="00703DA0">
              <w:rPr>
                <w:rFonts w:cstheme="minorHAnsi"/>
                <w:sz w:val="18"/>
                <w:szCs w:val="18"/>
                <w:lang w:val="en-GB"/>
              </w:rPr>
              <w:t xml:space="preserve">EF </w:t>
            </w:r>
            <w:r w:rsidRPr="00703DA0">
              <w:rPr>
                <w:sz w:val="18"/>
                <w:szCs w:val="18"/>
                <w:vertAlign w:val="subscript"/>
                <w:lang w:val="en-GB"/>
              </w:rPr>
              <w:t xml:space="preserve">methane, industry segment </w:t>
            </w:r>
          </w:p>
          <w:p w14:paraId="5EE8DE34" w14:textId="77777777" w:rsidR="00C3032E" w:rsidRPr="00703DA0" w:rsidRDefault="00C3032E" w:rsidP="00C84AF3">
            <w:pPr>
              <w:spacing w:before="60" w:after="0"/>
              <w:rPr>
                <w:sz w:val="18"/>
                <w:szCs w:val="18"/>
                <w:lang w:val="en-GB"/>
              </w:rPr>
            </w:pPr>
            <w:r w:rsidRPr="00703DA0">
              <w:rPr>
                <w:sz w:val="18"/>
                <w:szCs w:val="18"/>
                <w:lang w:val="en-GB"/>
              </w:rPr>
              <w:t xml:space="preserve">Where: </w:t>
            </w:r>
          </w:p>
          <w:p w14:paraId="26A149C2" w14:textId="77777777" w:rsidR="00C3032E" w:rsidRPr="00703DA0" w:rsidRDefault="00C3032E" w:rsidP="00C84AF3">
            <w:pPr>
              <w:spacing w:before="60" w:after="0"/>
              <w:ind w:left="2124" w:hanging="2124"/>
              <w:rPr>
                <w:sz w:val="18"/>
                <w:szCs w:val="18"/>
                <w:lang w:val="en-GB"/>
              </w:rPr>
            </w:pPr>
            <w:r w:rsidRPr="00703DA0">
              <w:rPr>
                <w:sz w:val="18"/>
                <w:szCs w:val="18"/>
                <w:lang w:val="en-GB"/>
              </w:rPr>
              <w:t xml:space="preserve">E </w:t>
            </w:r>
            <w:r w:rsidRPr="00703DA0">
              <w:rPr>
                <w:sz w:val="18"/>
                <w:szCs w:val="18"/>
                <w:vertAlign w:val="subscript"/>
                <w:lang w:val="en-GB"/>
              </w:rPr>
              <w:t xml:space="preserve">methane, industry segment  </w:t>
            </w:r>
            <w:r w:rsidRPr="00703DA0">
              <w:rPr>
                <w:sz w:val="18"/>
                <w:szCs w:val="18"/>
                <w:vertAlign w:val="subscript"/>
                <w:lang w:val="en-GB"/>
              </w:rPr>
              <w:tab/>
            </w:r>
            <w:r w:rsidRPr="00703DA0">
              <w:rPr>
                <w:sz w:val="18"/>
                <w:szCs w:val="18"/>
                <w:lang w:val="en-GB"/>
              </w:rPr>
              <w:t xml:space="preserve">are the annual emissions of methane (tonnes) for specific segment of the </w:t>
            </w:r>
            <w:r w:rsidR="00DA4275" w:rsidRPr="00703DA0">
              <w:rPr>
                <w:sz w:val="18"/>
                <w:szCs w:val="18"/>
                <w:lang w:val="en-GB"/>
              </w:rPr>
              <w:t>Oil and Gas System</w:t>
            </w:r>
            <w:r w:rsidR="00775532" w:rsidRPr="00703DA0">
              <w:rPr>
                <w:rStyle w:val="FootnoteReference"/>
                <w:sz w:val="18"/>
                <w:szCs w:val="18"/>
                <w:lang w:val="en-GB"/>
              </w:rPr>
              <w:footnoteReference w:id="14"/>
            </w:r>
            <w:r w:rsidRPr="00703DA0">
              <w:rPr>
                <w:sz w:val="18"/>
                <w:szCs w:val="18"/>
                <w:lang w:val="en-GB"/>
              </w:rPr>
              <w:t xml:space="preserve"> </w:t>
            </w:r>
          </w:p>
          <w:p w14:paraId="14975B4A" w14:textId="77777777" w:rsidR="00C3032E" w:rsidRPr="00703DA0" w:rsidRDefault="00C3032E" w:rsidP="00C84AF3">
            <w:pPr>
              <w:spacing w:before="60" w:after="0"/>
              <w:ind w:left="2124" w:hanging="2124"/>
              <w:rPr>
                <w:sz w:val="18"/>
                <w:szCs w:val="18"/>
                <w:lang w:val="en-GB"/>
              </w:rPr>
            </w:pPr>
            <w:proofErr w:type="spellStart"/>
            <w:r w:rsidRPr="00703DA0">
              <w:rPr>
                <w:sz w:val="18"/>
                <w:szCs w:val="18"/>
                <w:lang w:val="en-GB"/>
              </w:rPr>
              <w:t>A</w:t>
            </w:r>
            <w:proofErr w:type="spellEnd"/>
            <w:r w:rsidRPr="00703DA0">
              <w:rPr>
                <w:sz w:val="18"/>
                <w:szCs w:val="18"/>
                <w:lang w:val="en-GB"/>
              </w:rPr>
              <w:t xml:space="preserve"> </w:t>
            </w:r>
            <w:r w:rsidRPr="00703DA0">
              <w:rPr>
                <w:sz w:val="18"/>
                <w:szCs w:val="18"/>
                <w:vertAlign w:val="subscript"/>
                <w:lang w:val="en-GB"/>
              </w:rPr>
              <w:t>industry segment</w:t>
            </w:r>
            <w:r w:rsidRPr="00703DA0">
              <w:rPr>
                <w:sz w:val="18"/>
                <w:szCs w:val="18"/>
                <w:vertAlign w:val="subscript"/>
                <w:lang w:val="en-GB"/>
              </w:rPr>
              <w:tab/>
            </w:r>
            <w:r w:rsidRPr="00703DA0">
              <w:rPr>
                <w:sz w:val="18"/>
                <w:szCs w:val="18"/>
                <w:lang w:val="en-GB"/>
              </w:rPr>
              <w:t xml:space="preserve">is an activity value for the specific segment. Activity data would typically be throughput of oil and gas which represent emission sources (see Table x below) </w:t>
            </w:r>
          </w:p>
          <w:p w14:paraId="0D95E81F" w14:textId="77777777" w:rsidR="00C3032E" w:rsidRPr="00703DA0" w:rsidRDefault="00C3032E" w:rsidP="00C84AF3">
            <w:pPr>
              <w:spacing w:before="60" w:after="0"/>
              <w:ind w:left="2124" w:hanging="2124"/>
              <w:rPr>
                <w:b/>
                <w:sz w:val="18"/>
                <w:szCs w:val="18"/>
                <w:lang w:val="en-GB"/>
              </w:rPr>
            </w:pPr>
            <w:r w:rsidRPr="00703DA0">
              <w:rPr>
                <w:rFonts w:cstheme="minorHAnsi"/>
                <w:sz w:val="18"/>
                <w:szCs w:val="18"/>
                <w:lang w:val="en-GB"/>
              </w:rPr>
              <w:t xml:space="preserve">EF </w:t>
            </w:r>
            <w:r w:rsidRPr="00703DA0">
              <w:rPr>
                <w:sz w:val="18"/>
                <w:szCs w:val="18"/>
                <w:vertAlign w:val="subscript"/>
                <w:lang w:val="en-GB"/>
              </w:rPr>
              <w:t>methane, industry segment</w:t>
            </w:r>
            <w:r w:rsidRPr="00703DA0">
              <w:rPr>
                <w:sz w:val="18"/>
                <w:szCs w:val="18"/>
                <w:vertAlign w:val="subscript"/>
                <w:lang w:val="en-GB"/>
              </w:rPr>
              <w:tab/>
            </w:r>
            <w:r w:rsidRPr="00703DA0">
              <w:rPr>
                <w:sz w:val="18"/>
                <w:szCs w:val="18"/>
                <w:lang w:val="en-GB"/>
              </w:rPr>
              <w:t xml:space="preserve">is the emission factor (emissions per unit of activity for the segment) </w:t>
            </w:r>
          </w:p>
          <w:p w14:paraId="4AF6B69E" w14:textId="77777777" w:rsidR="00DA4275" w:rsidRPr="00703DA0" w:rsidRDefault="00DA4275" w:rsidP="00C84AF3">
            <w:pPr>
              <w:spacing w:before="60" w:after="0"/>
              <w:rPr>
                <w:sz w:val="18"/>
                <w:szCs w:val="18"/>
                <w:lang w:val="en-GB"/>
              </w:rPr>
            </w:pPr>
            <w:r w:rsidRPr="00703DA0">
              <w:rPr>
                <w:sz w:val="18"/>
                <w:szCs w:val="18"/>
                <w:lang w:val="en-GB"/>
              </w:rPr>
              <w:t xml:space="preserve">For example, calculation of emissions from </w:t>
            </w:r>
            <w:r w:rsidR="00EC787A" w:rsidRPr="00703DA0">
              <w:rPr>
                <w:sz w:val="18"/>
                <w:szCs w:val="18"/>
                <w:lang w:val="en-GB"/>
              </w:rPr>
              <w:t xml:space="preserve">the gas production </w:t>
            </w:r>
            <w:r w:rsidRPr="00703DA0">
              <w:rPr>
                <w:sz w:val="18"/>
                <w:szCs w:val="18"/>
                <w:lang w:val="en-GB"/>
              </w:rPr>
              <w:t>segment</w:t>
            </w:r>
            <w:r w:rsidR="00EC787A" w:rsidRPr="00703DA0">
              <w:rPr>
                <w:sz w:val="18"/>
                <w:szCs w:val="18"/>
                <w:lang w:val="en-GB"/>
              </w:rPr>
              <w:t xml:space="preserve"> can be calculated using an emissions factor per unit gas produced in Sm</w:t>
            </w:r>
            <w:r w:rsidR="00EC787A" w:rsidRPr="00703DA0">
              <w:rPr>
                <w:sz w:val="18"/>
                <w:szCs w:val="18"/>
                <w:vertAlign w:val="superscript"/>
                <w:lang w:val="en-GB"/>
              </w:rPr>
              <w:t>3</w:t>
            </w:r>
            <w:r w:rsidR="00EC787A" w:rsidRPr="00703DA0">
              <w:rPr>
                <w:sz w:val="18"/>
                <w:szCs w:val="18"/>
                <w:lang w:val="en-GB"/>
              </w:rPr>
              <w:t xml:space="preserve"> multiplied by the volume of gas produced for the period in question (e.g. one calendar year)</w:t>
            </w:r>
          </w:p>
          <w:p w14:paraId="75C89E91" w14:textId="77777777" w:rsidR="00C3032E" w:rsidRPr="00703DA0" w:rsidRDefault="00C3032E" w:rsidP="00703DA0">
            <w:pPr>
              <w:spacing w:before="120" w:after="0" w:line="276" w:lineRule="auto"/>
              <w:rPr>
                <w:sz w:val="18"/>
                <w:szCs w:val="18"/>
                <w:lang w:val="en-GB"/>
              </w:rPr>
            </w:pPr>
            <w:r w:rsidRPr="00703DA0">
              <w:rPr>
                <w:sz w:val="18"/>
                <w:szCs w:val="18"/>
                <w:lang w:val="en-GB"/>
              </w:rPr>
              <w:t>The disaggregation of industry segments is an important factor for the accuracy of emissions estimates, which again is determined by the availability of reliable data. Consequently, the IPCC Guidelines distinguish between three levels, or tiers, for calculation of emissions:</w:t>
            </w:r>
          </w:p>
          <w:p w14:paraId="2C781258" w14:textId="77777777" w:rsidR="00C3032E" w:rsidRPr="00703DA0" w:rsidRDefault="00C3032E" w:rsidP="00703DA0">
            <w:pPr>
              <w:spacing w:before="120" w:after="0" w:line="276" w:lineRule="auto"/>
              <w:rPr>
                <w:sz w:val="18"/>
                <w:szCs w:val="18"/>
                <w:lang w:val="en-GB"/>
              </w:rPr>
            </w:pPr>
            <w:r w:rsidRPr="00703DA0">
              <w:rPr>
                <w:b/>
                <w:sz w:val="18"/>
                <w:szCs w:val="18"/>
                <w:lang w:val="en-GB"/>
              </w:rPr>
              <w:t>Tier 1:</w:t>
            </w:r>
            <w:r w:rsidRPr="00703DA0">
              <w:rPr>
                <w:sz w:val="18"/>
                <w:szCs w:val="18"/>
                <w:lang w:val="en-GB"/>
              </w:rPr>
              <w:t xml:space="preserve">  The simplest method with the use of relatively aggregate </w:t>
            </w:r>
            <w:r w:rsidR="005F128C" w:rsidRPr="00703DA0">
              <w:rPr>
                <w:sz w:val="18"/>
                <w:szCs w:val="18"/>
                <w:lang w:val="en-GB"/>
              </w:rPr>
              <w:t xml:space="preserve">and usually readily available </w:t>
            </w:r>
            <w:r w:rsidRPr="00703DA0">
              <w:rPr>
                <w:sz w:val="18"/>
                <w:szCs w:val="18"/>
                <w:lang w:val="en-GB"/>
              </w:rPr>
              <w:t xml:space="preserve">activity variables and with default emission factors for the activity variable chosen. Default emission factors for a set of activity data are listed in the IPCC Guidelines.  </w:t>
            </w:r>
          </w:p>
          <w:p w14:paraId="15648294" w14:textId="1EAF67AB" w:rsidR="00C3032E" w:rsidRPr="00703DA0" w:rsidRDefault="00C3032E" w:rsidP="00703DA0">
            <w:pPr>
              <w:spacing w:before="120" w:after="0" w:line="276" w:lineRule="auto"/>
              <w:rPr>
                <w:sz w:val="18"/>
                <w:szCs w:val="18"/>
                <w:lang w:val="en-GB"/>
              </w:rPr>
            </w:pPr>
            <w:r w:rsidRPr="00703DA0">
              <w:rPr>
                <w:b/>
                <w:sz w:val="18"/>
                <w:szCs w:val="18"/>
                <w:lang w:val="en-GB"/>
              </w:rPr>
              <w:t>Tier 2:</w:t>
            </w:r>
            <w:r w:rsidRPr="00703DA0">
              <w:rPr>
                <w:sz w:val="18"/>
                <w:szCs w:val="18"/>
                <w:lang w:val="en-GB"/>
              </w:rPr>
              <w:t xml:space="preserve"> Similar specification for the level of activity data as for Tier, 1 but with emission factors which are specific to the country, </w:t>
            </w:r>
            <w:r w:rsidR="005F128C" w:rsidRPr="00703DA0">
              <w:rPr>
                <w:sz w:val="18"/>
                <w:szCs w:val="18"/>
                <w:lang w:val="en-GB"/>
              </w:rPr>
              <w:t>e.g.,</w:t>
            </w:r>
            <w:r w:rsidRPr="00703DA0">
              <w:rPr>
                <w:sz w:val="18"/>
                <w:szCs w:val="18"/>
                <w:lang w:val="en-GB"/>
              </w:rPr>
              <w:t xml:space="preserve"> based on national measurements and analysis.</w:t>
            </w:r>
          </w:p>
          <w:p w14:paraId="4BF21B9E" w14:textId="77777777" w:rsidR="00C3032E" w:rsidRPr="007118A8" w:rsidRDefault="00C3032E" w:rsidP="00703DA0">
            <w:pPr>
              <w:spacing w:before="120" w:line="276" w:lineRule="auto"/>
              <w:rPr>
                <w:lang w:val="en-US"/>
              </w:rPr>
            </w:pPr>
            <w:r w:rsidRPr="00703DA0">
              <w:rPr>
                <w:b/>
                <w:sz w:val="18"/>
                <w:szCs w:val="18"/>
                <w:lang w:val="en-GB"/>
              </w:rPr>
              <w:t>Tier 3:</w:t>
            </w:r>
            <w:r w:rsidRPr="00703DA0">
              <w:rPr>
                <w:sz w:val="18"/>
                <w:szCs w:val="18"/>
                <w:lang w:val="en-GB"/>
              </w:rPr>
              <w:t xml:space="preserve"> The most detailed approach based on a rigorous bottom up assessment at the facility level, involving identification of equipment-specific emission sources, count of equipment units, measurement of emission rates per equipment type, etc.</w:t>
            </w:r>
          </w:p>
        </w:tc>
      </w:tr>
    </w:tbl>
    <w:p w14:paraId="79887954" w14:textId="77777777" w:rsidR="006C76B7" w:rsidRDefault="006C76B7" w:rsidP="00851A79">
      <w:pPr>
        <w:rPr>
          <w:lang w:val="en-GB"/>
        </w:rPr>
      </w:pPr>
    </w:p>
    <w:p w14:paraId="63C7C4D3" w14:textId="5285FEB0" w:rsidR="00851A79" w:rsidRDefault="00C3032E" w:rsidP="00851A79">
      <w:pPr>
        <w:rPr>
          <w:lang w:val="en-GB"/>
        </w:rPr>
      </w:pPr>
      <w:r w:rsidRPr="005A08B9">
        <w:rPr>
          <w:lang w:val="en-GB"/>
        </w:rPr>
        <w:t xml:space="preserve">Currently, </w:t>
      </w:r>
      <w:r>
        <w:rPr>
          <w:lang w:val="en-GB"/>
        </w:rPr>
        <w:t xml:space="preserve">most </w:t>
      </w:r>
      <w:r w:rsidRPr="005A08B9">
        <w:rPr>
          <w:lang w:val="en-GB"/>
        </w:rPr>
        <w:t xml:space="preserve">ECE </w:t>
      </w:r>
      <w:r>
        <w:rPr>
          <w:lang w:val="en-GB"/>
        </w:rPr>
        <w:t xml:space="preserve">member states use the </w:t>
      </w:r>
      <w:r w:rsidRPr="005A08B9">
        <w:rPr>
          <w:lang w:val="en-GB"/>
        </w:rPr>
        <w:t xml:space="preserve">Tier 1 method (see Table </w:t>
      </w:r>
      <w:r>
        <w:rPr>
          <w:lang w:val="en-GB"/>
        </w:rPr>
        <w:t>2.1</w:t>
      </w:r>
      <w:r w:rsidRPr="005A08B9">
        <w:rPr>
          <w:lang w:val="en-GB"/>
        </w:rPr>
        <w:t>), resulting in high uncertainties in the current estimates. Only the United States</w:t>
      </w:r>
      <w:r>
        <w:rPr>
          <w:lang w:val="en-GB"/>
        </w:rPr>
        <w:t xml:space="preserve">, </w:t>
      </w:r>
      <w:r w:rsidRPr="005A08B9">
        <w:rPr>
          <w:lang w:val="en-GB"/>
        </w:rPr>
        <w:t>Canada</w:t>
      </w:r>
      <w:r>
        <w:rPr>
          <w:lang w:val="en-GB"/>
        </w:rPr>
        <w:t xml:space="preserve">, Norway and some countries in the European Union </w:t>
      </w:r>
      <w:r w:rsidRPr="005A08B9">
        <w:rPr>
          <w:lang w:val="en-GB"/>
        </w:rPr>
        <w:t>use Tier</w:t>
      </w:r>
      <w:r w:rsidR="005F128C">
        <w:rPr>
          <w:lang w:val="en-GB"/>
        </w:rPr>
        <w:t>s 2 or</w:t>
      </w:r>
      <w:r w:rsidRPr="005A08B9">
        <w:rPr>
          <w:lang w:val="en-GB"/>
        </w:rPr>
        <w:t xml:space="preserve"> 3 for all segments</w:t>
      </w:r>
      <w:r>
        <w:rPr>
          <w:lang w:val="en-GB"/>
        </w:rPr>
        <w:t xml:space="preserve"> of the Oil and Natural Gas Systems</w:t>
      </w:r>
      <w:r w:rsidRPr="005A08B9">
        <w:rPr>
          <w:lang w:val="en-GB"/>
        </w:rPr>
        <w:t xml:space="preserve">. Russia is </w:t>
      </w:r>
      <w:r w:rsidRPr="005A08B9">
        <w:rPr>
          <w:lang w:val="en-GB"/>
        </w:rPr>
        <w:lastRenderedPageBreak/>
        <w:t xml:space="preserve">moving towards the use of country specific emission factors (Tier 2), while Uzbekistan, Ukraine, Azerbaijan and Kazakhstan all apply Tier 1 methods. The countries listed in Table </w:t>
      </w:r>
      <w:r>
        <w:rPr>
          <w:lang w:val="en-GB"/>
        </w:rPr>
        <w:t xml:space="preserve">2.1 account for almost </w:t>
      </w:r>
      <w:r w:rsidRPr="005A08B9">
        <w:rPr>
          <w:lang w:val="en-GB"/>
        </w:rPr>
        <w:t xml:space="preserve">half </w:t>
      </w:r>
      <w:r>
        <w:rPr>
          <w:lang w:val="en-GB"/>
        </w:rPr>
        <w:t xml:space="preserve">of </w:t>
      </w:r>
      <w:r w:rsidRPr="005A08B9">
        <w:rPr>
          <w:lang w:val="en-GB"/>
        </w:rPr>
        <w:t xml:space="preserve">global </w:t>
      </w:r>
      <w:r>
        <w:rPr>
          <w:lang w:val="en-GB"/>
        </w:rPr>
        <w:t>oil and gas sector methane emissions.</w:t>
      </w:r>
      <w:r w:rsidR="00851A79" w:rsidRPr="00851A79">
        <w:rPr>
          <w:lang w:val="en-GB"/>
        </w:rPr>
        <w:t xml:space="preserve"> </w:t>
      </w:r>
    </w:p>
    <w:p w14:paraId="5EACD5F6" w14:textId="77777777" w:rsidR="006C76B7" w:rsidRDefault="006C76B7" w:rsidP="00C3032E">
      <w:pPr>
        <w:pStyle w:val="Caption"/>
        <w:rPr>
          <w:lang w:val="en-GB"/>
        </w:rPr>
      </w:pPr>
    </w:p>
    <w:p w14:paraId="01D6B32A" w14:textId="7CCCFA57" w:rsidR="00C3032E" w:rsidRPr="00422A31" w:rsidRDefault="00C3032E" w:rsidP="00C3032E">
      <w:pPr>
        <w:pStyle w:val="Caption"/>
        <w:rPr>
          <w:lang w:val="en-GB"/>
        </w:rPr>
      </w:pPr>
      <w:r w:rsidRPr="00422A31">
        <w:rPr>
          <w:lang w:val="en-GB"/>
        </w:rPr>
        <w:t xml:space="preserve">Table </w:t>
      </w:r>
      <w:r>
        <w:rPr>
          <w:lang w:val="en-GB"/>
        </w:rPr>
        <w:t>2</w:t>
      </w:r>
      <w:r w:rsidRPr="00422A31">
        <w:rPr>
          <w:lang w:val="en-GB"/>
        </w:rPr>
        <w:t xml:space="preserve">.1 Reporting of national methane emissions inventory data to the UNFCCC by selected ECE countries  </w:t>
      </w:r>
    </w:p>
    <w:tbl>
      <w:tblPr>
        <w:tblStyle w:val="TableGrid"/>
        <w:tblW w:w="9355" w:type="dxa"/>
        <w:tblLook w:val="04A0" w:firstRow="1" w:lastRow="0" w:firstColumn="1" w:lastColumn="0" w:noHBand="0" w:noVBand="1"/>
      </w:tblPr>
      <w:tblGrid>
        <w:gridCol w:w="1307"/>
        <w:gridCol w:w="928"/>
        <w:gridCol w:w="708"/>
        <w:gridCol w:w="1985"/>
        <w:gridCol w:w="4427"/>
      </w:tblGrid>
      <w:tr w:rsidR="00C3032E" w:rsidRPr="00E33AC5" w14:paraId="0A213CB3" w14:textId="77777777" w:rsidTr="00C84AF3">
        <w:tc>
          <w:tcPr>
            <w:tcW w:w="1307" w:type="dxa"/>
            <w:shd w:val="clear" w:color="auto" w:fill="A2E9C7" w:themeFill="text2" w:themeFillTint="66"/>
          </w:tcPr>
          <w:p w14:paraId="24A403F0" w14:textId="77777777" w:rsidR="00C3032E" w:rsidRPr="005A08B9" w:rsidRDefault="00C3032E" w:rsidP="00C84AF3">
            <w:pPr>
              <w:spacing w:after="0"/>
              <w:rPr>
                <w:sz w:val="18"/>
                <w:szCs w:val="18"/>
                <w:lang w:val="en-GB"/>
              </w:rPr>
            </w:pPr>
            <w:r w:rsidRPr="005A08B9">
              <w:rPr>
                <w:sz w:val="18"/>
                <w:szCs w:val="18"/>
                <w:lang w:val="en-GB"/>
              </w:rPr>
              <w:t xml:space="preserve">Country </w:t>
            </w:r>
          </w:p>
        </w:tc>
        <w:tc>
          <w:tcPr>
            <w:tcW w:w="928" w:type="dxa"/>
            <w:shd w:val="clear" w:color="auto" w:fill="A2E9C7" w:themeFill="text2" w:themeFillTint="66"/>
          </w:tcPr>
          <w:p w14:paraId="4337D213" w14:textId="77777777" w:rsidR="00C3032E" w:rsidRPr="005A08B9" w:rsidRDefault="00C3032E" w:rsidP="00C84AF3">
            <w:pPr>
              <w:spacing w:after="0"/>
              <w:rPr>
                <w:sz w:val="18"/>
                <w:szCs w:val="18"/>
                <w:lang w:val="en-GB"/>
              </w:rPr>
            </w:pPr>
            <w:r w:rsidRPr="005A08B9">
              <w:rPr>
                <w:sz w:val="18"/>
                <w:szCs w:val="18"/>
                <w:lang w:val="en-GB"/>
              </w:rPr>
              <w:t>Mt CH</w:t>
            </w:r>
            <w:r w:rsidRPr="005A08B9">
              <w:rPr>
                <w:sz w:val="18"/>
                <w:szCs w:val="18"/>
                <w:vertAlign w:val="subscript"/>
                <w:lang w:val="en-GB"/>
              </w:rPr>
              <w:t>4</w:t>
            </w:r>
          </w:p>
        </w:tc>
        <w:tc>
          <w:tcPr>
            <w:tcW w:w="708" w:type="dxa"/>
            <w:shd w:val="clear" w:color="auto" w:fill="A2E9C7" w:themeFill="text2" w:themeFillTint="66"/>
          </w:tcPr>
          <w:p w14:paraId="4F83031C" w14:textId="77777777" w:rsidR="00C3032E" w:rsidRPr="005A08B9" w:rsidRDefault="00C3032E" w:rsidP="00C84AF3">
            <w:pPr>
              <w:spacing w:after="0"/>
              <w:rPr>
                <w:sz w:val="18"/>
                <w:szCs w:val="18"/>
                <w:lang w:val="en-GB"/>
              </w:rPr>
            </w:pPr>
            <w:r w:rsidRPr="005A08B9">
              <w:rPr>
                <w:sz w:val="18"/>
                <w:szCs w:val="18"/>
                <w:lang w:val="en-GB"/>
              </w:rPr>
              <w:t xml:space="preserve">Year </w:t>
            </w:r>
          </w:p>
        </w:tc>
        <w:tc>
          <w:tcPr>
            <w:tcW w:w="1985" w:type="dxa"/>
            <w:shd w:val="clear" w:color="auto" w:fill="A2E9C7" w:themeFill="text2" w:themeFillTint="66"/>
          </w:tcPr>
          <w:p w14:paraId="701B2BB3" w14:textId="77777777" w:rsidR="00C3032E" w:rsidRPr="005A08B9" w:rsidRDefault="00C3032E" w:rsidP="00C84AF3">
            <w:pPr>
              <w:spacing w:after="0"/>
              <w:rPr>
                <w:sz w:val="18"/>
                <w:szCs w:val="18"/>
                <w:lang w:val="en-GB"/>
              </w:rPr>
            </w:pPr>
            <w:r w:rsidRPr="005A08B9">
              <w:rPr>
                <w:sz w:val="18"/>
                <w:szCs w:val="18"/>
                <w:lang w:val="en-GB"/>
              </w:rPr>
              <w:t xml:space="preserve">Latest submission(*) </w:t>
            </w:r>
          </w:p>
        </w:tc>
        <w:tc>
          <w:tcPr>
            <w:tcW w:w="4427" w:type="dxa"/>
            <w:shd w:val="clear" w:color="auto" w:fill="A2E9C7" w:themeFill="text2" w:themeFillTint="66"/>
          </w:tcPr>
          <w:p w14:paraId="5D686CC2" w14:textId="77777777" w:rsidR="00C3032E" w:rsidRPr="005A08B9" w:rsidRDefault="00C3032E" w:rsidP="00C84AF3">
            <w:pPr>
              <w:spacing w:after="0"/>
              <w:rPr>
                <w:sz w:val="18"/>
                <w:szCs w:val="18"/>
                <w:lang w:val="en-GB"/>
              </w:rPr>
            </w:pPr>
            <w:r w:rsidRPr="005A08B9">
              <w:rPr>
                <w:sz w:val="18"/>
                <w:szCs w:val="18"/>
                <w:lang w:val="en-GB"/>
              </w:rPr>
              <w:t xml:space="preserve">Tier used </w:t>
            </w:r>
          </w:p>
        </w:tc>
      </w:tr>
      <w:tr w:rsidR="00C3032E" w:rsidRPr="00104E87" w14:paraId="3A87A02D" w14:textId="77777777" w:rsidTr="00C84AF3">
        <w:tc>
          <w:tcPr>
            <w:tcW w:w="1307" w:type="dxa"/>
            <w:shd w:val="clear" w:color="auto" w:fill="F2F2F2" w:themeFill="background1" w:themeFillShade="F2"/>
          </w:tcPr>
          <w:p w14:paraId="382259EC" w14:textId="77777777" w:rsidR="00C3032E" w:rsidRPr="005A08B9" w:rsidRDefault="00C3032E" w:rsidP="00C84AF3">
            <w:pPr>
              <w:spacing w:after="0"/>
              <w:rPr>
                <w:sz w:val="18"/>
                <w:szCs w:val="18"/>
                <w:lang w:val="en-GB"/>
              </w:rPr>
            </w:pPr>
            <w:r w:rsidRPr="005A08B9">
              <w:rPr>
                <w:sz w:val="18"/>
                <w:szCs w:val="18"/>
                <w:lang w:val="en-GB"/>
              </w:rPr>
              <w:t>Russia</w:t>
            </w:r>
          </w:p>
        </w:tc>
        <w:tc>
          <w:tcPr>
            <w:tcW w:w="928" w:type="dxa"/>
            <w:shd w:val="clear" w:color="auto" w:fill="F2F2F2" w:themeFill="background1" w:themeFillShade="F2"/>
          </w:tcPr>
          <w:p w14:paraId="18E083BC" w14:textId="77777777" w:rsidR="00C3032E" w:rsidRPr="005A08B9" w:rsidRDefault="00C3032E" w:rsidP="00C84AF3">
            <w:pPr>
              <w:spacing w:after="0"/>
              <w:jc w:val="center"/>
              <w:rPr>
                <w:sz w:val="18"/>
                <w:szCs w:val="18"/>
                <w:lang w:val="en-GB"/>
              </w:rPr>
            </w:pPr>
            <w:r w:rsidRPr="005A08B9">
              <w:rPr>
                <w:sz w:val="18"/>
                <w:szCs w:val="18"/>
                <w:lang w:val="en-GB"/>
              </w:rPr>
              <w:t>25.3</w:t>
            </w:r>
          </w:p>
        </w:tc>
        <w:tc>
          <w:tcPr>
            <w:tcW w:w="708" w:type="dxa"/>
            <w:shd w:val="clear" w:color="auto" w:fill="F2F2F2" w:themeFill="background1" w:themeFillShade="F2"/>
          </w:tcPr>
          <w:p w14:paraId="782A8455" w14:textId="77777777" w:rsidR="00C3032E" w:rsidRPr="005A08B9" w:rsidRDefault="00C3032E" w:rsidP="00C84AF3">
            <w:pPr>
              <w:spacing w:after="0"/>
              <w:jc w:val="center"/>
              <w:rPr>
                <w:sz w:val="18"/>
                <w:szCs w:val="18"/>
                <w:lang w:val="en-GB"/>
              </w:rPr>
            </w:pPr>
            <w:r w:rsidRPr="005A08B9">
              <w:rPr>
                <w:sz w:val="18"/>
                <w:szCs w:val="18"/>
                <w:lang w:val="en-GB"/>
              </w:rPr>
              <w:t>2015</w:t>
            </w:r>
          </w:p>
        </w:tc>
        <w:tc>
          <w:tcPr>
            <w:tcW w:w="1985" w:type="dxa"/>
            <w:shd w:val="clear" w:color="auto" w:fill="F2F2F2" w:themeFill="background1" w:themeFillShade="F2"/>
          </w:tcPr>
          <w:p w14:paraId="1223A432" w14:textId="77777777" w:rsidR="00C3032E" w:rsidRPr="005A08B9" w:rsidRDefault="00C3032E" w:rsidP="00DA4275">
            <w:pPr>
              <w:spacing w:after="0"/>
              <w:jc w:val="center"/>
              <w:rPr>
                <w:sz w:val="18"/>
                <w:szCs w:val="18"/>
                <w:lang w:val="en-GB"/>
              </w:rPr>
            </w:pPr>
            <w:r w:rsidRPr="005A08B9">
              <w:rPr>
                <w:sz w:val="18"/>
                <w:szCs w:val="18"/>
                <w:lang w:val="en-GB"/>
              </w:rPr>
              <w:t>201</w:t>
            </w:r>
            <w:r w:rsidR="00DA4275">
              <w:rPr>
                <w:sz w:val="18"/>
                <w:szCs w:val="18"/>
                <w:lang w:val="en-GB"/>
              </w:rPr>
              <w:t>8</w:t>
            </w:r>
            <w:r w:rsidRPr="005A08B9">
              <w:rPr>
                <w:sz w:val="18"/>
                <w:szCs w:val="18"/>
                <w:lang w:val="en-GB"/>
              </w:rPr>
              <w:t xml:space="preserve"> – NIR</w:t>
            </w:r>
          </w:p>
        </w:tc>
        <w:tc>
          <w:tcPr>
            <w:tcW w:w="4427" w:type="dxa"/>
            <w:shd w:val="clear" w:color="auto" w:fill="F2F2F2" w:themeFill="background1" w:themeFillShade="F2"/>
          </w:tcPr>
          <w:p w14:paraId="7C5EDA9E" w14:textId="77777777" w:rsidR="00C3032E" w:rsidRPr="005A08B9" w:rsidRDefault="00C3032E" w:rsidP="00C84AF3">
            <w:pPr>
              <w:spacing w:after="0"/>
              <w:rPr>
                <w:sz w:val="18"/>
                <w:szCs w:val="18"/>
                <w:lang w:val="en-GB"/>
              </w:rPr>
            </w:pPr>
            <w:r w:rsidRPr="005A08B9">
              <w:rPr>
                <w:sz w:val="18"/>
                <w:szCs w:val="18"/>
                <w:lang w:val="en-GB"/>
              </w:rPr>
              <w:t>Tier 2 for gas transportation (3.7 MtCH</w:t>
            </w:r>
            <w:r w:rsidRPr="005A08B9">
              <w:rPr>
                <w:sz w:val="18"/>
                <w:szCs w:val="18"/>
                <w:vertAlign w:val="subscript"/>
                <w:lang w:val="en-GB"/>
              </w:rPr>
              <w:t>4</w:t>
            </w:r>
            <w:r w:rsidRPr="005A08B9">
              <w:rPr>
                <w:sz w:val="18"/>
                <w:szCs w:val="18"/>
                <w:lang w:val="en-GB"/>
              </w:rPr>
              <w:t>)</w:t>
            </w:r>
          </w:p>
          <w:p w14:paraId="5DF5D20A" w14:textId="77777777" w:rsidR="00C3032E" w:rsidRPr="005A08B9" w:rsidRDefault="00C3032E" w:rsidP="00C84AF3">
            <w:pPr>
              <w:spacing w:after="0"/>
              <w:rPr>
                <w:sz w:val="18"/>
                <w:szCs w:val="18"/>
                <w:lang w:val="en-GB"/>
              </w:rPr>
            </w:pPr>
            <w:r w:rsidRPr="005A08B9">
              <w:rPr>
                <w:sz w:val="18"/>
                <w:szCs w:val="18"/>
                <w:lang w:val="en-GB"/>
              </w:rPr>
              <w:t>Tier 1 for the other activities (21.6 MtCH</w:t>
            </w:r>
            <w:r w:rsidRPr="005A08B9">
              <w:rPr>
                <w:sz w:val="18"/>
                <w:szCs w:val="18"/>
                <w:vertAlign w:val="subscript"/>
                <w:lang w:val="en-GB"/>
              </w:rPr>
              <w:t>4</w:t>
            </w:r>
            <w:r w:rsidRPr="005A08B9">
              <w:rPr>
                <w:sz w:val="18"/>
                <w:szCs w:val="18"/>
                <w:lang w:val="en-GB"/>
              </w:rPr>
              <w:t>)</w:t>
            </w:r>
          </w:p>
        </w:tc>
      </w:tr>
      <w:tr w:rsidR="00C3032E" w:rsidRPr="00E33AC5" w14:paraId="303F905E" w14:textId="77777777" w:rsidTr="00C84AF3">
        <w:tc>
          <w:tcPr>
            <w:tcW w:w="1307" w:type="dxa"/>
            <w:shd w:val="clear" w:color="auto" w:fill="F2F2F2" w:themeFill="background1" w:themeFillShade="F2"/>
          </w:tcPr>
          <w:p w14:paraId="0018B053" w14:textId="77777777" w:rsidR="00C3032E" w:rsidRPr="005A08B9" w:rsidRDefault="00C3032E" w:rsidP="00C84AF3">
            <w:pPr>
              <w:spacing w:after="0"/>
              <w:rPr>
                <w:sz w:val="18"/>
                <w:szCs w:val="18"/>
                <w:lang w:val="en-GB"/>
              </w:rPr>
            </w:pPr>
            <w:r w:rsidRPr="005A08B9">
              <w:rPr>
                <w:sz w:val="18"/>
                <w:szCs w:val="18"/>
                <w:lang w:val="en-GB"/>
              </w:rPr>
              <w:t>USA</w:t>
            </w:r>
          </w:p>
        </w:tc>
        <w:tc>
          <w:tcPr>
            <w:tcW w:w="928" w:type="dxa"/>
            <w:shd w:val="clear" w:color="auto" w:fill="F2F2F2" w:themeFill="background1" w:themeFillShade="F2"/>
          </w:tcPr>
          <w:p w14:paraId="4E3108B0" w14:textId="77777777" w:rsidR="00C3032E" w:rsidRPr="005A08B9" w:rsidRDefault="00C3032E" w:rsidP="00C84AF3">
            <w:pPr>
              <w:spacing w:after="0"/>
              <w:jc w:val="center"/>
              <w:rPr>
                <w:sz w:val="18"/>
                <w:szCs w:val="18"/>
                <w:lang w:val="en-GB"/>
              </w:rPr>
            </w:pPr>
            <w:r w:rsidRPr="005A08B9">
              <w:rPr>
                <w:sz w:val="18"/>
                <w:szCs w:val="18"/>
                <w:lang w:val="en-GB"/>
              </w:rPr>
              <w:t>8.1</w:t>
            </w:r>
          </w:p>
        </w:tc>
        <w:tc>
          <w:tcPr>
            <w:tcW w:w="708" w:type="dxa"/>
            <w:shd w:val="clear" w:color="auto" w:fill="F2F2F2" w:themeFill="background1" w:themeFillShade="F2"/>
          </w:tcPr>
          <w:p w14:paraId="4A272C0B" w14:textId="77777777" w:rsidR="00C3032E" w:rsidRPr="005A08B9" w:rsidRDefault="00C3032E" w:rsidP="00C84AF3">
            <w:pPr>
              <w:spacing w:after="0"/>
              <w:jc w:val="center"/>
              <w:rPr>
                <w:sz w:val="18"/>
                <w:szCs w:val="18"/>
                <w:lang w:val="en-GB"/>
              </w:rPr>
            </w:pPr>
            <w:r w:rsidRPr="005A08B9">
              <w:rPr>
                <w:sz w:val="18"/>
                <w:szCs w:val="18"/>
                <w:lang w:val="en-GB"/>
              </w:rPr>
              <w:t>2015</w:t>
            </w:r>
          </w:p>
        </w:tc>
        <w:tc>
          <w:tcPr>
            <w:tcW w:w="1985" w:type="dxa"/>
            <w:shd w:val="clear" w:color="auto" w:fill="F2F2F2" w:themeFill="background1" w:themeFillShade="F2"/>
          </w:tcPr>
          <w:p w14:paraId="5BD17CE2" w14:textId="77777777" w:rsidR="00C3032E" w:rsidRPr="005A08B9" w:rsidRDefault="00C3032E" w:rsidP="00DA4275">
            <w:pPr>
              <w:spacing w:after="0"/>
              <w:jc w:val="center"/>
              <w:rPr>
                <w:sz w:val="18"/>
                <w:szCs w:val="18"/>
                <w:lang w:val="en-GB"/>
              </w:rPr>
            </w:pPr>
            <w:r w:rsidRPr="005A08B9">
              <w:rPr>
                <w:sz w:val="18"/>
                <w:szCs w:val="18"/>
                <w:lang w:val="en-GB"/>
              </w:rPr>
              <w:t>201</w:t>
            </w:r>
            <w:r w:rsidR="00DA4275">
              <w:rPr>
                <w:sz w:val="18"/>
                <w:szCs w:val="18"/>
                <w:lang w:val="en-GB"/>
              </w:rPr>
              <w:t>8</w:t>
            </w:r>
            <w:r w:rsidRPr="005A08B9">
              <w:rPr>
                <w:sz w:val="18"/>
                <w:szCs w:val="18"/>
                <w:lang w:val="en-GB"/>
              </w:rPr>
              <w:t xml:space="preserve"> – NIR</w:t>
            </w:r>
          </w:p>
        </w:tc>
        <w:tc>
          <w:tcPr>
            <w:tcW w:w="4427" w:type="dxa"/>
            <w:shd w:val="clear" w:color="auto" w:fill="F2F2F2" w:themeFill="background1" w:themeFillShade="F2"/>
          </w:tcPr>
          <w:p w14:paraId="0EB0D09B" w14:textId="77777777" w:rsidR="00C3032E" w:rsidRPr="005A08B9" w:rsidRDefault="00C3032E" w:rsidP="00C84AF3">
            <w:pPr>
              <w:spacing w:after="0"/>
              <w:rPr>
                <w:sz w:val="18"/>
                <w:szCs w:val="18"/>
                <w:lang w:val="en-GB"/>
              </w:rPr>
            </w:pPr>
            <w:r w:rsidRPr="005A08B9">
              <w:rPr>
                <w:sz w:val="18"/>
                <w:szCs w:val="18"/>
                <w:lang w:val="en-GB"/>
              </w:rPr>
              <w:t>Tier</w:t>
            </w:r>
            <w:r w:rsidR="005F128C">
              <w:rPr>
                <w:sz w:val="18"/>
                <w:szCs w:val="18"/>
                <w:lang w:val="en-GB"/>
              </w:rPr>
              <w:t>s 2 and</w:t>
            </w:r>
            <w:r w:rsidRPr="005A08B9">
              <w:rPr>
                <w:sz w:val="18"/>
                <w:szCs w:val="18"/>
                <w:lang w:val="en-GB"/>
              </w:rPr>
              <w:t xml:space="preserve"> 3</w:t>
            </w:r>
          </w:p>
        </w:tc>
      </w:tr>
      <w:tr w:rsidR="00C3032E" w:rsidRPr="00E33AC5" w14:paraId="39C0C755" w14:textId="77777777" w:rsidTr="00C84AF3">
        <w:tc>
          <w:tcPr>
            <w:tcW w:w="1307" w:type="dxa"/>
            <w:shd w:val="clear" w:color="auto" w:fill="F2F2F2" w:themeFill="background1" w:themeFillShade="F2"/>
          </w:tcPr>
          <w:p w14:paraId="1192399F" w14:textId="77777777" w:rsidR="00C3032E" w:rsidRPr="005A08B9" w:rsidRDefault="00C3032E" w:rsidP="00C84AF3">
            <w:pPr>
              <w:spacing w:after="0"/>
              <w:rPr>
                <w:sz w:val="18"/>
                <w:szCs w:val="18"/>
                <w:lang w:val="en-GB"/>
              </w:rPr>
            </w:pPr>
            <w:r w:rsidRPr="005A08B9">
              <w:rPr>
                <w:sz w:val="18"/>
                <w:szCs w:val="18"/>
                <w:lang w:val="en-GB"/>
              </w:rPr>
              <w:t xml:space="preserve">Uzbekistan </w:t>
            </w:r>
          </w:p>
        </w:tc>
        <w:tc>
          <w:tcPr>
            <w:tcW w:w="928" w:type="dxa"/>
            <w:shd w:val="clear" w:color="auto" w:fill="F2F2F2" w:themeFill="background1" w:themeFillShade="F2"/>
          </w:tcPr>
          <w:p w14:paraId="31B94993" w14:textId="77777777" w:rsidR="00C3032E" w:rsidRPr="005A08B9" w:rsidRDefault="00C3032E" w:rsidP="00C84AF3">
            <w:pPr>
              <w:spacing w:after="0"/>
              <w:jc w:val="center"/>
              <w:rPr>
                <w:sz w:val="18"/>
                <w:szCs w:val="18"/>
                <w:lang w:val="en-GB"/>
              </w:rPr>
            </w:pPr>
            <w:r w:rsidRPr="005A08B9">
              <w:rPr>
                <w:sz w:val="18"/>
                <w:szCs w:val="18"/>
                <w:lang w:val="en-GB"/>
              </w:rPr>
              <w:t>3.2</w:t>
            </w:r>
          </w:p>
        </w:tc>
        <w:tc>
          <w:tcPr>
            <w:tcW w:w="708" w:type="dxa"/>
            <w:shd w:val="clear" w:color="auto" w:fill="F2F2F2" w:themeFill="background1" w:themeFillShade="F2"/>
          </w:tcPr>
          <w:p w14:paraId="2C486AD0" w14:textId="77777777" w:rsidR="00C3032E" w:rsidRPr="005A08B9" w:rsidRDefault="00C3032E" w:rsidP="00C84AF3">
            <w:pPr>
              <w:spacing w:after="0"/>
              <w:jc w:val="center"/>
              <w:rPr>
                <w:sz w:val="18"/>
                <w:szCs w:val="18"/>
                <w:lang w:val="en-GB"/>
              </w:rPr>
            </w:pPr>
            <w:r w:rsidRPr="005A08B9">
              <w:rPr>
                <w:sz w:val="18"/>
                <w:szCs w:val="18"/>
                <w:lang w:val="en-GB"/>
              </w:rPr>
              <w:t>2012</w:t>
            </w:r>
          </w:p>
        </w:tc>
        <w:tc>
          <w:tcPr>
            <w:tcW w:w="1985" w:type="dxa"/>
            <w:shd w:val="clear" w:color="auto" w:fill="F2F2F2" w:themeFill="background1" w:themeFillShade="F2"/>
          </w:tcPr>
          <w:p w14:paraId="7136824E" w14:textId="77777777" w:rsidR="00C3032E" w:rsidRPr="005A08B9" w:rsidRDefault="00C3032E" w:rsidP="00C84AF3">
            <w:pPr>
              <w:spacing w:after="0"/>
              <w:jc w:val="center"/>
              <w:rPr>
                <w:sz w:val="18"/>
                <w:szCs w:val="18"/>
                <w:lang w:val="en-GB"/>
              </w:rPr>
            </w:pPr>
            <w:r w:rsidRPr="005A08B9">
              <w:rPr>
                <w:sz w:val="18"/>
                <w:szCs w:val="18"/>
                <w:lang w:val="en-GB"/>
              </w:rPr>
              <w:t>2016 – NC3</w:t>
            </w:r>
          </w:p>
        </w:tc>
        <w:tc>
          <w:tcPr>
            <w:tcW w:w="4427" w:type="dxa"/>
            <w:shd w:val="clear" w:color="auto" w:fill="F2F2F2" w:themeFill="background1" w:themeFillShade="F2"/>
          </w:tcPr>
          <w:p w14:paraId="5331D4E2" w14:textId="77777777" w:rsidR="00C3032E" w:rsidRPr="005A08B9" w:rsidRDefault="00C3032E" w:rsidP="00C84AF3">
            <w:pPr>
              <w:spacing w:after="0"/>
              <w:rPr>
                <w:sz w:val="18"/>
                <w:szCs w:val="18"/>
                <w:lang w:val="en-GB"/>
              </w:rPr>
            </w:pPr>
            <w:r w:rsidRPr="005A08B9">
              <w:rPr>
                <w:sz w:val="18"/>
                <w:szCs w:val="18"/>
                <w:lang w:val="en-GB"/>
              </w:rPr>
              <w:t>Tier 1</w:t>
            </w:r>
          </w:p>
        </w:tc>
      </w:tr>
      <w:tr w:rsidR="00C3032E" w:rsidRPr="00E33AC5" w14:paraId="2CE04A42" w14:textId="77777777" w:rsidTr="00C84AF3">
        <w:tc>
          <w:tcPr>
            <w:tcW w:w="1307" w:type="dxa"/>
            <w:shd w:val="clear" w:color="auto" w:fill="F2F2F2" w:themeFill="background1" w:themeFillShade="F2"/>
          </w:tcPr>
          <w:p w14:paraId="33ABCA91" w14:textId="77777777" w:rsidR="00C3032E" w:rsidRPr="005A08B9" w:rsidRDefault="00C3032E" w:rsidP="00C84AF3">
            <w:pPr>
              <w:spacing w:after="0"/>
              <w:rPr>
                <w:sz w:val="18"/>
                <w:szCs w:val="18"/>
                <w:lang w:val="en-GB"/>
              </w:rPr>
            </w:pPr>
            <w:r w:rsidRPr="005A08B9">
              <w:rPr>
                <w:sz w:val="18"/>
                <w:szCs w:val="18"/>
                <w:lang w:val="en-GB"/>
              </w:rPr>
              <w:t>Canada</w:t>
            </w:r>
          </w:p>
        </w:tc>
        <w:tc>
          <w:tcPr>
            <w:tcW w:w="928" w:type="dxa"/>
            <w:shd w:val="clear" w:color="auto" w:fill="F2F2F2" w:themeFill="background1" w:themeFillShade="F2"/>
          </w:tcPr>
          <w:p w14:paraId="6086E97A" w14:textId="77777777" w:rsidR="00C3032E" w:rsidRPr="005A08B9" w:rsidRDefault="00C3032E" w:rsidP="00C84AF3">
            <w:pPr>
              <w:spacing w:after="0"/>
              <w:jc w:val="center"/>
              <w:rPr>
                <w:sz w:val="18"/>
                <w:szCs w:val="18"/>
                <w:lang w:val="en-GB"/>
              </w:rPr>
            </w:pPr>
            <w:r w:rsidRPr="005A08B9">
              <w:rPr>
                <w:sz w:val="18"/>
                <w:szCs w:val="18"/>
                <w:lang w:val="en-GB"/>
              </w:rPr>
              <w:t>1.7</w:t>
            </w:r>
          </w:p>
        </w:tc>
        <w:tc>
          <w:tcPr>
            <w:tcW w:w="708" w:type="dxa"/>
            <w:shd w:val="clear" w:color="auto" w:fill="F2F2F2" w:themeFill="background1" w:themeFillShade="F2"/>
          </w:tcPr>
          <w:p w14:paraId="32B7CE21" w14:textId="77777777" w:rsidR="00C3032E" w:rsidRPr="005A08B9" w:rsidRDefault="00C3032E" w:rsidP="00C84AF3">
            <w:pPr>
              <w:spacing w:after="0"/>
              <w:jc w:val="center"/>
              <w:rPr>
                <w:sz w:val="18"/>
                <w:szCs w:val="18"/>
                <w:lang w:val="en-GB"/>
              </w:rPr>
            </w:pPr>
            <w:r w:rsidRPr="005A08B9">
              <w:rPr>
                <w:sz w:val="18"/>
                <w:szCs w:val="18"/>
                <w:lang w:val="en-GB"/>
              </w:rPr>
              <w:t>2015</w:t>
            </w:r>
          </w:p>
        </w:tc>
        <w:tc>
          <w:tcPr>
            <w:tcW w:w="1985" w:type="dxa"/>
            <w:shd w:val="clear" w:color="auto" w:fill="F2F2F2" w:themeFill="background1" w:themeFillShade="F2"/>
          </w:tcPr>
          <w:p w14:paraId="506B958A" w14:textId="77777777" w:rsidR="00C3032E" w:rsidRPr="005A08B9" w:rsidRDefault="00C3032E" w:rsidP="00DA4275">
            <w:pPr>
              <w:spacing w:after="0"/>
              <w:jc w:val="center"/>
              <w:rPr>
                <w:sz w:val="18"/>
                <w:szCs w:val="18"/>
                <w:lang w:val="en-GB"/>
              </w:rPr>
            </w:pPr>
            <w:r w:rsidRPr="005A08B9">
              <w:rPr>
                <w:sz w:val="18"/>
                <w:szCs w:val="18"/>
                <w:lang w:val="en-GB"/>
              </w:rPr>
              <w:t>201</w:t>
            </w:r>
            <w:r w:rsidR="00DA4275">
              <w:rPr>
                <w:sz w:val="18"/>
                <w:szCs w:val="18"/>
                <w:lang w:val="en-GB"/>
              </w:rPr>
              <w:t>8</w:t>
            </w:r>
            <w:r w:rsidRPr="005A08B9">
              <w:rPr>
                <w:sz w:val="18"/>
                <w:szCs w:val="18"/>
                <w:lang w:val="en-GB"/>
              </w:rPr>
              <w:t xml:space="preserve"> – NIR</w:t>
            </w:r>
          </w:p>
        </w:tc>
        <w:tc>
          <w:tcPr>
            <w:tcW w:w="4427" w:type="dxa"/>
            <w:shd w:val="clear" w:color="auto" w:fill="F2F2F2" w:themeFill="background1" w:themeFillShade="F2"/>
          </w:tcPr>
          <w:p w14:paraId="4A54A8E6" w14:textId="77777777" w:rsidR="00C3032E" w:rsidRPr="005A08B9" w:rsidRDefault="00C3032E" w:rsidP="00C84AF3">
            <w:pPr>
              <w:spacing w:after="0"/>
              <w:rPr>
                <w:sz w:val="18"/>
                <w:szCs w:val="18"/>
                <w:lang w:val="en-GB"/>
              </w:rPr>
            </w:pPr>
            <w:r w:rsidRPr="005A08B9">
              <w:rPr>
                <w:sz w:val="18"/>
                <w:szCs w:val="18"/>
                <w:lang w:val="en-GB"/>
              </w:rPr>
              <w:t>Tier</w:t>
            </w:r>
            <w:r w:rsidR="005F128C">
              <w:rPr>
                <w:sz w:val="18"/>
                <w:szCs w:val="18"/>
                <w:lang w:val="en-GB"/>
              </w:rPr>
              <w:t>s 2 and</w:t>
            </w:r>
            <w:r w:rsidRPr="005A08B9">
              <w:rPr>
                <w:sz w:val="18"/>
                <w:szCs w:val="18"/>
                <w:lang w:val="en-GB"/>
              </w:rPr>
              <w:t xml:space="preserve"> 3</w:t>
            </w:r>
          </w:p>
        </w:tc>
      </w:tr>
      <w:tr w:rsidR="00C3032E" w:rsidRPr="00104E87" w14:paraId="690F3B4C" w14:textId="77777777" w:rsidTr="00C84AF3">
        <w:tc>
          <w:tcPr>
            <w:tcW w:w="1307" w:type="dxa"/>
            <w:shd w:val="clear" w:color="auto" w:fill="F2F2F2" w:themeFill="background1" w:themeFillShade="F2"/>
          </w:tcPr>
          <w:p w14:paraId="338DA37D" w14:textId="77777777" w:rsidR="00C3032E" w:rsidRPr="005A08B9" w:rsidRDefault="00C3032E" w:rsidP="00C84AF3">
            <w:pPr>
              <w:spacing w:after="0"/>
              <w:rPr>
                <w:sz w:val="18"/>
                <w:szCs w:val="18"/>
                <w:lang w:val="en-GB"/>
              </w:rPr>
            </w:pPr>
            <w:r w:rsidRPr="005A08B9">
              <w:rPr>
                <w:sz w:val="18"/>
                <w:szCs w:val="18"/>
                <w:lang w:val="en-GB"/>
              </w:rPr>
              <w:t xml:space="preserve">EU </w:t>
            </w:r>
          </w:p>
        </w:tc>
        <w:tc>
          <w:tcPr>
            <w:tcW w:w="928" w:type="dxa"/>
            <w:shd w:val="clear" w:color="auto" w:fill="F2F2F2" w:themeFill="background1" w:themeFillShade="F2"/>
          </w:tcPr>
          <w:p w14:paraId="5BC5C042" w14:textId="77777777" w:rsidR="00C3032E" w:rsidRPr="005A08B9" w:rsidRDefault="00C3032E" w:rsidP="00C84AF3">
            <w:pPr>
              <w:spacing w:after="0"/>
              <w:jc w:val="center"/>
              <w:rPr>
                <w:sz w:val="18"/>
                <w:szCs w:val="18"/>
                <w:lang w:val="en-GB"/>
              </w:rPr>
            </w:pPr>
            <w:r w:rsidRPr="005A08B9">
              <w:rPr>
                <w:sz w:val="18"/>
                <w:szCs w:val="18"/>
                <w:lang w:val="en-GB"/>
              </w:rPr>
              <w:t>1.3</w:t>
            </w:r>
          </w:p>
        </w:tc>
        <w:tc>
          <w:tcPr>
            <w:tcW w:w="708" w:type="dxa"/>
            <w:shd w:val="clear" w:color="auto" w:fill="F2F2F2" w:themeFill="background1" w:themeFillShade="F2"/>
          </w:tcPr>
          <w:p w14:paraId="4C6D999D" w14:textId="77777777" w:rsidR="00C3032E" w:rsidRPr="005A08B9" w:rsidRDefault="00C3032E" w:rsidP="00C84AF3">
            <w:pPr>
              <w:spacing w:after="0"/>
              <w:jc w:val="center"/>
              <w:rPr>
                <w:sz w:val="18"/>
                <w:szCs w:val="18"/>
                <w:lang w:val="en-GB"/>
              </w:rPr>
            </w:pPr>
            <w:r w:rsidRPr="005A08B9">
              <w:rPr>
                <w:sz w:val="18"/>
                <w:szCs w:val="18"/>
                <w:lang w:val="en-GB"/>
              </w:rPr>
              <w:t>2015</w:t>
            </w:r>
          </w:p>
        </w:tc>
        <w:tc>
          <w:tcPr>
            <w:tcW w:w="1985" w:type="dxa"/>
            <w:shd w:val="clear" w:color="auto" w:fill="F2F2F2" w:themeFill="background1" w:themeFillShade="F2"/>
          </w:tcPr>
          <w:p w14:paraId="23AAFC9F" w14:textId="77777777" w:rsidR="00C3032E" w:rsidRPr="005A08B9" w:rsidRDefault="00C3032E" w:rsidP="00DA4275">
            <w:pPr>
              <w:spacing w:after="0"/>
              <w:jc w:val="center"/>
              <w:rPr>
                <w:sz w:val="18"/>
                <w:szCs w:val="18"/>
                <w:lang w:val="en-GB"/>
              </w:rPr>
            </w:pPr>
            <w:r w:rsidRPr="005A08B9">
              <w:rPr>
                <w:sz w:val="18"/>
                <w:szCs w:val="18"/>
                <w:lang w:val="en-GB"/>
              </w:rPr>
              <w:t>201</w:t>
            </w:r>
            <w:r w:rsidR="00DA4275">
              <w:rPr>
                <w:sz w:val="18"/>
                <w:szCs w:val="18"/>
                <w:lang w:val="en-GB"/>
              </w:rPr>
              <w:t>8</w:t>
            </w:r>
            <w:r w:rsidRPr="005A08B9">
              <w:rPr>
                <w:sz w:val="18"/>
                <w:szCs w:val="18"/>
                <w:lang w:val="en-GB"/>
              </w:rPr>
              <w:t xml:space="preserve"> – NIRs</w:t>
            </w:r>
          </w:p>
        </w:tc>
        <w:tc>
          <w:tcPr>
            <w:tcW w:w="4427" w:type="dxa"/>
            <w:shd w:val="clear" w:color="auto" w:fill="F2F2F2" w:themeFill="background1" w:themeFillShade="F2"/>
          </w:tcPr>
          <w:p w14:paraId="71AA1868" w14:textId="77777777" w:rsidR="00C3032E" w:rsidRPr="005A08B9" w:rsidRDefault="00C3032E" w:rsidP="00C84AF3">
            <w:pPr>
              <w:spacing w:after="0"/>
              <w:rPr>
                <w:sz w:val="18"/>
                <w:szCs w:val="18"/>
                <w:lang w:val="en-GB"/>
              </w:rPr>
            </w:pPr>
            <w:r w:rsidRPr="005A08B9">
              <w:rPr>
                <w:sz w:val="18"/>
                <w:szCs w:val="18"/>
                <w:lang w:val="en-GB"/>
              </w:rPr>
              <w:t>12 Member States reporting under Tier 1(0.5 MtCH</w:t>
            </w:r>
            <w:r w:rsidRPr="005A08B9">
              <w:rPr>
                <w:sz w:val="18"/>
                <w:szCs w:val="18"/>
                <w:vertAlign w:val="subscript"/>
                <w:lang w:val="en-GB"/>
              </w:rPr>
              <w:t>4</w:t>
            </w:r>
            <w:r w:rsidRPr="005A08B9">
              <w:rPr>
                <w:sz w:val="18"/>
                <w:szCs w:val="18"/>
                <w:lang w:val="en-GB"/>
              </w:rPr>
              <w:t>)</w:t>
            </w:r>
          </w:p>
          <w:p w14:paraId="257733E9" w14:textId="77777777" w:rsidR="00C3032E" w:rsidRPr="005A08B9" w:rsidRDefault="00C3032E" w:rsidP="00C84AF3">
            <w:pPr>
              <w:spacing w:after="0"/>
              <w:rPr>
                <w:sz w:val="18"/>
                <w:szCs w:val="18"/>
                <w:lang w:val="en-GB"/>
              </w:rPr>
            </w:pPr>
            <w:r w:rsidRPr="005A08B9">
              <w:rPr>
                <w:sz w:val="18"/>
                <w:szCs w:val="18"/>
                <w:lang w:val="en-GB"/>
              </w:rPr>
              <w:t>The others mixed, different for different segments</w:t>
            </w:r>
          </w:p>
        </w:tc>
      </w:tr>
      <w:tr w:rsidR="00C3032E" w:rsidRPr="00E33AC5" w14:paraId="099005FF" w14:textId="77777777" w:rsidTr="00C84AF3">
        <w:tc>
          <w:tcPr>
            <w:tcW w:w="1307" w:type="dxa"/>
            <w:shd w:val="clear" w:color="auto" w:fill="F2F2F2" w:themeFill="background1" w:themeFillShade="F2"/>
          </w:tcPr>
          <w:p w14:paraId="0862C1A8" w14:textId="77777777" w:rsidR="00C3032E" w:rsidRPr="005A08B9" w:rsidRDefault="00C3032E" w:rsidP="00C84AF3">
            <w:pPr>
              <w:spacing w:after="0"/>
              <w:rPr>
                <w:sz w:val="18"/>
                <w:szCs w:val="18"/>
                <w:lang w:val="en-GB"/>
              </w:rPr>
            </w:pPr>
            <w:r w:rsidRPr="005A08B9">
              <w:rPr>
                <w:sz w:val="18"/>
                <w:szCs w:val="18"/>
                <w:lang w:val="en-GB"/>
              </w:rPr>
              <w:t>Turkmenistan</w:t>
            </w:r>
          </w:p>
        </w:tc>
        <w:tc>
          <w:tcPr>
            <w:tcW w:w="928" w:type="dxa"/>
            <w:shd w:val="clear" w:color="auto" w:fill="F2F2F2" w:themeFill="background1" w:themeFillShade="F2"/>
          </w:tcPr>
          <w:p w14:paraId="4FAC04D9" w14:textId="77777777" w:rsidR="00C3032E" w:rsidRPr="005A08B9" w:rsidRDefault="00C3032E" w:rsidP="00C84AF3">
            <w:pPr>
              <w:spacing w:after="0"/>
              <w:jc w:val="center"/>
              <w:rPr>
                <w:sz w:val="18"/>
                <w:szCs w:val="18"/>
                <w:lang w:val="en-GB"/>
              </w:rPr>
            </w:pPr>
            <w:r w:rsidRPr="005A08B9">
              <w:rPr>
                <w:sz w:val="18"/>
                <w:szCs w:val="18"/>
                <w:lang w:val="en-GB"/>
              </w:rPr>
              <w:t>1</w:t>
            </w:r>
          </w:p>
        </w:tc>
        <w:tc>
          <w:tcPr>
            <w:tcW w:w="708" w:type="dxa"/>
            <w:shd w:val="clear" w:color="auto" w:fill="F2F2F2" w:themeFill="background1" w:themeFillShade="F2"/>
          </w:tcPr>
          <w:p w14:paraId="1542E93A" w14:textId="77777777" w:rsidR="00C3032E" w:rsidRPr="005A08B9" w:rsidRDefault="00C3032E" w:rsidP="00C84AF3">
            <w:pPr>
              <w:spacing w:after="0"/>
              <w:jc w:val="center"/>
              <w:rPr>
                <w:sz w:val="18"/>
                <w:szCs w:val="18"/>
                <w:lang w:val="en-GB"/>
              </w:rPr>
            </w:pPr>
            <w:r w:rsidRPr="005A08B9">
              <w:rPr>
                <w:sz w:val="18"/>
                <w:szCs w:val="18"/>
                <w:lang w:val="en-GB"/>
              </w:rPr>
              <w:t>2010</w:t>
            </w:r>
          </w:p>
        </w:tc>
        <w:tc>
          <w:tcPr>
            <w:tcW w:w="1985" w:type="dxa"/>
            <w:shd w:val="clear" w:color="auto" w:fill="F2F2F2" w:themeFill="background1" w:themeFillShade="F2"/>
          </w:tcPr>
          <w:p w14:paraId="42FA1B3B" w14:textId="77777777" w:rsidR="00C3032E" w:rsidRPr="005A08B9" w:rsidRDefault="00C3032E" w:rsidP="00C84AF3">
            <w:pPr>
              <w:spacing w:after="0"/>
              <w:jc w:val="center"/>
              <w:rPr>
                <w:sz w:val="18"/>
                <w:szCs w:val="18"/>
                <w:lang w:val="en-GB"/>
              </w:rPr>
            </w:pPr>
            <w:r w:rsidRPr="005A08B9">
              <w:rPr>
                <w:sz w:val="18"/>
                <w:szCs w:val="18"/>
                <w:lang w:val="en-GB"/>
              </w:rPr>
              <w:t>2015 – NC3</w:t>
            </w:r>
          </w:p>
        </w:tc>
        <w:tc>
          <w:tcPr>
            <w:tcW w:w="4427" w:type="dxa"/>
            <w:shd w:val="clear" w:color="auto" w:fill="F2F2F2" w:themeFill="background1" w:themeFillShade="F2"/>
          </w:tcPr>
          <w:p w14:paraId="0FF37303" w14:textId="77777777" w:rsidR="00C3032E" w:rsidRPr="005A08B9" w:rsidRDefault="00C3032E" w:rsidP="00C84AF3">
            <w:pPr>
              <w:spacing w:after="0"/>
              <w:rPr>
                <w:sz w:val="18"/>
                <w:szCs w:val="18"/>
                <w:lang w:val="en-GB"/>
              </w:rPr>
            </w:pPr>
            <w:r w:rsidRPr="005A08B9">
              <w:rPr>
                <w:sz w:val="18"/>
                <w:szCs w:val="18"/>
                <w:lang w:val="en-GB"/>
              </w:rPr>
              <w:t>Tier 1</w:t>
            </w:r>
          </w:p>
        </w:tc>
      </w:tr>
      <w:tr w:rsidR="00C3032E" w:rsidRPr="00E33AC5" w14:paraId="43F50DF6" w14:textId="77777777" w:rsidTr="00C84AF3">
        <w:tc>
          <w:tcPr>
            <w:tcW w:w="1307" w:type="dxa"/>
            <w:shd w:val="clear" w:color="auto" w:fill="F2F2F2" w:themeFill="background1" w:themeFillShade="F2"/>
          </w:tcPr>
          <w:p w14:paraId="7542BB2F" w14:textId="77777777" w:rsidR="00C3032E" w:rsidRPr="005A08B9" w:rsidRDefault="00C3032E" w:rsidP="00C84AF3">
            <w:pPr>
              <w:spacing w:after="0"/>
              <w:rPr>
                <w:sz w:val="18"/>
                <w:szCs w:val="18"/>
                <w:lang w:val="en-GB"/>
              </w:rPr>
            </w:pPr>
            <w:r w:rsidRPr="005A08B9">
              <w:rPr>
                <w:sz w:val="18"/>
                <w:szCs w:val="18"/>
                <w:lang w:val="en-GB"/>
              </w:rPr>
              <w:t xml:space="preserve">Ukraine </w:t>
            </w:r>
          </w:p>
        </w:tc>
        <w:tc>
          <w:tcPr>
            <w:tcW w:w="928" w:type="dxa"/>
            <w:shd w:val="clear" w:color="auto" w:fill="F2F2F2" w:themeFill="background1" w:themeFillShade="F2"/>
          </w:tcPr>
          <w:p w14:paraId="1C13F915" w14:textId="77777777" w:rsidR="00C3032E" w:rsidRPr="005A08B9" w:rsidRDefault="00C3032E" w:rsidP="00C84AF3">
            <w:pPr>
              <w:spacing w:after="0"/>
              <w:jc w:val="center"/>
              <w:rPr>
                <w:sz w:val="18"/>
                <w:szCs w:val="18"/>
                <w:lang w:val="en-GB"/>
              </w:rPr>
            </w:pPr>
            <w:r w:rsidRPr="005A08B9">
              <w:rPr>
                <w:sz w:val="18"/>
                <w:szCs w:val="18"/>
                <w:lang w:val="en-GB"/>
              </w:rPr>
              <w:t>0.9</w:t>
            </w:r>
          </w:p>
        </w:tc>
        <w:tc>
          <w:tcPr>
            <w:tcW w:w="708" w:type="dxa"/>
            <w:shd w:val="clear" w:color="auto" w:fill="F2F2F2" w:themeFill="background1" w:themeFillShade="F2"/>
          </w:tcPr>
          <w:p w14:paraId="4547499C" w14:textId="77777777" w:rsidR="00C3032E" w:rsidRPr="005A08B9" w:rsidRDefault="00C3032E" w:rsidP="00C84AF3">
            <w:pPr>
              <w:spacing w:after="0"/>
              <w:jc w:val="center"/>
              <w:rPr>
                <w:sz w:val="18"/>
                <w:szCs w:val="18"/>
                <w:lang w:val="en-GB"/>
              </w:rPr>
            </w:pPr>
            <w:r w:rsidRPr="005A08B9">
              <w:rPr>
                <w:sz w:val="18"/>
                <w:szCs w:val="18"/>
                <w:lang w:val="en-GB"/>
              </w:rPr>
              <w:t>2015</w:t>
            </w:r>
          </w:p>
        </w:tc>
        <w:tc>
          <w:tcPr>
            <w:tcW w:w="1985" w:type="dxa"/>
            <w:shd w:val="clear" w:color="auto" w:fill="F2F2F2" w:themeFill="background1" w:themeFillShade="F2"/>
          </w:tcPr>
          <w:p w14:paraId="5ADFBB3D" w14:textId="77777777" w:rsidR="00C3032E" w:rsidRPr="005A08B9" w:rsidRDefault="00C3032E" w:rsidP="00DA4275">
            <w:pPr>
              <w:spacing w:after="0"/>
              <w:jc w:val="center"/>
              <w:rPr>
                <w:sz w:val="18"/>
                <w:szCs w:val="18"/>
                <w:lang w:val="en-GB"/>
              </w:rPr>
            </w:pPr>
            <w:r w:rsidRPr="005A08B9">
              <w:rPr>
                <w:sz w:val="18"/>
                <w:szCs w:val="18"/>
                <w:lang w:val="en-GB"/>
              </w:rPr>
              <w:t>201</w:t>
            </w:r>
            <w:r w:rsidR="00DA4275">
              <w:rPr>
                <w:sz w:val="18"/>
                <w:szCs w:val="18"/>
                <w:lang w:val="en-GB"/>
              </w:rPr>
              <w:t>8</w:t>
            </w:r>
            <w:r w:rsidRPr="005A08B9">
              <w:rPr>
                <w:sz w:val="18"/>
                <w:szCs w:val="18"/>
                <w:lang w:val="en-GB"/>
              </w:rPr>
              <w:t xml:space="preserve"> – NIR</w:t>
            </w:r>
          </w:p>
        </w:tc>
        <w:tc>
          <w:tcPr>
            <w:tcW w:w="4427" w:type="dxa"/>
            <w:shd w:val="clear" w:color="auto" w:fill="F2F2F2" w:themeFill="background1" w:themeFillShade="F2"/>
          </w:tcPr>
          <w:p w14:paraId="541EFDA2" w14:textId="77777777" w:rsidR="00C3032E" w:rsidRPr="005A08B9" w:rsidRDefault="00C3032E" w:rsidP="00C84AF3">
            <w:pPr>
              <w:spacing w:after="0"/>
              <w:rPr>
                <w:sz w:val="18"/>
                <w:szCs w:val="18"/>
                <w:lang w:val="en-GB"/>
              </w:rPr>
            </w:pPr>
            <w:r w:rsidRPr="005A08B9">
              <w:rPr>
                <w:sz w:val="18"/>
                <w:szCs w:val="18"/>
                <w:lang w:val="en-GB"/>
              </w:rPr>
              <w:t>Tier 1</w:t>
            </w:r>
          </w:p>
        </w:tc>
      </w:tr>
      <w:tr w:rsidR="00C3032E" w:rsidRPr="00E33AC5" w14:paraId="63349355" w14:textId="77777777" w:rsidTr="00C84AF3">
        <w:tc>
          <w:tcPr>
            <w:tcW w:w="1307" w:type="dxa"/>
            <w:shd w:val="clear" w:color="auto" w:fill="F2F2F2" w:themeFill="background1" w:themeFillShade="F2"/>
          </w:tcPr>
          <w:p w14:paraId="2B25759A" w14:textId="77777777" w:rsidR="00C3032E" w:rsidRPr="005A08B9" w:rsidRDefault="00C3032E" w:rsidP="00C84AF3">
            <w:pPr>
              <w:spacing w:after="0"/>
              <w:rPr>
                <w:sz w:val="18"/>
                <w:szCs w:val="18"/>
                <w:lang w:val="en-GB"/>
              </w:rPr>
            </w:pPr>
            <w:r w:rsidRPr="005A08B9">
              <w:rPr>
                <w:sz w:val="18"/>
                <w:szCs w:val="18"/>
                <w:lang w:val="en-GB"/>
              </w:rPr>
              <w:t xml:space="preserve">Azerbaijan </w:t>
            </w:r>
          </w:p>
        </w:tc>
        <w:tc>
          <w:tcPr>
            <w:tcW w:w="928" w:type="dxa"/>
            <w:shd w:val="clear" w:color="auto" w:fill="F2F2F2" w:themeFill="background1" w:themeFillShade="F2"/>
          </w:tcPr>
          <w:p w14:paraId="571D699D" w14:textId="77777777" w:rsidR="00C3032E" w:rsidRPr="005A08B9" w:rsidRDefault="00C3032E" w:rsidP="00C84AF3">
            <w:pPr>
              <w:spacing w:after="0"/>
              <w:jc w:val="center"/>
              <w:rPr>
                <w:sz w:val="18"/>
                <w:szCs w:val="18"/>
                <w:lang w:val="en-GB"/>
              </w:rPr>
            </w:pPr>
            <w:r w:rsidRPr="005A08B9">
              <w:rPr>
                <w:sz w:val="18"/>
                <w:szCs w:val="18"/>
                <w:lang w:val="en-GB"/>
              </w:rPr>
              <w:t>0.5</w:t>
            </w:r>
          </w:p>
        </w:tc>
        <w:tc>
          <w:tcPr>
            <w:tcW w:w="708" w:type="dxa"/>
            <w:shd w:val="clear" w:color="auto" w:fill="F2F2F2" w:themeFill="background1" w:themeFillShade="F2"/>
          </w:tcPr>
          <w:p w14:paraId="1E698F9E" w14:textId="77777777" w:rsidR="00C3032E" w:rsidRPr="005A08B9" w:rsidRDefault="00C3032E" w:rsidP="00C84AF3">
            <w:pPr>
              <w:spacing w:after="0"/>
              <w:jc w:val="center"/>
              <w:rPr>
                <w:sz w:val="18"/>
                <w:szCs w:val="18"/>
                <w:lang w:val="en-GB"/>
              </w:rPr>
            </w:pPr>
            <w:r w:rsidRPr="005A08B9">
              <w:rPr>
                <w:sz w:val="18"/>
                <w:szCs w:val="18"/>
                <w:lang w:val="en-GB"/>
              </w:rPr>
              <w:t>2012</w:t>
            </w:r>
          </w:p>
        </w:tc>
        <w:tc>
          <w:tcPr>
            <w:tcW w:w="1985" w:type="dxa"/>
            <w:shd w:val="clear" w:color="auto" w:fill="F2F2F2" w:themeFill="background1" w:themeFillShade="F2"/>
          </w:tcPr>
          <w:p w14:paraId="52B7633C" w14:textId="77777777" w:rsidR="00C3032E" w:rsidRPr="005A08B9" w:rsidRDefault="00C3032E" w:rsidP="00C84AF3">
            <w:pPr>
              <w:spacing w:after="0"/>
              <w:jc w:val="center"/>
              <w:rPr>
                <w:sz w:val="18"/>
                <w:szCs w:val="18"/>
                <w:lang w:val="en-GB"/>
              </w:rPr>
            </w:pPr>
            <w:r w:rsidRPr="005A08B9">
              <w:rPr>
                <w:sz w:val="18"/>
                <w:szCs w:val="18"/>
                <w:lang w:val="en-GB"/>
              </w:rPr>
              <w:t>2015 – NC3</w:t>
            </w:r>
          </w:p>
        </w:tc>
        <w:tc>
          <w:tcPr>
            <w:tcW w:w="4427" w:type="dxa"/>
            <w:shd w:val="clear" w:color="auto" w:fill="F2F2F2" w:themeFill="background1" w:themeFillShade="F2"/>
          </w:tcPr>
          <w:p w14:paraId="6066CF89" w14:textId="77777777" w:rsidR="00C3032E" w:rsidRPr="005A08B9" w:rsidRDefault="00C3032E" w:rsidP="00C84AF3">
            <w:pPr>
              <w:spacing w:after="0"/>
              <w:rPr>
                <w:sz w:val="18"/>
                <w:szCs w:val="18"/>
                <w:lang w:val="en-GB"/>
              </w:rPr>
            </w:pPr>
            <w:r w:rsidRPr="005A08B9">
              <w:rPr>
                <w:sz w:val="18"/>
                <w:szCs w:val="18"/>
                <w:lang w:val="en-GB"/>
              </w:rPr>
              <w:t>Tier 1</w:t>
            </w:r>
          </w:p>
        </w:tc>
      </w:tr>
      <w:tr w:rsidR="00C3032E" w:rsidRPr="00E33AC5" w14:paraId="6D654898" w14:textId="77777777" w:rsidTr="00C84AF3">
        <w:tc>
          <w:tcPr>
            <w:tcW w:w="1307" w:type="dxa"/>
            <w:shd w:val="clear" w:color="auto" w:fill="F2F2F2" w:themeFill="background1" w:themeFillShade="F2"/>
          </w:tcPr>
          <w:p w14:paraId="7305188A" w14:textId="77777777" w:rsidR="00C3032E" w:rsidRPr="005A08B9" w:rsidRDefault="00C3032E" w:rsidP="00C84AF3">
            <w:pPr>
              <w:spacing w:after="0"/>
              <w:rPr>
                <w:sz w:val="18"/>
                <w:szCs w:val="18"/>
                <w:lang w:val="en-GB"/>
              </w:rPr>
            </w:pPr>
            <w:r w:rsidRPr="005A08B9">
              <w:rPr>
                <w:sz w:val="18"/>
                <w:szCs w:val="18"/>
                <w:lang w:val="en-GB"/>
              </w:rPr>
              <w:t xml:space="preserve">Kazakhstan </w:t>
            </w:r>
          </w:p>
        </w:tc>
        <w:tc>
          <w:tcPr>
            <w:tcW w:w="928" w:type="dxa"/>
            <w:shd w:val="clear" w:color="auto" w:fill="F2F2F2" w:themeFill="background1" w:themeFillShade="F2"/>
          </w:tcPr>
          <w:p w14:paraId="258B5F38" w14:textId="77777777" w:rsidR="00C3032E" w:rsidRPr="005A08B9" w:rsidRDefault="00C3032E" w:rsidP="00C84AF3">
            <w:pPr>
              <w:spacing w:after="0"/>
              <w:jc w:val="center"/>
              <w:rPr>
                <w:sz w:val="18"/>
                <w:szCs w:val="18"/>
                <w:lang w:val="en-GB"/>
              </w:rPr>
            </w:pPr>
            <w:r w:rsidRPr="005A08B9">
              <w:rPr>
                <w:sz w:val="18"/>
                <w:szCs w:val="18"/>
                <w:lang w:val="en-GB"/>
              </w:rPr>
              <w:t>0.3</w:t>
            </w:r>
          </w:p>
        </w:tc>
        <w:tc>
          <w:tcPr>
            <w:tcW w:w="708" w:type="dxa"/>
            <w:shd w:val="clear" w:color="auto" w:fill="F2F2F2" w:themeFill="background1" w:themeFillShade="F2"/>
          </w:tcPr>
          <w:p w14:paraId="6ED0AF33" w14:textId="77777777" w:rsidR="00C3032E" w:rsidRPr="005A08B9" w:rsidRDefault="00C3032E" w:rsidP="00C84AF3">
            <w:pPr>
              <w:spacing w:after="0"/>
              <w:jc w:val="center"/>
              <w:rPr>
                <w:sz w:val="18"/>
                <w:szCs w:val="18"/>
                <w:lang w:val="en-GB"/>
              </w:rPr>
            </w:pPr>
            <w:r w:rsidRPr="005A08B9">
              <w:rPr>
                <w:sz w:val="18"/>
                <w:szCs w:val="18"/>
                <w:lang w:val="en-GB"/>
              </w:rPr>
              <w:t>2015</w:t>
            </w:r>
          </w:p>
        </w:tc>
        <w:tc>
          <w:tcPr>
            <w:tcW w:w="1985" w:type="dxa"/>
            <w:shd w:val="clear" w:color="auto" w:fill="F2F2F2" w:themeFill="background1" w:themeFillShade="F2"/>
          </w:tcPr>
          <w:p w14:paraId="56DE18C9" w14:textId="77777777" w:rsidR="00C3032E" w:rsidRPr="005A08B9" w:rsidRDefault="00C3032E" w:rsidP="00DA4275">
            <w:pPr>
              <w:spacing w:after="0"/>
              <w:jc w:val="center"/>
              <w:rPr>
                <w:sz w:val="18"/>
                <w:szCs w:val="18"/>
                <w:lang w:val="en-GB"/>
              </w:rPr>
            </w:pPr>
            <w:r w:rsidRPr="005A08B9">
              <w:rPr>
                <w:sz w:val="18"/>
                <w:szCs w:val="18"/>
                <w:lang w:val="en-GB"/>
              </w:rPr>
              <w:t>201</w:t>
            </w:r>
            <w:r w:rsidR="00DA4275">
              <w:rPr>
                <w:sz w:val="18"/>
                <w:szCs w:val="18"/>
                <w:lang w:val="en-GB"/>
              </w:rPr>
              <w:t>8</w:t>
            </w:r>
            <w:r w:rsidRPr="005A08B9">
              <w:rPr>
                <w:sz w:val="18"/>
                <w:szCs w:val="18"/>
                <w:lang w:val="en-GB"/>
              </w:rPr>
              <w:t xml:space="preserve"> – NIR</w:t>
            </w:r>
          </w:p>
        </w:tc>
        <w:tc>
          <w:tcPr>
            <w:tcW w:w="4427" w:type="dxa"/>
            <w:shd w:val="clear" w:color="auto" w:fill="F2F2F2" w:themeFill="background1" w:themeFillShade="F2"/>
          </w:tcPr>
          <w:p w14:paraId="2169A82B" w14:textId="77777777" w:rsidR="00C3032E" w:rsidRPr="005A08B9" w:rsidRDefault="00C3032E" w:rsidP="00C84AF3">
            <w:pPr>
              <w:spacing w:after="0"/>
              <w:rPr>
                <w:sz w:val="18"/>
                <w:szCs w:val="18"/>
                <w:lang w:val="en-GB"/>
              </w:rPr>
            </w:pPr>
            <w:r w:rsidRPr="005A08B9">
              <w:rPr>
                <w:sz w:val="18"/>
                <w:szCs w:val="18"/>
                <w:lang w:val="en-GB"/>
              </w:rPr>
              <w:t>Tier 1</w:t>
            </w:r>
          </w:p>
        </w:tc>
      </w:tr>
    </w:tbl>
    <w:p w14:paraId="619EDA4A" w14:textId="77777777" w:rsidR="00C3032E" w:rsidRPr="005A08B9" w:rsidRDefault="00C3032E" w:rsidP="00C3032E">
      <w:pPr>
        <w:spacing w:before="120" w:after="0"/>
        <w:rPr>
          <w:sz w:val="16"/>
          <w:szCs w:val="16"/>
          <w:lang w:val="en-GB"/>
        </w:rPr>
      </w:pPr>
      <w:r w:rsidRPr="005A08B9">
        <w:rPr>
          <w:sz w:val="16"/>
          <w:szCs w:val="16"/>
          <w:lang w:val="en-GB"/>
        </w:rPr>
        <w:t xml:space="preserve">(*) NIR: National Inventory Report, annual by Annex 1 Parties, NC: National Communications (not annual) by non-Annex 1 Parties (NC3 means third submission).  </w:t>
      </w:r>
    </w:p>
    <w:p w14:paraId="3AD491CD" w14:textId="77777777" w:rsidR="006C76B7" w:rsidRDefault="006C76B7" w:rsidP="00851A79">
      <w:pPr>
        <w:rPr>
          <w:lang w:val="en-GB"/>
        </w:rPr>
      </w:pPr>
    </w:p>
    <w:p w14:paraId="16677F61" w14:textId="27993009" w:rsidR="00C3032E" w:rsidRDefault="00851A79" w:rsidP="00851A79">
      <w:pPr>
        <w:rPr>
          <w:lang w:val="en-GB"/>
        </w:rPr>
      </w:pPr>
      <w:r>
        <w:rPr>
          <w:lang w:val="en-GB"/>
        </w:rPr>
        <w:t xml:space="preserve">The predominant use of Tier 1 methods outside North America and the EU comes from the lack of empirical studies of methane emissions. </w:t>
      </w:r>
      <w:r w:rsidR="00C3032E" w:rsidRPr="00431474">
        <w:rPr>
          <w:lang w:val="en-GB"/>
        </w:rPr>
        <w:t xml:space="preserve">Over </w:t>
      </w:r>
      <w:r w:rsidR="00C3032E">
        <w:rPr>
          <w:lang w:val="en-GB"/>
        </w:rPr>
        <w:t>time</w:t>
      </w:r>
      <w:r w:rsidR="00204D12">
        <w:rPr>
          <w:lang w:val="en-GB"/>
        </w:rPr>
        <w:t>,</w:t>
      </w:r>
      <w:r w:rsidR="00C3032E">
        <w:rPr>
          <w:lang w:val="en-GB"/>
        </w:rPr>
        <w:t xml:space="preserve"> </w:t>
      </w:r>
      <w:r w:rsidR="00C3032E" w:rsidRPr="00431474">
        <w:rPr>
          <w:lang w:val="en-GB"/>
        </w:rPr>
        <w:t>new technologies to locate and measure methane emissions (see Annex 2) and a number of initiatives</w:t>
      </w:r>
      <w:r w:rsidR="003B1CBE">
        <w:rPr>
          <w:lang w:val="en-GB"/>
        </w:rPr>
        <w:t xml:space="preserve"> (see Box 3-1)</w:t>
      </w:r>
      <w:r w:rsidR="00C3032E">
        <w:rPr>
          <w:lang w:val="en-GB"/>
        </w:rPr>
        <w:t xml:space="preserve"> </w:t>
      </w:r>
      <w:r w:rsidR="00204D12">
        <w:rPr>
          <w:lang w:val="en-GB"/>
        </w:rPr>
        <w:t xml:space="preserve">to measure and report emissions </w:t>
      </w:r>
      <w:r w:rsidR="00B958BD">
        <w:rPr>
          <w:lang w:val="en-GB"/>
        </w:rPr>
        <w:t xml:space="preserve">in a number of countries </w:t>
      </w:r>
      <w:r w:rsidR="00C3032E" w:rsidRPr="00431474">
        <w:rPr>
          <w:lang w:val="en-GB"/>
        </w:rPr>
        <w:t>should create a basis for making more accurate estimates</w:t>
      </w:r>
      <w:r w:rsidR="00C3032E">
        <w:rPr>
          <w:lang w:val="en-GB"/>
        </w:rPr>
        <w:t xml:space="preserve"> for countries which currently </w:t>
      </w:r>
      <w:r w:rsidR="00204D12">
        <w:rPr>
          <w:lang w:val="en-GB"/>
        </w:rPr>
        <w:t xml:space="preserve">use </w:t>
      </w:r>
      <w:r w:rsidR="00C3032E">
        <w:rPr>
          <w:lang w:val="en-GB"/>
        </w:rPr>
        <w:t xml:space="preserve">Tier 1 “default emission factors”. </w:t>
      </w:r>
    </w:p>
    <w:p w14:paraId="1B8E596C" w14:textId="77777777" w:rsidR="00C3032E" w:rsidRDefault="00C3032E" w:rsidP="00C3032E">
      <w:pPr>
        <w:spacing w:before="120" w:after="0"/>
        <w:rPr>
          <w:lang w:val="en-GB"/>
        </w:rPr>
      </w:pPr>
      <w:r>
        <w:rPr>
          <w:lang w:val="en-GB"/>
        </w:rPr>
        <w:t xml:space="preserve">In addition to national inventories being reported to </w:t>
      </w:r>
      <w:r w:rsidR="00204D12">
        <w:rPr>
          <w:lang w:val="en-GB"/>
        </w:rPr>
        <w:t xml:space="preserve">the </w:t>
      </w:r>
      <w:r>
        <w:rPr>
          <w:lang w:val="en-GB"/>
        </w:rPr>
        <w:t>UNFCCC</w:t>
      </w:r>
      <w:r w:rsidR="00204D12">
        <w:rPr>
          <w:lang w:val="en-GB"/>
        </w:rPr>
        <w:t>,</w:t>
      </w:r>
      <w:r>
        <w:rPr>
          <w:lang w:val="en-GB"/>
        </w:rPr>
        <w:t xml:space="preserve"> a number of other institutions/sources are publishing aggregate methane emissions estimates. These sources have estimates which often diverge considerably among themselves and relative to UNFCCC data (see Figure 2.1). </w:t>
      </w:r>
    </w:p>
    <w:p w14:paraId="0F63A566" w14:textId="77777777" w:rsidR="006C76B7" w:rsidRDefault="006C76B7" w:rsidP="00C3032E">
      <w:pPr>
        <w:pStyle w:val="Caption"/>
        <w:spacing w:before="120" w:after="0" w:line="276" w:lineRule="auto"/>
        <w:rPr>
          <w:lang w:val="en-GB"/>
        </w:rPr>
      </w:pPr>
      <w:bookmarkStart w:id="33" w:name="_Ref485815900"/>
      <w:bookmarkStart w:id="34" w:name="_Ref492563375"/>
    </w:p>
    <w:p w14:paraId="3F094C04" w14:textId="2C77EA48" w:rsidR="00C3032E" w:rsidRPr="00422A31" w:rsidRDefault="00C3032E" w:rsidP="00C3032E">
      <w:pPr>
        <w:pStyle w:val="Caption"/>
        <w:spacing w:before="120" w:after="0" w:line="276" w:lineRule="auto"/>
        <w:rPr>
          <w:lang w:val="en-GB"/>
        </w:rPr>
      </w:pPr>
      <w:r w:rsidRPr="00422A31">
        <w:rPr>
          <w:lang w:val="en-GB"/>
        </w:rPr>
        <w:t>Figure 2.</w:t>
      </w:r>
      <w:r>
        <w:rPr>
          <w:lang w:val="en-GB"/>
        </w:rPr>
        <w:t>1</w:t>
      </w:r>
      <w:bookmarkEnd w:id="33"/>
      <w:r w:rsidRPr="00422A31">
        <w:rPr>
          <w:lang w:val="en-GB"/>
        </w:rPr>
        <w:t>: Range of methane emissions estimates for selected ECE countries</w:t>
      </w:r>
      <w:bookmarkEnd w:id="34"/>
      <w:r w:rsidR="003C6641">
        <w:rPr>
          <w:rStyle w:val="FootnoteReference"/>
          <w:lang w:val="en-GB"/>
        </w:rPr>
        <w:footnoteReference w:id="15"/>
      </w:r>
    </w:p>
    <w:p w14:paraId="7D86C123" w14:textId="78682356" w:rsidR="00C3032E" w:rsidRPr="006C76B7" w:rsidRDefault="003C6641" w:rsidP="006C76B7">
      <w:pPr>
        <w:spacing w:before="120" w:after="0"/>
        <w:rPr>
          <w:lang w:val="en-GB"/>
        </w:rPr>
      </w:pPr>
      <w:r>
        <w:rPr>
          <w:noProof/>
          <w:lang w:eastAsia="nb-NO"/>
        </w:rPr>
        <w:drawing>
          <wp:inline distT="0" distB="0" distL="0" distR="0" wp14:anchorId="634E2F28" wp14:editId="16027C52">
            <wp:extent cx="4352925" cy="2165302"/>
            <wp:effectExtent l="0" t="0" r="0" b="50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25" cy="2165302"/>
                    </a:xfrm>
                    <a:prstGeom prst="rect">
                      <a:avLst/>
                    </a:prstGeom>
                    <a:noFill/>
                  </pic:spPr>
                </pic:pic>
              </a:graphicData>
            </a:graphic>
          </wp:inline>
        </w:drawing>
      </w:r>
      <w:r w:rsidR="00C3032E" w:rsidRPr="004A6D31">
        <w:rPr>
          <w:color w:val="3CD289" w:themeColor="accent6" w:themeTint="99"/>
          <w:sz w:val="16"/>
          <w:szCs w:val="16"/>
          <w:lang w:val="en-GB"/>
        </w:rPr>
        <w:t>Sources: See Box 2-2</w:t>
      </w:r>
    </w:p>
    <w:p w14:paraId="35AC691B" w14:textId="77777777" w:rsidR="00C3032E" w:rsidRDefault="00C3032E" w:rsidP="00C3032E">
      <w:pPr>
        <w:spacing w:before="120" w:after="0"/>
        <w:rPr>
          <w:lang w:val="en-GB"/>
        </w:rPr>
      </w:pPr>
      <w:r>
        <w:rPr>
          <w:lang w:val="en-GB"/>
        </w:rPr>
        <w:t xml:space="preserve">Institutions publishing </w:t>
      </w:r>
      <w:r w:rsidR="00FF7725">
        <w:rPr>
          <w:lang w:val="en-GB"/>
        </w:rPr>
        <w:t xml:space="preserve">estimated </w:t>
      </w:r>
      <w:r>
        <w:rPr>
          <w:lang w:val="en-GB"/>
        </w:rPr>
        <w:t xml:space="preserve">methane emissions make use of UNFCCC data but typically in combination with </w:t>
      </w:r>
      <w:r w:rsidR="00FF7725">
        <w:rPr>
          <w:lang w:val="en-GB"/>
        </w:rPr>
        <w:t xml:space="preserve">their </w:t>
      </w:r>
      <w:r>
        <w:rPr>
          <w:lang w:val="en-GB"/>
        </w:rPr>
        <w:t>own estimates in cases when</w:t>
      </w:r>
      <w:r w:rsidRPr="007053FA">
        <w:rPr>
          <w:lang w:val="en-GB"/>
        </w:rPr>
        <w:t xml:space="preserve"> consisten</w:t>
      </w:r>
      <w:r w:rsidR="00FF7725">
        <w:rPr>
          <w:lang w:val="en-GB"/>
        </w:rPr>
        <w:t>cy</w:t>
      </w:r>
      <w:r w:rsidRPr="007053FA">
        <w:rPr>
          <w:lang w:val="en-GB"/>
        </w:rPr>
        <w:t xml:space="preserve"> </w:t>
      </w:r>
      <w:r>
        <w:rPr>
          <w:lang w:val="en-GB"/>
        </w:rPr>
        <w:t xml:space="preserve">in </w:t>
      </w:r>
      <w:r w:rsidRPr="007053FA">
        <w:rPr>
          <w:lang w:val="en-GB"/>
        </w:rPr>
        <w:t>method</w:t>
      </w:r>
      <w:r>
        <w:rPr>
          <w:lang w:val="en-GB"/>
        </w:rPr>
        <w:t>s and level of specification</w:t>
      </w:r>
      <w:r w:rsidRPr="007053FA">
        <w:rPr>
          <w:lang w:val="en-GB"/>
        </w:rPr>
        <w:t xml:space="preserve"> </w:t>
      </w:r>
      <w:r w:rsidRPr="007053FA">
        <w:rPr>
          <w:lang w:val="en-GB"/>
        </w:rPr>
        <w:lastRenderedPageBreak/>
        <w:t xml:space="preserve">across </w:t>
      </w:r>
      <w:r>
        <w:rPr>
          <w:lang w:val="en-GB"/>
        </w:rPr>
        <w:t xml:space="preserve">sectors is important. </w:t>
      </w:r>
      <w:r w:rsidRPr="007053FA">
        <w:rPr>
          <w:lang w:val="en-GB"/>
        </w:rPr>
        <w:t xml:space="preserve">For </w:t>
      </w:r>
      <w:bookmarkStart w:id="35" w:name="_Hlk3295770"/>
      <w:r w:rsidRPr="007053FA">
        <w:rPr>
          <w:lang w:val="en-GB"/>
        </w:rPr>
        <w:t>IIASA</w:t>
      </w:r>
      <w:bookmarkEnd w:id="35"/>
      <w:r w:rsidRPr="007053FA">
        <w:rPr>
          <w:lang w:val="en-GB"/>
        </w:rPr>
        <w:t xml:space="preserve">, for example, completeness and consistency in use of activity and emissions data, across sectors and countries, is essential for modelling purposes, see Box 2-2. </w:t>
      </w:r>
    </w:p>
    <w:p w14:paraId="3249015C" w14:textId="77777777" w:rsidR="00C3032E" w:rsidRDefault="00C3032E" w:rsidP="00C3032E">
      <w:pPr>
        <w:spacing w:before="120" w:after="0"/>
        <w:rPr>
          <w:lang w:val="en-GB"/>
        </w:rPr>
      </w:pPr>
      <w:r w:rsidRPr="007053FA">
        <w:rPr>
          <w:lang w:val="en-GB"/>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9089"/>
      </w:tblGrid>
      <w:tr w:rsidR="00C3032E" w:rsidRPr="00104E87" w14:paraId="2FAD37E5" w14:textId="77777777" w:rsidTr="00C84AF3">
        <w:tc>
          <w:tcPr>
            <w:tcW w:w="9239" w:type="dxa"/>
            <w:shd w:val="clear" w:color="auto" w:fill="F2F2F2" w:themeFill="background1" w:themeFillShade="F2"/>
          </w:tcPr>
          <w:p w14:paraId="35C5E404" w14:textId="77777777" w:rsidR="00C3032E" w:rsidRPr="007A066C" w:rsidRDefault="00C3032E" w:rsidP="00C84AF3">
            <w:pPr>
              <w:spacing w:before="120" w:after="0" w:line="276" w:lineRule="auto"/>
              <w:rPr>
                <w:b/>
                <w:sz w:val="18"/>
                <w:szCs w:val="18"/>
                <w:lang w:val="en-GB"/>
              </w:rPr>
            </w:pPr>
            <w:r w:rsidRPr="007A066C">
              <w:rPr>
                <w:b/>
                <w:sz w:val="18"/>
                <w:szCs w:val="18"/>
                <w:lang w:val="en-GB"/>
              </w:rPr>
              <w:t xml:space="preserve">Box 2-2: Data sources for oil and gas sector methane emissions estimates </w:t>
            </w:r>
          </w:p>
          <w:p w14:paraId="03C92CC6" w14:textId="77777777" w:rsidR="00C3032E" w:rsidRPr="007A066C" w:rsidRDefault="00C3032E" w:rsidP="00C84AF3">
            <w:pPr>
              <w:spacing w:before="120" w:after="0" w:line="276" w:lineRule="auto"/>
              <w:rPr>
                <w:sz w:val="16"/>
                <w:szCs w:val="16"/>
                <w:lang w:val="en-GB"/>
              </w:rPr>
            </w:pPr>
            <w:r w:rsidRPr="007A066C">
              <w:rPr>
                <w:sz w:val="16"/>
                <w:szCs w:val="16"/>
                <w:lang w:val="en-GB"/>
              </w:rPr>
              <w:t xml:space="preserve">Methane emissions estimates from five different institutions are presented in </w:t>
            </w:r>
            <w:r>
              <w:rPr>
                <w:sz w:val="16"/>
                <w:szCs w:val="16"/>
                <w:lang w:val="en-GB"/>
              </w:rPr>
              <w:t>this Chapter:</w:t>
            </w:r>
            <w:r w:rsidRPr="007A066C">
              <w:rPr>
                <w:sz w:val="16"/>
                <w:szCs w:val="16"/>
                <w:lang w:val="en-GB"/>
              </w:rPr>
              <w:t xml:space="preserve"> </w:t>
            </w:r>
          </w:p>
          <w:p w14:paraId="57C747B3" w14:textId="77777777" w:rsidR="00C3032E" w:rsidRPr="007A066C" w:rsidRDefault="00C3032E" w:rsidP="00C84AF3">
            <w:pPr>
              <w:spacing w:before="120" w:after="0" w:line="276" w:lineRule="auto"/>
              <w:rPr>
                <w:sz w:val="16"/>
                <w:szCs w:val="16"/>
                <w:lang w:val="en-GB"/>
              </w:rPr>
            </w:pPr>
            <w:r w:rsidRPr="007A066C">
              <w:rPr>
                <w:b/>
                <w:sz w:val="16"/>
                <w:szCs w:val="16"/>
                <w:lang w:val="en-GB"/>
              </w:rPr>
              <w:t>UNFCC data</w:t>
            </w:r>
            <w:r w:rsidRPr="007A066C">
              <w:rPr>
                <w:sz w:val="16"/>
                <w:szCs w:val="16"/>
                <w:lang w:val="en-GB"/>
              </w:rPr>
              <w:t xml:space="preserve"> (</w:t>
            </w:r>
            <w:r>
              <w:rPr>
                <w:sz w:val="16"/>
                <w:szCs w:val="16"/>
                <w:lang w:val="en-GB"/>
              </w:rPr>
              <w:t>link</w:t>
            </w:r>
            <w:r w:rsidRPr="007A066C">
              <w:rPr>
                <w:rStyle w:val="FootnoteReference"/>
                <w:sz w:val="16"/>
                <w:szCs w:val="16"/>
                <w:lang w:val="en-GB"/>
              </w:rPr>
              <w:footnoteRef/>
            </w:r>
            <w:r w:rsidRPr="007A066C">
              <w:rPr>
                <w:sz w:val="16"/>
                <w:szCs w:val="16"/>
                <w:lang w:val="en-GB"/>
              </w:rPr>
              <w:t xml:space="preserve">) include methane emissions from all countries that are parties to the Convention. Data coverage and quality, and regularity of data submissions vary, </w:t>
            </w:r>
            <w:r w:rsidR="00B958BD">
              <w:rPr>
                <w:sz w:val="16"/>
                <w:szCs w:val="16"/>
                <w:lang w:val="en-GB"/>
              </w:rPr>
              <w:t xml:space="preserve">historically </w:t>
            </w:r>
            <w:r w:rsidRPr="007A066C">
              <w:rPr>
                <w:sz w:val="16"/>
                <w:szCs w:val="16"/>
                <w:lang w:val="en-GB"/>
              </w:rPr>
              <w:t xml:space="preserve">with </w:t>
            </w:r>
            <w:r w:rsidR="00B958BD">
              <w:rPr>
                <w:sz w:val="16"/>
                <w:szCs w:val="16"/>
                <w:lang w:val="en-GB"/>
              </w:rPr>
              <w:t>different</w:t>
            </w:r>
            <w:r w:rsidR="00FF7725" w:rsidRPr="007A066C">
              <w:rPr>
                <w:sz w:val="16"/>
                <w:szCs w:val="16"/>
                <w:lang w:val="en-GB"/>
              </w:rPr>
              <w:t xml:space="preserve"> </w:t>
            </w:r>
            <w:r w:rsidRPr="007A066C">
              <w:rPr>
                <w:sz w:val="16"/>
                <w:szCs w:val="16"/>
                <w:lang w:val="en-GB"/>
              </w:rPr>
              <w:t>reporting requirements</w:t>
            </w:r>
            <w:r w:rsidR="00B958BD">
              <w:rPr>
                <w:sz w:val="16"/>
                <w:szCs w:val="16"/>
                <w:lang w:val="en-GB"/>
              </w:rPr>
              <w:t xml:space="preserve"> (e.g. in terms of frequency of reporting, time series reported)</w:t>
            </w:r>
            <w:r w:rsidRPr="007A066C">
              <w:rPr>
                <w:sz w:val="16"/>
                <w:szCs w:val="16"/>
                <w:lang w:val="en-GB"/>
              </w:rPr>
              <w:t xml:space="preserve"> for </w:t>
            </w:r>
            <w:r w:rsidR="00B958BD">
              <w:rPr>
                <w:sz w:val="16"/>
                <w:szCs w:val="16"/>
                <w:lang w:val="en-GB"/>
              </w:rPr>
              <w:t>Annex I</w:t>
            </w:r>
            <w:r w:rsidR="00B958BD" w:rsidRPr="007A066C">
              <w:rPr>
                <w:sz w:val="16"/>
                <w:szCs w:val="16"/>
                <w:lang w:val="en-GB"/>
              </w:rPr>
              <w:t xml:space="preserve"> </w:t>
            </w:r>
            <w:r w:rsidRPr="007A066C">
              <w:rPr>
                <w:sz w:val="16"/>
                <w:szCs w:val="16"/>
                <w:lang w:val="en-GB"/>
              </w:rPr>
              <w:t xml:space="preserve">than </w:t>
            </w:r>
            <w:r w:rsidR="00B958BD">
              <w:rPr>
                <w:sz w:val="16"/>
                <w:szCs w:val="16"/>
                <w:lang w:val="en-GB"/>
              </w:rPr>
              <w:t>non-Annex</w:t>
            </w:r>
            <w:r w:rsidR="00B958BD" w:rsidRPr="007A066C">
              <w:rPr>
                <w:sz w:val="16"/>
                <w:szCs w:val="16"/>
                <w:lang w:val="en-GB"/>
              </w:rPr>
              <w:t xml:space="preserve"> </w:t>
            </w:r>
            <w:r w:rsidR="00B958BD">
              <w:rPr>
                <w:sz w:val="16"/>
                <w:szCs w:val="16"/>
                <w:lang w:val="en-GB"/>
              </w:rPr>
              <w:t xml:space="preserve">I </w:t>
            </w:r>
            <w:r w:rsidRPr="007A066C">
              <w:rPr>
                <w:sz w:val="16"/>
                <w:szCs w:val="16"/>
                <w:lang w:val="en-GB"/>
              </w:rPr>
              <w:t>countries. As shown in Table 2.1</w:t>
            </w:r>
            <w:r w:rsidR="00FF7725">
              <w:rPr>
                <w:sz w:val="16"/>
                <w:szCs w:val="16"/>
                <w:lang w:val="en-GB"/>
              </w:rPr>
              <w:t>,</w:t>
            </w:r>
            <w:r w:rsidRPr="007A066C">
              <w:rPr>
                <w:sz w:val="16"/>
                <w:szCs w:val="16"/>
                <w:lang w:val="en-GB"/>
              </w:rPr>
              <w:t xml:space="preserve"> several countries with large emissions (e.g. Uzbekistan, Turkmenistan and Azerbaijan) have only reported data for 2012 or earlier.</w:t>
            </w:r>
          </w:p>
          <w:p w14:paraId="13167878" w14:textId="77777777" w:rsidR="00C3032E" w:rsidRPr="007A066C" w:rsidRDefault="00C3032E" w:rsidP="00C84AF3">
            <w:pPr>
              <w:spacing w:before="120" w:after="0" w:line="276" w:lineRule="auto"/>
              <w:rPr>
                <w:sz w:val="16"/>
                <w:szCs w:val="16"/>
                <w:lang w:val="en-GB"/>
              </w:rPr>
            </w:pPr>
            <w:bookmarkStart w:id="36" w:name="_Hlk3295897"/>
            <w:r w:rsidRPr="007A066C">
              <w:rPr>
                <w:sz w:val="16"/>
                <w:szCs w:val="16"/>
                <w:lang w:val="en-GB"/>
              </w:rPr>
              <w:t xml:space="preserve">Emissions Database for Global Atmospheric Research </w:t>
            </w:r>
            <w:bookmarkEnd w:id="36"/>
            <w:r w:rsidRPr="007A066C">
              <w:rPr>
                <w:sz w:val="16"/>
                <w:szCs w:val="16"/>
                <w:lang w:val="en-GB"/>
              </w:rPr>
              <w:t>(</w:t>
            </w:r>
            <w:r w:rsidRPr="007A066C">
              <w:rPr>
                <w:b/>
                <w:sz w:val="16"/>
                <w:szCs w:val="16"/>
                <w:lang w:val="en-GB"/>
              </w:rPr>
              <w:t>EDGAR</w:t>
            </w:r>
            <w:r w:rsidRPr="007A066C">
              <w:rPr>
                <w:sz w:val="16"/>
                <w:szCs w:val="16"/>
                <w:lang w:val="en-GB"/>
              </w:rPr>
              <w:t>),</w:t>
            </w:r>
            <w:r>
              <w:rPr>
                <w:sz w:val="16"/>
                <w:szCs w:val="16"/>
                <w:lang w:val="en-GB"/>
              </w:rPr>
              <w:t xml:space="preserve"> a joint research project of the EU Commission and Netherlands Environmental Agency, calculated emissions of greenhouse gases and a number of other pollutants (</w:t>
            </w:r>
            <w:hyperlink r:id="rId13" w:history="1">
              <w:r w:rsidRPr="00273AB7">
                <w:rPr>
                  <w:rStyle w:val="Hyperlink"/>
                  <w:sz w:val="16"/>
                  <w:szCs w:val="16"/>
                  <w:lang w:val="en-GB"/>
                </w:rPr>
                <w:t>http://edgar.jrc.ec.europa.eu/overview.php?v=432#</w:t>
              </w:r>
            </w:hyperlink>
            <w:r>
              <w:rPr>
                <w:sz w:val="16"/>
                <w:szCs w:val="16"/>
                <w:lang w:val="en-GB"/>
              </w:rPr>
              <w:t>)</w:t>
            </w:r>
            <w:r w:rsidR="00B958BD">
              <w:rPr>
                <w:sz w:val="16"/>
                <w:szCs w:val="16"/>
                <w:lang w:val="en-GB"/>
              </w:rPr>
              <w:t>, often using data from UNFCCC</w:t>
            </w:r>
            <w:r>
              <w:rPr>
                <w:sz w:val="16"/>
                <w:szCs w:val="16"/>
                <w:lang w:val="en-GB"/>
              </w:rPr>
              <w:t xml:space="preserve">. Activity data are taken from a large number of statistical sources, however with little insight into emission factors being used. </w:t>
            </w:r>
          </w:p>
          <w:p w14:paraId="60185049" w14:textId="77777777" w:rsidR="00C3032E" w:rsidRPr="007A066C" w:rsidRDefault="00C3032E" w:rsidP="00C84AF3">
            <w:pPr>
              <w:spacing w:before="120" w:after="0" w:line="276" w:lineRule="auto"/>
              <w:rPr>
                <w:sz w:val="16"/>
                <w:szCs w:val="16"/>
                <w:lang w:val="en-GB"/>
              </w:rPr>
            </w:pPr>
            <w:r w:rsidRPr="00AB0751">
              <w:rPr>
                <w:sz w:val="16"/>
                <w:szCs w:val="16"/>
                <w:lang w:val="en-GB"/>
              </w:rPr>
              <w:t>The International Institute for Applied Systems Analysis</w:t>
            </w:r>
            <w:r>
              <w:rPr>
                <w:b/>
                <w:sz w:val="16"/>
                <w:szCs w:val="16"/>
                <w:lang w:val="en-GB"/>
              </w:rPr>
              <w:t xml:space="preserve"> (</w:t>
            </w:r>
            <w:r w:rsidRPr="007A066C">
              <w:rPr>
                <w:b/>
                <w:sz w:val="16"/>
                <w:szCs w:val="16"/>
                <w:lang w:val="en-GB"/>
              </w:rPr>
              <w:t>IIASA</w:t>
            </w:r>
            <w:r>
              <w:rPr>
                <w:b/>
                <w:sz w:val="16"/>
                <w:szCs w:val="16"/>
                <w:lang w:val="en-GB"/>
              </w:rPr>
              <w:t>)</w:t>
            </w:r>
            <w:r w:rsidRPr="007A066C">
              <w:rPr>
                <w:sz w:val="16"/>
                <w:szCs w:val="16"/>
                <w:lang w:val="en-GB"/>
              </w:rPr>
              <w:t xml:space="preserve"> </w:t>
            </w:r>
            <w:r>
              <w:rPr>
                <w:sz w:val="16"/>
                <w:szCs w:val="16"/>
                <w:lang w:val="en-GB"/>
              </w:rPr>
              <w:t>has compiled details methane emissions data being used among others in modelling work. The GAINS model being used for analysis of air pollution and GHG emissions have a detailed breakdown of country specific energy sector variables bases with related emissions factors. A number of sources are used including UNFCCC data, activity data from national and international statistics, and emission factors from IPCC and recent research literature.</w:t>
            </w:r>
          </w:p>
          <w:p w14:paraId="1FCCDF4E" w14:textId="77777777" w:rsidR="00C3032E" w:rsidRPr="007A066C" w:rsidRDefault="00C3032E" w:rsidP="00C84AF3">
            <w:pPr>
              <w:spacing w:before="120" w:after="0" w:line="276" w:lineRule="auto"/>
              <w:rPr>
                <w:sz w:val="16"/>
                <w:szCs w:val="16"/>
                <w:lang w:val="en-GB"/>
              </w:rPr>
            </w:pPr>
            <w:bookmarkStart w:id="37" w:name="_Hlk3295940"/>
            <w:r>
              <w:rPr>
                <w:sz w:val="16"/>
                <w:szCs w:val="16"/>
                <w:lang w:val="en-GB"/>
              </w:rPr>
              <w:t xml:space="preserve">The </w:t>
            </w:r>
            <w:r w:rsidRPr="007A066C">
              <w:rPr>
                <w:sz w:val="16"/>
                <w:szCs w:val="16"/>
                <w:lang w:val="en-GB"/>
              </w:rPr>
              <w:t xml:space="preserve">United States Environmental Protection Agency </w:t>
            </w:r>
            <w:bookmarkEnd w:id="37"/>
            <w:r w:rsidRPr="007A066C">
              <w:rPr>
                <w:sz w:val="16"/>
                <w:szCs w:val="16"/>
                <w:lang w:val="en-GB"/>
              </w:rPr>
              <w:t>(</w:t>
            </w:r>
            <w:r w:rsidRPr="007A066C">
              <w:rPr>
                <w:b/>
                <w:sz w:val="16"/>
                <w:szCs w:val="16"/>
                <w:lang w:val="en-GB"/>
              </w:rPr>
              <w:t>US EPA</w:t>
            </w:r>
            <w:r>
              <w:rPr>
                <w:b/>
                <w:sz w:val="16"/>
                <w:szCs w:val="16"/>
                <w:lang w:val="en-GB"/>
              </w:rPr>
              <w:t xml:space="preserve">) </w:t>
            </w:r>
            <w:r w:rsidRPr="00303D17">
              <w:rPr>
                <w:sz w:val="16"/>
                <w:szCs w:val="16"/>
                <w:lang w:val="en-GB"/>
              </w:rPr>
              <w:t xml:space="preserve">has </w:t>
            </w:r>
            <w:r w:rsidRPr="007A066C">
              <w:rPr>
                <w:sz w:val="16"/>
                <w:szCs w:val="16"/>
                <w:lang w:val="en-GB"/>
              </w:rPr>
              <w:t>publishe</w:t>
            </w:r>
            <w:r>
              <w:rPr>
                <w:sz w:val="16"/>
                <w:szCs w:val="16"/>
                <w:lang w:val="en-GB"/>
              </w:rPr>
              <w:t>d</w:t>
            </w:r>
            <w:r w:rsidRPr="007A066C">
              <w:rPr>
                <w:sz w:val="16"/>
                <w:szCs w:val="16"/>
                <w:lang w:val="en-GB"/>
              </w:rPr>
              <w:t xml:space="preserve"> methane emissions data as part of </w:t>
            </w:r>
            <w:r>
              <w:rPr>
                <w:sz w:val="16"/>
                <w:szCs w:val="16"/>
                <w:lang w:val="en-GB"/>
              </w:rPr>
              <w:t>t</w:t>
            </w:r>
            <w:r w:rsidRPr="007A066C">
              <w:rPr>
                <w:sz w:val="16"/>
                <w:szCs w:val="16"/>
                <w:lang w:val="en-GB"/>
              </w:rPr>
              <w:t>he International Emissions and Projections, 2010-2030</w:t>
            </w:r>
            <w:r>
              <w:rPr>
                <w:sz w:val="16"/>
                <w:szCs w:val="16"/>
                <w:lang w:val="en-GB"/>
              </w:rPr>
              <w:t xml:space="preserve"> (</w:t>
            </w:r>
            <w:hyperlink r:id="rId14" w:history="1">
              <w:r w:rsidRPr="007A066C">
                <w:rPr>
                  <w:rStyle w:val="Hyperlink"/>
                  <w:color w:val="808080" w:themeColor="background1" w:themeShade="80"/>
                  <w:sz w:val="16"/>
                  <w:szCs w:val="16"/>
                  <w:lang w:val="en-GB"/>
                </w:rPr>
                <w:t>https://www.epa.gov/global-mitigation-non-co2-greenhouse-gases</w:t>
              </w:r>
            </w:hyperlink>
            <w:r>
              <w:rPr>
                <w:rStyle w:val="Hyperlink"/>
                <w:color w:val="808080" w:themeColor="background1" w:themeShade="80"/>
                <w:sz w:val="16"/>
                <w:szCs w:val="16"/>
                <w:lang w:val="en-GB"/>
              </w:rPr>
              <w:t>)</w:t>
            </w:r>
            <w:r w:rsidRPr="007A066C">
              <w:rPr>
                <w:rStyle w:val="Hyperlink"/>
                <w:color w:val="808080" w:themeColor="background1" w:themeShade="80"/>
                <w:sz w:val="16"/>
                <w:szCs w:val="16"/>
                <w:lang w:val="en-GB"/>
              </w:rPr>
              <w:t xml:space="preserve">. </w:t>
            </w:r>
            <w:r w:rsidRPr="007A066C">
              <w:rPr>
                <w:sz w:val="16"/>
                <w:szCs w:val="16"/>
                <w:lang w:val="en-GB"/>
              </w:rPr>
              <w:t xml:space="preserve"> </w:t>
            </w:r>
            <w:r>
              <w:rPr>
                <w:sz w:val="16"/>
                <w:szCs w:val="16"/>
                <w:lang w:val="en-GB"/>
              </w:rPr>
              <w:t xml:space="preserve">The data are a combination of </w:t>
            </w:r>
            <w:r w:rsidRPr="007A066C">
              <w:rPr>
                <w:sz w:val="16"/>
                <w:szCs w:val="16"/>
                <w:lang w:val="en-GB"/>
              </w:rPr>
              <w:t xml:space="preserve">country-reported inventory submissions to the UNFCCC and calculations </w:t>
            </w:r>
            <w:r>
              <w:rPr>
                <w:sz w:val="16"/>
                <w:szCs w:val="16"/>
                <w:lang w:val="en-GB"/>
              </w:rPr>
              <w:t>based in IPCC Tier 1 methodologies to fill in for missing or unavailable data.</w:t>
            </w:r>
            <w:r w:rsidRPr="007A066C">
              <w:rPr>
                <w:sz w:val="16"/>
                <w:szCs w:val="16"/>
                <w:lang w:val="en-GB"/>
              </w:rPr>
              <w:t xml:space="preserve"> </w:t>
            </w:r>
          </w:p>
          <w:p w14:paraId="119F8490" w14:textId="77777777" w:rsidR="00C3032E" w:rsidRDefault="00C3032E" w:rsidP="00C84AF3">
            <w:pPr>
              <w:spacing w:before="120" w:after="0" w:line="276" w:lineRule="auto"/>
              <w:rPr>
                <w:lang w:val="en-GB"/>
              </w:rPr>
            </w:pPr>
            <w:r>
              <w:rPr>
                <w:sz w:val="16"/>
                <w:szCs w:val="16"/>
                <w:lang w:val="en-GB"/>
              </w:rPr>
              <w:t>The International Energy Agency (</w:t>
            </w:r>
            <w:r w:rsidRPr="00303D17">
              <w:rPr>
                <w:b/>
                <w:sz w:val="16"/>
                <w:szCs w:val="16"/>
                <w:lang w:val="en-GB"/>
              </w:rPr>
              <w:t>IEA</w:t>
            </w:r>
            <w:r>
              <w:rPr>
                <w:sz w:val="16"/>
                <w:szCs w:val="16"/>
                <w:lang w:val="en-GB"/>
              </w:rPr>
              <w:t>)</w:t>
            </w:r>
            <w:r w:rsidRPr="007A066C">
              <w:rPr>
                <w:sz w:val="16"/>
                <w:szCs w:val="16"/>
                <w:lang w:val="en-GB"/>
              </w:rPr>
              <w:t xml:space="preserve"> </w:t>
            </w:r>
            <w:r>
              <w:rPr>
                <w:sz w:val="16"/>
                <w:szCs w:val="16"/>
                <w:lang w:val="en-GB"/>
              </w:rPr>
              <w:t xml:space="preserve">prepared a database and published global methane emissions data as part of the </w:t>
            </w:r>
            <w:r w:rsidRPr="007A066C">
              <w:rPr>
                <w:sz w:val="16"/>
                <w:szCs w:val="16"/>
                <w:lang w:val="en-GB"/>
              </w:rPr>
              <w:t>World Energy Outlook</w:t>
            </w:r>
            <w:r>
              <w:rPr>
                <w:sz w:val="16"/>
                <w:szCs w:val="16"/>
                <w:lang w:val="en-GB"/>
              </w:rPr>
              <w:t xml:space="preserve"> </w:t>
            </w:r>
            <w:r w:rsidRPr="007A066C">
              <w:rPr>
                <w:sz w:val="16"/>
                <w:szCs w:val="16"/>
                <w:lang w:val="en-GB"/>
              </w:rPr>
              <w:t>2017</w:t>
            </w:r>
            <w:r>
              <w:rPr>
                <w:sz w:val="16"/>
                <w:szCs w:val="16"/>
                <w:lang w:val="en-GB"/>
              </w:rPr>
              <w:t xml:space="preserve"> (</w:t>
            </w:r>
            <w:hyperlink r:id="rId15" w:history="1">
              <w:r w:rsidRPr="00551817">
                <w:rPr>
                  <w:sz w:val="16"/>
                  <w:szCs w:val="16"/>
                  <w:lang w:val="en-GB"/>
                </w:rPr>
                <w:t>https://www.iea.org/weo2017/</w:t>
              </w:r>
            </w:hyperlink>
            <w:r>
              <w:rPr>
                <w:sz w:val="16"/>
                <w:szCs w:val="16"/>
                <w:lang w:val="en-GB"/>
              </w:rPr>
              <w:t xml:space="preserve">). The IEA estimates are based on a large number of data sources, including own survey of company and country emission intensities. </w:t>
            </w:r>
          </w:p>
        </w:tc>
      </w:tr>
    </w:tbl>
    <w:p w14:paraId="23460CC8" w14:textId="77777777" w:rsidR="00C3032E" w:rsidRDefault="00C3032E" w:rsidP="00C3032E">
      <w:pPr>
        <w:rPr>
          <w:lang w:val="en-US"/>
        </w:rPr>
      </w:pPr>
      <w:bookmarkStart w:id="38" w:name="_Toc521656531"/>
      <w:bookmarkStart w:id="39" w:name="_Toc531690981"/>
      <w:bookmarkStart w:id="40" w:name="_Toc531691027"/>
    </w:p>
    <w:p w14:paraId="51651E29" w14:textId="099245E1" w:rsidR="00C3032E" w:rsidRDefault="00FC6BB3" w:rsidP="00914480">
      <w:pPr>
        <w:spacing w:before="120" w:after="0"/>
        <w:rPr>
          <w:lang w:val="en-GB"/>
        </w:rPr>
      </w:pPr>
      <w:r w:rsidRPr="00914480">
        <w:rPr>
          <w:lang w:val="en-GB"/>
        </w:rPr>
        <w:t>In recent years, the natural gas</w:t>
      </w:r>
      <w:r w:rsidR="00B24749" w:rsidRPr="00914480">
        <w:rPr>
          <w:lang w:val="en-GB"/>
        </w:rPr>
        <w:t xml:space="preserve"> and oil</w:t>
      </w:r>
      <w:r w:rsidRPr="00914480">
        <w:rPr>
          <w:lang w:val="en-GB"/>
        </w:rPr>
        <w:t xml:space="preserve"> sector</w:t>
      </w:r>
      <w:r w:rsidR="00B24749" w:rsidRPr="00914480">
        <w:rPr>
          <w:lang w:val="en-GB"/>
        </w:rPr>
        <w:t xml:space="preserve">s </w:t>
      </w:r>
      <w:r w:rsidRPr="00914480">
        <w:rPr>
          <w:lang w:val="en-GB"/>
        </w:rPr>
        <w:t>ha</w:t>
      </w:r>
      <w:r w:rsidR="00B24749" w:rsidRPr="00914480">
        <w:rPr>
          <w:lang w:val="en-GB"/>
        </w:rPr>
        <w:t>ve</w:t>
      </w:r>
      <w:r w:rsidRPr="00914480">
        <w:rPr>
          <w:lang w:val="en-GB"/>
        </w:rPr>
        <w:t xml:space="preserve"> experienced significant growth and changes in industry practices. </w:t>
      </w:r>
      <w:r w:rsidR="00B24749" w:rsidRPr="00914480">
        <w:rPr>
          <w:lang w:val="en-GB"/>
        </w:rPr>
        <w:t>O</w:t>
      </w:r>
      <w:r w:rsidRPr="00914480">
        <w:rPr>
          <w:lang w:val="en-GB"/>
        </w:rPr>
        <w:t>nly recently have data become available to improve understanding of emissions for these sources. As expected, incorporating the newly available data has resulted in changes to emissions estimates for the oil and gas sector.</w:t>
      </w:r>
      <w:r w:rsidR="008E769B">
        <w:rPr>
          <w:lang w:val="en-GB"/>
        </w:rPr>
        <w:t xml:space="preserve"> </w:t>
      </w:r>
      <w:r w:rsidR="00B24749">
        <w:rPr>
          <w:lang w:val="en-GB"/>
        </w:rPr>
        <w:t xml:space="preserve">For example, incorporation of new data resulted in </w:t>
      </w:r>
      <w:r w:rsidR="00C3032E">
        <w:rPr>
          <w:lang w:val="en-GB"/>
        </w:rPr>
        <w:t xml:space="preserve">large retroactive revisions made in the emissions inventories for the United States and the Russian Federation. US methane emissions estimates for 2005 were </w:t>
      </w:r>
      <w:r w:rsidR="00C3032E" w:rsidRPr="000163E7">
        <w:rPr>
          <w:lang w:val="en-GB"/>
        </w:rPr>
        <w:t xml:space="preserve">6.3 Mt </w:t>
      </w:r>
      <w:r w:rsidR="00C3032E">
        <w:rPr>
          <w:lang w:val="en-GB"/>
        </w:rPr>
        <w:t xml:space="preserve">in the 2010 inventory report </w:t>
      </w:r>
      <w:r w:rsidR="00C3032E" w:rsidRPr="000163E7">
        <w:rPr>
          <w:lang w:val="en-GB"/>
        </w:rPr>
        <w:t xml:space="preserve">followed by an upward </w:t>
      </w:r>
      <w:r w:rsidR="00C3032E">
        <w:rPr>
          <w:lang w:val="en-GB"/>
        </w:rPr>
        <w:t xml:space="preserve">revision to </w:t>
      </w:r>
      <w:r w:rsidR="00C3032E" w:rsidRPr="000163E7">
        <w:rPr>
          <w:lang w:val="en-GB"/>
        </w:rPr>
        <w:t>10.</w:t>
      </w:r>
      <w:r w:rsidR="00C3032E">
        <w:rPr>
          <w:lang w:val="en-GB"/>
        </w:rPr>
        <w:t xml:space="preserve">3 Mt in the 2011 inventory report, and were brought down to </w:t>
      </w:r>
      <w:r w:rsidR="00C3032E" w:rsidRPr="007C3DFC">
        <w:rPr>
          <w:lang w:val="en-GB"/>
        </w:rPr>
        <w:t>8.2 Mt</w:t>
      </w:r>
      <w:r w:rsidR="00C3032E">
        <w:rPr>
          <w:lang w:val="en-GB"/>
        </w:rPr>
        <w:t xml:space="preserve"> in the 2017 inventory report</w:t>
      </w:r>
      <w:r w:rsidR="00914480">
        <w:rPr>
          <w:lang w:val="en-GB"/>
        </w:rPr>
        <w:t>.</w:t>
      </w:r>
      <w:r w:rsidR="004150E7">
        <w:rPr>
          <w:rStyle w:val="FootnoteReference"/>
          <w:lang w:val="en-GB"/>
        </w:rPr>
        <w:footnoteReference w:id="16"/>
      </w:r>
      <w:r w:rsidR="00C3032E">
        <w:rPr>
          <w:lang w:val="en-GB"/>
        </w:rPr>
        <w:t xml:space="preserve"> Similarly, at different intervals Russia </w:t>
      </w:r>
      <w:r>
        <w:rPr>
          <w:lang w:val="en-GB"/>
        </w:rPr>
        <w:t xml:space="preserve">has </w:t>
      </w:r>
      <w:r w:rsidR="00C3032E">
        <w:rPr>
          <w:lang w:val="en-GB"/>
        </w:rPr>
        <w:t>made large revisions</w:t>
      </w:r>
      <w:r>
        <w:rPr>
          <w:lang w:val="en-GB"/>
        </w:rPr>
        <w:t xml:space="preserve"> to its inventory</w:t>
      </w:r>
      <w:r w:rsidR="00C3032E">
        <w:rPr>
          <w:lang w:val="en-GB"/>
        </w:rPr>
        <w:t>. The 2014 Russian inventory reported 2012 emissions at 15.5 Mt, which in the 2017 inventory was increased to 25.3 Mt. In addition, there have been significant revisions to the split of methane emissions by supply chain segments in Russian inventories.</w:t>
      </w:r>
      <w:r w:rsidR="004150E7">
        <w:rPr>
          <w:rStyle w:val="FootnoteReference"/>
          <w:lang w:val="en-GB"/>
        </w:rPr>
        <w:footnoteReference w:id="17"/>
      </w:r>
      <w:r w:rsidR="00ED6E81" w:rsidRPr="00ED6E81">
        <w:rPr>
          <w:rStyle w:val="FootnoteReference"/>
          <w:lang w:val="en-GB"/>
        </w:rPr>
        <w:t xml:space="preserve"> </w:t>
      </w:r>
      <w:r w:rsidR="00C3032E">
        <w:rPr>
          <w:lang w:val="en-GB"/>
        </w:rPr>
        <w:t>All these changes reflect ongoing efforts to obtain more reliable primary data and improve the methods used for methane emissions quantification.</w:t>
      </w:r>
    </w:p>
    <w:p w14:paraId="2F42EC01" w14:textId="02EB62A2" w:rsidR="00C3032E" w:rsidRDefault="00C3032E" w:rsidP="00914480">
      <w:pPr>
        <w:spacing w:before="120" w:after="0"/>
        <w:rPr>
          <w:lang w:val="en-US"/>
        </w:rPr>
      </w:pPr>
      <w:r>
        <w:rPr>
          <w:lang w:val="en-US"/>
        </w:rPr>
        <w:t xml:space="preserve">The revisions </w:t>
      </w:r>
      <w:r w:rsidRPr="008A3C4C">
        <w:rPr>
          <w:lang w:val="en-US"/>
        </w:rPr>
        <w:t xml:space="preserve">are in part </w:t>
      </w:r>
      <w:r>
        <w:rPr>
          <w:lang w:val="en-US"/>
        </w:rPr>
        <w:t xml:space="preserve">the </w:t>
      </w:r>
      <w:r w:rsidRPr="008A3C4C">
        <w:rPr>
          <w:lang w:val="en-US"/>
        </w:rPr>
        <w:t>result of efforts by</w:t>
      </w:r>
      <w:r w:rsidR="00B24749">
        <w:rPr>
          <w:lang w:val="en-US"/>
        </w:rPr>
        <w:t xml:space="preserve"> government reporting programs,</w:t>
      </w:r>
      <w:r w:rsidRPr="008A3C4C">
        <w:rPr>
          <w:lang w:val="en-US"/>
        </w:rPr>
        <w:t xml:space="preserve"> the industry and other institutions to improve methane emissions data. The Environmental Defense Fund and several philanthropic funds have initiated and financed a number of scientific studies which has improved the understanding of </w:t>
      </w:r>
      <w:r>
        <w:rPr>
          <w:lang w:val="en-US"/>
        </w:rPr>
        <w:t xml:space="preserve">emission levels and </w:t>
      </w:r>
      <w:r w:rsidRPr="008A3C4C">
        <w:rPr>
          <w:lang w:val="en-US"/>
        </w:rPr>
        <w:t xml:space="preserve">the </w:t>
      </w:r>
      <w:r>
        <w:rPr>
          <w:lang w:val="en-US"/>
        </w:rPr>
        <w:t>share of emissions accounted for by different segments of the oil and natural gas system</w:t>
      </w:r>
      <w:r w:rsidRPr="008A3C4C">
        <w:rPr>
          <w:lang w:val="en-US"/>
        </w:rPr>
        <w:t>, particularly in the United States.</w:t>
      </w:r>
      <w:r w:rsidR="00ED6E81" w:rsidRPr="0089049F">
        <w:rPr>
          <w:vertAlign w:val="superscript"/>
          <w:lang w:val="en-US"/>
        </w:rPr>
        <w:footnoteReference w:id="18"/>
      </w:r>
      <w:r w:rsidRPr="008A3C4C">
        <w:rPr>
          <w:lang w:val="en-US"/>
        </w:rPr>
        <w:t xml:space="preserve"> </w:t>
      </w:r>
      <w:r w:rsidR="00B24749">
        <w:rPr>
          <w:lang w:val="en-US"/>
        </w:rPr>
        <w:t xml:space="preserve"> In the US, revisions are largely due to newly available data from the US </w:t>
      </w:r>
      <w:r w:rsidR="00914480">
        <w:rPr>
          <w:lang w:val="en-US"/>
        </w:rPr>
        <w:t xml:space="preserve">Greenhouse Gas Reporting Program </w:t>
      </w:r>
      <w:r w:rsidR="00B24749">
        <w:rPr>
          <w:lang w:val="en-US"/>
        </w:rPr>
        <w:t>along with data from new studies.</w:t>
      </w:r>
    </w:p>
    <w:p w14:paraId="1C0CF6F1" w14:textId="77777777" w:rsidR="00C3032E" w:rsidRPr="00F26449" w:rsidRDefault="00123D4B" w:rsidP="00123D4B">
      <w:pPr>
        <w:pStyle w:val="Heading2"/>
        <w:numPr>
          <w:ilvl w:val="0"/>
          <w:numId w:val="0"/>
        </w:numPr>
        <w:ind w:left="426"/>
        <w:rPr>
          <w:lang w:val="en-GB"/>
        </w:rPr>
      </w:pPr>
      <w:bookmarkStart w:id="41" w:name="_Toc3472998"/>
      <w:r>
        <w:rPr>
          <w:lang w:val="en-GB"/>
        </w:rPr>
        <w:lastRenderedPageBreak/>
        <w:t xml:space="preserve">2.2 </w:t>
      </w:r>
      <w:r w:rsidR="00C3032E" w:rsidRPr="00F26449">
        <w:rPr>
          <w:lang w:val="en-GB"/>
        </w:rPr>
        <w:t>E</w:t>
      </w:r>
      <w:r w:rsidR="00C3032E">
        <w:rPr>
          <w:lang w:val="en-GB"/>
        </w:rPr>
        <w:t xml:space="preserve">stimated methane emission levels </w:t>
      </w:r>
      <w:r w:rsidR="00C3032E" w:rsidRPr="00F26449">
        <w:rPr>
          <w:lang w:val="en-GB"/>
        </w:rPr>
        <w:t>– global and for the ECE countries region</w:t>
      </w:r>
      <w:bookmarkEnd w:id="38"/>
      <w:bookmarkEnd w:id="39"/>
      <w:bookmarkEnd w:id="40"/>
      <w:bookmarkEnd w:id="41"/>
      <w:r w:rsidR="00C3032E" w:rsidRPr="00F26449">
        <w:rPr>
          <w:lang w:val="en-GB"/>
        </w:rPr>
        <w:t xml:space="preserve"> </w:t>
      </w:r>
    </w:p>
    <w:p w14:paraId="386A4B0D" w14:textId="743FB9D8" w:rsidR="00C3032E" w:rsidRDefault="00C3032E" w:rsidP="00C3032E">
      <w:pPr>
        <w:spacing w:before="120" w:after="0"/>
        <w:rPr>
          <w:lang w:val="en-GB"/>
        </w:rPr>
      </w:pPr>
      <w:r>
        <w:rPr>
          <w:lang w:val="en-GB"/>
        </w:rPr>
        <w:t xml:space="preserve">UNFCCC data </w:t>
      </w:r>
      <w:r w:rsidR="00FF7725">
        <w:rPr>
          <w:lang w:val="en-GB"/>
        </w:rPr>
        <w:t xml:space="preserve">estimate </w:t>
      </w:r>
      <w:r>
        <w:rPr>
          <w:lang w:val="en-GB"/>
        </w:rPr>
        <w:t>global oil and gas sector methane emissions at [xx] Million tons, of which 51% are reported by ECE member states.</w:t>
      </w:r>
      <w:r w:rsidR="00ED6E81" w:rsidRPr="00ED6E81">
        <w:rPr>
          <w:rStyle w:val="FootnoteReference"/>
          <w:lang w:val="en-GB"/>
        </w:rPr>
        <w:t xml:space="preserve"> </w:t>
      </w:r>
      <w:r w:rsidR="00ED6E81">
        <w:rPr>
          <w:rStyle w:val="FootnoteReference"/>
          <w:lang w:val="en-GB"/>
        </w:rPr>
        <w:footnoteReference w:id="19"/>
      </w:r>
      <w:r>
        <w:rPr>
          <w:lang w:val="en-GB"/>
        </w:rPr>
        <w:t xml:space="preserve"> Three other sources have estimates slightly below this level, while EDGAR is significantly lower, see Figure 2.2.</w:t>
      </w:r>
      <w:bookmarkStart w:id="42" w:name="_Ref486370538"/>
      <w:bookmarkStart w:id="43" w:name="_Ref492563220"/>
    </w:p>
    <w:p w14:paraId="3C69ED90" w14:textId="77777777" w:rsidR="008E769B" w:rsidRDefault="008E769B" w:rsidP="00C3032E">
      <w:pPr>
        <w:spacing w:before="120" w:after="0"/>
        <w:rPr>
          <w:lang w:val="en-GB"/>
        </w:rPr>
      </w:pPr>
    </w:p>
    <w:p w14:paraId="60CE00D8" w14:textId="30804F1B" w:rsidR="00C3032E" w:rsidRPr="00422A31" w:rsidRDefault="00C3032E" w:rsidP="00C3032E">
      <w:pPr>
        <w:pStyle w:val="Caption"/>
        <w:rPr>
          <w:lang w:val="en-GB"/>
        </w:rPr>
      </w:pPr>
      <w:r w:rsidRPr="00422A31">
        <w:rPr>
          <w:lang w:val="en-GB"/>
        </w:rPr>
        <w:t>Figure 2.</w:t>
      </w:r>
      <w:r>
        <w:rPr>
          <w:lang w:val="en-GB"/>
        </w:rPr>
        <w:t>2</w:t>
      </w:r>
      <w:bookmarkEnd w:id="42"/>
      <w:r w:rsidRPr="00422A31">
        <w:rPr>
          <w:lang w:val="en-GB"/>
        </w:rPr>
        <w:t>: Oil and gas sector methane emissions according to different data sources</w:t>
      </w:r>
      <w:bookmarkEnd w:id="43"/>
      <w:r w:rsidR="00ED6E81">
        <w:rPr>
          <w:rStyle w:val="FootnoteReference"/>
          <w:lang w:val="en-GB"/>
        </w:rPr>
        <w:footnoteReference w:id="20"/>
      </w:r>
    </w:p>
    <w:p w14:paraId="5A03577A" w14:textId="77777777" w:rsidR="00C3032E" w:rsidRDefault="00C3032E" w:rsidP="00C3032E">
      <w:pPr>
        <w:spacing w:before="120" w:after="0"/>
        <w:rPr>
          <w:lang w:val="en-GB"/>
        </w:rPr>
      </w:pPr>
      <w:r w:rsidRPr="000B0437">
        <w:rPr>
          <w:noProof/>
          <w:lang w:eastAsia="nb-NO"/>
        </w:rPr>
        <w:drawing>
          <wp:inline distT="0" distB="0" distL="0" distR="0" wp14:anchorId="7FE756FC" wp14:editId="6900FB3A">
            <wp:extent cx="4432300" cy="1975756"/>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300" cy="1975756"/>
                    </a:xfrm>
                    <a:prstGeom prst="rect">
                      <a:avLst/>
                    </a:prstGeom>
                    <a:noFill/>
                    <a:ln>
                      <a:noFill/>
                    </a:ln>
                  </pic:spPr>
                </pic:pic>
              </a:graphicData>
            </a:graphic>
          </wp:inline>
        </w:drawing>
      </w:r>
    </w:p>
    <w:p w14:paraId="4D3FCA92" w14:textId="77777777" w:rsidR="00C3032E" w:rsidRDefault="00C3032E" w:rsidP="00C3032E">
      <w:pPr>
        <w:rPr>
          <w:lang w:val="en-GB"/>
        </w:rPr>
      </w:pPr>
    </w:p>
    <w:p w14:paraId="234B286B" w14:textId="33686381" w:rsidR="00C3032E" w:rsidRDefault="00C3032E" w:rsidP="00C3032E">
      <w:pPr>
        <w:spacing w:before="120" w:after="0"/>
        <w:rPr>
          <w:lang w:val="en-GB"/>
        </w:rPr>
      </w:pPr>
      <w:r>
        <w:rPr>
          <w:lang w:val="en-GB"/>
        </w:rPr>
        <w:t>The Russian Federation has by far the highest level of methane emissions followed the United States. According to the UNFCCC the two countries account for 78% of emissions by ECE member states and almost 40% of global methane emissions from oil and gas operations (Figure 2.2). Note that the Russian Federation, North America and Central Asia have the vast majority of emissions. EU countries and Norway only have 3%, according to UNFCCC inventories.</w:t>
      </w:r>
    </w:p>
    <w:p w14:paraId="0E85576F" w14:textId="77777777" w:rsidR="006C76B7" w:rsidRDefault="006C76B7" w:rsidP="00C3032E">
      <w:pPr>
        <w:pStyle w:val="Caption"/>
        <w:rPr>
          <w:lang w:val="en-GB"/>
        </w:rPr>
      </w:pPr>
      <w:bookmarkStart w:id="44" w:name="_Ref492623955"/>
      <w:bookmarkStart w:id="45" w:name="_Ref492563261"/>
    </w:p>
    <w:p w14:paraId="155A617F" w14:textId="630D410C" w:rsidR="00C3032E" w:rsidRPr="00422A31" w:rsidRDefault="00C3032E" w:rsidP="00C3032E">
      <w:pPr>
        <w:pStyle w:val="Caption"/>
        <w:rPr>
          <w:lang w:val="en-GB"/>
        </w:rPr>
      </w:pPr>
      <w:r w:rsidRPr="00422A31">
        <w:rPr>
          <w:lang w:val="en-GB"/>
        </w:rPr>
        <w:t>Figure 2.2</w:t>
      </w:r>
      <w:bookmarkEnd w:id="44"/>
      <w:r w:rsidRPr="00422A31">
        <w:rPr>
          <w:lang w:val="en-GB"/>
        </w:rPr>
        <w:t>: Share in total methane emissions from oil and gas sector by country in the ECE region</w:t>
      </w:r>
      <w:bookmarkEnd w:id="45"/>
      <w:r w:rsidR="00ED6E81">
        <w:rPr>
          <w:rStyle w:val="FootnoteReference"/>
          <w:lang w:val="en-GB"/>
        </w:rPr>
        <w:footnoteReference w:id="21"/>
      </w:r>
    </w:p>
    <w:p w14:paraId="0A8FD339" w14:textId="4F164EC3" w:rsidR="00C3032E" w:rsidRPr="00325636" w:rsidRDefault="00C3032E" w:rsidP="00325636">
      <w:pPr>
        <w:rPr>
          <w:lang w:val="en-GB"/>
        </w:rPr>
      </w:pPr>
      <w:r w:rsidRPr="000B0437">
        <w:rPr>
          <w:noProof/>
          <w:lang w:eastAsia="nb-NO"/>
        </w:rPr>
        <w:drawing>
          <wp:inline distT="0" distB="0" distL="0" distR="0" wp14:anchorId="65B2DFAC" wp14:editId="1A3BB024">
            <wp:extent cx="3482671" cy="2567986"/>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671" cy="2567986"/>
                    </a:xfrm>
                    <a:prstGeom prst="rect">
                      <a:avLst/>
                    </a:prstGeom>
                    <a:noFill/>
                    <a:ln>
                      <a:noFill/>
                    </a:ln>
                  </pic:spPr>
                </pic:pic>
              </a:graphicData>
            </a:graphic>
          </wp:inline>
        </w:drawing>
      </w:r>
      <w:r w:rsidRPr="00094C75">
        <w:rPr>
          <w:rStyle w:val="IntenseEmphasis"/>
          <w:sz w:val="14"/>
          <w:szCs w:val="14"/>
          <w:lang w:val="en-US"/>
        </w:rPr>
        <w:t>Source: UNFCCC</w:t>
      </w:r>
    </w:p>
    <w:p w14:paraId="4AA6F837" w14:textId="18A78D8E" w:rsidR="00C3032E" w:rsidRDefault="00C3032E" w:rsidP="00C3032E">
      <w:pPr>
        <w:rPr>
          <w:lang w:val="en-GB"/>
        </w:rPr>
      </w:pPr>
      <w:r>
        <w:rPr>
          <w:lang w:val="en-GB"/>
        </w:rPr>
        <w:t xml:space="preserve">According to UNFCCC data Uzbekistan is the third largest emitter of oil and gas emissions with 8% of the total for ECE member states. </w:t>
      </w:r>
      <w:r w:rsidRPr="00B6632F">
        <w:rPr>
          <w:lang w:val="en-GB"/>
        </w:rPr>
        <w:t>However, IIASA and EDGAR estimate this share to be significantly lower (in the range 2-4</w:t>
      </w:r>
      <w:r>
        <w:rPr>
          <w:lang w:val="en-GB"/>
        </w:rPr>
        <w:t>%)</w:t>
      </w:r>
      <w:r w:rsidR="008E769B">
        <w:rPr>
          <w:lang w:val="en-GB"/>
        </w:rPr>
        <w:t>.</w:t>
      </w:r>
    </w:p>
    <w:p w14:paraId="471BAFC6" w14:textId="7D034C8C" w:rsidR="008E769B" w:rsidRDefault="00C3032E" w:rsidP="00C3032E">
      <w:pPr>
        <w:rPr>
          <w:lang w:val="en-US"/>
        </w:rPr>
      </w:pPr>
      <w:r>
        <w:rPr>
          <w:lang w:val="en-US"/>
        </w:rPr>
        <w:lastRenderedPageBreak/>
        <w:t>Although the format for submission of UNFCCC data</w:t>
      </w:r>
      <w:r w:rsidR="008B678C">
        <w:rPr>
          <w:lang w:val="en-US"/>
        </w:rPr>
        <w:t xml:space="preserve">, according to the 2006 IPCC Guidelines, </w:t>
      </w:r>
      <w:r>
        <w:rPr>
          <w:lang w:val="en-US"/>
        </w:rPr>
        <w:t xml:space="preserve">are divided into 15 sub-categories (segments) of the Oil and Natural Gas System many countries do not report </w:t>
      </w:r>
      <w:r w:rsidR="00B24749">
        <w:rPr>
          <w:lang w:val="en-US"/>
        </w:rPr>
        <w:t>emissions</w:t>
      </w:r>
      <w:r>
        <w:rPr>
          <w:lang w:val="en-US"/>
        </w:rPr>
        <w:t xml:space="preserve"> for all categories</w:t>
      </w:r>
      <w:r w:rsidR="00B24749">
        <w:rPr>
          <w:lang w:val="en-US"/>
        </w:rPr>
        <w:t>, with some segments not occurring, not applicable, not estimated, or included elsewhere</w:t>
      </w:r>
      <w:r>
        <w:rPr>
          <w:lang w:val="en-US"/>
        </w:rPr>
        <w:t xml:space="preserve">. Therefore, aggregate UNFCCC estimates are not available for all segments. Four or five categories are typically published. </w:t>
      </w:r>
    </w:p>
    <w:p w14:paraId="029C9C29" w14:textId="77777777" w:rsidR="00325636" w:rsidRPr="00325636" w:rsidRDefault="00325636" w:rsidP="00C3032E">
      <w:pPr>
        <w:rPr>
          <w:lang w:val="en-US"/>
        </w:rPr>
      </w:pPr>
    </w:p>
    <w:p w14:paraId="71C119DE" w14:textId="77777777" w:rsidR="00C3032E" w:rsidRPr="001825D4" w:rsidRDefault="00C3032E" w:rsidP="00C3032E">
      <w:pPr>
        <w:pStyle w:val="Caption"/>
        <w:rPr>
          <w:bCs w:val="0"/>
          <w:i/>
          <w:iCs/>
          <w:lang w:val="en-US"/>
        </w:rPr>
      </w:pPr>
      <w:r w:rsidRPr="001825D4">
        <w:rPr>
          <w:bCs w:val="0"/>
          <w:i/>
          <w:iCs/>
          <w:lang w:val="en-US"/>
        </w:rPr>
        <w:t>Figure 2.</w:t>
      </w:r>
      <w:r>
        <w:rPr>
          <w:bCs w:val="0"/>
          <w:i/>
          <w:iCs/>
          <w:lang w:val="en-US"/>
        </w:rPr>
        <w:t>3</w:t>
      </w:r>
      <w:r w:rsidRPr="001825D4">
        <w:rPr>
          <w:bCs w:val="0"/>
          <w:i/>
          <w:iCs/>
          <w:lang w:val="en-US"/>
        </w:rPr>
        <w:t xml:space="preserve"> Breakdown of oil and gas methane emissions by segment, 2015. </w:t>
      </w:r>
    </w:p>
    <w:p w14:paraId="180A5FEC" w14:textId="438BBBEA" w:rsidR="00C3032E" w:rsidRDefault="003C6641" w:rsidP="00C3032E">
      <w:pPr>
        <w:rPr>
          <w:lang w:val="en-US"/>
        </w:rPr>
      </w:pPr>
      <w:r>
        <w:rPr>
          <w:noProof/>
          <w:lang w:eastAsia="nb-NO"/>
        </w:rPr>
        <w:drawing>
          <wp:inline distT="0" distB="0" distL="0" distR="0" wp14:anchorId="138B8FCA" wp14:editId="5146B249">
            <wp:extent cx="3619500" cy="2784231"/>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0845" cy="2785266"/>
                    </a:xfrm>
                    <a:prstGeom prst="rect">
                      <a:avLst/>
                    </a:prstGeom>
                    <a:noFill/>
                  </pic:spPr>
                </pic:pic>
              </a:graphicData>
            </a:graphic>
          </wp:inline>
        </w:drawing>
      </w:r>
    </w:p>
    <w:p w14:paraId="610EA764" w14:textId="77777777" w:rsidR="00C3032E" w:rsidRPr="00083150" w:rsidRDefault="00C3032E" w:rsidP="00C3032E">
      <w:pPr>
        <w:pStyle w:val="Caption"/>
        <w:rPr>
          <w:b/>
          <w:bCs w:val="0"/>
          <w:i/>
          <w:iCs/>
          <w:color w:val="2BB673" w:themeColor="accent1"/>
          <w:sz w:val="14"/>
          <w:szCs w:val="14"/>
          <w:lang w:val="en-US"/>
        </w:rPr>
      </w:pPr>
      <w:r w:rsidRPr="00094C75">
        <w:rPr>
          <w:rStyle w:val="IntenseEmphasis"/>
          <w:sz w:val="14"/>
          <w:szCs w:val="14"/>
          <w:lang w:val="en-US"/>
        </w:rPr>
        <w:t>Source: UNFCCC</w:t>
      </w:r>
    </w:p>
    <w:p w14:paraId="0A388C2F" w14:textId="4D1F89C4" w:rsidR="006173EB" w:rsidRDefault="006173EB" w:rsidP="006173EB">
      <w:pPr>
        <w:rPr>
          <w:lang w:val="en-US"/>
        </w:rPr>
      </w:pPr>
      <w:r>
        <w:rPr>
          <w:lang w:val="en-US"/>
        </w:rPr>
        <w:t xml:space="preserve">Four categories of UNFCCC data are shown in Figure 2.3. Upstream oil and gas segments (including exploration, production, gathering and processing) account for 72% of global methane emissions. The share for gas transmission is 22%, gas distribution is 6%, while emissions from oil transportation and downstream oil facilities accounts for less than 1%.  </w:t>
      </w:r>
    </w:p>
    <w:p w14:paraId="783B392D" w14:textId="77777777" w:rsidR="008E769B" w:rsidRDefault="008E769B" w:rsidP="00C3032E">
      <w:pPr>
        <w:rPr>
          <w:lang w:val="en-US"/>
        </w:rPr>
      </w:pPr>
    </w:p>
    <w:p w14:paraId="0D746740" w14:textId="768B9322" w:rsidR="00C3032E" w:rsidRDefault="00C3032E" w:rsidP="00C3032E">
      <w:pPr>
        <w:pStyle w:val="Caption"/>
        <w:rPr>
          <w:lang w:val="en-US"/>
        </w:rPr>
      </w:pPr>
      <w:bookmarkStart w:id="46" w:name="_Ref486338013"/>
      <w:bookmarkStart w:id="47" w:name="_Ref492563322"/>
      <w:r w:rsidRPr="001825D4">
        <w:rPr>
          <w:lang w:val="en-US"/>
        </w:rPr>
        <w:t>Figure 2.</w:t>
      </w:r>
      <w:r>
        <w:rPr>
          <w:lang w:val="en-US"/>
        </w:rPr>
        <w:t>4</w:t>
      </w:r>
      <w:bookmarkEnd w:id="46"/>
      <w:r w:rsidRPr="001825D4">
        <w:rPr>
          <w:lang w:val="en-US"/>
        </w:rPr>
        <w:t xml:space="preserve"> Share of methane emissions per value chain element in UNECE countries </w:t>
      </w:r>
      <w:bookmarkEnd w:id="47"/>
    </w:p>
    <w:p w14:paraId="639863FA" w14:textId="77777777" w:rsidR="00ED00BF" w:rsidRPr="00ED00BF" w:rsidRDefault="00ED00BF" w:rsidP="00ED00BF">
      <w:pPr>
        <w:rPr>
          <w:lang w:val="en-US"/>
        </w:rPr>
      </w:pPr>
    </w:p>
    <w:p w14:paraId="1B798910" w14:textId="65BFE170" w:rsidR="00C3032E" w:rsidRPr="004173F0" w:rsidRDefault="00C3032E" w:rsidP="004173F0">
      <w:pPr>
        <w:rPr>
          <w:rStyle w:val="IntenseEmphasis"/>
          <w:b w:val="0"/>
          <w:bCs w:val="0"/>
          <w:i w:val="0"/>
          <w:iCs w:val="0"/>
          <w:color w:val="auto"/>
          <w:lang w:val="en-GB"/>
        </w:rPr>
      </w:pPr>
      <w:r w:rsidRPr="001338B5">
        <w:rPr>
          <w:noProof/>
          <w:lang w:eastAsia="nb-NO"/>
        </w:rPr>
        <w:drawing>
          <wp:inline distT="0" distB="0" distL="0" distR="0" wp14:anchorId="2652D6E5" wp14:editId="530AE68F">
            <wp:extent cx="5537200" cy="2263743"/>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2035" cy="2265720"/>
                    </a:xfrm>
                    <a:prstGeom prst="rect">
                      <a:avLst/>
                    </a:prstGeom>
                    <a:noFill/>
                    <a:ln>
                      <a:noFill/>
                    </a:ln>
                  </pic:spPr>
                </pic:pic>
              </a:graphicData>
            </a:graphic>
          </wp:inline>
        </w:drawing>
      </w:r>
      <w:bookmarkStart w:id="48" w:name="_Toc521656533"/>
      <w:r w:rsidRPr="00094C75">
        <w:rPr>
          <w:rStyle w:val="IntenseEmphasis"/>
          <w:sz w:val="14"/>
          <w:szCs w:val="14"/>
          <w:lang w:val="en-US"/>
        </w:rPr>
        <w:t>Source: UNFCCC</w:t>
      </w:r>
    </w:p>
    <w:bookmarkEnd w:id="48"/>
    <w:p w14:paraId="208BEC27" w14:textId="4E1E593F" w:rsidR="00C84AF3" w:rsidRDefault="005C3F55" w:rsidP="00C84AF3">
      <w:pPr>
        <w:rPr>
          <w:lang w:val="en-US"/>
        </w:rPr>
      </w:pPr>
      <w:r>
        <w:rPr>
          <w:lang w:val="en-US"/>
        </w:rPr>
        <w:t>The IEA has made estimates separately for upstream oil and upstream gas. The oil segment is the largest with 41% while the estimate for upstream gas is 37%,</w:t>
      </w:r>
      <w:r w:rsidR="00ED6E81">
        <w:rPr>
          <w:lang w:val="en-US"/>
        </w:rPr>
        <w:t xml:space="preserve"> </w:t>
      </w:r>
      <w:r>
        <w:rPr>
          <w:lang w:val="en-US"/>
        </w:rPr>
        <w:t>calculating a total upstream estimate that is 6 percentage points higher than in the UNFCCC data.</w:t>
      </w:r>
      <w:r w:rsidR="00ED6E81" w:rsidRPr="00ED6E81">
        <w:rPr>
          <w:rStyle w:val="FootnoteReference"/>
          <w:lang w:val="en-US"/>
        </w:rPr>
        <w:t xml:space="preserve"> </w:t>
      </w:r>
      <w:r w:rsidR="00ED6E81">
        <w:rPr>
          <w:rStyle w:val="FootnoteReference"/>
          <w:lang w:val="en-US"/>
        </w:rPr>
        <w:footnoteReference w:id="22"/>
      </w:r>
      <w:r w:rsidR="00ED6E81" w:rsidRPr="001338B5">
        <w:rPr>
          <w:vertAlign w:val="superscript"/>
          <w:lang w:val="en-US"/>
        </w:rPr>
        <w:t>,</w:t>
      </w:r>
      <w:r w:rsidR="00ED6E81">
        <w:rPr>
          <w:vertAlign w:val="superscript"/>
          <w:lang w:val="en-US"/>
        </w:rPr>
        <w:t xml:space="preserve"> </w:t>
      </w:r>
      <w:r w:rsidR="00ED6E81">
        <w:rPr>
          <w:rStyle w:val="FootnoteReference"/>
          <w:lang w:val="en-US"/>
        </w:rPr>
        <w:footnoteReference w:id="23"/>
      </w:r>
      <w:r w:rsidR="00ED6E81">
        <w:rPr>
          <w:lang w:val="en-US"/>
        </w:rPr>
        <w:t xml:space="preserve"> </w:t>
      </w:r>
      <w:r>
        <w:rPr>
          <w:lang w:val="en-US"/>
        </w:rPr>
        <w:t xml:space="preserve">The split into oil and gas upstream segments is important in relation to the discussion of lifecycle GHG emissions. The total value chain emissions of gas supplies have become an important topic in discussions about the environmental advantages of natural gas versus other fossil fuels. </w:t>
      </w:r>
      <w:r w:rsidR="00C84AF3">
        <w:rPr>
          <w:lang w:val="en-US"/>
        </w:rPr>
        <w:t xml:space="preserve">Data from UNFCCC shows great variation in emissions by supply segment (see Figure 2.4), of which some reflect real differences in industry structures and emission intensities other probably include errors in specification by segments. </w:t>
      </w:r>
    </w:p>
    <w:p w14:paraId="6024D80C" w14:textId="09AEAA6E" w:rsidR="005E29C5" w:rsidRDefault="006173EB" w:rsidP="005E29C5">
      <w:pPr>
        <w:shd w:val="clear" w:color="auto" w:fill="FFFFFF" w:themeFill="background1"/>
        <w:rPr>
          <w:lang w:val="en-US"/>
        </w:rPr>
      </w:pPr>
      <w:r w:rsidRPr="006173EB">
        <w:rPr>
          <w:lang w:val="en-US"/>
        </w:rPr>
        <w:t>A</w:t>
      </w:r>
      <w:r w:rsidR="005E29C5" w:rsidRPr="006173EB">
        <w:rPr>
          <w:lang w:val="en-US"/>
        </w:rPr>
        <w:t>nother way of specifying methane emissions is according to emission sources such as compressors, storage tanks and pneumatic controllers and pumps, which may appear at all stages of the supply chain. While this is important information for understanding causes and finding remedies to emissions, little of data have been collected, analyzed and published. However, some countries have started publishing such information (notably USA, Canada and Norway) and the partner</w:t>
      </w:r>
      <w:r w:rsidR="005E29C5">
        <w:rPr>
          <w:lang w:val="en-US"/>
        </w:rPr>
        <w:t xml:space="preserve"> companies </w:t>
      </w:r>
      <w:r w:rsidR="005E29C5" w:rsidRPr="006173EB">
        <w:rPr>
          <w:lang w:val="en-US"/>
        </w:rPr>
        <w:t>of the Oil and Gas Methane Partnership (OGMP) are reporting and publishing information of emissions and mitigation progress for nine “core” upstream emission sources.</w:t>
      </w:r>
      <w:r w:rsidR="00ED6E81">
        <w:rPr>
          <w:rStyle w:val="FootnoteReference"/>
          <w:lang w:val="en-US"/>
        </w:rPr>
        <w:footnoteReference w:id="24"/>
      </w:r>
      <w:r w:rsidR="005E29C5" w:rsidRPr="006173EB">
        <w:rPr>
          <w:lang w:val="en-US"/>
        </w:rPr>
        <w:t xml:space="preserve"> Information on main emission sources and progress in mitigation efforts are published in the</w:t>
      </w:r>
      <w:r w:rsidR="005E29C5">
        <w:rPr>
          <w:lang w:val="en-US"/>
        </w:rPr>
        <w:t xml:space="preserve"> </w:t>
      </w:r>
      <w:r w:rsidR="005E29C5" w:rsidRPr="006173EB">
        <w:rPr>
          <w:lang w:val="en-US"/>
        </w:rPr>
        <w:t>in the Third-Year Report from OGMP</w:t>
      </w:r>
      <w:r w:rsidR="005E29C5">
        <w:rPr>
          <w:lang w:val="en-US"/>
        </w:rPr>
        <w:t>.</w:t>
      </w:r>
      <w:r w:rsidR="00ED6E81">
        <w:rPr>
          <w:rStyle w:val="FootnoteReference"/>
          <w:lang w:val="en-US"/>
        </w:rPr>
        <w:footnoteReference w:id="25"/>
      </w:r>
      <w:r w:rsidR="005E29C5">
        <w:rPr>
          <w:lang w:val="en-US"/>
        </w:rPr>
        <w:t xml:space="preserve"> </w:t>
      </w:r>
    </w:p>
    <w:p w14:paraId="76D4A0A6" w14:textId="77777777" w:rsidR="005E29C5" w:rsidRDefault="005E29C5" w:rsidP="005E29C5">
      <w:pPr>
        <w:shd w:val="clear" w:color="auto" w:fill="FFFFFF" w:themeFill="background1"/>
        <w:rPr>
          <w:lang w:val="en-US"/>
        </w:rPr>
      </w:pPr>
    </w:p>
    <w:p w14:paraId="562404A1" w14:textId="77777777" w:rsidR="005E29C5" w:rsidRDefault="005E29C5" w:rsidP="005E29C5">
      <w:pPr>
        <w:shd w:val="clear" w:color="auto" w:fill="FFFFFF" w:themeFill="background1"/>
        <w:rPr>
          <w:lang w:val="en-US"/>
        </w:rPr>
      </w:pPr>
    </w:p>
    <w:p w14:paraId="3ED27153" w14:textId="77777777" w:rsidR="005E29C5" w:rsidRDefault="005E29C5" w:rsidP="005E29C5">
      <w:pPr>
        <w:shd w:val="clear" w:color="auto" w:fill="FFFFFF" w:themeFill="background1"/>
        <w:rPr>
          <w:lang w:val="en-US"/>
        </w:rPr>
      </w:pPr>
    </w:p>
    <w:p w14:paraId="32EF56A1" w14:textId="49E1F0C9" w:rsidR="00C3032E" w:rsidRDefault="00C3032E" w:rsidP="005E29C5">
      <w:pPr>
        <w:shd w:val="clear" w:color="auto" w:fill="FFFFFF" w:themeFill="background1"/>
        <w:rPr>
          <w:lang w:val="en-US"/>
        </w:rPr>
      </w:pPr>
    </w:p>
    <w:p w14:paraId="7BDF214A" w14:textId="31C84C6E" w:rsidR="00ED00BF" w:rsidRDefault="00ED00BF" w:rsidP="005E29C5">
      <w:pPr>
        <w:shd w:val="clear" w:color="auto" w:fill="FFFFFF" w:themeFill="background1"/>
        <w:rPr>
          <w:lang w:val="en-US"/>
        </w:rPr>
      </w:pPr>
    </w:p>
    <w:p w14:paraId="6C28F8D7" w14:textId="0DDE8FBE" w:rsidR="00ED00BF" w:rsidRDefault="00ED00BF" w:rsidP="005E29C5">
      <w:pPr>
        <w:shd w:val="clear" w:color="auto" w:fill="FFFFFF" w:themeFill="background1"/>
        <w:rPr>
          <w:lang w:val="en-US"/>
        </w:rPr>
      </w:pPr>
    </w:p>
    <w:p w14:paraId="2E3D269E" w14:textId="2DCC9C5D" w:rsidR="00ED00BF" w:rsidRDefault="00ED00BF" w:rsidP="005E29C5">
      <w:pPr>
        <w:shd w:val="clear" w:color="auto" w:fill="FFFFFF" w:themeFill="background1"/>
        <w:rPr>
          <w:lang w:val="en-US"/>
        </w:rPr>
      </w:pPr>
    </w:p>
    <w:p w14:paraId="1D977241" w14:textId="1C7D6E9A" w:rsidR="00ED00BF" w:rsidRDefault="00ED00BF" w:rsidP="005E29C5">
      <w:pPr>
        <w:shd w:val="clear" w:color="auto" w:fill="FFFFFF" w:themeFill="background1"/>
        <w:rPr>
          <w:lang w:val="en-US"/>
        </w:rPr>
      </w:pPr>
    </w:p>
    <w:p w14:paraId="1308DAB9" w14:textId="42E7CDFE" w:rsidR="00ED00BF" w:rsidRDefault="00ED00BF" w:rsidP="005E29C5">
      <w:pPr>
        <w:shd w:val="clear" w:color="auto" w:fill="FFFFFF" w:themeFill="background1"/>
        <w:rPr>
          <w:lang w:val="en-US"/>
        </w:rPr>
      </w:pPr>
    </w:p>
    <w:p w14:paraId="51D65925" w14:textId="430D2833" w:rsidR="00ED00BF" w:rsidRDefault="00ED00BF" w:rsidP="005E29C5">
      <w:pPr>
        <w:shd w:val="clear" w:color="auto" w:fill="FFFFFF" w:themeFill="background1"/>
        <w:rPr>
          <w:lang w:val="en-US"/>
        </w:rPr>
      </w:pPr>
    </w:p>
    <w:p w14:paraId="6ACC004B" w14:textId="6D7A4AE1" w:rsidR="00ED00BF" w:rsidRDefault="00ED00BF" w:rsidP="005E29C5">
      <w:pPr>
        <w:shd w:val="clear" w:color="auto" w:fill="FFFFFF" w:themeFill="background1"/>
        <w:rPr>
          <w:lang w:val="en-US"/>
        </w:rPr>
      </w:pPr>
    </w:p>
    <w:p w14:paraId="07979873" w14:textId="16853DB0" w:rsidR="00ED00BF" w:rsidRDefault="00ED00BF" w:rsidP="005E29C5">
      <w:pPr>
        <w:shd w:val="clear" w:color="auto" w:fill="FFFFFF" w:themeFill="background1"/>
        <w:rPr>
          <w:lang w:val="en-US"/>
        </w:rPr>
      </w:pPr>
    </w:p>
    <w:p w14:paraId="109C4E53" w14:textId="100A1A23" w:rsidR="00ED00BF" w:rsidRDefault="00ED00BF" w:rsidP="005E29C5">
      <w:pPr>
        <w:shd w:val="clear" w:color="auto" w:fill="FFFFFF" w:themeFill="background1"/>
        <w:rPr>
          <w:lang w:val="en-US"/>
        </w:rPr>
      </w:pPr>
    </w:p>
    <w:p w14:paraId="6E99586D" w14:textId="300B2898" w:rsidR="00ED00BF" w:rsidRDefault="00ED00BF" w:rsidP="005E29C5">
      <w:pPr>
        <w:shd w:val="clear" w:color="auto" w:fill="FFFFFF" w:themeFill="background1"/>
        <w:rPr>
          <w:lang w:val="en-US"/>
        </w:rPr>
      </w:pPr>
    </w:p>
    <w:p w14:paraId="372126A9" w14:textId="73B9BA67" w:rsidR="00ED00BF" w:rsidRDefault="00ED00BF" w:rsidP="005E29C5">
      <w:pPr>
        <w:shd w:val="clear" w:color="auto" w:fill="FFFFFF" w:themeFill="background1"/>
        <w:rPr>
          <w:lang w:val="en-US"/>
        </w:rPr>
      </w:pPr>
    </w:p>
    <w:p w14:paraId="3730F123" w14:textId="1624F924" w:rsidR="00ED00BF" w:rsidRDefault="00ED00BF" w:rsidP="005E29C5">
      <w:pPr>
        <w:shd w:val="clear" w:color="auto" w:fill="FFFFFF" w:themeFill="background1"/>
        <w:rPr>
          <w:lang w:val="en-US"/>
        </w:rPr>
      </w:pPr>
    </w:p>
    <w:p w14:paraId="23769546" w14:textId="4DD33442" w:rsidR="00ED00BF" w:rsidRDefault="00ED00BF" w:rsidP="005E29C5">
      <w:pPr>
        <w:shd w:val="clear" w:color="auto" w:fill="FFFFFF" w:themeFill="background1"/>
        <w:rPr>
          <w:lang w:val="en-US"/>
        </w:rPr>
      </w:pPr>
    </w:p>
    <w:p w14:paraId="3A88A8B6" w14:textId="13F37F57" w:rsidR="00ED00BF" w:rsidRDefault="00ED00BF" w:rsidP="005E29C5">
      <w:pPr>
        <w:shd w:val="clear" w:color="auto" w:fill="FFFFFF" w:themeFill="background1"/>
        <w:rPr>
          <w:lang w:val="en-US"/>
        </w:rPr>
      </w:pPr>
    </w:p>
    <w:p w14:paraId="7F68E745" w14:textId="2C3CD74B" w:rsidR="00ED00BF" w:rsidRDefault="00ED00BF" w:rsidP="005E29C5">
      <w:pPr>
        <w:shd w:val="clear" w:color="auto" w:fill="FFFFFF" w:themeFill="background1"/>
        <w:rPr>
          <w:lang w:val="en-US"/>
        </w:rPr>
      </w:pPr>
    </w:p>
    <w:p w14:paraId="351C29EB" w14:textId="77777777" w:rsidR="00ED00BF" w:rsidRDefault="00ED00BF" w:rsidP="005E29C5">
      <w:pPr>
        <w:shd w:val="clear" w:color="auto" w:fill="FFFFFF" w:themeFill="background1"/>
        <w:rPr>
          <w:lang w:val="en-US"/>
        </w:rPr>
      </w:pPr>
    </w:p>
    <w:p w14:paraId="22DB3CC0" w14:textId="77777777" w:rsidR="00C84AF3" w:rsidRPr="004A01FD" w:rsidRDefault="00C84AF3" w:rsidP="00823734">
      <w:pPr>
        <w:pStyle w:val="Heading1"/>
        <w:spacing w:before="0"/>
        <w:rPr>
          <w:lang w:val="en-GB"/>
        </w:rPr>
      </w:pPr>
      <w:bookmarkStart w:id="49" w:name="_Toc521656535"/>
      <w:bookmarkStart w:id="50" w:name="_Toc531690985"/>
      <w:bookmarkStart w:id="51" w:name="_Toc531691031"/>
      <w:bookmarkStart w:id="52" w:name="_Toc3472999"/>
      <w:r w:rsidRPr="004A01FD">
        <w:rPr>
          <w:lang w:val="en-GB"/>
        </w:rPr>
        <w:lastRenderedPageBreak/>
        <w:t>Monitoring, reporting and verification (MRV)</w:t>
      </w:r>
      <w:bookmarkEnd w:id="49"/>
      <w:bookmarkEnd w:id="50"/>
      <w:bookmarkEnd w:id="51"/>
      <w:bookmarkEnd w:id="52"/>
      <w:r w:rsidRPr="004A01FD">
        <w:rPr>
          <w:lang w:val="en-GB"/>
        </w:rPr>
        <w:t xml:space="preserve">  </w:t>
      </w:r>
    </w:p>
    <w:p w14:paraId="4FB6588E" w14:textId="77777777" w:rsidR="00C84AF3" w:rsidRDefault="00C84AF3" w:rsidP="00C84AF3">
      <w:pPr>
        <w:pStyle w:val="Heading2"/>
        <w:numPr>
          <w:ilvl w:val="0"/>
          <w:numId w:val="0"/>
        </w:numPr>
        <w:ind w:left="142"/>
        <w:rPr>
          <w:rStyle w:val="Heading2Char"/>
          <w:b/>
          <w:lang w:val="en-GB"/>
        </w:rPr>
      </w:pPr>
      <w:bookmarkStart w:id="53" w:name="_Toc521656536"/>
      <w:bookmarkStart w:id="54" w:name="_Toc531690986"/>
      <w:bookmarkStart w:id="55" w:name="_Toc531691032"/>
      <w:bookmarkStart w:id="56" w:name="_Toc3473000"/>
      <w:r w:rsidRPr="00852AF0">
        <w:rPr>
          <w:rStyle w:val="Heading2Char"/>
          <w:b/>
          <w:lang w:val="en-GB"/>
        </w:rPr>
        <w:t>Key messages</w:t>
      </w:r>
      <w:bookmarkEnd w:id="53"/>
      <w:bookmarkEnd w:id="54"/>
      <w:bookmarkEnd w:id="55"/>
      <w:bookmarkEnd w:id="56"/>
    </w:p>
    <w:p w14:paraId="21703261" w14:textId="77777777" w:rsidR="00FD4092" w:rsidRPr="00FD4092" w:rsidRDefault="00FD4092" w:rsidP="005D2939">
      <w:pPr>
        <w:pStyle w:val="ListParagraph"/>
        <w:numPr>
          <w:ilvl w:val="0"/>
          <w:numId w:val="12"/>
        </w:numPr>
        <w:spacing w:before="120" w:after="0" w:line="276" w:lineRule="auto"/>
        <w:contextualSpacing w:val="0"/>
        <w:rPr>
          <w:lang w:val="en-GB"/>
        </w:rPr>
      </w:pPr>
      <w:r>
        <w:t>MRV covers monitoring though direct measurements and other methods for quantifying emissions, reporting by compiling estimated emissions in specific formats for internal use or external circulation, and verification of emissions and/or emission reductions, often by a third party.</w:t>
      </w:r>
    </w:p>
    <w:p w14:paraId="68497134" w14:textId="77777777" w:rsidR="00586A71" w:rsidRPr="00586A71" w:rsidRDefault="00586A71" w:rsidP="005D2939">
      <w:pPr>
        <w:pStyle w:val="ListParagraph"/>
        <w:numPr>
          <w:ilvl w:val="0"/>
          <w:numId w:val="12"/>
        </w:numPr>
        <w:spacing w:before="120" w:after="0" w:line="276" w:lineRule="auto"/>
        <w:contextualSpacing w:val="0"/>
        <w:rPr>
          <w:lang w:val="en-GB"/>
        </w:rPr>
      </w:pPr>
      <w:r>
        <w:t>M</w:t>
      </w:r>
      <w:r w:rsidRPr="00C976E9">
        <w:t xml:space="preserve">RV </w:t>
      </w:r>
      <w:r>
        <w:t xml:space="preserve">serves </w:t>
      </w:r>
      <w:r w:rsidR="00D37C00">
        <w:t xml:space="preserve">several </w:t>
      </w:r>
      <w:r>
        <w:t xml:space="preserve">purposes, from identifying specific mitigation at the company level to </w:t>
      </w:r>
      <w:r w:rsidR="001631D4">
        <w:t xml:space="preserve">providing valuable data and information </w:t>
      </w:r>
      <w:r>
        <w:t>for decisions on policies and regulations and tracking their effectiveness. International reporting commitments is becoming more important as the Paris Agreement enters its operational phase</w:t>
      </w:r>
      <w:r w:rsidR="00D101C4">
        <w:t>.</w:t>
      </w:r>
    </w:p>
    <w:p w14:paraId="6488BA0B" w14:textId="77777777" w:rsidR="00586A71" w:rsidRPr="00DD5FB6" w:rsidRDefault="00586A71" w:rsidP="005D2939">
      <w:pPr>
        <w:pStyle w:val="ListParagraph"/>
        <w:numPr>
          <w:ilvl w:val="0"/>
          <w:numId w:val="12"/>
        </w:numPr>
        <w:spacing w:before="120" w:after="0" w:line="276" w:lineRule="auto"/>
        <w:contextualSpacing w:val="0"/>
        <w:rPr>
          <w:lang w:val="en-GB"/>
        </w:rPr>
      </w:pPr>
      <w:r>
        <w:rPr>
          <w:lang w:val="en-GB"/>
        </w:rPr>
        <w:t>Use of sound MRV methodologies and practices is essential for methane management for closing the current knowledge gap.</w:t>
      </w:r>
    </w:p>
    <w:p w14:paraId="6C56363F" w14:textId="77777777" w:rsidR="00D37C00" w:rsidRDefault="00586A71" w:rsidP="005D2939">
      <w:pPr>
        <w:pStyle w:val="ListParagraph"/>
        <w:numPr>
          <w:ilvl w:val="0"/>
          <w:numId w:val="12"/>
        </w:numPr>
        <w:spacing w:before="120" w:after="0" w:line="276" w:lineRule="auto"/>
        <w:contextualSpacing w:val="0"/>
        <w:rPr>
          <w:lang w:val="en-GB"/>
        </w:rPr>
      </w:pPr>
      <w:r>
        <w:rPr>
          <w:lang w:val="en-GB"/>
        </w:rPr>
        <w:t>To construct robust methane emission inventory at the company level, a</w:t>
      </w:r>
      <w:r w:rsidRPr="00852AF0">
        <w:rPr>
          <w:lang w:val="en-GB"/>
        </w:rPr>
        <w:t xml:space="preserve"> combination of direct measurements and calculation</w:t>
      </w:r>
      <w:r>
        <w:rPr>
          <w:lang w:val="en-GB"/>
        </w:rPr>
        <w:t>-</w:t>
      </w:r>
      <w:r w:rsidRPr="00852AF0">
        <w:rPr>
          <w:lang w:val="en-GB"/>
        </w:rPr>
        <w:t xml:space="preserve">based methods </w:t>
      </w:r>
      <w:r>
        <w:rPr>
          <w:lang w:val="en-GB"/>
        </w:rPr>
        <w:t>are typical</w:t>
      </w:r>
      <w:r w:rsidR="001631D4">
        <w:rPr>
          <w:lang w:val="en-GB"/>
        </w:rPr>
        <w:t>ly</w:t>
      </w:r>
      <w:r>
        <w:rPr>
          <w:lang w:val="en-GB"/>
        </w:rPr>
        <w:t xml:space="preserve"> used. </w:t>
      </w:r>
      <w:r w:rsidR="001631D4">
        <w:rPr>
          <w:lang w:val="en-GB"/>
        </w:rPr>
        <w:t>T</w:t>
      </w:r>
      <w:r w:rsidRPr="00852AF0">
        <w:rPr>
          <w:lang w:val="en-GB"/>
        </w:rPr>
        <w:t xml:space="preserve">echnologies </w:t>
      </w:r>
      <w:r>
        <w:rPr>
          <w:lang w:val="en-GB"/>
        </w:rPr>
        <w:t xml:space="preserve">are </w:t>
      </w:r>
      <w:r w:rsidRPr="00852AF0">
        <w:rPr>
          <w:lang w:val="en-GB"/>
        </w:rPr>
        <w:t xml:space="preserve">emerging which </w:t>
      </w:r>
      <w:r>
        <w:rPr>
          <w:lang w:val="en-GB"/>
        </w:rPr>
        <w:t xml:space="preserve">can improve </w:t>
      </w:r>
      <w:r w:rsidRPr="00852AF0">
        <w:rPr>
          <w:lang w:val="en-GB"/>
        </w:rPr>
        <w:t xml:space="preserve">technical feasibility </w:t>
      </w:r>
      <w:r>
        <w:rPr>
          <w:lang w:val="en-GB"/>
        </w:rPr>
        <w:t xml:space="preserve">and reduce costs </w:t>
      </w:r>
      <w:r w:rsidRPr="00852AF0">
        <w:rPr>
          <w:lang w:val="en-GB"/>
        </w:rPr>
        <w:t>of methane measurements</w:t>
      </w:r>
      <w:r w:rsidR="00D37C00">
        <w:rPr>
          <w:lang w:val="en-GB"/>
        </w:rPr>
        <w:t>.</w:t>
      </w:r>
    </w:p>
    <w:p w14:paraId="022832B2" w14:textId="6AE8975E" w:rsidR="008E769B" w:rsidRPr="008E769B" w:rsidRDefault="00D37C00" w:rsidP="008E769B">
      <w:pPr>
        <w:pStyle w:val="ListParagraph"/>
        <w:numPr>
          <w:ilvl w:val="0"/>
          <w:numId w:val="12"/>
        </w:numPr>
        <w:spacing w:before="120" w:after="0" w:line="276" w:lineRule="auto"/>
        <w:contextualSpacing w:val="0"/>
        <w:rPr>
          <w:lang w:val="en-GB"/>
        </w:rPr>
      </w:pPr>
      <w:r>
        <w:t>International cooperation</w:t>
      </w:r>
      <w:r w:rsidR="00D101C4">
        <w:t xml:space="preserve"> is important in building </w:t>
      </w:r>
      <w:r w:rsidR="00FD4092">
        <w:t xml:space="preserve">institutional </w:t>
      </w:r>
      <w:r w:rsidR="00D101C4">
        <w:t xml:space="preserve">capacity and capability </w:t>
      </w:r>
      <w:r w:rsidR="00FD4092">
        <w:t xml:space="preserve">to perform sound </w:t>
      </w:r>
      <w:r w:rsidR="00D101C4">
        <w:t xml:space="preserve">MRV activities. </w:t>
      </w:r>
      <w:r w:rsidR="00802DA3">
        <w:t>While g</w:t>
      </w:r>
      <w:r w:rsidR="00FD2B21">
        <w:t>uidelines from the IPCC and reporting requirements</w:t>
      </w:r>
      <w:r w:rsidR="00802DA3">
        <w:t xml:space="preserve"> under UNFCCC continue to be essential references, a growing number of international initiatives are becoming increasingly </w:t>
      </w:r>
      <w:r w:rsidR="00FD2B21">
        <w:t>important</w:t>
      </w:r>
      <w:r w:rsidR="00802DA3">
        <w:t xml:space="preserve"> in sharing information and experiences.</w:t>
      </w:r>
      <w:r w:rsidR="00D101C4">
        <w:t xml:space="preserve"> </w:t>
      </w:r>
    </w:p>
    <w:p w14:paraId="7803D94C" w14:textId="77777777" w:rsidR="008E769B" w:rsidRPr="008E769B" w:rsidRDefault="008E769B" w:rsidP="008E769B">
      <w:pPr>
        <w:spacing w:before="120" w:after="0"/>
        <w:ind w:left="360"/>
        <w:rPr>
          <w:lang w:val="en-GB"/>
        </w:rPr>
      </w:pPr>
    </w:p>
    <w:p w14:paraId="46EA92C2" w14:textId="77777777" w:rsidR="00C84AF3" w:rsidRPr="00772B30" w:rsidRDefault="00C84AF3" w:rsidP="005D2939">
      <w:pPr>
        <w:pStyle w:val="Heading2"/>
        <w:numPr>
          <w:ilvl w:val="1"/>
          <w:numId w:val="3"/>
        </w:numPr>
        <w:ind w:left="142"/>
        <w:rPr>
          <w:rStyle w:val="Heading2Char"/>
          <w:b/>
          <w:sz w:val="22"/>
          <w:szCs w:val="22"/>
          <w:lang w:val="en-GB"/>
        </w:rPr>
      </w:pPr>
      <w:bookmarkStart w:id="57" w:name="_Toc521656537"/>
      <w:bookmarkStart w:id="58" w:name="_Ref524614016"/>
      <w:bookmarkStart w:id="59" w:name="_Toc531690987"/>
      <w:bookmarkStart w:id="60" w:name="_Toc531691033"/>
      <w:bookmarkStart w:id="61" w:name="_Toc3473001"/>
      <w:r w:rsidRPr="00772B30">
        <w:rPr>
          <w:sz w:val="22"/>
          <w:szCs w:val="22"/>
          <w:lang w:val="en-GB"/>
        </w:rPr>
        <w:t xml:space="preserve">Overview of challenges and approaches with methane </w:t>
      </w:r>
      <w:bookmarkEnd w:id="57"/>
      <w:bookmarkEnd w:id="58"/>
      <w:bookmarkEnd w:id="59"/>
      <w:bookmarkEnd w:id="60"/>
      <w:r>
        <w:rPr>
          <w:sz w:val="22"/>
          <w:szCs w:val="22"/>
          <w:lang w:val="en-GB"/>
        </w:rPr>
        <w:t>measurement</w:t>
      </w:r>
      <w:bookmarkEnd w:id="61"/>
      <w:r w:rsidRPr="00772B30">
        <w:rPr>
          <w:sz w:val="22"/>
          <w:szCs w:val="22"/>
          <w:lang w:val="en-GB"/>
        </w:rPr>
        <w:t xml:space="preserve"> </w:t>
      </w:r>
    </w:p>
    <w:p w14:paraId="300D0753" w14:textId="77777777" w:rsidR="00C84AF3" w:rsidRDefault="00C84AF3" w:rsidP="00C84AF3">
      <w:pPr>
        <w:pStyle w:val="Heading3"/>
        <w:rPr>
          <w:lang w:val="en-GB"/>
        </w:rPr>
      </w:pPr>
      <w:r>
        <w:rPr>
          <w:lang w:val="en-GB"/>
        </w:rPr>
        <w:t xml:space="preserve">Why quantification is difficult </w:t>
      </w:r>
    </w:p>
    <w:p w14:paraId="7EDED5BD" w14:textId="77777777" w:rsidR="00C84AF3" w:rsidRPr="00852AF0" w:rsidRDefault="00A95E11" w:rsidP="00C84AF3">
      <w:pPr>
        <w:spacing w:before="120" w:after="0"/>
        <w:rPr>
          <w:lang w:val="en-GB"/>
        </w:rPr>
      </w:pPr>
      <w:r>
        <w:rPr>
          <w:lang w:val="en-GB"/>
        </w:rPr>
        <w:t xml:space="preserve">Quantification of methane emissions typically requires </w:t>
      </w:r>
      <w:r w:rsidR="00C84AF3">
        <w:rPr>
          <w:lang w:val="en-GB"/>
        </w:rPr>
        <w:t xml:space="preserve">a </w:t>
      </w:r>
      <w:r w:rsidR="00C84AF3" w:rsidRPr="00852AF0">
        <w:rPr>
          <w:lang w:val="en-GB"/>
        </w:rPr>
        <w:t>combination of direct measurement</w:t>
      </w:r>
      <w:r w:rsidR="00C84AF3">
        <w:rPr>
          <w:lang w:val="en-GB"/>
        </w:rPr>
        <w:t>s</w:t>
      </w:r>
      <w:r w:rsidR="00C84AF3" w:rsidRPr="00852AF0">
        <w:rPr>
          <w:lang w:val="en-GB"/>
        </w:rPr>
        <w:t xml:space="preserve"> and calculation-based methods</w:t>
      </w:r>
      <w:r w:rsidR="00C84AF3">
        <w:rPr>
          <w:lang w:val="en-GB"/>
        </w:rPr>
        <w:t>. The methodological and practical issues involved are demanding given the k</w:t>
      </w:r>
      <w:r w:rsidR="00C84AF3" w:rsidRPr="00852AF0">
        <w:rPr>
          <w:lang w:val="en-GB"/>
        </w:rPr>
        <w:t xml:space="preserve">ey characteristics with oil and gas sector methane emissions:  </w:t>
      </w:r>
    </w:p>
    <w:p w14:paraId="45BAA4A7" w14:textId="7C42F0C5" w:rsidR="00C84AF3" w:rsidRPr="00E33AC5" w:rsidRDefault="00C84AF3" w:rsidP="005D2939">
      <w:pPr>
        <w:pStyle w:val="ListParagraph"/>
        <w:numPr>
          <w:ilvl w:val="0"/>
          <w:numId w:val="9"/>
        </w:numPr>
        <w:spacing w:before="120" w:after="0" w:line="276" w:lineRule="auto"/>
        <w:contextualSpacing w:val="0"/>
        <w:rPr>
          <w:lang w:val="en-GB"/>
        </w:rPr>
      </w:pPr>
      <w:r w:rsidRPr="00695C89">
        <w:rPr>
          <w:u w:val="single"/>
          <w:lang w:val="en-GB"/>
        </w:rPr>
        <w:t>Large number of emissions points</w:t>
      </w:r>
      <w:r w:rsidRPr="00D13940">
        <w:rPr>
          <w:lang w:val="en-GB"/>
        </w:rPr>
        <w:t xml:space="preserve">: Each oil and gas production site or supply facility </w:t>
      </w:r>
      <w:r w:rsidRPr="00E33AC5">
        <w:rPr>
          <w:lang w:val="en-GB"/>
        </w:rPr>
        <w:t xml:space="preserve">may include a few to hundreds of emissions points. </w:t>
      </w:r>
      <w:r>
        <w:rPr>
          <w:lang w:val="en-GB"/>
        </w:rPr>
        <w:t>For examples, c</w:t>
      </w:r>
      <w:r w:rsidRPr="00E33AC5">
        <w:rPr>
          <w:lang w:val="en-GB"/>
        </w:rPr>
        <w:t>ompressor stations in Canada are estimated to have more than 10 leak points, on average</w:t>
      </w:r>
      <w:r w:rsidR="00FF7725">
        <w:rPr>
          <w:lang w:val="en-GB"/>
        </w:rPr>
        <w:t>,</w:t>
      </w:r>
      <w:r w:rsidRPr="00E33AC5">
        <w:rPr>
          <w:lang w:val="en-GB"/>
        </w:rPr>
        <w:t xml:space="preserve"> while gas plants include tens of thousands of components of which a few percent are typically leaking.</w:t>
      </w:r>
      <w:r w:rsidR="00F97F0A" w:rsidRPr="00E33AC5">
        <w:rPr>
          <w:rStyle w:val="FootnoteReference"/>
          <w:lang w:val="en-GB"/>
        </w:rPr>
        <w:footnoteReference w:id="26"/>
      </w:r>
      <w:r w:rsidR="00F97F0A" w:rsidRPr="00E33AC5">
        <w:rPr>
          <w:lang w:val="en-GB"/>
        </w:rPr>
        <w:t xml:space="preserve"> </w:t>
      </w:r>
      <w:r w:rsidRPr="00E33AC5">
        <w:rPr>
          <w:lang w:val="en-GB"/>
        </w:rPr>
        <w:t xml:space="preserve"> </w:t>
      </w:r>
      <w:r>
        <w:rPr>
          <w:lang w:val="en-GB"/>
        </w:rPr>
        <w:t xml:space="preserve">In addition, both these types of installations may include vent </w:t>
      </w:r>
      <w:r w:rsidR="00405082">
        <w:rPr>
          <w:lang w:val="en-GB"/>
        </w:rPr>
        <w:t xml:space="preserve">and flaring </w:t>
      </w:r>
      <w:r>
        <w:rPr>
          <w:lang w:val="en-GB"/>
        </w:rPr>
        <w:t xml:space="preserve">emissions sources. </w:t>
      </w:r>
    </w:p>
    <w:p w14:paraId="244B7136" w14:textId="4F7F3FED" w:rsidR="00C84AF3" w:rsidRPr="00ED00BF" w:rsidRDefault="00C84AF3" w:rsidP="005D2939">
      <w:pPr>
        <w:pStyle w:val="ListParagraph"/>
        <w:numPr>
          <w:ilvl w:val="0"/>
          <w:numId w:val="9"/>
        </w:numPr>
        <w:spacing w:before="120" w:after="0" w:line="276" w:lineRule="auto"/>
        <w:contextualSpacing w:val="0"/>
        <w:rPr>
          <w:lang w:val="en-GB"/>
        </w:rPr>
      </w:pPr>
      <w:r w:rsidRPr="00695C89">
        <w:rPr>
          <w:u w:val="single"/>
          <w:lang w:val="en-GB"/>
        </w:rPr>
        <w:t>Geographical dispersion of the emission points</w:t>
      </w:r>
      <w:r>
        <w:rPr>
          <w:u w:val="single"/>
          <w:lang w:val="en-GB"/>
        </w:rPr>
        <w:t xml:space="preserve"> and other practical challenges</w:t>
      </w:r>
      <w:r w:rsidRPr="00E33AC5">
        <w:rPr>
          <w:lang w:val="en-GB"/>
        </w:rPr>
        <w:t xml:space="preserve">: Methane emissions are spread across </w:t>
      </w:r>
      <w:r>
        <w:rPr>
          <w:lang w:val="en-GB"/>
        </w:rPr>
        <w:t xml:space="preserve">a vast number of </w:t>
      </w:r>
      <w:r w:rsidRPr="00E33AC5">
        <w:rPr>
          <w:lang w:val="en-GB"/>
        </w:rPr>
        <w:t>locations globally</w:t>
      </w:r>
      <w:r w:rsidR="00FF7725">
        <w:rPr>
          <w:lang w:val="en-GB"/>
        </w:rPr>
        <w:t>.</w:t>
      </w:r>
      <w:r>
        <w:rPr>
          <w:rStyle w:val="FootnoteReference"/>
          <w:lang w:val="en-GB"/>
        </w:rPr>
        <w:footnoteReference w:id="27"/>
      </w:r>
      <w:r w:rsidRPr="00E33AC5">
        <w:rPr>
          <w:lang w:val="en-GB"/>
        </w:rPr>
        <w:t xml:space="preserve"> Each well site, compressor station, gas plant and pipeline segment are potential emissions sources. Equipment </w:t>
      </w:r>
      <w:r w:rsidR="001631D4">
        <w:rPr>
          <w:lang w:val="en-GB"/>
        </w:rPr>
        <w:t>is</w:t>
      </w:r>
      <w:r w:rsidR="001631D4" w:rsidRPr="00E33AC5">
        <w:rPr>
          <w:lang w:val="en-GB"/>
        </w:rPr>
        <w:t xml:space="preserve"> </w:t>
      </w:r>
      <w:r w:rsidRPr="00E33AC5">
        <w:rPr>
          <w:lang w:val="en-GB"/>
        </w:rPr>
        <w:t xml:space="preserve">often dispersed and in remote locations, increasing the costs of performing measurement campaigns. </w:t>
      </w:r>
      <w:r>
        <w:rPr>
          <w:lang w:val="en-GB"/>
        </w:rPr>
        <w:t xml:space="preserve">Oil and gas supply patterns </w:t>
      </w:r>
      <w:r w:rsidRPr="00E33AC5">
        <w:rPr>
          <w:lang w:val="en-GB"/>
        </w:rPr>
        <w:t>evolv</w:t>
      </w:r>
      <w:r>
        <w:rPr>
          <w:lang w:val="en-GB"/>
        </w:rPr>
        <w:t>e</w:t>
      </w:r>
      <w:r w:rsidRPr="00E33AC5">
        <w:rPr>
          <w:lang w:val="en-GB"/>
        </w:rPr>
        <w:t xml:space="preserve"> fast</w:t>
      </w:r>
      <w:r>
        <w:rPr>
          <w:lang w:val="en-GB"/>
        </w:rPr>
        <w:t xml:space="preserve"> and this </w:t>
      </w:r>
      <w:r w:rsidRPr="00E33AC5">
        <w:rPr>
          <w:lang w:val="en-GB"/>
        </w:rPr>
        <w:t>increas</w:t>
      </w:r>
      <w:r>
        <w:rPr>
          <w:lang w:val="en-GB"/>
        </w:rPr>
        <w:t>es</w:t>
      </w:r>
      <w:r w:rsidRPr="00E33AC5">
        <w:rPr>
          <w:lang w:val="en-GB"/>
        </w:rPr>
        <w:t xml:space="preserve"> the challenges of keepin</w:t>
      </w:r>
      <w:r>
        <w:rPr>
          <w:lang w:val="en-GB"/>
        </w:rPr>
        <w:t xml:space="preserve">g emissions reports up to date. In addition, </w:t>
      </w:r>
      <w:proofErr w:type="gramStart"/>
      <w:r>
        <w:rPr>
          <w:lang w:val="en-GB"/>
        </w:rPr>
        <w:t>a number of</w:t>
      </w:r>
      <w:proofErr w:type="gramEnd"/>
      <w:r>
        <w:rPr>
          <w:lang w:val="en-GB"/>
        </w:rPr>
        <w:t xml:space="preserve"> practical matters should be considered such as </w:t>
      </w:r>
      <w:r w:rsidRPr="00C976E9">
        <w:t xml:space="preserve">physical accessibility </w:t>
      </w:r>
      <w:r>
        <w:t>emissions</w:t>
      </w:r>
      <w:r w:rsidRPr="00C976E9">
        <w:t xml:space="preserve"> sources</w:t>
      </w:r>
      <w:r>
        <w:t xml:space="preserve"> and</w:t>
      </w:r>
      <w:r w:rsidRPr="00C976E9">
        <w:t xml:space="preserve"> safety considerati</w:t>
      </w:r>
      <w:r>
        <w:t>ons.</w:t>
      </w:r>
    </w:p>
    <w:p w14:paraId="7D42F696" w14:textId="1DB3E6FA" w:rsidR="00C84AF3" w:rsidRPr="00E33AC5" w:rsidRDefault="00C84AF3" w:rsidP="005D2939">
      <w:pPr>
        <w:pStyle w:val="ListParagraph"/>
        <w:numPr>
          <w:ilvl w:val="0"/>
          <w:numId w:val="9"/>
        </w:numPr>
        <w:spacing w:before="120" w:after="0" w:line="276" w:lineRule="auto"/>
        <w:contextualSpacing w:val="0"/>
        <w:rPr>
          <w:lang w:val="en-GB"/>
        </w:rPr>
      </w:pPr>
      <w:r w:rsidRPr="00695C89">
        <w:rPr>
          <w:u w:val="single"/>
          <w:lang w:val="en-GB"/>
        </w:rPr>
        <w:t>Variability of the emissions rate:</w:t>
      </w:r>
      <w:r w:rsidRPr="00E33AC5">
        <w:rPr>
          <w:lang w:val="en-GB"/>
        </w:rPr>
        <w:t xml:space="preserve"> Field data shows that emission rates from similar equipment and processes are highly variable (emission rates from similar equipment and processes can vary by a factor of 1000</w:t>
      </w:r>
      <w:r>
        <w:rPr>
          <w:lang w:val="en-GB"/>
        </w:rPr>
        <w:t>)</w:t>
      </w:r>
      <w:r w:rsidR="00F97F0A">
        <w:rPr>
          <w:lang w:val="en-GB"/>
        </w:rPr>
        <w:t>.</w:t>
      </w:r>
      <w:r w:rsidR="00325636">
        <w:rPr>
          <w:rStyle w:val="FootnoteReference"/>
          <w:lang w:val="en-GB"/>
        </w:rPr>
        <w:footnoteReference w:id="28"/>
      </w:r>
      <w:r>
        <w:rPr>
          <w:lang w:val="en-GB"/>
        </w:rPr>
        <w:t xml:space="preserve"> Factors of importance include </w:t>
      </w:r>
      <w:r w:rsidRPr="00E33AC5">
        <w:rPr>
          <w:lang w:val="en-GB"/>
        </w:rPr>
        <w:t>type and the age of the equipment,</w:t>
      </w:r>
      <w:r>
        <w:rPr>
          <w:lang w:val="en-GB"/>
        </w:rPr>
        <w:t xml:space="preserve"> </w:t>
      </w:r>
      <w:r w:rsidR="00405082">
        <w:rPr>
          <w:lang w:val="en-GB"/>
        </w:rPr>
        <w:lastRenderedPageBreak/>
        <w:t xml:space="preserve">any controls, </w:t>
      </w:r>
      <w:r>
        <w:rPr>
          <w:lang w:val="en-GB"/>
        </w:rPr>
        <w:t>climatic conditions</w:t>
      </w:r>
      <w:r w:rsidRPr="00E33AC5">
        <w:rPr>
          <w:lang w:val="en-GB"/>
        </w:rPr>
        <w:t>, maintenance practice and the operating conditions.</w:t>
      </w:r>
      <w:r w:rsidR="00325636">
        <w:rPr>
          <w:rStyle w:val="FootnoteReference"/>
          <w:lang w:val="en-GB"/>
        </w:rPr>
        <w:footnoteReference w:id="29"/>
      </w:r>
      <w:r w:rsidRPr="00E33AC5">
        <w:rPr>
          <w:lang w:val="en-GB"/>
        </w:rPr>
        <w:t xml:space="preserve"> </w:t>
      </w:r>
      <w:r>
        <w:rPr>
          <w:lang w:val="en-GB"/>
        </w:rPr>
        <w:t>C</w:t>
      </w:r>
      <w:r w:rsidRPr="00E33AC5">
        <w:rPr>
          <w:lang w:val="en-GB"/>
        </w:rPr>
        <w:t>onsequen</w:t>
      </w:r>
      <w:r>
        <w:rPr>
          <w:lang w:val="en-GB"/>
        </w:rPr>
        <w:t>tly</w:t>
      </w:r>
      <w:r w:rsidRPr="00E33AC5">
        <w:rPr>
          <w:lang w:val="en-GB"/>
        </w:rPr>
        <w:t xml:space="preserve">, there are important uncertainties associated with using emission factors from a sample number of sites/equipment </w:t>
      </w:r>
      <w:r>
        <w:rPr>
          <w:lang w:val="en-GB"/>
        </w:rPr>
        <w:t xml:space="preserve">(which may not be </w:t>
      </w:r>
      <w:r w:rsidRPr="00E33AC5">
        <w:rPr>
          <w:lang w:val="en-GB"/>
        </w:rPr>
        <w:t>representative of a full population</w:t>
      </w:r>
      <w:r>
        <w:rPr>
          <w:lang w:val="en-GB"/>
        </w:rPr>
        <w:t>)</w:t>
      </w:r>
      <w:r w:rsidRPr="00E33AC5">
        <w:rPr>
          <w:lang w:val="en-GB"/>
        </w:rPr>
        <w:t xml:space="preserve">. </w:t>
      </w:r>
    </w:p>
    <w:p w14:paraId="0CFACDC2" w14:textId="352BB799" w:rsidR="00C84AF3" w:rsidRDefault="00C84AF3" w:rsidP="005D2939">
      <w:pPr>
        <w:pStyle w:val="ListParagraph"/>
        <w:numPr>
          <w:ilvl w:val="0"/>
          <w:numId w:val="9"/>
        </w:numPr>
        <w:spacing w:before="120" w:after="0" w:line="276" w:lineRule="auto"/>
        <w:contextualSpacing w:val="0"/>
        <w:rPr>
          <w:lang w:val="en-GB"/>
        </w:rPr>
      </w:pPr>
      <w:r w:rsidRPr="00695C89">
        <w:rPr>
          <w:u w:val="single"/>
          <w:lang w:val="en-GB"/>
        </w:rPr>
        <w:t>Limited sensory feedback:</w:t>
      </w:r>
      <w:r w:rsidRPr="00E33AC5">
        <w:rPr>
          <w:lang w:val="en-GB"/>
        </w:rPr>
        <w:t xml:space="preserve"> Methane emissions provide limited sensory feedback to humans (</w:t>
      </w:r>
      <w:r>
        <w:rPr>
          <w:lang w:val="en-GB"/>
        </w:rPr>
        <w:t>in</w:t>
      </w:r>
      <w:r w:rsidRPr="00E33AC5">
        <w:rPr>
          <w:lang w:val="en-GB"/>
        </w:rPr>
        <w:t>visible, and odour</w:t>
      </w:r>
      <w:r>
        <w:rPr>
          <w:lang w:val="en-GB"/>
        </w:rPr>
        <w:t>less</w:t>
      </w:r>
      <w:r w:rsidR="00F97F0A">
        <w:rPr>
          <w:lang w:val="en-GB"/>
        </w:rPr>
        <w:t xml:space="preserve"> </w:t>
      </w:r>
      <w:r w:rsidRPr="00E33AC5">
        <w:rPr>
          <w:lang w:val="en-GB"/>
        </w:rPr>
        <w:t>in most cases), and this makes it difficult to identify</w:t>
      </w:r>
      <w:r w:rsidR="00F97F0A">
        <w:rPr>
          <w:lang w:val="en-GB"/>
        </w:rPr>
        <w:t xml:space="preserve"> </w:t>
      </w:r>
      <w:r w:rsidRPr="00E33AC5">
        <w:rPr>
          <w:lang w:val="en-GB"/>
        </w:rPr>
        <w:t>and estimate emissions without specialized equipment.</w:t>
      </w:r>
      <w:r w:rsidR="00F97F0A">
        <w:rPr>
          <w:rStyle w:val="FootnoteReference"/>
          <w:lang w:val="en-GB"/>
        </w:rPr>
        <w:footnoteReference w:id="30"/>
      </w:r>
      <w:r w:rsidR="00F97F0A">
        <w:rPr>
          <w:vertAlign w:val="superscript"/>
          <w:lang w:val="en-GB"/>
        </w:rPr>
        <w:t>,</w:t>
      </w:r>
      <w:r w:rsidR="00F97F0A" w:rsidRPr="00F97F0A">
        <w:rPr>
          <w:rStyle w:val="FootnoteReference"/>
          <w:lang w:val="en-GB"/>
        </w:rPr>
        <w:t xml:space="preserve"> </w:t>
      </w:r>
      <w:r w:rsidR="00F97F0A">
        <w:rPr>
          <w:rStyle w:val="FootnoteReference"/>
          <w:lang w:val="en-GB"/>
        </w:rPr>
        <w:footnoteReference w:id="31"/>
      </w:r>
      <w:r w:rsidR="00F97F0A" w:rsidRPr="00E33AC5">
        <w:rPr>
          <w:lang w:val="en-GB"/>
        </w:rPr>
        <w:t xml:space="preserve"> </w:t>
      </w:r>
      <w:r w:rsidRPr="00E33AC5">
        <w:rPr>
          <w:lang w:val="en-GB"/>
        </w:rPr>
        <w:t xml:space="preserve">This </w:t>
      </w:r>
      <w:r>
        <w:rPr>
          <w:lang w:val="en-GB"/>
        </w:rPr>
        <w:t xml:space="preserve">in turn can add to the costs of </w:t>
      </w:r>
      <w:r w:rsidRPr="00E33AC5">
        <w:rPr>
          <w:lang w:val="en-GB"/>
        </w:rPr>
        <w:t>monitoring, reporting and verification.</w:t>
      </w:r>
    </w:p>
    <w:p w14:paraId="0CB4494C" w14:textId="77777777" w:rsidR="00C84AF3" w:rsidRPr="00852AF0" w:rsidRDefault="00C84AF3" w:rsidP="00C84AF3">
      <w:pPr>
        <w:spacing w:before="120" w:after="0"/>
        <w:rPr>
          <w:lang w:val="en-GB"/>
        </w:rPr>
      </w:pPr>
      <w:r w:rsidRPr="00852AF0">
        <w:rPr>
          <w:lang w:val="en-GB"/>
        </w:rPr>
        <w:t xml:space="preserve">The challenges </w:t>
      </w:r>
      <w:r>
        <w:rPr>
          <w:lang w:val="en-GB"/>
        </w:rPr>
        <w:t xml:space="preserve">listed above </w:t>
      </w:r>
      <w:r w:rsidRPr="00852AF0">
        <w:rPr>
          <w:lang w:val="en-GB"/>
        </w:rPr>
        <w:t xml:space="preserve">reflect the intrinsic difficulties in methane emissions quantification, and it explains the large discrepancies in estimates shown in the previous chapter. </w:t>
      </w:r>
    </w:p>
    <w:p w14:paraId="7B6C9676" w14:textId="50E0EB46" w:rsidR="00C84AF3" w:rsidRDefault="00C84AF3" w:rsidP="00C84AF3">
      <w:pPr>
        <w:spacing w:before="120" w:after="0"/>
        <w:rPr>
          <w:lang w:val="en-GB"/>
        </w:rPr>
      </w:pPr>
      <w:r w:rsidRPr="00852AF0">
        <w:rPr>
          <w:lang w:val="en-GB"/>
        </w:rPr>
        <w:t xml:space="preserve">Continuous measurement over a large number of methane emission sources is not </w:t>
      </w:r>
      <w:r w:rsidRPr="00C976E9">
        <w:rPr>
          <w:lang w:val="en-US"/>
        </w:rPr>
        <w:t>practicable</w:t>
      </w:r>
      <w:r w:rsidRPr="00852AF0">
        <w:rPr>
          <w:lang w:val="en-GB"/>
        </w:rPr>
        <w:t>. Even at the facility level</w:t>
      </w:r>
      <w:r>
        <w:rPr>
          <w:lang w:val="en-GB"/>
        </w:rPr>
        <w:t>,</w:t>
      </w:r>
      <w:r w:rsidRPr="00852AF0">
        <w:rPr>
          <w:lang w:val="en-GB"/>
        </w:rPr>
        <w:t xml:space="preserve"> quantification </w:t>
      </w:r>
      <w:r>
        <w:rPr>
          <w:lang w:val="en-GB"/>
        </w:rPr>
        <w:t xml:space="preserve">is rarely </w:t>
      </w:r>
      <w:r w:rsidRPr="00852AF0">
        <w:rPr>
          <w:lang w:val="en-GB"/>
        </w:rPr>
        <w:t xml:space="preserve">based on </w:t>
      </w:r>
      <w:r>
        <w:rPr>
          <w:lang w:val="en-GB"/>
        </w:rPr>
        <w:t xml:space="preserve">direct </w:t>
      </w:r>
      <w:r w:rsidRPr="00852AF0">
        <w:rPr>
          <w:lang w:val="en-GB"/>
        </w:rPr>
        <w:t>measurement alone</w:t>
      </w:r>
      <w:r w:rsidR="00F97F0A">
        <w:rPr>
          <w:lang w:val="en-GB"/>
        </w:rPr>
        <w:t>.</w:t>
      </w:r>
      <w:r w:rsidRPr="00852AF0">
        <w:rPr>
          <w:rStyle w:val="FootnoteReference"/>
          <w:lang w:val="en-GB"/>
        </w:rPr>
        <w:footnoteReference w:id="32"/>
      </w:r>
      <w:r w:rsidRPr="00852AF0">
        <w:rPr>
          <w:lang w:val="en-GB"/>
        </w:rPr>
        <w:t xml:space="preserve"> </w:t>
      </w:r>
      <w:r>
        <w:rPr>
          <w:lang w:val="en-GB"/>
        </w:rPr>
        <w:t>Depending on the specific objective of the MRV, d</w:t>
      </w:r>
      <w:r w:rsidRPr="00852AF0">
        <w:rPr>
          <w:lang w:val="en-GB"/>
        </w:rPr>
        <w:t>irect detection and measurements must be combined with calculations</w:t>
      </w:r>
      <w:r>
        <w:rPr>
          <w:lang w:val="en-GB"/>
        </w:rPr>
        <w:t>-</w:t>
      </w:r>
      <w:r w:rsidRPr="00852AF0">
        <w:rPr>
          <w:lang w:val="en-GB"/>
        </w:rPr>
        <w:t>based methods</w:t>
      </w:r>
      <w:r>
        <w:rPr>
          <w:lang w:val="en-GB"/>
        </w:rPr>
        <w:t>.  T</w:t>
      </w:r>
      <w:r w:rsidRPr="00852AF0">
        <w:rPr>
          <w:lang w:val="en-GB"/>
        </w:rPr>
        <w:t>echnical feasibility of making measurements, uncertainty assessments and MRV costs play a role</w:t>
      </w:r>
      <w:r>
        <w:rPr>
          <w:lang w:val="en-GB"/>
        </w:rPr>
        <w:t xml:space="preserve"> must be considered in order to find the right balance</w:t>
      </w:r>
      <w:r w:rsidRPr="00852AF0">
        <w:rPr>
          <w:lang w:val="en-GB"/>
        </w:rPr>
        <w:t>.</w:t>
      </w:r>
    </w:p>
    <w:p w14:paraId="0FD5335E" w14:textId="77777777" w:rsidR="00C84AF3" w:rsidRDefault="00C84AF3" w:rsidP="00C84AF3">
      <w:pPr>
        <w:pStyle w:val="Heading3"/>
        <w:rPr>
          <w:lang w:val="en-GB"/>
        </w:rPr>
      </w:pPr>
      <w:r>
        <w:rPr>
          <w:lang w:val="en-GB"/>
        </w:rPr>
        <w:t xml:space="preserve">Direct detection and measurement </w:t>
      </w:r>
    </w:p>
    <w:p w14:paraId="0120526D" w14:textId="4D84BBE0" w:rsidR="00C84AF3" w:rsidRDefault="00C84AF3" w:rsidP="00C84AF3">
      <w:pPr>
        <w:spacing w:before="120"/>
        <w:rPr>
          <w:lang w:val="en-GB"/>
        </w:rPr>
      </w:pPr>
      <w:r w:rsidRPr="007C2DB4">
        <w:rPr>
          <w:lang w:val="en-GB"/>
        </w:rPr>
        <w:t>In broad terms there are two categories of direct detection and measurement: bottom-up and top-down studies. Bottom-up studies involve on-site measurements of emissions from individual sources. They are the most detailed but can also be time-consuming and expensive (compared to pure calculation-based approaches) and must be extrapolated</w:t>
      </w:r>
      <w:r w:rsidRPr="00852AF0">
        <w:rPr>
          <w:lang w:val="en-GB"/>
        </w:rPr>
        <w:t xml:space="preserve"> to the company/country level if all of the facilities cannot be surveyed</w:t>
      </w:r>
      <w:r w:rsidR="00F97F0A">
        <w:rPr>
          <w:lang w:val="en-GB"/>
        </w:rPr>
        <w:t>.</w:t>
      </w:r>
      <w:r w:rsidRPr="00852AF0">
        <w:rPr>
          <w:rStyle w:val="FootnoteReference"/>
          <w:lang w:val="en-GB"/>
        </w:rPr>
        <w:footnoteReference w:id="33"/>
      </w:r>
      <w:r w:rsidRPr="00852AF0">
        <w:rPr>
          <w:lang w:val="en-GB"/>
        </w:rPr>
        <w:t xml:space="preserve"> </w:t>
      </w:r>
    </w:p>
    <w:p w14:paraId="5006D8B1" w14:textId="77777777" w:rsidR="00C84AF3" w:rsidRDefault="00C84AF3" w:rsidP="00C84AF3">
      <w:pPr>
        <w:spacing w:before="120"/>
        <w:rPr>
          <w:lang w:val="en-GB"/>
        </w:rPr>
      </w:pPr>
      <w:r w:rsidRPr="00852AF0">
        <w:rPr>
          <w:lang w:val="en-GB"/>
        </w:rPr>
        <w:t xml:space="preserve">Remote (top-down) methods typically measure the ambient concentration of methane in the atmosphere usually from airplanes/drones, moving vehicle or tall towers located on site. Another approach involves monitoring methane plumes using tracer gas. Several companies have also started performing methane measurements based on satellite technology. These measurements provide insights into overall levels of methane emissions, but </w:t>
      </w:r>
      <w:r>
        <w:rPr>
          <w:lang w:val="en-GB"/>
        </w:rPr>
        <w:t>tracing</w:t>
      </w:r>
      <w:r w:rsidRPr="00852AF0">
        <w:rPr>
          <w:lang w:val="en-GB"/>
        </w:rPr>
        <w:t xml:space="preserve"> back</w:t>
      </w:r>
      <w:r>
        <w:rPr>
          <w:lang w:val="en-GB"/>
        </w:rPr>
        <w:t xml:space="preserve"> the</w:t>
      </w:r>
      <w:r w:rsidRPr="00852AF0">
        <w:rPr>
          <w:lang w:val="en-GB"/>
        </w:rPr>
        <w:t xml:space="preserve"> main contributing sources and their relative importance</w:t>
      </w:r>
      <w:r w:rsidRPr="004C7A75">
        <w:rPr>
          <w:lang w:val="en-US"/>
        </w:rPr>
        <w:t xml:space="preserve"> can present practical challenges</w:t>
      </w:r>
      <w:r w:rsidRPr="00852AF0">
        <w:rPr>
          <w:lang w:val="en-GB"/>
        </w:rPr>
        <w:t xml:space="preserve">. </w:t>
      </w:r>
    </w:p>
    <w:p w14:paraId="31B3E7E1" w14:textId="77777777" w:rsidR="00C84AF3" w:rsidRPr="00852AF0" w:rsidRDefault="00C84AF3" w:rsidP="00C84AF3">
      <w:pPr>
        <w:spacing w:before="120"/>
        <w:rPr>
          <w:lang w:val="en-GB"/>
        </w:rPr>
      </w:pPr>
      <w:r w:rsidRPr="00852AF0">
        <w:rPr>
          <w:lang w:val="en-GB"/>
        </w:rPr>
        <w:t xml:space="preserve">Given the variability of the emissions rate </w:t>
      </w:r>
      <w:r>
        <w:rPr>
          <w:lang w:val="en-GB"/>
        </w:rPr>
        <w:t xml:space="preserve">over time, caused by daily and seasonal supply-demand patterns, and/or </w:t>
      </w:r>
      <w:r w:rsidRPr="00852AF0">
        <w:rPr>
          <w:lang w:val="en-GB"/>
        </w:rPr>
        <w:t>activity</w:t>
      </w:r>
      <w:r>
        <w:rPr>
          <w:lang w:val="en-GB"/>
        </w:rPr>
        <w:t xml:space="preserve"> levels at</w:t>
      </w:r>
      <w:r w:rsidRPr="00852AF0">
        <w:rPr>
          <w:lang w:val="en-GB"/>
        </w:rPr>
        <w:t xml:space="preserve"> site</w:t>
      </w:r>
      <w:r>
        <w:rPr>
          <w:lang w:val="en-GB"/>
        </w:rPr>
        <w:t>s,</w:t>
      </w:r>
      <w:r w:rsidRPr="00852AF0">
        <w:rPr>
          <w:lang w:val="en-GB"/>
        </w:rPr>
        <w:t xml:space="preserve"> measurement</w:t>
      </w:r>
      <w:r>
        <w:rPr>
          <w:lang w:val="en-GB"/>
        </w:rPr>
        <w:t>-</w:t>
      </w:r>
      <w:r w:rsidRPr="00852AF0">
        <w:rPr>
          <w:lang w:val="en-GB"/>
        </w:rPr>
        <w:t xml:space="preserve">based methods need to be </w:t>
      </w:r>
      <w:r w:rsidRPr="0017325A">
        <w:rPr>
          <w:lang w:val="en-GB"/>
        </w:rPr>
        <w:t xml:space="preserve">continuous or </w:t>
      </w:r>
      <w:r w:rsidRPr="00852AF0">
        <w:rPr>
          <w:lang w:val="en-GB"/>
        </w:rPr>
        <w:t>repeated</w:t>
      </w:r>
      <w:r w:rsidRPr="004A09DB">
        <w:rPr>
          <w:lang w:val="en-US"/>
        </w:rPr>
        <w:t xml:space="preserve"> </w:t>
      </w:r>
      <w:r w:rsidRPr="0017325A">
        <w:rPr>
          <w:lang w:val="en-GB"/>
        </w:rPr>
        <w:t>regularly</w:t>
      </w:r>
      <w:r w:rsidRPr="003A424A">
        <w:rPr>
          <w:lang w:val="en-US"/>
        </w:rPr>
        <w:t xml:space="preserve"> </w:t>
      </w:r>
      <w:r>
        <w:rPr>
          <w:lang w:val="en-GB"/>
        </w:rPr>
        <w:t>i</w:t>
      </w:r>
      <w:r w:rsidRPr="003A424A">
        <w:rPr>
          <w:lang w:val="en-GB"/>
        </w:rPr>
        <w:t xml:space="preserve">n order to fully capture variability. </w:t>
      </w:r>
      <w:r w:rsidRPr="00852AF0">
        <w:rPr>
          <w:lang w:val="en-GB"/>
        </w:rPr>
        <w:t>Single point measurements and emission estimates derived from such can be misleading depending on when the measurement was taken</w:t>
      </w:r>
      <w:r>
        <w:rPr>
          <w:lang w:val="en-GB"/>
        </w:rPr>
        <w:t xml:space="preserve"> a</w:t>
      </w:r>
      <w:r w:rsidRPr="004C7A75">
        <w:rPr>
          <w:lang w:val="en-GB"/>
        </w:rPr>
        <w:t>nd the duration of the measurement.</w:t>
      </w:r>
      <w:r w:rsidRPr="004C7A75">
        <w:rPr>
          <w:lang w:val="en-US"/>
        </w:rPr>
        <w:t xml:space="preserve"> </w:t>
      </w:r>
      <w:r w:rsidRPr="004C7A75">
        <w:rPr>
          <w:lang w:val="en-GB"/>
        </w:rPr>
        <w:t xml:space="preserve">In addition, some large intermittent vents emissions sources </w:t>
      </w:r>
      <w:r>
        <w:rPr>
          <w:lang w:val="en-GB"/>
        </w:rPr>
        <w:t>may be missed</w:t>
      </w:r>
      <w:r w:rsidRPr="004C7A75">
        <w:rPr>
          <w:lang w:val="en-GB"/>
        </w:rPr>
        <w:t>.</w:t>
      </w:r>
    </w:p>
    <w:p w14:paraId="5DD35F0E" w14:textId="77777777" w:rsidR="00C84AF3" w:rsidRDefault="00C84AF3" w:rsidP="00C84AF3">
      <w:pPr>
        <w:pStyle w:val="Heading3"/>
        <w:rPr>
          <w:lang w:val="en-GB"/>
        </w:rPr>
      </w:pPr>
      <w:r w:rsidRPr="00852AF0">
        <w:rPr>
          <w:lang w:val="en-GB"/>
        </w:rPr>
        <w:t xml:space="preserve">Calculation based methods </w:t>
      </w:r>
    </w:p>
    <w:p w14:paraId="10F27E65" w14:textId="77777777" w:rsidR="00C84AF3" w:rsidRPr="00852AF0" w:rsidRDefault="00C84AF3" w:rsidP="00C84AF3">
      <w:pPr>
        <w:spacing w:before="120"/>
        <w:rPr>
          <w:lang w:val="en-GB"/>
        </w:rPr>
      </w:pPr>
      <w:r>
        <w:rPr>
          <w:lang w:val="en-GB"/>
        </w:rPr>
        <w:t xml:space="preserve">This is </w:t>
      </w:r>
      <w:r w:rsidRPr="00852AF0">
        <w:rPr>
          <w:lang w:val="en-GB"/>
        </w:rPr>
        <w:t xml:space="preserve">where emissions are quantified </w:t>
      </w:r>
      <w:r>
        <w:rPr>
          <w:lang w:val="en-GB"/>
        </w:rPr>
        <w:t xml:space="preserve">using a combination </w:t>
      </w:r>
      <w:r w:rsidRPr="00852AF0">
        <w:rPr>
          <w:lang w:val="en-GB"/>
        </w:rPr>
        <w:t xml:space="preserve">of activity data </w:t>
      </w:r>
      <w:r>
        <w:rPr>
          <w:lang w:val="en-GB"/>
        </w:rPr>
        <w:t xml:space="preserve">and engineering data </w:t>
      </w:r>
      <w:r w:rsidRPr="00852AF0">
        <w:rPr>
          <w:lang w:val="en-GB"/>
        </w:rPr>
        <w:t xml:space="preserve">and emission factors, </w:t>
      </w:r>
      <w:r>
        <w:rPr>
          <w:lang w:val="en-GB"/>
        </w:rPr>
        <w:t>e.g.,</w:t>
      </w:r>
      <w:r w:rsidRPr="00852AF0">
        <w:rPr>
          <w:lang w:val="en-GB"/>
        </w:rPr>
        <w:t xml:space="preserve"> emissions per unit of the activity </w:t>
      </w:r>
      <w:r w:rsidR="00A95E11">
        <w:rPr>
          <w:lang w:val="en-GB"/>
        </w:rPr>
        <w:t>data (e.g. oil or gas throughput)</w:t>
      </w:r>
      <w:r w:rsidRPr="00852AF0">
        <w:rPr>
          <w:lang w:val="en-GB"/>
        </w:rPr>
        <w:t>. Estimation of methane emissions can be based on:</w:t>
      </w:r>
    </w:p>
    <w:p w14:paraId="41E7A828" w14:textId="77777777" w:rsidR="00C84AF3" w:rsidRPr="00852AF0" w:rsidRDefault="00C84AF3" w:rsidP="00C84AF3">
      <w:pPr>
        <w:spacing w:before="120"/>
        <w:ind w:firstLine="708"/>
        <w:rPr>
          <w:lang w:val="en-GB"/>
        </w:rPr>
      </w:pPr>
      <w:r w:rsidRPr="00852AF0">
        <w:rPr>
          <w:lang w:val="en-GB"/>
        </w:rPr>
        <w:t>(</w:t>
      </w:r>
      <w:proofErr w:type="spellStart"/>
      <w:r w:rsidRPr="00852AF0">
        <w:rPr>
          <w:lang w:val="en-GB"/>
        </w:rPr>
        <w:t>i</w:t>
      </w:r>
      <w:proofErr w:type="spellEnd"/>
      <w:r w:rsidRPr="00852AF0">
        <w:rPr>
          <w:lang w:val="en-GB"/>
        </w:rPr>
        <w:t xml:space="preserve">) default emission factors per unit of throughput of oil and gas (high-level assessment) </w:t>
      </w:r>
    </w:p>
    <w:p w14:paraId="6F2ADA99" w14:textId="77777777" w:rsidR="00C84AF3" w:rsidRPr="00852AF0" w:rsidRDefault="00C84AF3" w:rsidP="00C84AF3">
      <w:pPr>
        <w:spacing w:before="120"/>
        <w:ind w:firstLine="708"/>
        <w:rPr>
          <w:lang w:val="en-GB"/>
        </w:rPr>
      </w:pPr>
      <w:r w:rsidRPr="00852AF0">
        <w:rPr>
          <w:lang w:val="en-GB"/>
        </w:rPr>
        <w:t xml:space="preserve">(ii) emission factors per equipment or event (e.g. per compressor or pipeline blowdown), or </w:t>
      </w:r>
    </w:p>
    <w:p w14:paraId="5A111824" w14:textId="3EE603FB" w:rsidR="00C84AF3" w:rsidRPr="005A08B9" w:rsidRDefault="00C84AF3" w:rsidP="00C84AF3">
      <w:pPr>
        <w:spacing w:before="120"/>
        <w:ind w:left="708"/>
        <w:rPr>
          <w:lang w:val="en-GB"/>
        </w:rPr>
      </w:pPr>
      <w:r w:rsidRPr="00852AF0">
        <w:rPr>
          <w:lang w:val="en-GB"/>
        </w:rPr>
        <w:t xml:space="preserve">(iii) engineering calculations which encompasses a range of different approaches including the use of process engineering software or some formula based estimates taking into account a </w:t>
      </w:r>
      <w:r w:rsidRPr="00852AF0">
        <w:rPr>
          <w:lang w:val="en-GB"/>
        </w:rPr>
        <w:lastRenderedPageBreak/>
        <w:t xml:space="preserve">number of parameter (e.g. intermittent unloading can be estimated using parameters such as casing diameter, well </w:t>
      </w:r>
      <w:r w:rsidRPr="00D13940">
        <w:rPr>
          <w:lang w:val="en-GB"/>
        </w:rPr>
        <w:t>depth</w:t>
      </w:r>
      <w:r w:rsidRPr="00852AF0">
        <w:rPr>
          <w:lang w:val="en-GB"/>
        </w:rPr>
        <w:t>, etc</w:t>
      </w:r>
      <w:r>
        <w:rPr>
          <w:lang w:val="en-GB"/>
        </w:rPr>
        <w:t>.</w:t>
      </w:r>
      <w:r w:rsidR="00F97F0A">
        <w:rPr>
          <w:lang w:val="en-GB"/>
        </w:rPr>
        <w:t>)</w:t>
      </w:r>
      <w:r w:rsidRPr="005A08B9">
        <w:rPr>
          <w:rStyle w:val="FootnoteReference"/>
          <w:lang w:val="en-GB"/>
        </w:rPr>
        <w:footnoteReference w:id="34"/>
      </w:r>
      <w:r w:rsidRPr="005A08B9">
        <w:rPr>
          <w:lang w:val="en-GB"/>
        </w:rPr>
        <w:t xml:space="preserve"> </w:t>
      </w:r>
    </w:p>
    <w:p w14:paraId="5CD800F5" w14:textId="77777777" w:rsidR="00C84AF3" w:rsidRPr="005A08B9" w:rsidRDefault="00C84AF3" w:rsidP="00C84AF3">
      <w:pPr>
        <w:spacing w:before="120"/>
        <w:rPr>
          <w:lang w:val="en-GB"/>
        </w:rPr>
      </w:pPr>
      <w:r w:rsidRPr="005A08B9">
        <w:rPr>
          <w:lang w:val="en-GB"/>
        </w:rPr>
        <w:t xml:space="preserve">Choice of method depends on data available, homogeneity of the oil and gas sector (in terms of equipment and operational practices) and the </w:t>
      </w:r>
      <w:r>
        <w:rPr>
          <w:lang w:val="en-GB"/>
        </w:rPr>
        <w:t xml:space="preserve">type and </w:t>
      </w:r>
      <w:r w:rsidRPr="005A08B9">
        <w:rPr>
          <w:lang w:val="en-GB"/>
        </w:rPr>
        <w:t>relative size of particular emission sources</w:t>
      </w:r>
      <w:r>
        <w:rPr>
          <w:lang w:val="en-GB"/>
        </w:rPr>
        <w:t xml:space="preserve">, and ultimately the </w:t>
      </w:r>
      <w:r w:rsidRPr="00C976E9">
        <w:rPr>
          <w:lang w:val="en-US"/>
        </w:rPr>
        <w:t>intended use</w:t>
      </w:r>
      <w:r>
        <w:rPr>
          <w:lang w:val="en-US"/>
        </w:rPr>
        <w:t xml:space="preserve"> and required accuracy </w:t>
      </w:r>
      <w:r w:rsidRPr="00C976E9">
        <w:rPr>
          <w:lang w:val="en-US"/>
        </w:rPr>
        <w:t>of the</w:t>
      </w:r>
      <w:r>
        <w:rPr>
          <w:lang w:val="en-US"/>
        </w:rPr>
        <w:t xml:space="preserve"> estimates.</w:t>
      </w:r>
      <w:r w:rsidRPr="005A08B9">
        <w:rPr>
          <w:lang w:val="en-GB"/>
        </w:rPr>
        <w:t xml:space="preserve"> </w:t>
      </w:r>
    </w:p>
    <w:p w14:paraId="65A995B6" w14:textId="77777777" w:rsidR="00C84AF3" w:rsidRDefault="00C84AF3" w:rsidP="00C84AF3">
      <w:pPr>
        <w:rPr>
          <w:lang w:val="en-US"/>
        </w:rPr>
      </w:pPr>
      <w:r>
        <w:rPr>
          <w:lang w:val="en-GB"/>
        </w:rPr>
        <w:t>Emission factors are</w:t>
      </w:r>
      <w:r w:rsidR="00A11C8E">
        <w:rPr>
          <w:lang w:val="en-GB"/>
        </w:rPr>
        <w:t xml:space="preserve"> typically</w:t>
      </w:r>
      <w:r>
        <w:rPr>
          <w:lang w:val="en-GB"/>
        </w:rPr>
        <w:t xml:space="preserve"> used to</w:t>
      </w:r>
      <w:r>
        <w:rPr>
          <w:lang w:val="en-US"/>
        </w:rPr>
        <w:t xml:space="preserve"> develop </w:t>
      </w:r>
      <w:r w:rsidRPr="00C976E9">
        <w:rPr>
          <w:lang w:val="en-US"/>
        </w:rPr>
        <w:t>emissions inventor</w:t>
      </w:r>
      <w:r>
        <w:rPr>
          <w:lang w:val="en-US"/>
        </w:rPr>
        <w:t>ies, e.g. national inventories reported to UNFCCC, see Box 2-1</w:t>
      </w:r>
      <w:r w:rsidRPr="00C976E9">
        <w:rPr>
          <w:lang w:val="en-US"/>
        </w:rPr>
        <w:t>.</w:t>
      </w:r>
      <w:r>
        <w:rPr>
          <w:lang w:val="en-US"/>
        </w:rPr>
        <w:t xml:space="preserve"> Generally the uncertainty of such estimates will </w:t>
      </w:r>
      <w:r w:rsidR="00A11C8E">
        <w:rPr>
          <w:lang w:val="en-US"/>
        </w:rPr>
        <w:t xml:space="preserve">decrease </w:t>
      </w:r>
      <w:r>
        <w:rPr>
          <w:lang w:val="en-US"/>
        </w:rPr>
        <w:t>the more disaggregate the inventories are.</w:t>
      </w:r>
      <w:r w:rsidR="00A11C8E">
        <w:rPr>
          <w:lang w:val="en-US"/>
        </w:rPr>
        <w:t xml:space="preserve"> Typically, the emission estimates using default emission factors are more appropriate when used for a very large number of sources.  These estimates </w:t>
      </w:r>
      <w:r>
        <w:rPr>
          <w:lang w:val="en-US"/>
        </w:rPr>
        <w:t xml:space="preserve">become more uncertain with </w:t>
      </w:r>
      <w:r w:rsidRPr="00C976E9">
        <w:rPr>
          <w:lang w:val="en-US"/>
        </w:rPr>
        <w:t>decreas</w:t>
      </w:r>
      <w:r>
        <w:rPr>
          <w:lang w:val="en-US"/>
        </w:rPr>
        <w:t xml:space="preserve">ing </w:t>
      </w:r>
      <w:r w:rsidRPr="00C976E9">
        <w:rPr>
          <w:lang w:val="en-US"/>
        </w:rPr>
        <w:t>source population</w:t>
      </w:r>
      <w:r>
        <w:rPr>
          <w:lang w:val="en-US"/>
        </w:rPr>
        <w:t xml:space="preserve"> size</w:t>
      </w:r>
      <w:r w:rsidR="00A11C8E">
        <w:rPr>
          <w:lang w:val="en-US"/>
        </w:rPr>
        <w:t xml:space="preserve"> and</w:t>
      </w:r>
      <w:r>
        <w:rPr>
          <w:lang w:val="en-US"/>
        </w:rPr>
        <w:t xml:space="preserve"> </w:t>
      </w:r>
      <w:r w:rsidR="00A11C8E">
        <w:rPr>
          <w:lang w:val="en-US"/>
        </w:rPr>
        <w:t xml:space="preserve">are </w:t>
      </w:r>
      <w:r w:rsidRPr="00C976E9">
        <w:rPr>
          <w:lang w:val="en-US"/>
        </w:rPr>
        <w:t xml:space="preserve">not appropriate for making </w:t>
      </w:r>
      <w:r>
        <w:rPr>
          <w:lang w:val="en-US"/>
        </w:rPr>
        <w:t>investment</w:t>
      </w:r>
      <w:r w:rsidRPr="00C976E9">
        <w:rPr>
          <w:lang w:val="en-US"/>
        </w:rPr>
        <w:t xml:space="preserve"> decisions for individual emissions sources. </w:t>
      </w:r>
      <w:r w:rsidR="00906ED3">
        <w:rPr>
          <w:lang w:val="en-US"/>
        </w:rPr>
        <w:t xml:space="preserve"> </w:t>
      </w:r>
    </w:p>
    <w:p w14:paraId="35E157BC" w14:textId="77777777" w:rsidR="00C84AF3" w:rsidRDefault="00C84AF3" w:rsidP="00C84AF3">
      <w:pPr>
        <w:rPr>
          <w:lang w:val="en-GB"/>
        </w:rPr>
      </w:pPr>
      <w:r w:rsidRPr="00852AF0">
        <w:rPr>
          <w:lang w:val="en-GB"/>
        </w:rPr>
        <w:t>Engineering calculation</w:t>
      </w:r>
      <w:r w:rsidR="00405082">
        <w:rPr>
          <w:lang w:val="en-GB"/>
        </w:rPr>
        <w:t>s</w:t>
      </w:r>
      <w:r w:rsidRPr="00852AF0">
        <w:rPr>
          <w:lang w:val="en-GB"/>
        </w:rPr>
        <w:t xml:space="preserve"> based on robust assumptions can provide reliable estimates in particular for </w:t>
      </w:r>
      <w:r w:rsidRPr="004C7A75">
        <w:rPr>
          <w:lang w:val="en-GB"/>
        </w:rPr>
        <w:t>source</w:t>
      </w:r>
      <w:r>
        <w:rPr>
          <w:lang w:val="en-GB"/>
        </w:rPr>
        <w:t>s which</w:t>
      </w:r>
      <w:r w:rsidRPr="004C7A75">
        <w:rPr>
          <w:lang w:val="en-GB"/>
        </w:rPr>
        <w:t xml:space="preserve"> can be can be readily modelled based on fundamental engineering principles such as thermodynamics, continuity equations, mass transfer, heat transfer, and potentially chemical kinetics.</w:t>
      </w:r>
      <w:r>
        <w:rPr>
          <w:lang w:val="en-GB"/>
        </w:rPr>
        <w:t xml:space="preserve"> </w:t>
      </w:r>
      <w:r>
        <w:rPr>
          <w:lang w:val="en-US"/>
        </w:rPr>
        <w:t xml:space="preserve">They </w:t>
      </w:r>
      <w:r w:rsidRPr="00C976E9">
        <w:rPr>
          <w:lang w:val="en-US"/>
        </w:rPr>
        <w:t>may be considered where improved accuracy is needed</w:t>
      </w:r>
      <w:r>
        <w:rPr>
          <w:lang w:val="en-US"/>
        </w:rPr>
        <w:t xml:space="preserve">, for example during the detailed assessment of a specific abatement project. </w:t>
      </w:r>
      <w:r w:rsidRPr="00C976E9">
        <w:rPr>
          <w:lang w:val="en-US"/>
        </w:rPr>
        <w:t xml:space="preserve"> </w:t>
      </w:r>
    </w:p>
    <w:p w14:paraId="20EFA15D" w14:textId="77777777" w:rsidR="00C84AF3" w:rsidRDefault="00C84AF3" w:rsidP="00C84AF3">
      <w:pPr>
        <w:rPr>
          <w:lang w:val="en-GB"/>
        </w:rPr>
      </w:pPr>
      <w:r w:rsidRPr="005A08B9">
        <w:rPr>
          <w:lang w:val="en-GB"/>
        </w:rPr>
        <w:t>At an aggregate (e.g</w:t>
      </w:r>
      <w:r>
        <w:rPr>
          <w:lang w:val="en-GB"/>
        </w:rPr>
        <w:t>.</w:t>
      </w:r>
      <w:r w:rsidRPr="005A08B9">
        <w:rPr>
          <w:lang w:val="en-GB"/>
        </w:rPr>
        <w:t xml:space="preserve"> national) level</w:t>
      </w:r>
      <w:r>
        <w:rPr>
          <w:lang w:val="en-GB"/>
        </w:rPr>
        <w:t>,</w:t>
      </w:r>
      <w:r w:rsidRPr="005A08B9">
        <w:rPr>
          <w:lang w:val="en-GB"/>
        </w:rPr>
        <w:t xml:space="preserve"> it is common to use </w:t>
      </w:r>
      <w:r>
        <w:rPr>
          <w:lang w:val="en-GB"/>
        </w:rPr>
        <w:t xml:space="preserve">oil and gas </w:t>
      </w:r>
      <w:r w:rsidRPr="005A08B9">
        <w:rPr>
          <w:lang w:val="en-GB"/>
        </w:rPr>
        <w:t>throughput or count of facilities as activity data</w:t>
      </w:r>
      <w:r>
        <w:rPr>
          <w:lang w:val="en-GB"/>
        </w:rPr>
        <w:t xml:space="preserve"> (such as well counts)</w:t>
      </w:r>
      <w:r w:rsidRPr="00852AF0">
        <w:rPr>
          <w:lang w:val="en-GB"/>
        </w:rPr>
        <w:t>, while at the facility and company level quantification may be done based on counts of equipment and taking into account infrastructure condition</w:t>
      </w:r>
      <w:r>
        <w:rPr>
          <w:lang w:val="en-GB"/>
        </w:rPr>
        <w:t>s</w:t>
      </w:r>
      <w:r w:rsidRPr="00852AF0">
        <w:rPr>
          <w:lang w:val="en-GB"/>
        </w:rPr>
        <w:t xml:space="preserve">, which provides better estimates. </w:t>
      </w:r>
    </w:p>
    <w:p w14:paraId="240E2D00" w14:textId="77777777" w:rsidR="00802DA3" w:rsidRPr="00852AF0" w:rsidRDefault="00802DA3" w:rsidP="00C84AF3">
      <w:pPr>
        <w:rPr>
          <w:lang w:val="en-GB"/>
        </w:rPr>
      </w:pPr>
      <w:r w:rsidRPr="00852AF0">
        <w:rPr>
          <w:lang w:val="en-GB"/>
        </w:rPr>
        <w:t>Detection and measurement primarily have an application at the facility and company level, but there is rapid technology progress, including in the form of remote sensing, which can broaden the scope of measurement</w:t>
      </w:r>
      <w:r>
        <w:rPr>
          <w:lang w:val="en-GB"/>
        </w:rPr>
        <w:t>-</w:t>
      </w:r>
      <w:r w:rsidRPr="00852AF0">
        <w:rPr>
          <w:lang w:val="en-GB"/>
        </w:rPr>
        <w:t xml:space="preserve">based methods being applied for aggregate quantification and reporting efforts. </w:t>
      </w:r>
    </w:p>
    <w:p w14:paraId="4B83D85D" w14:textId="77777777" w:rsidR="004173F0" w:rsidRDefault="004173F0" w:rsidP="00C84AF3">
      <w:pPr>
        <w:pStyle w:val="Caption"/>
        <w:rPr>
          <w:lang w:val="en-GB"/>
        </w:rPr>
      </w:pPr>
      <w:bookmarkStart w:id="62" w:name="_Ref524804657"/>
    </w:p>
    <w:p w14:paraId="4EE12607" w14:textId="0D387F99" w:rsidR="00C84AF3" w:rsidRPr="00E33AC5" w:rsidRDefault="00C84AF3" w:rsidP="00C84AF3">
      <w:pPr>
        <w:pStyle w:val="Caption"/>
        <w:rPr>
          <w:lang w:val="en-GB"/>
        </w:rPr>
      </w:pPr>
      <w:r w:rsidRPr="00E33AC5">
        <w:rPr>
          <w:lang w:val="en-GB"/>
        </w:rPr>
        <w:t xml:space="preserve">Figure </w:t>
      </w:r>
      <w:r>
        <w:rPr>
          <w:lang w:val="en-GB"/>
        </w:rPr>
        <w:t>3.1</w:t>
      </w:r>
      <w:bookmarkEnd w:id="62"/>
      <w:r w:rsidRPr="00E33AC5">
        <w:rPr>
          <w:lang w:val="en-GB"/>
        </w:rPr>
        <w:t xml:space="preserve">: Overview of the </w:t>
      </w:r>
      <w:r w:rsidR="001631D4">
        <w:rPr>
          <w:lang w:val="en-GB"/>
        </w:rPr>
        <w:t xml:space="preserve">methane quantification </w:t>
      </w:r>
      <w:r w:rsidRPr="00E33AC5">
        <w:rPr>
          <w:lang w:val="en-GB"/>
        </w:rPr>
        <w:t>approaches</w:t>
      </w:r>
    </w:p>
    <w:p w14:paraId="2E7CA9E5" w14:textId="77777777" w:rsidR="00C84AF3" w:rsidRPr="00CD4457" w:rsidRDefault="00C84AF3" w:rsidP="00C84AF3">
      <w:pPr>
        <w:pStyle w:val="Caption"/>
        <w:rPr>
          <w:lang w:val="en-GB"/>
        </w:rPr>
      </w:pPr>
      <w:r w:rsidRPr="003A424A">
        <w:rPr>
          <w:noProof/>
          <w:lang w:eastAsia="nb-NO"/>
        </w:rPr>
        <w:drawing>
          <wp:inline distT="0" distB="0" distL="0" distR="0" wp14:anchorId="643BCDD8" wp14:editId="6554C5C3">
            <wp:extent cx="5654904" cy="288590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242" cy="2888122"/>
                    </a:xfrm>
                    <a:prstGeom prst="rect">
                      <a:avLst/>
                    </a:prstGeom>
                    <a:noFill/>
                    <a:ln>
                      <a:noFill/>
                    </a:ln>
                  </pic:spPr>
                </pic:pic>
              </a:graphicData>
            </a:graphic>
          </wp:inline>
        </w:drawing>
      </w:r>
    </w:p>
    <w:p w14:paraId="7DAD3351" w14:textId="77777777" w:rsidR="008E769B" w:rsidRDefault="008E769B" w:rsidP="00802DA3">
      <w:pPr>
        <w:rPr>
          <w:lang w:val="en-GB"/>
        </w:rPr>
      </w:pPr>
    </w:p>
    <w:p w14:paraId="7F8E7760" w14:textId="75BA0DB8" w:rsidR="00802DA3" w:rsidRPr="00852AF0" w:rsidRDefault="00802DA3" w:rsidP="00802DA3">
      <w:pPr>
        <w:rPr>
          <w:lang w:val="en-GB"/>
        </w:rPr>
      </w:pPr>
      <w:r w:rsidRPr="00852AF0">
        <w:rPr>
          <w:lang w:val="en-GB"/>
        </w:rPr>
        <w:t>Generally, new technological development is likely to shift the balance towards more of methane emissions quantification being based on direct measurement, and with the additional benefit of a more</w:t>
      </w:r>
    </w:p>
    <w:p w14:paraId="17869F21" w14:textId="77777777" w:rsidR="00802DA3" w:rsidRPr="00852AF0" w:rsidRDefault="00802DA3" w:rsidP="00802DA3">
      <w:pPr>
        <w:spacing w:before="120"/>
        <w:rPr>
          <w:lang w:val="en-GB"/>
        </w:rPr>
      </w:pPr>
      <w:r w:rsidRPr="00852AF0">
        <w:rPr>
          <w:lang w:val="en-GB"/>
        </w:rPr>
        <w:t>disaggregate</w:t>
      </w:r>
      <w:r>
        <w:rPr>
          <w:lang w:val="en-GB"/>
        </w:rPr>
        <w:t>d</w:t>
      </w:r>
      <w:r w:rsidRPr="00852AF0">
        <w:rPr>
          <w:lang w:val="en-GB"/>
        </w:rPr>
        <w:t xml:space="preserve"> and facility</w:t>
      </w:r>
      <w:r>
        <w:rPr>
          <w:lang w:val="en-GB"/>
        </w:rPr>
        <w:t>-</w:t>
      </w:r>
      <w:r w:rsidRPr="00852AF0">
        <w:rPr>
          <w:lang w:val="en-GB"/>
        </w:rPr>
        <w:t xml:space="preserve"> and country</w:t>
      </w:r>
      <w:r>
        <w:rPr>
          <w:lang w:val="en-GB"/>
        </w:rPr>
        <w:t>-</w:t>
      </w:r>
      <w:r w:rsidRPr="00852AF0">
        <w:rPr>
          <w:lang w:val="en-GB"/>
        </w:rPr>
        <w:t>specific emission factors being available for calculation</w:t>
      </w:r>
      <w:r>
        <w:rPr>
          <w:lang w:val="en-GB"/>
        </w:rPr>
        <w:t>-</w:t>
      </w:r>
      <w:r w:rsidRPr="00852AF0">
        <w:rPr>
          <w:lang w:val="en-GB"/>
        </w:rPr>
        <w:t xml:space="preserve">based quantification. </w:t>
      </w:r>
    </w:p>
    <w:p w14:paraId="22937534" w14:textId="7896A4C8" w:rsidR="00802DA3" w:rsidRDefault="00802DA3" w:rsidP="00802DA3">
      <w:pPr>
        <w:spacing w:before="120"/>
        <w:rPr>
          <w:lang w:val="en-GB"/>
        </w:rPr>
      </w:pPr>
      <w:r w:rsidRPr="00852AF0">
        <w:rPr>
          <w:lang w:val="en-GB"/>
        </w:rPr>
        <w:lastRenderedPageBreak/>
        <w:t>Companies and public institutions will always have to strike a balance with the use of measurement</w:t>
      </w:r>
      <w:r>
        <w:rPr>
          <w:lang w:val="en-GB"/>
        </w:rPr>
        <w:t>-</w:t>
      </w:r>
      <w:r w:rsidRPr="00852AF0">
        <w:rPr>
          <w:lang w:val="en-GB"/>
        </w:rPr>
        <w:t xml:space="preserve"> and calculation</w:t>
      </w:r>
      <w:r>
        <w:rPr>
          <w:lang w:val="en-GB"/>
        </w:rPr>
        <w:t>-</w:t>
      </w:r>
      <w:r w:rsidRPr="00852AF0">
        <w:rPr>
          <w:lang w:val="en-GB"/>
        </w:rPr>
        <w:t>based methods</w:t>
      </w:r>
      <w:r>
        <w:rPr>
          <w:lang w:val="en-GB"/>
        </w:rPr>
        <w:t xml:space="preserve"> and</w:t>
      </w:r>
      <w:r w:rsidRPr="00852AF0">
        <w:rPr>
          <w:lang w:val="en-GB"/>
        </w:rPr>
        <w:t xml:space="preserve"> the specific calculation</w:t>
      </w:r>
      <w:r>
        <w:rPr>
          <w:lang w:val="en-GB"/>
        </w:rPr>
        <w:t>-</w:t>
      </w:r>
      <w:r w:rsidRPr="00852AF0">
        <w:rPr>
          <w:lang w:val="en-GB"/>
        </w:rPr>
        <w:t xml:space="preserve">based method and level of disaggregation </w:t>
      </w:r>
      <w:r>
        <w:rPr>
          <w:lang w:val="en-GB"/>
        </w:rPr>
        <w:t>to use</w:t>
      </w:r>
      <w:r w:rsidRPr="00852AF0">
        <w:rPr>
          <w:lang w:val="en-GB"/>
        </w:rPr>
        <w:t xml:space="preserve">. Some of the pros and cons of the different approaches are summarized in Figure </w:t>
      </w:r>
      <w:r>
        <w:rPr>
          <w:lang w:val="en-GB"/>
        </w:rPr>
        <w:t>3.1</w:t>
      </w:r>
      <w:r w:rsidRPr="00852AF0">
        <w:rPr>
          <w:lang w:val="en-GB"/>
        </w:rPr>
        <w:t xml:space="preserve">. </w:t>
      </w:r>
    </w:p>
    <w:p w14:paraId="463C7E53" w14:textId="77777777" w:rsidR="008E769B" w:rsidRPr="00852AF0" w:rsidRDefault="008E769B" w:rsidP="00802DA3">
      <w:pPr>
        <w:spacing w:before="120"/>
        <w:rPr>
          <w:lang w:val="en-GB"/>
        </w:rPr>
      </w:pPr>
    </w:p>
    <w:p w14:paraId="0E0418EC" w14:textId="77777777" w:rsidR="00C84AF3" w:rsidRPr="00772B30" w:rsidRDefault="00C84AF3" w:rsidP="005D2939">
      <w:pPr>
        <w:pStyle w:val="Heading2"/>
        <w:numPr>
          <w:ilvl w:val="1"/>
          <w:numId w:val="3"/>
        </w:numPr>
        <w:spacing w:before="120" w:after="0"/>
        <w:ind w:left="142"/>
        <w:rPr>
          <w:rStyle w:val="Heading2Char"/>
          <w:b/>
          <w:bCs/>
          <w:sz w:val="22"/>
          <w:szCs w:val="22"/>
          <w:lang w:val="en-GB"/>
        </w:rPr>
      </w:pPr>
      <w:bookmarkStart w:id="63" w:name="_Toc521656538"/>
      <w:bookmarkStart w:id="64" w:name="_Toc531690988"/>
      <w:bookmarkStart w:id="65" w:name="_Toc531691034"/>
      <w:bookmarkStart w:id="66" w:name="_Ref1475376"/>
      <w:bookmarkStart w:id="67" w:name="_Toc3473002"/>
      <w:bookmarkStart w:id="68" w:name="_Ref524608026"/>
      <w:r w:rsidRPr="00772B30">
        <w:rPr>
          <w:rStyle w:val="Heading2Char"/>
          <w:b/>
          <w:bCs/>
          <w:sz w:val="22"/>
          <w:szCs w:val="22"/>
          <w:lang w:val="en-GB"/>
        </w:rPr>
        <w:t>MRV at the facility and company level</w:t>
      </w:r>
      <w:bookmarkEnd w:id="63"/>
      <w:bookmarkEnd w:id="64"/>
      <w:bookmarkEnd w:id="65"/>
      <w:bookmarkEnd w:id="66"/>
      <w:bookmarkEnd w:id="67"/>
      <w:r w:rsidRPr="00772B30">
        <w:rPr>
          <w:rStyle w:val="Heading2Char"/>
          <w:b/>
          <w:bCs/>
          <w:sz w:val="22"/>
          <w:szCs w:val="22"/>
          <w:lang w:val="en-GB"/>
        </w:rPr>
        <w:t xml:space="preserve"> </w:t>
      </w:r>
      <w:bookmarkEnd w:id="68"/>
    </w:p>
    <w:p w14:paraId="4E3CBEB8" w14:textId="77777777" w:rsidR="00C84AF3" w:rsidRPr="00852AF0" w:rsidRDefault="00C84AF3" w:rsidP="00C84AF3">
      <w:pPr>
        <w:spacing w:before="120" w:after="0"/>
        <w:rPr>
          <w:lang w:val="en-GB"/>
        </w:rPr>
      </w:pPr>
      <w:r w:rsidRPr="00852AF0">
        <w:rPr>
          <w:lang w:val="en-GB"/>
        </w:rPr>
        <w:t xml:space="preserve">Companies quantify emissions for various reasons, such as: </w:t>
      </w:r>
      <w:proofErr w:type="spellStart"/>
      <w:r w:rsidRPr="00852AF0">
        <w:rPr>
          <w:lang w:val="en-GB"/>
        </w:rPr>
        <w:t>i</w:t>
      </w:r>
      <w:proofErr w:type="spellEnd"/>
      <w:r w:rsidRPr="00852AF0">
        <w:rPr>
          <w:lang w:val="en-GB"/>
        </w:rPr>
        <w:t>) to comply with reporting requirements of public authorities ii) to have a sound basis for developing and implementing mitigation strategies</w:t>
      </w:r>
      <w:r w:rsidR="00CD47F3">
        <w:rPr>
          <w:lang w:val="en-GB"/>
        </w:rPr>
        <w:t xml:space="preserve">, including the development of </w:t>
      </w:r>
      <w:r w:rsidR="00CD47F3" w:rsidRPr="00105932">
        <w:rPr>
          <w:lang w:val="en-US"/>
        </w:rPr>
        <w:t>business case for equipment upgrade decisions and prioritizing mitigation measures</w:t>
      </w:r>
      <w:r>
        <w:rPr>
          <w:lang w:val="en-GB"/>
        </w:rPr>
        <w:t xml:space="preserve"> and </w:t>
      </w:r>
      <w:r w:rsidRPr="00852AF0">
        <w:rPr>
          <w:lang w:val="en-GB"/>
        </w:rPr>
        <w:t xml:space="preserve">iii) for internal and external reporting of environmental performance and progress (e.g. relative to set emissions target).  </w:t>
      </w:r>
    </w:p>
    <w:p w14:paraId="0B6D8066" w14:textId="77777777" w:rsidR="00C84AF3" w:rsidRPr="00852AF0" w:rsidRDefault="00C84AF3" w:rsidP="00C84AF3">
      <w:pPr>
        <w:spacing w:before="120" w:after="0"/>
        <w:rPr>
          <w:lang w:val="en-GB"/>
        </w:rPr>
      </w:pPr>
      <w:r>
        <w:rPr>
          <w:lang w:val="en-GB"/>
        </w:rPr>
        <w:t xml:space="preserve">Aspects with company MRV </w:t>
      </w:r>
      <w:r w:rsidRPr="00852AF0">
        <w:rPr>
          <w:lang w:val="en-GB"/>
        </w:rPr>
        <w:t xml:space="preserve">are discussed here under three headings: </w:t>
      </w:r>
    </w:p>
    <w:p w14:paraId="02E37D95" w14:textId="77777777" w:rsidR="00C84AF3" w:rsidRPr="00852AF0" w:rsidRDefault="00C84AF3" w:rsidP="005D2939">
      <w:pPr>
        <w:pStyle w:val="ListParagraph"/>
        <w:numPr>
          <w:ilvl w:val="0"/>
          <w:numId w:val="27"/>
        </w:numPr>
        <w:spacing w:before="120" w:after="0" w:line="276" w:lineRule="auto"/>
        <w:contextualSpacing w:val="0"/>
        <w:rPr>
          <w:lang w:val="en-GB"/>
        </w:rPr>
      </w:pPr>
      <w:r w:rsidRPr="00852AF0">
        <w:rPr>
          <w:lang w:val="en-GB"/>
        </w:rPr>
        <w:t xml:space="preserve">Detection and measurement of emissions at the facility level </w:t>
      </w:r>
    </w:p>
    <w:p w14:paraId="6C557D44" w14:textId="77777777" w:rsidR="00C84AF3" w:rsidRPr="00852AF0" w:rsidRDefault="001B2D14" w:rsidP="005D2939">
      <w:pPr>
        <w:pStyle w:val="ListParagraph"/>
        <w:numPr>
          <w:ilvl w:val="0"/>
          <w:numId w:val="27"/>
        </w:numPr>
        <w:spacing w:before="120" w:after="0" w:line="276" w:lineRule="auto"/>
        <w:contextualSpacing w:val="0"/>
        <w:rPr>
          <w:lang w:val="en-GB"/>
        </w:rPr>
      </w:pPr>
      <w:r>
        <w:rPr>
          <w:lang w:val="en-GB"/>
        </w:rPr>
        <w:t>Calculation-based a</w:t>
      </w:r>
      <w:r w:rsidR="00C84AF3" w:rsidRPr="00852AF0">
        <w:rPr>
          <w:lang w:val="en-GB"/>
        </w:rPr>
        <w:t xml:space="preserve">pproaches for quantification </w:t>
      </w:r>
      <w:r>
        <w:rPr>
          <w:lang w:val="en-GB"/>
        </w:rPr>
        <w:t xml:space="preserve">of emissions at the facility- and </w:t>
      </w:r>
      <w:r w:rsidR="00C84AF3" w:rsidRPr="00852AF0">
        <w:rPr>
          <w:lang w:val="en-GB"/>
        </w:rPr>
        <w:t>company</w:t>
      </w:r>
      <w:r>
        <w:rPr>
          <w:lang w:val="en-GB"/>
        </w:rPr>
        <w:t>-</w:t>
      </w:r>
      <w:r w:rsidR="00C84AF3" w:rsidRPr="00852AF0">
        <w:rPr>
          <w:lang w:val="en-GB"/>
        </w:rPr>
        <w:t>level</w:t>
      </w:r>
    </w:p>
    <w:p w14:paraId="26B38621" w14:textId="77777777" w:rsidR="00C84AF3" w:rsidRDefault="00C84AF3" w:rsidP="005D2939">
      <w:pPr>
        <w:pStyle w:val="ListParagraph"/>
        <w:numPr>
          <w:ilvl w:val="0"/>
          <w:numId w:val="27"/>
        </w:numPr>
        <w:spacing w:before="120" w:after="0" w:line="276" w:lineRule="auto"/>
        <w:contextualSpacing w:val="0"/>
        <w:rPr>
          <w:lang w:val="en-GB"/>
        </w:rPr>
      </w:pPr>
      <w:r w:rsidRPr="00852AF0">
        <w:rPr>
          <w:lang w:val="en-GB"/>
        </w:rPr>
        <w:t>Emissions reporting</w:t>
      </w:r>
      <w:r>
        <w:rPr>
          <w:lang w:val="en-GB"/>
        </w:rPr>
        <w:t xml:space="preserve"> (including voluntary reports) </w:t>
      </w:r>
      <w:r w:rsidRPr="00852AF0">
        <w:rPr>
          <w:lang w:val="en-GB"/>
        </w:rPr>
        <w:t xml:space="preserve">  </w:t>
      </w:r>
    </w:p>
    <w:p w14:paraId="502D6419" w14:textId="77777777" w:rsidR="00C84AF3" w:rsidRPr="00C26938" w:rsidRDefault="00C84AF3" w:rsidP="00C84AF3">
      <w:pPr>
        <w:pStyle w:val="Heading3"/>
        <w:rPr>
          <w:lang w:val="en-GB"/>
        </w:rPr>
      </w:pPr>
      <w:bookmarkStart w:id="69" w:name="_Toc531690989"/>
      <w:r w:rsidRPr="00C26938">
        <w:rPr>
          <w:lang w:val="en-GB"/>
        </w:rPr>
        <w:t>Detection and Measurement – Elements of best practices</w:t>
      </w:r>
      <w:bookmarkEnd w:id="69"/>
    </w:p>
    <w:p w14:paraId="7865F130" w14:textId="77777777" w:rsidR="00C84AF3" w:rsidRPr="00852AF0" w:rsidRDefault="00C84AF3" w:rsidP="00C84AF3">
      <w:pPr>
        <w:spacing w:before="120" w:after="0"/>
        <w:rPr>
          <w:lang w:val="en-GB"/>
        </w:rPr>
      </w:pPr>
      <w:r w:rsidRPr="00852AF0">
        <w:rPr>
          <w:lang w:val="en-GB"/>
        </w:rPr>
        <w:t xml:space="preserve">Detection and measurements at the site level are resource and time demanding activities and require careful planning. </w:t>
      </w:r>
      <w:r>
        <w:rPr>
          <w:lang w:val="en-GB"/>
        </w:rPr>
        <w:t>Depending on the objectives of the measurement campaigns, o</w:t>
      </w:r>
      <w:r w:rsidRPr="00852AF0">
        <w:rPr>
          <w:lang w:val="en-GB"/>
        </w:rPr>
        <w:t>perator</w:t>
      </w:r>
      <w:r>
        <w:rPr>
          <w:lang w:val="en-GB"/>
        </w:rPr>
        <w:t>s</w:t>
      </w:r>
      <w:r w:rsidRPr="00852AF0">
        <w:rPr>
          <w:lang w:val="en-GB"/>
        </w:rPr>
        <w:t xml:space="preserve"> should take into account a number of considerations when developing </w:t>
      </w:r>
      <w:r>
        <w:rPr>
          <w:lang w:val="en-GB"/>
        </w:rPr>
        <w:t xml:space="preserve">such </w:t>
      </w:r>
      <w:r w:rsidRPr="00852AF0">
        <w:rPr>
          <w:lang w:val="en-GB"/>
        </w:rPr>
        <w:t xml:space="preserve">a </w:t>
      </w:r>
      <w:r>
        <w:rPr>
          <w:lang w:val="en-GB"/>
        </w:rPr>
        <w:t xml:space="preserve">program (which can sometimes be </w:t>
      </w:r>
      <w:r w:rsidRPr="00852AF0">
        <w:rPr>
          <w:lang w:val="en-GB"/>
        </w:rPr>
        <w:t xml:space="preserve">linked to </w:t>
      </w:r>
      <w:bookmarkStart w:id="70" w:name="_Hlk3296303"/>
      <w:r w:rsidRPr="00852AF0">
        <w:rPr>
          <w:lang w:val="en-GB"/>
        </w:rPr>
        <w:t xml:space="preserve">LDAR </w:t>
      </w:r>
      <w:bookmarkEnd w:id="70"/>
      <w:r w:rsidRPr="00852AF0">
        <w:rPr>
          <w:lang w:val="en-GB"/>
        </w:rPr>
        <w:t>program)</w:t>
      </w:r>
      <w:r>
        <w:rPr>
          <w:lang w:val="en-GB"/>
        </w:rPr>
        <w:t>, including the following</w:t>
      </w:r>
      <w:r w:rsidRPr="00852AF0">
        <w:rPr>
          <w:lang w:val="en-GB"/>
        </w:rPr>
        <w:t xml:space="preserve">: </w:t>
      </w:r>
    </w:p>
    <w:p w14:paraId="79E2C408" w14:textId="77777777" w:rsidR="00C84AF3" w:rsidRPr="00852AF0" w:rsidRDefault="00C84AF3" w:rsidP="005D2939">
      <w:pPr>
        <w:pStyle w:val="ListParagraph"/>
        <w:numPr>
          <w:ilvl w:val="0"/>
          <w:numId w:val="8"/>
        </w:numPr>
        <w:spacing w:before="120" w:after="0" w:line="276" w:lineRule="auto"/>
        <w:contextualSpacing w:val="0"/>
        <w:rPr>
          <w:lang w:val="en-GB"/>
        </w:rPr>
      </w:pPr>
      <w:r w:rsidRPr="00852AF0">
        <w:rPr>
          <w:lang w:val="en-GB"/>
        </w:rPr>
        <w:t>Selection of the detection and measurement technology</w:t>
      </w:r>
    </w:p>
    <w:p w14:paraId="0B876204" w14:textId="77777777" w:rsidR="00C84AF3" w:rsidRPr="00852AF0" w:rsidRDefault="00C84AF3" w:rsidP="005D2939">
      <w:pPr>
        <w:pStyle w:val="ListParagraph"/>
        <w:numPr>
          <w:ilvl w:val="0"/>
          <w:numId w:val="8"/>
        </w:numPr>
        <w:spacing w:before="120" w:after="0" w:line="276" w:lineRule="auto"/>
        <w:contextualSpacing w:val="0"/>
        <w:rPr>
          <w:lang w:val="en-GB"/>
        </w:rPr>
      </w:pPr>
      <w:r w:rsidRPr="00852AF0">
        <w:rPr>
          <w:lang w:val="en-GB"/>
        </w:rPr>
        <w:t>Selection of the sites</w:t>
      </w:r>
      <w:r>
        <w:rPr>
          <w:lang w:val="en-GB"/>
        </w:rPr>
        <w:t>/emissions sources</w:t>
      </w:r>
      <w:r w:rsidRPr="00852AF0">
        <w:rPr>
          <w:lang w:val="en-GB"/>
        </w:rPr>
        <w:t xml:space="preserve"> to be covered by the detection and measurement campaign</w:t>
      </w:r>
    </w:p>
    <w:p w14:paraId="36C3A806" w14:textId="77777777" w:rsidR="004173F0" w:rsidRDefault="004173F0" w:rsidP="00C84AF3">
      <w:pPr>
        <w:pStyle w:val="Heading4"/>
        <w:numPr>
          <w:ilvl w:val="0"/>
          <w:numId w:val="0"/>
        </w:numPr>
        <w:rPr>
          <w:lang w:val="en-GB"/>
        </w:rPr>
      </w:pPr>
    </w:p>
    <w:p w14:paraId="63C7F7B6" w14:textId="1C104214" w:rsidR="00C84AF3" w:rsidRPr="00852AF0" w:rsidRDefault="00C84AF3" w:rsidP="00C84AF3">
      <w:pPr>
        <w:pStyle w:val="Heading4"/>
        <w:numPr>
          <w:ilvl w:val="0"/>
          <w:numId w:val="0"/>
        </w:numPr>
        <w:rPr>
          <w:lang w:val="en-GB"/>
        </w:rPr>
      </w:pPr>
      <w:r w:rsidRPr="00852AF0">
        <w:rPr>
          <w:lang w:val="en-GB"/>
        </w:rPr>
        <w:t xml:space="preserve">Selection of the detection and measurement technology </w:t>
      </w:r>
    </w:p>
    <w:p w14:paraId="0976ED2B" w14:textId="4AE0DD6D" w:rsidR="00C84AF3" w:rsidRDefault="00C84AF3" w:rsidP="00C84AF3">
      <w:pPr>
        <w:spacing w:before="120" w:after="0"/>
        <w:rPr>
          <w:lang w:val="en-GB"/>
        </w:rPr>
      </w:pPr>
      <w:r w:rsidRPr="00852AF0">
        <w:rPr>
          <w:lang w:val="en-GB"/>
        </w:rPr>
        <w:t>To perform emission surveys, operators can choose amongst a number of technologies (</w:t>
      </w:r>
      <w:r>
        <w:rPr>
          <w:lang w:val="en-GB"/>
        </w:rPr>
        <w:t>m</w:t>
      </w:r>
      <w:r w:rsidRPr="00852AF0">
        <w:rPr>
          <w:lang w:val="en-GB"/>
        </w:rPr>
        <w:t>ore information i</w:t>
      </w:r>
      <w:r>
        <w:rPr>
          <w:lang w:val="en-GB"/>
        </w:rPr>
        <w:t>s provided i</w:t>
      </w:r>
      <w:r w:rsidRPr="00852AF0">
        <w:rPr>
          <w:lang w:val="en-GB"/>
        </w:rPr>
        <w:t>n Annex 2). Over the last few years, infra-red cameras have been used extensively for emission detection, in particular at production sites, compressors stations and processing plants. Compared to older technologies (e.g. soap</w:t>
      </w:r>
      <w:r>
        <w:rPr>
          <w:lang w:val="en-GB"/>
        </w:rPr>
        <w:t xml:space="preserve"> or organic vapor </w:t>
      </w:r>
      <w:proofErr w:type="spellStart"/>
      <w:r>
        <w:rPr>
          <w:lang w:val="en-GB"/>
        </w:rPr>
        <w:t>analyzers</w:t>
      </w:r>
      <w:proofErr w:type="spellEnd"/>
      <w:r w:rsidRPr="00852AF0">
        <w:rPr>
          <w:lang w:val="en-GB"/>
        </w:rPr>
        <w:t>), infra-red cameras are easy to use and allow</w:t>
      </w:r>
      <w:r>
        <w:rPr>
          <w:lang w:val="en-GB"/>
        </w:rPr>
        <w:t>s</w:t>
      </w:r>
      <w:r w:rsidRPr="00852AF0">
        <w:rPr>
          <w:lang w:val="en-GB"/>
        </w:rPr>
        <w:t xml:space="preserve"> </w:t>
      </w:r>
      <w:r>
        <w:rPr>
          <w:lang w:val="en-GB"/>
        </w:rPr>
        <w:t xml:space="preserve">for effective </w:t>
      </w:r>
      <w:r w:rsidRPr="00852AF0">
        <w:rPr>
          <w:lang w:val="en-GB"/>
        </w:rPr>
        <w:t xml:space="preserve">screening </w:t>
      </w:r>
      <w:r>
        <w:rPr>
          <w:lang w:val="en-GB"/>
        </w:rPr>
        <w:t xml:space="preserve">of </w:t>
      </w:r>
      <w:r w:rsidRPr="00852AF0">
        <w:rPr>
          <w:lang w:val="en-GB"/>
        </w:rPr>
        <w:t>a large number of components</w:t>
      </w:r>
      <w:r>
        <w:rPr>
          <w:lang w:val="en-GB"/>
        </w:rPr>
        <w:t xml:space="preserve"> in a relatively short period of time</w:t>
      </w:r>
      <w:r w:rsidRPr="00852AF0">
        <w:rPr>
          <w:lang w:val="en-GB"/>
        </w:rPr>
        <w:t xml:space="preserve">. </w:t>
      </w:r>
      <w:r>
        <w:rPr>
          <w:lang w:val="en-GB"/>
        </w:rPr>
        <w:t xml:space="preserve">Infra-red </w:t>
      </w:r>
      <w:r w:rsidRPr="00852AF0">
        <w:rPr>
          <w:lang w:val="en-GB"/>
        </w:rPr>
        <w:t xml:space="preserve">camera surveys </w:t>
      </w:r>
      <w:r>
        <w:rPr>
          <w:lang w:val="en-GB"/>
        </w:rPr>
        <w:t xml:space="preserve">will </w:t>
      </w:r>
      <w:r w:rsidRPr="00852AF0">
        <w:rPr>
          <w:lang w:val="en-GB"/>
        </w:rPr>
        <w:t>still require a crew of technicians to visit each site on a regular basis</w:t>
      </w:r>
      <w:r>
        <w:rPr>
          <w:lang w:val="en-GB"/>
        </w:rPr>
        <w:t>,</w:t>
      </w:r>
      <w:r w:rsidRPr="00852AF0">
        <w:rPr>
          <w:lang w:val="en-GB"/>
        </w:rPr>
        <w:t xml:space="preserve"> which can represent a non-negligible share of the cost</w:t>
      </w:r>
      <w:r w:rsidR="00F97F0A">
        <w:rPr>
          <w:lang w:val="en-GB"/>
        </w:rPr>
        <w:t>.</w:t>
      </w:r>
      <w:r>
        <w:rPr>
          <w:rStyle w:val="FootnoteReference"/>
          <w:lang w:val="en-GB"/>
        </w:rPr>
        <w:footnoteReference w:id="35"/>
      </w:r>
      <w:r>
        <w:rPr>
          <w:vertAlign w:val="superscript"/>
          <w:lang w:val="en-GB"/>
        </w:rPr>
        <w:t>,</w:t>
      </w:r>
      <w:r w:rsidR="00213269">
        <w:rPr>
          <w:rStyle w:val="FootnoteReference"/>
          <w:lang w:val="en-GB"/>
        </w:rPr>
        <w:footnoteReference w:id="36"/>
      </w:r>
      <w:r w:rsidRPr="00852AF0">
        <w:rPr>
          <w:lang w:val="en-GB"/>
        </w:rPr>
        <w:t xml:space="preserve"> </w:t>
      </w:r>
    </w:p>
    <w:p w14:paraId="32753B40" w14:textId="77777777" w:rsidR="00C84AF3" w:rsidRPr="00852AF0" w:rsidRDefault="00C84AF3" w:rsidP="00C84AF3">
      <w:pPr>
        <w:spacing w:before="120" w:after="0"/>
        <w:rPr>
          <w:lang w:val="en-GB"/>
        </w:rPr>
      </w:pPr>
      <w:r w:rsidRPr="00852AF0">
        <w:rPr>
          <w:lang w:val="en-GB"/>
        </w:rPr>
        <w:t xml:space="preserve">A variety of technologies have been used over the last few years for emission quantification. These approaches typically present some limitations in terms of accuracy, (lower and/or upper) threshold, costs or applicability to certain types of emissions sources. </w:t>
      </w:r>
      <w:r>
        <w:rPr>
          <w:lang w:val="en-GB"/>
        </w:rPr>
        <w:t>T</w:t>
      </w:r>
      <w:r w:rsidRPr="00852AF0">
        <w:rPr>
          <w:lang w:val="en-GB"/>
        </w:rPr>
        <w:t xml:space="preserve">here </w:t>
      </w:r>
      <w:r>
        <w:rPr>
          <w:lang w:val="en-GB"/>
        </w:rPr>
        <w:t xml:space="preserve">are </w:t>
      </w:r>
      <w:r w:rsidRPr="00852AF0">
        <w:rPr>
          <w:lang w:val="en-GB"/>
        </w:rPr>
        <w:t>a number of emerging and new commercial technologies for detection and quantification</w:t>
      </w:r>
      <w:r>
        <w:rPr>
          <w:lang w:val="en-GB"/>
        </w:rPr>
        <w:t xml:space="preserve"> of methane emissions</w:t>
      </w:r>
      <w:r w:rsidRPr="00852AF0">
        <w:rPr>
          <w:lang w:val="en-GB"/>
        </w:rPr>
        <w:t>. These technologies have the potential to completely change measurement practices in the future by allowing (</w:t>
      </w:r>
      <w:proofErr w:type="spellStart"/>
      <w:r w:rsidRPr="00852AF0">
        <w:rPr>
          <w:lang w:val="en-GB"/>
        </w:rPr>
        <w:t>i</w:t>
      </w:r>
      <w:proofErr w:type="spellEnd"/>
      <w:r w:rsidRPr="00852AF0">
        <w:rPr>
          <w:lang w:val="en-GB"/>
        </w:rPr>
        <w:t>) identification of the large emitter</w:t>
      </w:r>
      <w:r>
        <w:rPr>
          <w:lang w:val="en-GB"/>
        </w:rPr>
        <w:t>s</w:t>
      </w:r>
      <w:r w:rsidRPr="00852AF0">
        <w:rPr>
          <w:lang w:val="en-GB"/>
        </w:rPr>
        <w:t xml:space="preserve"> more quickly, and (ii) quantification</w:t>
      </w:r>
      <w:r>
        <w:rPr>
          <w:lang w:val="en-GB"/>
        </w:rPr>
        <w:t xml:space="preserve"> of emissions</w:t>
      </w:r>
      <w:r w:rsidRPr="00852AF0">
        <w:rPr>
          <w:lang w:val="en-GB"/>
        </w:rPr>
        <w:t xml:space="preserve"> at lower costs</w:t>
      </w:r>
      <w:r>
        <w:rPr>
          <w:lang w:val="en-GB"/>
        </w:rPr>
        <w:t>. However,</w:t>
      </w:r>
      <w:r w:rsidRPr="00323D82">
        <w:rPr>
          <w:lang w:val="en-US"/>
        </w:rPr>
        <w:t xml:space="preserve"> </w:t>
      </w:r>
      <w:r w:rsidRPr="00695849">
        <w:rPr>
          <w:lang w:val="en-GB"/>
        </w:rPr>
        <w:t>currently</w:t>
      </w:r>
      <w:r>
        <w:rPr>
          <w:lang w:val="en-GB"/>
        </w:rPr>
        <w:t xml:space="preserve"> there </w:t>
      </w:r>
      <w:r w:rsidRPr="00852AF0">
        <w:rPr>
          <w:lang w:val="en-GB"/>
        </w:rPr>
        <w:t xml:space="preserve">is limited practical field experience with most of the new technologies. </w:t>
      </w:r>
    </w:p>
    <w:p w14:paraId="566EDBAB" w14:textId="21147B58" w:rsidR="00C84AF3" w:rsidRPr="00852AF0" w:rsidRDefault="00C84AF3" w:rsidP="00C84AF3">
      <w:pPr>
        <w:spacing w:before="120" w:after="0"/>
        <w:rPr>
          <w:lang w:val="en-GB"/>
        </w:rPr>
      </w:pPr>
      <w:r w:rsidRPr="00852AF0">
        <w:rPr>
          <w:lang w:val="en-GB"/>
        </w:rPr>
        <w:t>Given the variety in site configurations</w:t>
      </w:r>
      <w:r>
        <w:rPr>
          <w:lang w:val="en-GB"/>
        </w:rPr>
        <w:t xml:space="preserve"> and</w:t>
      </w:r>
      <w:r w:rsidRPr="00852AF0">
        <w:rPr>
          <w:lang w:val="en-GB"/>
        </w:rPr>
        <w:t xml:space="preserve"> the current evolution of the technologies available, there is not at this time one single set of best available technologies for emissions detection and quantification</w:t>
      </w:r>
      <w:r>
        <w:rPr>
          <w:lang w:val="en-GB"/>
        </w:rPr>
        <w:t>.</w:t>
      </w:r>
      <w:r w:rsidR="002D4C7B">
        <w:rPr>
          <w:rStyle w:val="FootnoteReference"/>
          <w:lang w:val="en-GB"/>
        </w:rPr>
        <w:footnoteReference w:id="37"/>
      </w:r>
      <w:r w:rsidRPr="00852AF0">
        <w:rPr>
          <w:lang w:val="en-GB"/>
        </w:rPr>
        <w:t xml:space="preserve"> Technologies should be selected for each specific application, considering a number of factors: </w:t>
      </w:r>
    </w:p>
    <w:p w14:paraId="75EE0BA8" w14:textId="77777777" w:rsidR="00C84AF3" w:rsidRPr="00852AF0" w:rsidRDefault="00C84AF3" w:rsidP="005D2939">
      <w:pPr>
        <w:pStyle w:val="ListParagraph"/>
        <w:numPr>
          <w:ilvl w:val="0"/>
          <w:numId w:val="4"/>
        </w:numPr>
        <w:spacing w:before="120" w:after="0" w:line="276" w:lineRule="auto"/>
        <w:contextualSpacing w:val="0"/>
        <w:rPr>
          <w:lang w:val="en-GB"/>
        </w:rPr>
      </w:pPr>
      <w:r w:rsidRPr="00695C89">
        <w:rPr>
          <w:u w:val="single"/>
          <w:lang w:val="en-GB"/>
        </w:rPr>
        <w:lastRenderedPageBreak/>
        <w:t>Type and dispersion of the sites to be surveyed:</w:t>
      </w:r>
      <w:r w:rsidRPr="00852AF0">
        <w:rPr>
          <w:lang w:val="en-GB"/>
        </w:rPr>
        <w:t xml:space="preserve">  Different approaches and technologies are required to cover different types of installations: aerial surveys are commonly used for gas transmission pipeline but may not be relevant for a large processing plant. The type of </w:t>
      </w:r>
      <w:r w:rsidRPr="006C06D9">
        <w:rPr>
          <w:lang w:val="en-GB"/>
        </w:rPr>
        <w:t xml:space="preserve">on-site </w:t>
      </w:r>
      <w:r w:rsidRPr="00852AF0">
        <w:rPr>
          <w:lang w:val="en-GB"/>
        </w:rPr>
        <w:t xml:space="preserve">emission sources may also impact the technologies selected: a high flow sampler may be used </w:t>
      </w:r>
      <w:r>
        <w:rPr>
          <w:lang w:val="en-GB"/>
        </w:rPr>
        <w:t>to quantify emissions from</w:t>
      </w:r>
      <w:r w:rsidRPr="00852AF0">
        <w:rPr>
          <w:lang w:val="en-GB"/>
        </w:rPr>
        <w:t xml:space="preserve"> a leaking connector but not to quantify emission from a large venting stack. </w:t>
      </w:r>
    </w:p>
    <w:p w14:paraId="48421262" w14:textId="77777777" w:rsidR="00C84AF3" w:rsidRPr="00852AF0" w:rsidRDefault="00C84AF3" w:rsidP="005D2939">
      <w:pPr>
        <w:pStyle w:val="ListParagraph"/>
        <w:numPr>
          <w:ilvl w:val="0"/>
          <w:numId w:val="4"/>
        </w:numPr>
        <w:tabs>
          <w:tab w:val="left" w:pos="3119"/>
        </w:tabs>
        <w:spacing w:before="120" w:after="0" w:line="276" w:lineRule="auto"/>
        <w:contextualSpacing w:val="0"/>
        <w:rPr>
          <w:lang w:val="en-GB"/>
        </w:rPr>
      </w:pPr>
      <w:r w:rsidRPr="00695C89">
        <w:rPr>
          <w:u w:val="single"/>
          <w:lang w:val="en-GB"/>
        </w:rPr>
        <w:t>Objective of the survey:</w:t>
      </w:r>
      <w:r w:rsidRPr="00852AF0">
        <w:rPr>
          <w:lang w:val="en-GB"/>
        </w:rPr>
        <w:t xml:space="preserve"> For example, aerial survey may be selected to estimate the total emissions from a number of sites while </w:t>
      </w:r>
      <w:r>
        <w:rPr>
          <w:lang w:val="en-GB"/>
        </w:rPr>
        <w:t xml:space="preserve">infra-red </w:t>
      </w:r>
      <w:r w:rsidRPr="00852AF0">
        <w:rPr>
          <w:lang w:val="en-GB"/>
        </w:rPr>
        <w:t>camera will be used to identify</w:t>
      </w:r>
      <w:r>
        <w:rPr>
          <w:lang w:val="en-GB"/>
        </w:rPr>
        <w:t xml:space="preserve"> specific emissions sources e.g.</w:t>
      </w:r>
      <w:r w:rsidRPr="00852AF0">
        <w:rPr>
          <w:lang w:val="en-GB"/>
        </w:rPr>
        <w:t xml:space="preserve"> components to be repaired. </w:t>
      </w:r>
    </w:p>
    <w:p w14:paraId="29C8183D" w14:textId="77777777" w:rsidR="00C84AF3" w:rsidRDefault="00C84AF3" w:rsidP="005D2939">
      <w:pPr>
        <w:pStyle w:val="ListParagraph"/>
        <w:numPr>
          <w:ilvl w:val="0"/>
          <w:numId w:val="4"/>
        </w:numPr>
        <w:spacing w:before="120" w:after="0" w:line="276" w:lineRule="auto"/>
        <w:contextualSpacing w:val="0"/>
        <w:rPr>
          <w:lang w:val="en-GB"/>
        </w:rPr>
      </w:pPr>
      <w:r w:rsidRPr="00695CAE">
        <w:rPr>
          <w:u w:val="single"/>
          <w:lang w:val="en-GB"/>
        </w:rPr>
        <w:t>Quantification requirement:</w:t>
      </w:r>
      <w:r w:rsidRPr="0003498A">
        <w:rPr>
          <w:b/>
          <w:lang w:val="en-GB"/>
        </w:rPr>
        <w:t xml:space="preserve">  </w:t>
      </w:r>
      <w:r w:rsidRPr="00852AF0">
        <w:rPr>
          <w:lang w:val="en-GB"/>
        </w:rPr>
        <w:t xml:space="preserve">Related to the point above, the level of accuracy required </w:t>
      </w:r>
      <w:r>
        <w:rPr>
          <w:lang w:val="en-GB"/>
        </w:rPr>
        <w:t xml:space="preserve">and the type of emission source </w:t>
      </w:r>
      <w:r w:rsidRPr="00852AF0">
        <w:rPr>
          <w:lang w:val="en-GB"/>
        </w:rPr>
        <w:t xml:space="preserve">has also some bearing on which technologies to use. </w:t>
      </w:r>
    </w:p>
    <w:p w14:paraId="7C569F71" w14:textId="77777777" w:rsidR="00C84AF3" w:rsidRPr="00182768" w:rsidRDefault="00C84AF3" w:rsidP="005D2939">
      <w:pPr>
        <w:pStyle w:val="ListParagraph"/>
        <w:numPr>
          <w:ilvl w:val="0"/>
          <w:numId w:val="4"/>
        </w:numPr>
        <w:spacing w:before="120" w:after="0" w:line="276" w:lineRule="auto"/>
        <w:contextualSpacing w:val="0"/>
        <w:rPr>
          <w:lang w:val="en-GB"/>
        </w:rPr>
      </w:pPr>
      <w:r w:rsidRPr="00182768">
        <w:rPr>
          <w:u w:val="single"/>
        </w:rPr>
        <w:t>Duration of the measurements:</w:t>
      </w:r>
      <w:r w:rsidRPr="00182768">
        <w:t xml:space="preserve"> Some emissions sources vary over time (for example an intermittent natural gas driven controller). Considerations should also be given on the time and length of the measurement. </w:t>
      </w:r>
    </w:p>
    <w:p w14:paraId="222FB69A" w14:textId="4FFC4333" w:rsidR="00C84AF3" w:rsidRDefault="00C84AF3" w:rsidP="005D2939">
      <w:pPr>
        <w:pStyle w:val="ListParagraph"/>
        <w:numPr>
          <w:ilvl w:val="0"/>
          <w:numId w:val="4"/>
        </w:numPr>
        <w:spacing w:before="120" w:after="0" w:line="276" w:lineRule="auto"/>
        <w:contextualSpacing w:val="0"/>
        <w:rPr>
          <w:lang w:val="en-GB"/>
        </w:rPr>
      </w:pPr>
      <w:r w:rsidRPr="00695CAE">
        <w:rPr>
          <w:u w:val="single"/>
          <w:lang w:val="en-GB"/>
        </w:rPr>
        <w:t>Costs:</w:t>
      </w:r>
      <w:r w:rsidRPr="00852AF0">
        <w:rPr>
          <w:lang w:val="en-GB"/>
        </w:rPr>
        <w:t xml:space="preserve"> Finally, the costs for different technologies are very variable. </w:t>
      </w:r>
      <w:proofErr w:type="spellStart"/>
      <w:r w:rsidRPr="00852AF0">
        <w:rPr>
          <w:lang w:val="en-GB"/>
        </w:rPr>
        <w:t>Labor</w:t>
      </w:r>
      <w:proofErr w:type="spellEnd"/>
      <w:r w:rsidRPr="00852AF0">
        <w:rPr>
          <w:lang w:val="en-GB"/>
        </w:rPr>
        <w:t xml:space="preserve"> costs, which can represent a significant proportion of the total costs, should be considered when comparing alternatives. </w:t>
      </w:r>
    </w:p>
    <w:p w14:paraId="1BAACCE7" w14:textId="77777777" w:rsidR="009B0A74" w:rsidRPr="009B0A74" w:rsidRDefault="009B0A74" w:rsidP="009B0A74">
      <w:pPr>
        <w:spacing w:before="120" w:after="0"/>
        <w:rPr>
          <w:lang w:val="en-GB"/>
        </w:rPr>
      </w:pPr>
    </w:p>
    <w:p w14:paraId="1B7CF1DD" w14:textId="77777777" w:rsidR="00C84AF3" w:rsidRPr="00852AF0" w:rsidRDefault="00C84AF3" w:rsidP="00C84AF3">
      <w:pPr>
        <w:pStyle w:val="Heading4"/>
        <w:numPr>
          <w:ilvl w:val="0"/>
          <w:numId w:val="0"/>
        </w:numPr>
        <w:rPr>
          <w:lang w:val="en-GB"/>
        </w:rPr>
      </w:pPr>
      <w:r w:rsidRPr="00852AF0">
        <w:rPr>
          <w:lang w:val="en-GB"/>
        </w:rPr>
        <w:t xml:space="preserve">Selection of the sites to be </w:t>
      </w:r>
      <w:r>
        <w:rPr>
          <w:lang w:val="en-GB"/>
        </w:rPr>
        <w:t>surveyed</w:t>
      </w:r>
      <w:r w:rsidRPr="00852AF0">
        <w:rPr>
          <w:lang w:val="en-GB"/>
        </w:rPr>
        <w:t xml:space="preserve"> by the detection and measurement campaign </w:t>
      </w:r>
    </w:p>
    <w:p w14:paraId="23575C71" w14:textId="77777777" w:rsidR="00C84AF3" w:rsidRPr="00852AF0" w:rsidRDefault="00C84AF3" w:rsidP="00C84AF3">
      <w:pPr>
        <w:spacing w:before="120" w:after="0"/>
        <w:rPr>
          <w:lang w:val="en-GB"/>
        </w:rPr>
      </w:pPr>
      <w:r w:rsidRPr="00852AF0">
        <w:rPr>
          <w:lang w:val="en-GB"/>
        </w:rPr>
        <w:t>When</w:t>
      </w:r>
      <w:r>
        <w:rPr>
          <w:lang w:val="en-GB"/>
        </w:rPr>
        <w:t xml:space="preserve">, for </w:t>
      </w:r>
      <w:r w:rsidRPr="00852AF0">
        <w:rPr>
          <w:lang w:val="en-GB"/>
        </w:rPr>
        <w:t>technical or economic</w:t>
      </w:r>
      <w:r>
        <w:rPr>
          <w:lang w:val="en-GB"/>
        </w:rPr>
        <w:t xml:space="preserve"> reasons, not all</w:t>
      </w:r>
      <w:r w:rsidRPr="00852AF0">
        <w:rPr>
          <w:lang w:val="en-GB"/>
        </w:rPr>
        <w:t xml:space="preserve"> sites</w:t>
      </w:r>
      <w:r>
        <w:rPr>
          <w:lang w:val="en-GB"/>
        </w:rPr>
        <w:t xml:space="preserve"> can be surveyed</w:t>
      </w:r>
      <w:r w:rsidRPr="00852AF0">
        <w:rPr>
          <w:lang w:val="en-GB"/>
        </w:rPr>
        <w:t>, the operator</w:t>
      </w:r>
      <w:r>
        <w:rPr>
          <w:lang w:val="en-GB"/>
        </w:rPr>
        <w:t xml:space="preserve"> will have to </w:t>
      </w:r>
      <w:r w:rsidRPr="00852AF0">
        <w:rPr>
          <w:lang w:val="en-GB"/>
        </w:rPr>
        <w:t>select a subset</w:t>
      </w:r>
      <w:r>
        <w:rPr>
          <w:lang w:val="en-GB"/>
        </w:rPr>
        <w:t xml:space="preserve"> of the sites.</w:t>
      </w:r>
      <w:r w:rsidRPr="00852AF0">
        <w:rPr>
          <w:lang w:val="en-GB"/>
        </w:rPr>
        <w:t xml:space="preserve"> The selection process will depend on the ultimate objective of the measurement campaigns (e.g. develop </w:t>
      </w:r>
      <w:r>
        <w:rPr>
          <w:lang w:val="en-GB"/>
        </w:rPr>
        <w:t xml:space="preserve">emission factors, </w:t>
      </w:r>
      <w:r w:rsidRPr="00852AF0">
        <w:rPr>
          <w:lang w:val="en-GB"/>
        </w:rPr>
        <w:t>address emissions</w:t>
      </w:r>
      <w:r>
        <w:rPr>
          <w:lang w:val="en-GB"/>
        </w:rPr>
        <w:t xml:space="preserve"> or comply with regulation</w:t>
      </w:r>
      <w:r w:rsidRPr="00852AF0">
        <w:rPr>
          <w:lang w:val="en-GB"/>
        </w:rPr>
        <w:t xml:space="preserve">). </w:t>
      </w:r>
    </w:p>
    <w:p w14:paraId="69821485" w14:textId="77777777" w:rsidR="00C84AF3" w:rsidRPr="00852AF0" w:rsidRDefault="00C84AF3" w:rsidP="00C84AF3">
      <w:pPr>
        <w:spacing w:before="120" w:after="0"/>
        <w:rPr>
          <w:lang w:val="en-GB"/>
        </w:rPr>
      </w:pPr>
      <w:r w:rsidRPr="00852AF0">
        <w:rPr>
          <w:lang w:val="en-GB"/>
        </w:rPr>
        <w:t>If the measurement campaign aims at developing emissions factors or if the results of the measurement campaign will be extrapolated to other facilities, the representativeness of the sample of sites selected needs to be carefully assessed. Considerations should include age, operating status, type of facility, industrial segment (upstream vs downstream), size or throughput, and product composition (e.g</w:t>
      </w:r>
      <w:r>
        <w:rPr>
          <w:lang w:val="en-GB"/>
        </w:rPr>
        <w:t>.</w:t>
      </w:r>
      <w:r w:rsidRPr="00852AF0">
        <w:rPr>
          <w:lang w:val="en-GB"/>
        </w:rPr>
        <w:t xml:space="preserve"> presence of acid gas). </w:t>
      </w:r>
    </w:p>
    <w:p w14:paraId="3E5A185F" w14:textId="77777777" w:rsidR="00C84AF3" w:rsidRPr="00852AF0" w:rsidRDefault="00C84AF3" w:rsidP="00C84AF3">
      <w:pPr>
        <w:spacing w:before="120" w:after="0"/>
        <w:rPr>
          <w:lang w:val="en-GB"/>
        </w:rPr>
      </w:pPr>
      <w:r>
        <w:rPr>
          <w:lang w:val="en-GB"/>
        </w:rPr>
        <w:t>I</w:t>
      </w:r>
      <w:r w:rsidRPr="00852AF0">
        <w:rPr>
          <w:lang w:val="en-GB"/>
        </w:rPr>
        <w:t>f the measurement campaign aims primarily at addressing emissions and at identifying emissions reduction projects, the measurement campaign should</w:t>
      </w:r>
      <w:r>
        <w:rPr>
          <w:lang w:val="en-GB"/>
        </w:rPr>
        <w:t>, to the extent possible,</w:t>
      </w:r>
      <w:r w:rsidRPr="00852AF0">
        <w:rPr>
          <w:lang w:val="en-GB"/>
        </w:rPr>
        <w:t xml:space="preserve"> target sites with the </w:t>
      </w:r>
      <w:r>
        <w:rPr>
          <w:lang w:val="en-GB"/>
        </w:rPr>
        <w:t xml:space="preserve">expected </w:t>
      </w:r>
      <w:r w:rsidRPr="00852AF0">
        <w:rPr>
          <w:lang w:val="en-GB"/>
        </w:rPr>
        <w:t xml:space="preserve">largest abatement </w:t>
      </w:r>
      <w:r>
        <w:rPr>
          <w:lang w:val="en-GB"/>
        </w:rPr>
        <w:t>potential (old and large sites</w:t>
      </w:r>
      <w:r w:rsidRPr="00852AF0">
        <w:rPr>
          <w:lang w:val="en-GB"/>
        </w:rPr>
        <w:t>, sites with important emissions sources present suc</w:t>
      </w:r>
      <w:r>
        <w:rPr>
          <w:lang w:val="en-GB"/>
        </w:rPr>
        <w:t>h as un-stabilized oil tanks</w:t>
      </w:r>
      <w:r w:rsidRPr="00852AF0">
        <w:rPr>
          <w:lang w:val="en-GB"/>
        </w:rPr>
        <w:t xml:space="preserve">). </w:t>
      </w:r>
    </w:p>
    <w:p w14:paraId="2165B720" w14:textId="77777777" w:rsidR="00C84AF3" w:rsidRPr="00852AF0" w:rsidRDefault="00C84AF3" w:rsidP="00C84AF3">
      <w:pPr>
        <w:spacing w:before="120" w:after="0"/>
        <w:rPr>
          <w:lang w:val="en-GB"/>
        </w:rPr>
      </w:pPr>
      <w:r w:rsidRPr="00852AF0">
        <w:rPr>
          <w:lang w:val="en-GB"/>
        </w:rPr>
        <w:t>Finally, practical</w:t>
      </w:r>
      <w:r>
        <w:rPr>
          <w:lang w:val="en-GB"/>
        </w:rPr>
        <w:t xml:space="preserve"> consideration such as </w:t>
      </w:r>
      <w:r w:rsidRPr="00852AF0">
        <w:rPr>
          <w:lang w:val="en-GB"/>
        </w:rPr>
        <w:t xml:space="preserve">site location and health and safety </w:t>
      </w:r>
      <w:r>
        <w:rPr>
          <w:lang w:val="en-GB"/>
        </w:rPr>
        <w:t xml:space="preserve">aspects </w:t>
      </w:r>
      <w:r w:rsidRPr="00852AF0">
        <w:rPr>
          <w:lang w:val="en-GB"/>
        </w:rPr>
        <w:t xml:space="preserve">are typically also taken into account </w:t>
      </w:r>
      <w:r>
        <w:rPr>
          <w:lang w:val="en-GB"/>
        </w:rPr>
        <w:t xml:space="preserve">in the </w:t>
      </w:r>
      <w:r w:rsidRPr="00852AF0">
        <w:rPr>
          <w:lang w:val="en-GB"/>
        </w:rPr>
        <w:t>site selection</w:t>
      </w:r>
      <w:r>
        <w:rPr>
          <w:lang w:val="en-GB"/>
        </w:rPr>
        <w:t xml:space="preserve"> process</w:t>
      </w:r>
      <w:r w:rsidRPr="00852AF0">
        <w:rPr>
          <w:lang w:val="en-GB"/>
        </w:rPr>
        <w:t xml:space="preserve">. </w:t>
      </w:r>
    </w:p>
    <w:p w14:paraId="562F0C75" w14:textId="77777777" w:rsidR="00C84AF3" w:rsidRPr="00852AF0" w:rsidRDefault="00C84AF3" w:rsidP="00C84AF3">
      <w:pPr>
        <w:pStyle w:val="Heading3"/>
        <w:rPr>
          <w:lang w:val="en-GB"/>
        </w:rPr>
      </w:pPr>
      <w:bookmarkStart w:id="71" w:name="_Toc531690990"/>
      <w:r w:rsidRPr="00852AF0">
        <w:rPr>
          <w:lang w:val="en-GB"/>
        </w:rPr>
        <w:t>Calculation based methods</w:t>
      </w:r>
      <w:bookmarkEnd w:id="71"/>
      <w:r w:rsidR="005434C6">
        <w:rPr>
          <w:lang w:val="en-GB"/>
        </w:rPr>
        <w:t xml:space="preserve"> – Elements of best practices</w:t>
      </w:r>
      <w:r>
        <w:rPr>
          <w:rStyle w:val="FootnoteReference"/>
          <w:lang w:val="en-GB"/>
        </w:rPr>
        <w:footnoteReference w:id="38"/>
      </w:r>
    </w:p>
    <w:p w14:paraId="65FDC96E" w14:textId="3AA864BB" w:rsidR="00C84AF3" w:rsidRPr="00852AF0" w:rsidRDefault="00C84AF3" w:rsidP="00C84AF3">
      <w:pPr>
        <w:spacing w:before="120" w:after="0"/>
        <w:rPr>
          <w:lang w:val="en-GB"/>
        </w:rPr>
      </w:pPr>
      <w:r w:rsidRPr="00852AF0">
        <w:rPr>
          <w:lang w:val="en-GB"/>
        </w:rPr>
        <w:t>As described previously</w:t>
      </w:r>
      <w:r>
        <w:rPr>
          <w:lang w:val="en-GB"/>
        </w:rPr>
        <w:t>,</w:t>
      </w:r>
      <w:r w:rsidRPr="00852AF0">
        <w:rPr>
          <w:lang w:val="en-GB"/>
        </w:rPr>
        <w:t xml:space="preserve"> calculation</w:t>
      </w:r>
      <w:r>
        <w:rPr>
          <w:lang w:val="en-GB"/>
        </w:rPr>
        <w:t>-</w:t>
      </w:r>
      <w:r w:rsidRPr="00852AF0">
        <w:rPr>
          <w:lang w:val="en-GB"/>
        </w:rPr>
        <w:t>based or indirect methods for estimatin</w:t>
      </w:r>
      <w:r>
        <w:rPr>
          <w:lang w:val="en-GB"/>
        </w:rPr>
        <w:t>g</w:t>
      </w:r>
      <w:r w:rsidRPr="00852AF0">
        <w:rPr>
          <w:lang w:val="en-GB"/>
        </w:rPr>
        <w:t xml:space="preserve"> methane emissions can be based either on (</w:t>
      </w:r>
      <w:proofErr w:type="spellStart"/>
      <w:r w:rsidRPr="00852AF0">
        <w:rPr>
          <w:lang w:val="en-GB"/>
        </w:rPr>
        <w:t>i</w:t>
      </w:r>
      <w:proofErr w:type="spellEnd"/>
      <w:r w:rsidRPr="00852AF0">
        <w:rPr>
          <w:lang w:val="en-GB"/>
        </w:rPr>
        <w:t>) high</w:t>
      </w:r>
      <w:r>
        <w:rPr>
          <w:lang w:val="en-GB"/>
        </w:rPr>
        <w:t>-</w:t>
      </w:r>
      <w:r w:rsidRPr="00852AF0">
        <w:rPr>
          <w:lang w:val="en-GB"/>
        </w:rPr>
        <w:t>level default emission factors (e.g. per unit of throughput)</w:t>
      </w:r>
      <w:r>
        <w:rPr>
          <w:lang w:val="en-GB"/>
        </w:rPr>
        <w:t>,</w:t>
      </w:r>
      <w:r w:rsidRPr="00852AF0">
        <w:rPr>
          <w:lang w:val="en-GB"/>
        </w:rPr>
        <w:t xml:space="preserve"> (ii) emission factors per equipment or event (e.g. per compressor or pipeline blowdown), </w:t>
      </w:r>
      <w:r>
        <w:rPr>
          <w:lang w:val="en-GB"/>
        </w:rPr>
        <w:t xml:space="preserve">or </w:t>
      </w:r>
      <w:r w:rsidRPr="00852AF0">
        <w:rPr>
          <w:lang w:val="en-GB"/>
        </w:rPr>
        <w:t>(iii) engineering calculations</w:t>
      </w:r>
      <w:r w:rsidR="00213269">
        <w:rPr>
          <w:lang w:val="en-GB"/>
        </w:rPr>
        <w:t>.</w:t>
      </w:r>
      <w:r w:rsidRPr="00852AF0">
        <w:rPr>
          <w:rStyle w:val="FootnoteReference"/>
          <w:lang w:val="en-GB"/>
        </w:rPr>
        <w:footnoteReference w:id="39"/>
      </w:r>
      <w:r w:rsidRPr="00852AF0">
        <w:rPr>
          <w:lang w:val="en-GB"/>
        </w:rPr>
        <w:t xml:space="preserve"> </w:t>
      </w:r>
      <w:r>
        <w:rPr>
          <w:lang w:val="en-GB"/>
        </w:rPr>
        <w:t xml:space="preserve">The two latter are particularly relevant </w:t>
      </w:r>
      <w:r w:rsidRPr="00852AF0">
        <w:rPr>
          <w:lang w:val="en-GB"/>
        </w:rPr>
        <w:t>at the facility and company level</w:t>
      </w:r>
      <w:r w:rsidR="00213269">
        <w:rPr>
          <w:lang w:val="en-GB"/>
        </w:rPr>
        <w:t>.</w:t>
      </w:r>
      <w:r w:rsidRPr="00852AF0">
        <w:rPr>
          <w:rStyle w:val="FootnoteReference"/>
          <w:lang w:val="en-GB"/>
        </w:rPr>
        <w:footnoteReference w:id="40"/>
      </w:r>
      <w:r w:rsidRPr="00852AF0">
        <w:rPr>
          <w:lang w:val="en-GB"/>
        </w:rPr>
        <w:t xml:space="preserve"> </w:t>
      </w:r>
    </w:p>
    <w:p w14:paraId="54257480" w14:textId="666BC8A5" w:rsidR="00C84AF3" w:rsidRPr="00852AF0" w:rsidRDefault="00C84AF3" w:rsidP="00C84AF3">
      <w:pPr>
        <w:spacing w:before="120" w:after="0"/>
        <w:rPr>
          <w:highlight w:val="yellow"/>
          <w:lang w:val="en-GB"/>
        </w:rPr>
      </w:pPr>
      <w:r w:rsidRPr="00852AF0">
        <w:rPr>
          <w:lang w:val="en-GB"/>
        </w:rPr>
        <w:t>Operator</w:t>
      </w:r>
      <w:r>
        <w:rPr>
          <w:lang w:val="en-GB"/>
        </w:rPr>
        <w:t>s</w:t>
      </w:r>
      <w:r w:rsidRPr="00852AF0">
        <w:rPr>
          <w:lang w:val="en-GB"/>
        </w:rPr>
        <w:t xml:space="preserve"> should </w:t>
      </w:r>
      <w:proofErr w:type="gramStart"/>
      <w:r w:rsidRPr="00852AF0">
        <w:rPr>
          <w:lang w:val="en-GB"/>
        </w:rPr>
        <w:t>take into account</w:t>
      </w:r>
      <w:proofErr w:type="gramEnd"/>
      <w:r w:rsidRPr="00852AF0">
        <w:rPr>
          <w:lang w:val="en-GB"/>
        </w:rPr>
        <w:t xml:space="preserve"> a number of considerations when </w:t>
      </w:r>
      <w:r>
        <w:rPr>
          <w:lang w:val="en-GB"/>
        </w:rPr>
        <w:t>using</w:t>
      </w:r>
      <w:r w:rsidRPr="00852AF0">
        <w:rPr>
          <w:lang w:val="en-GB"/>
        </w:rPr>
        <w:t xml:space="preserve"> such approaches: </w:t>
      </w:r>
      <w:r w:rsidRPr="00852AF0">
        <w:rPr>
          <w:highlight w:val="yellow"/>
          <w:lang w:val="en-GB"/>
        </w:rPr>
        <w:t xml:space="preserve"> </w:t>
      </w:r>
    </w:p>
    <w:p w14:paraId="3BF32FC9" w14:textId="77777777" w:rsidR="00C84AF3" w:rsidRPr="00852AF0" w:rsidRDefault="00C84AF3" w:rsidP="00C84AF3">
      <w:pPr>
        <w:spacing w:before="120" w:after="0"/>
        <w:jc w:val="both"/>
        <w:rPr>
          <w:b/>
          <w:lang w:val="en-GB"/>
        </w:rPr>
      </w:pPr>
      <w:r w:rsidRPr="00695CAE">
        <w:rPr>
          <w:u w:val="single"/>
          <w:lang w:val="en-GB"/>
        </w:rPr>
        <w:t>Disaggregation level</w:t>
      </w:r>
      <w:r w:rsidRPr="00852AF0">
        <w:rPr>
          <w:b/>
          <w:lang w:val="en-GB"/>
        </w:rPr>
        <w:t xml:space="preserve">: </w:t>
      </w:r>
      <w:r w:rsidRPr="00852AF0">
        <w:rPr>
          <w:lang w:val="en-GB"/>
        </w:rPr>
        <w:t>The</w:t>
      </w:r>
      <w:r w:rsidRPr="00852AF0">
        <w:rPr>
          <w:b/>
          <w:lang w:val="en-GB"/>
        </w:rPr>
        <w:t xml:space="preserve"> </w:t>
      </w:r>
      <w:r w:rsidRPr="00852AF0">
        <w:rPr>
          <w:lang w:val="en-GB"/>
        </w:rPr>
        <w:t>appropriate granularity to account for emission sources must be selected together with categorization of emission sources. The categorization must balance the need for details and the added complexity and should ideally allow to</w:t>
      </w:r>
      <w:r>
        <w:rPr>
          <w:lang w:val="en-GB"/>
        </w:rPr>
        <w:t xml:space="preserve">: </w:t>
      </w:r>
      <w:r w:rsidRPr="00852AF0">
        <w:rPr>
          <w:lang w:val="en-GB"/>
        </w:rPr>
        <w:t>(</w:t>
      </w:r>
      <w:proofErr w:type="spellStart"/>
      <w:r w:rsidRPr="00852AF0">
        <w:rPr>
          <w:lang w:val="en-GB"/>
        </w:rPr>
        <w:t>i</w:t>
      </w:r>
      <w:proofErr w:type="spellEnd"/>
      <w:r w:rsidRPr="00852AF0">
        <w:rPr>
          <w:lang w:val="en-GB"/>
        </w:rPr>
        <w:t>) minimize uncertainties</w:t>
      </w:r>
      <w:r>
        <w:rPr>
          <w:lang w:val="en-GB"/>
        </w:rPr>
        <w:t>,</w:t>
      </w:r>
      <w:r w:rsidRPr="00852AF0">
        <w:rPr>
          <w:lang w:val="en-GB"/>
        </w:rPr>
        <w:t xml:space="preserve"> and (ii) identify emissions reductions opportunities. As an example, storage tanks can be classified depending on the liquid</w:t>
      </w:r>
      <w:r>
        <w:rPr>
          <w:lang w:val="en-GB"/>
        </w:rPr>
        <w:t>s</w:t>
      </w:r>
      <w:r w:rsidRPr="00852AF0">
        <w:rPr>
          <w:lang w:val="en-GB"/>
        </w:rPr>
        <w:t xml:space="preserve"> contained, their size and/or the type of roof</w:t>
      </w:r>
      <w:r>
        <w:rPr>
          <w:lang w:val="en-GB"/>
        </w:rPr>
        <w:t>.</w:t>
      </w:r>
    </w:p>
    <w:p w14:paraId="7B7D1153" w14:textId="72C7C5DE" w:rsidR="00C84AF3" w:rsidRPr="00852AF0" w:rsidRDefault="00C84AF3" w:rsidP="00C84AF3">
      <w:pPr>
        <w:spacing w:before="120" w:after="0"/>
        <w:jc w:val="both"/>
        <w:rPr>
          <w:lang w:val="en-GB"/>
        </w:rPr>
      </w:pPr>
      <w:r w:rsidRPr="00695CAE">
        <w:rPr>
          <w:u w:val="single"/>
          <w:lang w:val="en-GB"/>
        </w:rPr>
        <w:t>Emission factors selection</w:t>
      </w:r>
      <w:r w:rsidRPr="00852AF0">
        <w:rPr>
          <w:lang w:val="en-GB"/>
        </w:rPr>
        <w:t xml:space="preserve">: Ideally, country or company specific emission factors (derived from measurement campaign) </w:t>
      </w:r>
      <w:r>
        <w:rPr>
          <w:lang w:val="en-GB"/>
        </w:rPr>
        <w:t xml:space="preserve">should </w:t>
      </w:r>
      <w:r w:rsidRPr="00852AF0">
        <w:rPr>
          <w:lang w:val="en-GB"/>
        </w:rPr>
        <w:t>be used to estimate emissions. When these are not available international emission factors may be used, as an intermediate measure, recognizing that the important difference in local practices may impact heavily the uncertainty of the final results.</w:t>
      </w:r>
      <w:r w:rsidR="00213269" w:rsidRPr="00852AF0">
        <w:rPr>
          <w:rStyle w:val="FootnoteReference"/>
          <w:lang w:val="en-GB"/>
        </w:rPr>
        <w:footnoteReference w:id="41"/>
      </w:r>
      <w:r w:rsidRPr="00852AF0">
        <w:rPr>
          <w:lang w:val="en-GB"/>
        </w:rPr>
        <w:t xml:space="preserve"> Typically, a company may select a mix of “internal” and published emissions factors depending on the emission source category. Emission factors should also be updated over time, as new information becom</w:t>
      </w:r>
      <w:r>
        <w:rPr>
          <w:lang w:val="en-GB"/>
        </w:rPr>
        <w:t>es</w:t>
      </w:r>
      <w:r w:rsidRPr="00852AF0">
        <w:rPr>
          <w:lang w:val="en-GB"/>
        </w:rPr>
        <w:t xml:space="preserve"> available. </w:t>
      </w:r>
    </w:p>
    <w:p w14:paraId="080E9F28" w14:textId="77777777" w:rsidR="00C84AF3" w:rsidRPr="00852AF0" w:rsidRDefault="00C84AF3" w:rsidP="00C84AF3">
      <w:pPr>
        <w:spacing w:before="120" w:after="0"/>
        <w:jc w:val="both"/>
        <w:rPr>
          <w:b/>
          <w:lang w:val="en-GB"/>
        </w:rPr>
      </w:pPr>
      <w:r w:rsidRPr="00695CAE">
        <w:rPr>
          <w:u w:val="single"/>
          <w:lang w:val="en-GB"/>
        </w:rPr>
        <w:t>Activity data and other information gathering:</w:t>
      </w:r>
      <w:r w:rsidRPr="00852AF0">
        <w:rPr>
          <w:lang w:val="en-GB"/>
        </w:rPr>
        <w:t xml:space="preserve"> To perform emission estimates</w:t>
      </w:r>
      <w:r>
        <w:rPr>
          <w:lang w:val="en-GB"/>
        </w:rPr>
        <w:t>,</w:t>
      </w:r>
      <w:r w:rsidRPr="00852AF0">
        <w:rPr>
          <w:lang w:val="en-GB"/>
        </w:rPr>
        <w:t xml:space="preserve"> site</w:t>
      </w:r>
      <w:r>
        <w:rPr>
          <w:lang w:val="en-GB"/>
        </w:rPr>
        <w:t>-</w:t>
      </w:r>
      <w:r w:rsidRPr="00852AF0">
        <w:rPr>
          <w:lang w:val="en-GB"/>
        </w:rPr>
        <w:t xml:space="preserve">specific information </w:t>
      </w:r>
      <w:r>
        <w:rPr>
          <w:lang w:val="en-GB"/>
        </w:rPr>
        <w:t>is</w:t>
      </w:r>
      <w:r w:rsidRPr="00852AF0">
        <w:rPr>
          <w:lang w:val="en-GB"/>
        </w:rPr>
        <w:t xml:space="preserve"> typically required</w:t>
      </w:r>
      <w:r>
        <w:rPr>
          <w:lang w:val="en-GB"/>
        </w:rPr>
        <w:t xml:space="preserve">, such as </w:t>
      </w:r>
      <w:r w:rsidRPr="00852AF0">
        <w:rPr>
          <w:lang w:val="en-GB"/>
        </w:rPr>
        <w:t xml:space="preserve">equipment counts (e.g. number of storage tanks without a </w:t>
      </w:r>
      <w:r>
        <w:rPr>
          <w:lang w:val="en-GB"/>
        </w:rPr>
        <w:t>vapor recovery unit (</w:t>
      </w:r>
      <w:r w:rsidRPr="00852AF0">
        <w:rPr>
          <w:lang w:val="en-GB"/>
        </w:rPr>
        <w:t>VRU</w:t>
      </w:r>
      <w:r>
        <w:rPr>
          <w:lang w:val="en-GB"/>
        </w:rPr>
        <w:t>)</w:t>
      </w:r>
      <w:r w:rsidRPr="00852AF0">
        <w:rPr>
          <w:lang w:val="en-GB"/>
        </w:rPr>
        <w:t xml:space="preserve">), throughput information (e.g. volume of gas being dehydrated) or other technical information (e.g. number and length of liquid unloading events). </w:t>
      </w:r>
      <w:r>
        <w:rPr>
          <w:lang w:val="en-GB"/>
        </w:rPr>
        <w:t xml:space="preserve">In cases where this information is not </w:t>
      </w:r>
      <w:r w:rsidRPr="00852AF0">
        <w:rPr>
          <w:lang w:val="en-GB"/>
        </w:rPr>
        <w:t>readily available</w:t>
      </w:r>
      <w:r>
        <w:rPr>
          <w:lang w:val="en-GB"/>
        </w:rPr>
        <w:t xml:space="preserve">, data collection approach should be considered, including the establishment of </w:t>
      </w:r>
      <w:r w:rsidRPr="00852AF0">
        <w:rPr>
          <w:lang w:val="en-GB"/>
        </w:rPr>
        <w:t>processes</w:t>
      </w:r>
      <w:r>
        <w:rPr>
          <w:lang w:val="en-GB"/>
        </w:rPr>
        <w:t xml:space="preserve"> retrieve data on </w:t>
      </w:r>
      <w:r w:rsidRPr="00852AF0">
        <w:rPr>
          <w:lang w:val="en-GB"/>
        </w:rPr>
        <w:t xml:space="preserve">changes </w:t>
      </w:r>
      <w:r>
        <w:rPr>
          <w:lang w:val="en-GB"/>
        </w:rPr>
        <w:t xml:space="preserve">that </w:t>
      </w:r>
      <w:r w:rsidRPr="00852AF0">
        <w:rPr>
          <w:lang w:val="en-GB"/>
        </w:rPr>
        <w:t>occur</w:t>
      </w:r>
      <w:r>
        <w:rPr>
          <w:lang w:val="en-GB"/>
        </w:rPr>
        <w:t xml:space="preserve"> over time at </w:t>
      </w:r>
      <w:r w:rsidRPr="00852AF0">
        <w:rPr>
          <w:lang w:val="en-GB"/>
        </w:rPr>
        <w:t xml:space="preserve">facilities. </w:t>
      </w:r>
    </w:p>
    <w:p w14:paraId="33FC7AB4" w14:textId="77777777" w:rsidR="00C84AF3" w:rsidRPr="00FC04EC" w:rsidRDefault="00C84AF3" w:rsidP="00C84AF3">
      <w:pPr>
        <w:pStyle w:val="Heading3"/>
        <w:rPr>
          <w:lang w:val="en-US"/>
        </w:rPr>
      </w:pPr>
      <w:bookmarkStart w:id="72" w:name="_Toc531690991"/>
      <w:r w:rsidRPr="00FC04EC">
        <w:rPr>
          <w:lang w:val="en-US"/>
        </w:rPr>
        <w:t>Reporting</w:t>
      </w:r>
      <w:bookmarkEnd w:id="72"/>
    </w:p>
    <w:p w14:paraId="77FC1591" w14:textId="77777777" w:rsidR="00C84AF3" w:rsidRPr="00852AF0" w:rsidRDefault="00C84AF3" w:rsidP="00C84AF3">
      <w:pPr>
        <w:spacing w:before="120" w:after="0"/>
        <w:rPr>
          <w:lang w:val="en-GB"/>
        </w:rPr>
      </w:pPr>
      <w:r w:rsidRPr="00852AF0">
        <w:rPr>
          <w:lang w:val="en-GB"/>
        </w:rPr>
        <w:t xml:space="preserve">Reporting is an </w:t>
      </w:r>
      <w:r>
        <w:rPr>
          <w:lang w:val="en-GB"/>
        </w:rPr>
        <w:t xml:space="preserve">essential </w:t>
      </w:r>
      <w:r w:rsidRPr="00852AF0">
        <w:rPr>
          <w:lang w:val="en-GB"/>
        </w:rPr>
        <w:t xml:space="preserve">tool for companies to </w:t>
      </w:r>
      <w:r>
        <w:rPr>
          <w:lang w:val="en-GB"/>
        </w:rPr>
        <w:t xml:space="preserve">track emissions, present overview of the level and structure of emissions, and show progress/changes in </w:t>
      </w:r>
      <w:r w:rsidRPr="00852AF0">
        <w:rPr>
          <w:lang w:val="en-GB"/>
        </w:rPr>
        <w:t xml:space="preserve">performance </w:t>
      </w:r>
      <w:r>
        <w:rPr>
          <w:lang w:val="en-GB"/>
        </w:rPr>
        <w:t xml:space="preserve">of emission reduction and abatement activities </w:t>
      </w:r>
      <w:r w:rsidRPr="00852AF0">
        <w:rPr>
          <w:lang w:val="en-GB"/>
        </w:rPr>
        <w:t>over time.  Reporting can take different forms based on purpose and requirements. There</w:t>
      </w:r>
      <w:r>
        <w:rPr>
          <w:lang w:val="en-GB"/>
        </w:rPr>
        <w:t xml:space="preserve"> are</w:t>
      </w:r>
      <w:r w:rsidRPr="00852AF0">
        <w:rPr>
          <w:lang w:val="en-GB"/>
        </w:rPr>
        <w:t xml:space="preserve"> two main types of reports: </w:t>
      </w:r>
    </w:p>
    <w:p w14:paraId="1CD45523" w14:textId="77777777" w:rsidR="00C84AF3" w:rsidRPr="00852AF0" w:rsidRDefault="00C84AF3" w:rsidP="005D2939">
      <w:pPr>
        <w:pStyle w:val="ListParagraph"/>
        <w:numPr>
          <w:ilvl w:val="0"/>
          <w:numId w:val="7"/>
        </w:numPr>
        <w:spacing w:before="120" w:after="0" w:line="276" w:lineRule="auto"/>
        <w:contextualSpacing w:val="0"/>
        <w:rPr>
          <w:lang w:val="en-GB"/>
        </w:rPr>
      </w:pPr>
      <w:r w:rsidRPr="00852AF0">
        <w:rPr>
          <w:lang w:val="en-GB"/>
        </w:rPr>
        <w:t>Measurement surveys reports</w:t>
      </w:r>
    </w:p>
    <w:p w14:paraId="2D5BA5C4" w14:textId="7C2EE98B" w:rsidR="009B0A74" w:rsidRDefault="00C84AF3" w:rsidP="009B0A74">
      <w:pPr>
        <w:pStyle w:val="ListParagraph"/>
        <w:numPr>
          <w:ilvl w:val="0"/>
          <w:numId w:val="7"/>
        </w:numPr>
        <w:spacing w:before="120" w:after="0" w:line="276" w:lineRule="auto"/>
        <w:contextualSpacing w:val="0"/>
        <w:rPr>
          <w:lang w:val="en-GB"/>
        </w:rPr>
      </w:pPr>
      <w:r w:rsidRPr="00852AF0">
        <w:rPr>
          <w:lang w:val="en-GB"/>
        </w:rPr>
        <w:t>Emissions inventory reports</w:t>
      </w:r>
    </w:p>
    <w:p w14:paraId="2EC267F1" w14:textId="77777777" w:rsidR="00325636" w:rsidRPr="00325636" w:rsidRDefault="00325636" w:rsidP="00325636">
      <w:pPr>
        <w:spacing w:before="120" w:after="0"/>
        <w:rPr>
          <w:lang w:val="en-GB"/>
        </w:rPr>
      </w:pPr>
    </w:p>
    <w:p w14:paraId="6D86733E" w14:textId="77777777" w:rsidR="00C84AF3" w:rsidRPr="00E33AC5" w:rsidRDefault="00C84AF3" w:rsidP="00C84AF3">
      <w:pPr>
        <w:pStyle w:val="Heading4"/>
        <w:numPr>
          <w:ilvl w:val="0"/>
          <w:numId w:val="0"/>
        </w:numPr>
        <w:rPr>
          <w:lang w:val="en-GB"/>
        </w:rPr>
      </w:pPr>
      <w:r w:rsidRPr="00E33AC5">
        <w:rPr>
          <w:lang w:val="en-GB"/>
        </w:rPr>
        <w:t xml:space="preserve">Measurement surveys (bottom up) </w:t>
      </w:r>
      <w:r w:rsidRPr="00B75D1E">
        <w:rPr>
          <w:lang w:val="en-GB"/>
        </w:rPr>
        <w:t>reports</w:t>
      </w:r>
      <w:r w:rsidRPr="00E33AC5">
        <w:rPr>
          <w:lang w:val="en-GB"/>
        </w:rPr>
        <w:t xml:space="preserve">: </w:t>
      </w:r>
    </w:p>
    <w:p w14:paraId="5A0006A3" w14:textId="0B11AED9" w:rsidR="00C84AF3" w:rsidRDefault="00C84AF3" w:rsidP="00C84AF3">
      <w:pPr>
        <w:spacing w:before="120" w:after="0"/>
        <w:rPr>
          <w:lang w:val="en-GB"/>
        </w:rPr>
      </w:pPr>
      <w:r>
        <w:rPr>
          <w:lang w:val="en-GB"/>
        </w:rPr>
        <w:t>During a bottom up measurement campaign, each identified emission point will be quantified, tagged and recorded. This record will be combined into a measurement campaign which is most often internal</w:t>
      </w:r>
      <w:r w:rsidRPr="00852AF0">
        <w:rPr>
          <w:lang w:val="en-GB"/>
        </w:rPr>
        <w:t xml:space="preserve">. </w:t>
      </w:r>
      <w:r>
        <w:rPr>
          <w:lang w:val="en-GB"/>
        </w:rPr>
        <w:t>Figure 3.2</w:t>
      </w:r>
      <w:r w:rsidRPr="00852AF0">
        <w:rPr>
          <w:lang w:val="en-GB"/>
        </w:rPr>
        <w:t xml:space="preserve"> presents the typical information which should be presented in a </w:t>
      </w:r>
      <w:r>
        <w:rPr>
          <w:lang w:val="en-GB"/>
        </w:rPr>
        <w:t xml:space="preserve">report for the </w:t>
      </w:r>
      <w:r w:rsidRPr="00852AF0">
        <w:rPr>
          <w:lang w:val="en-GB"/>
        </w:rPr>
        <w:t>bottom up measurement campaign</w:t>
      </w:r>
      <w:r>
        <w:rPr>
          <w:lang w:val="en-GB"/>
        </w:rPr>
        <w:t>. Consistency in reporting different measurement campaigns will allow future comparison and aggregation of the results.</w:t>
      </w:r>
      <w:r w:rsidRPr="00852AF0">
        <w:rPr>
          <w:lang w:val="en-GB"/>
        </w:rPr>
        <w:t xml:space="preserve"> </w:t>
      </w:r>
    </w:p>
    <w:p w14:paraId="406D64F1" w14:textId="77777777" w:rsidR="004173F0" w:rsidRDefault="004173F0" w:rsidP="00C84AF3">
      <w:pPr>
        <w:spacing w:before="120" w:after="0"/>
        <w:rPr>
          <w:lang w:val="en-GB"/>
        </w:rPr>
      </w:pPr>
    </w:p>
    <w:p w14:paraId="4E0B7175" w14:textId="77777777" w:rsidR="00C84AF3" w:rsidRPr="00852AF0" w:rsidRDefault="00C84AF3" w:rsidP="00C84AF3">
      <w:pPr>
        <w:pStyle w:val="Caption"/>
        <w:rPr>
          <w:lang w:val="en-GB"/>
        </w:rPr>
      </w:pPr>
      <w:r>
        <w:rPr>
          <w:lang w:val="en-GB"/>
        </w:rPr>
        <w:t>Figure 3.2</w:t>
      </w:r>
      <w:r w:rsidRPr="00852AF0">
        <w:rPr>
          <w:lang w:val="en-GB"/>
        </w:rPr>
        <w:t xml:space="preserve">: </w:t>
      </w:r>
      <w:r>
        <w:rPr>
          <w:lang w:val="en-GB"/>
        </w:rPr>
        <w:t>I</w:t>
      </w:r>
      <w:r w:rsidRPr="00852AF0">
        <w:rPr>
          <w:lang w:val="en-GB"/>
        </w:rPr>
        <w:t xml:space="preserve">nformation </w:t>
      </w:r>
      <w:r>
        <w:rPr>
          <w:lang w:val="en-GB"/>
        </w:rPr>
        <w:t xml:space="preserve">to be included </w:t>
      </w:r>
      <w:r w:rsidRPr="00852AF0">
        <w:rPr>
          <w:lang w:val="en-GB"/>
        </w:rPr>
        <w:t>in a measurement survey report</w:t>
      </w:r>
    </w:p>
    <w:tbl>
      <w:tblPr>
        <w:tblStyle w:val="TableGrid"/>
        <w:tblW w:w="0" w:type="auto"/>
        <w:tblLook w:val="04A0" w:firstRow="1" w:lastRow="0" w:firstColumn="1" w:lastColumn="0" w:noHBand="0" w:noVBand="1"/>
      </w:tblPr>
      <w:tblGrid>
        <w:gridCol w:w="8906"/>
      </w:tblGrid>
      <w:tr w:rsidR="00C84AF3" w:rsidRPr="008250C4" w14:paraId="007CF01E" w14:textId="77777777" w:rsidTr="00C84AF3">
        <w:trPr>
          <w:trHeight w:val="227"/>
        </w:trPr>
        <w:tc>
          <w:tcPr>
            <w:tcW w:w="8906" w:type="dxa"/>
            <w:shd w:val="clear" w:color="auto" w:fill="A2E9C7" w:themeFill="accent1" w:themeFillTint="66"/>
            <w:vAlign w:val="center"/>
          </w:tcPr>
          <w:p w14:paraId="280C71F8" w14:textId="77777777" w:rsidR="00C84AF3" w:rsidRPr="00852AF0" w:rsidRDefault="00C84AF3" w:rsidP="00C84AF3">
            <w:pPr>
              <w:spacing w:before="120" w:after="0" w:line="276" w:lineRule="auto"/>
              <w:rPr>
                <w:b/>
                <w:lang w:val="en-GB"/>
              </w:rPr>
            </w:pPr>
            <w:r>
              <w:rPr>
                <w:b/>
                <w:lang w:val="en-GB"/>
              </w:rPr>
              <w:t xml:space="preserve">Type of information </w:t>
            </w:r>
          </w:p>
        </w:tc>
      </w:tr>
      <w:tr w:rsidR="00C84AF3" w:rsidRPr="00104E87" w14:paraId="2E5F1F6B" w14:textId="77777777" w:rsidTr="00C84AF3">
        <w:trPr>
          <w:trHeight w:val="305"/>
        </w:trPr>
        <w:tc>
          <w:tcPr>
            <w:tcW w:w="8906" w:type="dxa"/>
            <w:shd w:val="clear" w:color="auto" w:fill="F2F2F2" w:themeFill="background1" w:themeFillShade="F2"/>
            <w:vAlign w:val="center"/>
          </w:tcPr>
          <w:p w14:paraId="54146B24" w14:textId="77777777" w:rsidR="00C84AF3" w:rsidRPr="005A08B9" w:rsidRDefault="00C84AF3" w:rsidP="00C84AF3">
            <w:pPr>
              <w:spacing w:after="0" w:line="276" w:lineRule="auto"/>
              <w:rPr>
                <w:sz w:val="18"/>
                <w:szCs w:val="18"/>
                <w:lang w:val="en-GB"/>
              </w:rPr>
            </w:pPr>
            <w:r w:rsidRPr="005A08B9">
              <w:rPr>
                <w:sz w:val="18"/>
                <w:szCs w:val="18"/>
                <w:lang w:val="en-GB"/>
              </w:rPr>
              <w:t>Facility name, location, type of facility …</w:t>
            </w:r>
          </w:p>
        </w:tc>
      </w:tr>
      <w:tr w:rsidR="00C84AF3" w:rsidRPr="00104E87" w14:paraId="00269B6B" w14:textId="77777777" w:rsidTr="00C84AF3">
        <w:trPr>
          <w:trHeight w:val="328"/>
        </w:trPr>
        <w:tc>
          <w:tcPr>
            <w:tcW w:w="8906" w:type="dxa"/>
            <w:shd w:val="clear" w:color="auto" w:fill="F2F2F2" w:themeFill="background1" w:themeFillShade="F2"/>
            <w:vAlign w:val="center"/>
          </w:tcPr>
          <w:p w14:paraId="12451AEC" w14:textId="77777777" w:rsidR="00C84AF3" w:rsidRPr="005A08B9" w:rsidRDefault="00C84AF3" w:rsidP="00C84AF3">
            <w:pPr>
              <w:spacing w:after="0" w:line="276" w:lineRule="auto"/>
              <w:rPr>
                <w:sz w:val="18"/>
                <w:szCs w:val="18"/>
                <w:lang w:val="en-GB"/>
              </w:rPr>
            </w:pPr>
            <w:r>
              <w:rPr>
                <w:sz w:val="18"/>
                <w:szCs w:val="18"/>
                <w:lang w:val="en-GB"/>
              </w:rPr>
              <w:t>S</w:t>
            </w:r>
            <w:r w:rsidRPr="005A08B9">
              <w:rPr>
                <w:sz w:val="18"/>
                <w:szCs w:val="18"/>
                <w:lang w:val="en-GB"/>
              </w:rPr>
              <w:t>ection of the facility (for large facilities) or/and process blocks</w:t>
            </w:r>
          </w:p>
        </w:tc>
      </w:tr>
      <w:tr w:rsidR="00C84AF3" w:rsidRPr="00104E87" w14:paraId="5FF0BB3B" w14:textId="77777777" w:rsidTr="00C84AF3">
        <w:trPr>
          <w:trHeight w:val="633"/>
        </w:trPr>
        <w:tc>
          <w:tcPr>
            <w:tcW w:w="8906" w:type="dxa"/>
            <w:shd w:val="clear" w:color="auto" w:fill="F2F2F2" w:themeFill="background1" w:themeFillShade="F2"/>
            <w:vAlign w:val="center"/>
          </w:tcPr>
          <w:p w14:paraId="6424F684" w14:textId="77777777" w:rsidR="00C84AF3" w:rsidRPr="005A08B9" w:rsidRDefault="00C84AF3" w:rsidP="00C84AF3">
            <w:pPr>
              <w:spacing w:after="0" w:line="276" w:lineRule="auto"/>
              <w:rPr>
                <w:sz w:val="18"/>
                <w:szCs w:val="18"/>
                <w:lang w:val="en-GB"/>
              </w:rPr>
            </w:pPr>
            <w:r w:rsidRPr="005A08B9">
              <w:rPr>
                <w:sz w:val="18"/>
                <w:szCs w:val="18"/>
                <w:lang w:val="en-GB"/>
              </w:rPr>
              <w:t>Information on the component</w:t>
            </w:r>
            <w:r>
              <w:rPr>
                <w:sz w:val="18"/>
                <w:szCs w:val="18"/>
                <w:lang w:val="en-GB"/>
              </w:rPr>
              <w:t xml:space="preserve"> or emission source</w:t>
            </w:r>
            <w:r w:rsidRPr="005A08B9">
              <w:rPr>
                <w:sz w:val="18"/>
                <w:szCs w:val="18"/>
                <w:lang w:val="en-GB"/>
              </w:rPr>
              <w:t xml:space="preserve">: </w:t>
            </w:r>
          </w:p>
          <w:p w14:paraId="79120AF4" w14:textId="77777777" w:rsidR="00C84AF3" w:rsidRPr="005A08B9" w:rsidRDefault="00C84AF3" w:rsidP="005D2939">
            <w:pPr>
              <w:pStyle w:val="ListParagraph"/>
              <w:numPr>
                <w:ilvl w:val="0"/>
                <w:numId w:val="7"/>
              </w:numPr>
              <w:spacing w:after="0"/>
              <w:contextualSpacing w:val="0"/>
              <w:rPr>
                <w:sz w:val="18"/>
                <w:szCs w:val="18"/>
                <w:lang w:val="en-GB"/>
              </w:rPr>
            </w:pPr>
            <w:r w:rsidRPr="005A08B9">
              <w:rPr>
                <w:sz w:val="18"/>
                <w:szCs w:val="18"/>
                <w:lang w:val="en-GB"/>
              </w:rPr>
              <w:t>Component type and subtype (e.g</w:t>
            </w:r>
            <w:r w:rsidR="00732B54">
              <w:rPr>
                <w:sz w:val="18"/>
                <w:szCs w:val="18"/>
                <w:lang w:val="en-GB"/>
              </w:rPr>
              <w:t>.</w:t>
            </w:r>
            <w:r w:rsidRPr="005A08B9">
              <w:rPr>
                <w:sz w:val="18"/>
                <w:szCs w:val="18"/>
                <w:lang w:val="en-GB"/>
              </w:rPr>
              <w:t xml:space="preserve"> flange or vent) </w:t>
            </w:r>
          </w:p>
          <w:p w14:paraId="443B3B89" w14:textId="77777777" w:rsidR="00C84AF3" w:rsidRPr="005A08B9" w:rsidRDefault="00C84AF3" w:rsidP="005D2939">
            <w:pPr>
              <w:pStyle w:val="ListParagraph"/>
              <w:numPr>
                <w:ilvl w:val="0"/>
                <w:numId w:val="7"/>
              </w:numPr>
              <w:spacing w:after="0"/>
              <w:contextualSpacing w:val="0"/>
              <w:rPr>
                <w:sz w:val="18"/>
                <w:szCs w:val="18"/>
                <w:lang w:val="en-GB"/>
              </w:rPr>
            </w:pPr>
            <w:r w:rsidRPr="005A08B9">
              <w:rPr>
                <w:sz w:val="18"/>
                <w:szCs w:val="18"/>
                <w:lang w:val="en-GB"/>
              </w:rPr>
              <w:t xml:space="preserve">Make and model of the emitting component when relevant </w:t>
            </w:r>
          </w:p>
          <w:p w14:paraId="2F67CB37" w14:textId="77777777" w:rsidR="00C84AF3" w:rsidRPr="005A08B9" w:rsidRDefault="00C84AF3" w:rsidP="005D2939">
            <w:pPr>
              <w:pStyle w:val="ListParagraph"/>
              <w:numPr>
                <w:ilvl w:val="0"/>
                <w:numId w:val="7"/>
              </w:numPr>
              <w:spacing w:after="0"/>
              <w:contextualSpacing w:val="0"/>
              <w:rPr>
                <w:sz w:val="18"/>
                <w:szCs w:val="18"/>
                <w:lang w:val="en-GB"/>
              </w:rPr>
            </w:pPr>
            <w:r w:rsidRPr="005A08B9">
              <w:rPr>
                <w:sz w:val="18"/>
                <w:szCs w:val="18"/>
                <w:lang w:val="en-GB"/>
              </w:rPr>
              <w:t>Unique ID number for each component (to be verified with process data and diagram if relevant)</w:t>
            </w:r>
          </w:p>
          <w:p w14:paraId="3BEBCBA8" w14:textId="77777777" w:rsidR="00C84AF3" w:rsidRPr="005A08B9" w:rsidRDefault="00C84AF3" w:rsidP="005D2939">
            <w:pPr>
              <w:pStyle w:val="ListParagraph"/>
              <w:numPr>
                <w:ilvl w:val="0"/>
                <w:numId w:val="7"/>
              </w:numPr>
              <w:spacing w:after="0"/>
              <w:contextualSpacing w:val="0"/>
              <w:rPr>
                <w:sz w:val="18"/>
                <w:szCs w:val="18"/>
                <w:lang w:val="en-GB"/>
              </w:rPr>
            </w:pPr>
            <w:r w:rsidRPr="005A08B9">
              <w:rPr>
                <w:sz w:val="18"/>
                <w:szCs w:val="18"/>
                <w:lang w:val="en-GB"/>
              </w:rPr>
              <w:t>Tag number if emission sources have been tagged</w:t>
            </w:r>
          </w:p>
        </w:tc>
      </w:tr>
      <w:tr w:rsidR="00C84AF3" w:rsidRPr="00104E87" w14:paraId="3D47CF7D" w14:textId="77777777" w:rsidTr="00C84AF3">
        <w:trPr>
          <w:trHeight w:val="305"/>
        </w:trPr>
        <w:tc>
          <w:tcPr>
            <w:tcW w:w="8906" w:type="dxa"/>
            <w:shd w:val="clear" w:color="auto" w:fill="F2F2F2" w:themeFill="background1" w:themeFillShade="F2"/>
            <w:vAlign w:val="center"/>
          </w:tcPr>
          <w:p w14:paraId="314BA00D" w14:textId="77777777" w:rsidR="00C84AF3" w:rsidRPr="005A08B9" w:rsidRDefault="00C84AF3" w:rsidP="00C84AF3">
            <w:pPr>
              <w:spacing w:after="0" w:line="276" w:lineRule="auto"/>
              <w:rPr>
                <w:sz w:val="18"/>
                <w:szCs w:val="18"/>
                <w:lang w:val="en-GB"/>
              </w:rPr>
            </w:pPr>
            <w:r>
              <w:rPr>
                <w:sz w:val="18"/>
                <w:szCs w:val="18"/>
                <w:lang w:val="en-GB"/>
              </w:rPr>
              <w:t>E</w:t>
            </w:r>
            <w:r w:rsidRPr="005A08B9">
              <w:rPr>
                <w:sz w:val="18"/>
                <w:szCs w:val="18"/>
                <w:lang w:val="en-GB"/>
              </w:rPr>
              <w:t>mission source: Type of emissions sources, leak/vent</w:t>
            </w:r>
          </w:p>
        </w:tc>
      </w:tr>
      <w:tr w:rsidR="00C84AF3" w:rsidRPr="00104E87" w14:paraId="746BCBBD" w14:textId="77777777" w:rsidTr="00C84AF3">
        <w:trPr>
          <w:trHeight w:val="305"/>
        </w:trPr>
        <w:tc>
          <w:tcPr>
            <w:tcW w:w="8906" w:type="dxa"/>
            <w:shd w:val="clear" w:color="auto" w:fill="F2F2F2" w:themeFill="background1" w:themeFillShade="F2"/>
            <w:vAlign w:val="center"/>
          </w:tcPr>
          <w:p w14:paraId="06EFD42B" w14:textId="77777777" w:rsidR="00C84AF3" w:rsidRDefault="00C84AF3" w:rsidP="00C84AF3">
            <w:pPr>
              <w:spacing w:after="0" w:line="276" w:lineRule="auto"/>
              <w:rPr>
                <w:sz w:val="18"/>
                <w:szCs w:val="18"/>
                <w:lang w:val="en-GB"/>
              </w:rPr>
            </w:pPr>
            <w:r>
              <w:rPr>
                <w:sz w:val="18"/>
                <w:szCs w:val="18"/>
                <w:lang w:val="en-GB"/>
              </w:rPr>
              <w:t xml:space="preserve">Engineering information for future mitigation assessment </w:t>
            </w:r>
          </w:p>
          <w:p w14:paraId="39AB1C5C" w14:textId="77777777" w:rsidR="00C84AF3" w:rsidRPr="005A08B9" w:rsidRDefault="00C84AF3" w:rsidP="00C84AF3">
            <w:pPr>
              <w:spacing w:after="0" w:line="276" w:lineRule="auto"/>
              <w:rPr>
                <w:sz w:val="18"/>
                <w:szCs w:val="18"/>
                <w:lang w:val="en-GB"/>
              </w:rPr>
            </w:pPr>
            <w:r w:rsidRPr="005A08B9">
              <w:rPr>
                <w:sz w:val="18"/>
                <w:szCs w:val="18"/>
                <w:lang w:val="en-GB"/>
              </w:rPr>
              <w:t>Information on past maintenance and inspection: date of last inspect</w:t>
            </w:r>
            <w:r>
              <w:rPr>
                <w:sz w:val="18"/>
                <w:szCs w:val="18"/>
                <w:lang w:val="en-GB"/>
              </w:rPr>
              <w:t xml:space="preserve">ion, date of last turn around.  </w:t>
            </w:r>
          </w:p>
        </w:tc>
      </w:tr>
      <w:tr w:rsidR="00C84AF3" w:rsidRPr="00A02C70" w14:paraId="098E4EB2" w14:textId="77777777" w:rsidTr="00C84AF3">
        <w:trPr>
          <w:trHeight w:val="328"/>
        </w:trPr>
        <w:tc>
          <w:tcPr>
            <w:tcW w:w="8906" w:type="dxa"/>
            <w:shd w:val="clear" w:color="auto" w:fill="F2F2F2" w:themeFill="background1" w:themeFillShade="F2"/>
            <w:vAlign w:val="center"/>
          </w:tcPr>
          <w:p w14:paraId="6673F517" w14:textId="77777777" w:rsidR="00C84AF3" w:rsidRPr="005A08B9" w:rsidRDefault="00C84AF3" w:rsidP="00C84AF3">
            <w:pPr>
              <w:spacing w:before="120" w:after="0" w:line="276" w:lineRule="auto"/>
              <w:rPr>
                <w:sz w:val="18"/>
                <w:szCs w:val="18"/>
                <w:lang w:val="en-GB"/>
              </w:rPr>
            </w:pPr>
            <w:r w:rsidRPr="005A08B9">
              <w:rPr>
                <w:sz w:val="18"/>
                <w:szCs w:val="18"/>
                <w:lang w:val="en-GB"/>
              </w:rPr>
              <w:lastRenderedPageBreak/>
              <w:t>Date and hours of the measurement</w:t>
            </w:r>
            <w:r>
              <w:rPr>
                <w:sz w:val="18"/>
                <w:szCs w:val="18"/>
                <w:lang w:val="en-GB"/>
              </w:rPr>
              <w:t>. Length of the measurement</w:t>
            </w:r>
          </w:p>
        </w:tc>
      </w:tr>
      <w:tr w:rsidR="00C84AF3" w:rsidRPr="00104E87" w14:paraId="155B58F3" w14:textId="77777777" w:rsidTr="00C84AF3">
        <w:trPr>
          <w:trHeight w:val="305"/>
        </w:trPr>
        <w:tc>
          <w:tcPr>
            <w:tcW w:w="8906" w:type="dxa"/>
            <w:shd w:val="clear" w:color="auto" w:fill="F2F2F2" w:themeFill="background1" w:themeFillShade="F2"/>
            <w:vAlign w:val="center"/>
          </w:tcPr>
          <w:p w14:paraId="336DC640" w14:textId="77777777" w:rsidR="00C84AF3" w:rsidRPr="005A08B9" w:rsidRDefault="00C84AF3" w:rsidP="00C84AF3">
            <w:pPr>
              <w:spacing w:before="120" w:after="0" w:line="276" w:lineRule="auto"/>
              <w:rPr>
                <w:sz w:val="18"/>
                <w:szCs w:val="18"/>
                <w:lang w:val="en-GB"/>
              </w:rPr>
            </w:pPr>
            <w:r w:rsidRPr="005A08B9">
              <w:rPr>
                <w:sz w:val="18"/>
                <w:szCs w:val="18"/>
                <w:lang w:val="en-GB"/>
              </w:rPr>
              <w:t>Measured emissions (rate and/or concentration)</w:t>
            </w:r>
          </w:p>
        </w:tc>
      </w:tr>
      <w:tr w:rsidR="00C84AF3" w:rsidRPr="00104E87" w14:paraId="226145E6" w14:textId="77777777" w:rsidTr="00C84AF3">
        <w:trPr>
          <w:trHeight w:val="305"/>
        </w:trPr>
        <w:tc>
          <w:tcPr>
            <w:tcW w:w="8906" w:type="dxa"/>
            <w:shd w:val="clear" w:color="auto" w:fill="F2F2F2" w:themeFill="background1" w:themeFillShade="F2"/>
            <w:vAlign w:val="center"/>
          </w:tcPr>
          <w:p w14:paraId="6C7011A1" w14:textId="77777777" w:rsidR="00C84AF3" w:rsidRPr="005A08B9" w:rsidRDefault="00C84AF3" w:rsidP="00C84AF3">
            <w:pPr>
              <w:spacing w:before="120" w:after="0" w:line="276" w:lineRule="auto"/>
              <w:rPr>
                <w:sz w:val="18"/>
                <w:szCs w:val="18"/>
                <w:lang w:val="en-GB"/>
              </w:rPr>
            </w:pPr>
            <w:r w:rsidRPr="005A08B9">
              <w:rPr>
                <w:sz w:val="18"/>
                <w:szCs w:val="18"/>
                <w:lang w:val="en-GB"/>
              </w:rPr>
              <w:t>Type of gas emitted or gas composition when relevant/available</w:t>
            </w:r>
          </w:p>
        </w:tc>
      </w:tr>
      <w:tr w:rsidR="00C84AF3" w:rsidRPr="00E33AC5" w14:paraId="4A0D1517" w14:textId="77777777" w:rsidTr="00C84AF3">
        <w:trPr>
          <w:trHeight w:val="328"/>
        </w:trPr>
        <w:tc>
          <w:tcPr>
            <w:tcW w:w="8906" w:type="dxa"/>
            <w:shd w:val="clear" w:color="auto" w:fill="F2F2F2" w:themeFill="background1" w:themeFillShade="F2"/>
            <w:vAlign w:val="center"/>
          </w:tcPr>
          <w:p w14:paraId="08C35E80" w14:textId="77777777" w:rsidR="00C84AF3" w:rsidRPr="005A08B9" w:rsidRDefault="00C84AF3" w:rsidP="00C84AF3">
            <w:pPr>
              <w:spacing w:before="120" w:after="0" w:line="276" w:lineRule="auto"/>
              <w:rPr>
                <w:sz w:val="18"/>
                <w:szCs w:val="18"/>
                <w:lang w:val="en-GB"/>
              </w:rPr>
            </w:pPr>
            <w:r w:rsidRPr="005A08B9">
              <w:rPr>
                <w:sz w:val="18"/>
                <w:szCs w:val="18"/>
                <w:lang w:val="en-GB"/>
              </w:rPr>
              <w:t>Quantification method used</w:t>
            </w:r>
          </w:p>
        </w:tc>
      </w:tr>
      <w:tr w:rsidR="00C84AF3" w:rsidRPr="00104E87" w14:paraId="509BC507" w14:textId="77777777" w:rsidTr="00C84AF3">
        <w:trPr>
          <w:trHeight w:val="431"/>
        </w:trPr>
        <w:tc>
          <w:tcPr>
            <w:tcW w:w="8906" w:type="dxa"/>
            <w:shd w:val="clear" w:color="auto" w:fill="F2F2F2" w:themeFill="background1" w:themeFillShade="F2"/>
            <w:vAlign w:val="center"/>
          </w:tcPr>
          <w:p w14:paraId="72EEDCDB" w14:textId="77777777" w:rsidR="00C84AF3" w:rsidRPr="005A08B9" w:rsidRDefault="00C84AF3" w:rsidP="00C84AF3">
            <w:pPr>
              <w:spacing w:after="0" w:line="276" w:lineRule="auto"/>
              <w:rPr>
                <w:sz w:val="18"/>
                <w:szCs w:val="18"/>
                <w:lang w:val="en-GB"/>
              </w:rPr>
            </w:pPr>
            <w:r w:rsidRPr="005A08B9">
              <w:rPr>
                <w:sz w:val="18"/>
                <w:szCs w:val="18"/>
                <w:lang w:val="en-GB"/>
              </w:rPr>
              <w:t xml:space="preserve">Repair: Note on repair recommendations and/or repair performed. List of the repair attempts if relevant </w:t>
            </w:r>
          </w:p>
        </w:tc>
      </w:tr>
    </w:tbl>
    <w:p w14:paraId="3DDA7E5C" w14:textId="77777777" w:rsidR="00325636" w:rsidRDefault="00325636" w:rsidP="00C84AF3">
      <w:pPr>
        <w:spacing w:before="120" w:after="0"/>
        <w:rPr>
          <w:lang w:val="en-GB"/>
        </w:rPr>
      </w:pPr>
    </w:p>
    <w:p w14:paraId="02E286F9" w14:textId="42E09C57" w:rsidR="00C84AF3" w:rsidRPr="00852AF0" w:rsidRDefault="00C84AF3" w:rsidP="00C84AF3">
      <w:pPr>
        <w:spacing w:before="120" w:after="0"/>
        <w:rPr>
          <w:lang w:val="en-GB"/>
        </w:rPr>
      </w:pPr>
      <w:r w:rsidRPr="00852AF0">
        <w:rPr>
          <w:lang w:val="en-GB"/>
        </w:rPr>
        <w:t xml:space="preserve">The measurement report </w:t>
      </w:r>
      <w:r>
        <w:rPr>
          <w:lang w:val="en-GB"/>
        </w:rPr>
        <w:t>can</w:t>
      </w:r>
      <w:r w:rsidRPr="00852AF0">
        <w:rPr>
          <w:lang w:val="en-GB"/>
        </w:rPr>
        <w:t xml:space="preserve"> </w:t>
      </w:r>
      <w:r>
        <w:rPr>
          <w:lang w:val="en-GB"/>
        </w:rPr>
        <w:t xml:space="preserve">then </w:t>
      </w:r>
      <w:r w:rsidRPr="00852AF0">
        <w:rPr>
          <w:lang w:val="en-GB"/>
        </w:rPr>
        <w:t>be used for a number of purpose</w:t>
      </w:r>
      <w:r>
        <w:rPr>
          <w:lang w:val="en-GB"/>
        </w:rPr>
        <w:t>s</w:t>
      </w:r>
      <w:r w:rsidRPr="00852AF0">
        <w:rPr>
          <w:lang w:val="en-GB"/>
        </w:rPr>
        <w:t xml:space="preserve">: </w:t>
      </w:r>
    </w:p>
    <w:p w14:paraId="4760A160" w14:textId="77777777" w:rsidR="00C84AF3" w:rsidRDefault="00C84AF3" w:rsidP="005D2939">
      <w:pPr>
        <w:pStyle w:val="ListParagraph"/>
        <w:numPr>
          <w:ilvl w:val="0"/>
          <w:numId w:val="11"/>
        </w:numPr>
        <w:spacing w:before="120" w:after="0" w:line="276" w:lineRule="auto"/>
        <w:contextualSpacing w:val="0"/>
        <w:rPr>
          <w:lang w:val="en-GB"/>
        </w:rPr>
      </w:pPr>
      <w:r w:rsidRPr="00852AF0">
        <w:rPr>
          <w:lang w:val="en-GB"/>
        </w:rPr>
        <w:t>Performing repair</w:t>
      </w:r>
      <w:r>
        <w:rPr>
          <w:lang w:val="en-GB"/>
        </w:rPr>
        <w:t>s (for leaks)</w:t>
      </w:r>
      <w:r w:rsidR="005434C6">
        <w:rPr>
          <w:lang w:val="en-GB"/>
        </w:rPr>
        <w:t xml:space="preserve"> and assessing abatement options (In particular for Vents)</w:t>
      </w:r>
      <w:r w:rsidRPr="00852AF0">
        <w:rPr>
          <w:lang w:val="en-GB"/>
        </w:rPr>
        <w:t xml:space="preserve">: The maintenance team will use the report and the tag </w:t>
      </w:r>
      <w:r>
        <w:rPr>
          <w:lang w:val="en-GB"/>
        </w:rPr>
        <w:t xml:space="preserve">number </w:t>
      </w:r>
      <w:r w:rsidRPr="00852AF0">
        <w:rPr>
          <w:lang w:val="en-GB"/>
        </w:rPr>
        <w:t>to identify the different repairs and replacement to be performed</w:t>
      </w:r>
      <w:r>
        <w:rPr>
          <w:lang w:val="en-GB"/>
        </w:rPr>
        <w:t xml:space="preserve">. </w:t>
      </w:r>
      <w:r w:rsidR="005434C6">
        <w:rPr>
          <w:lang w:val="en-GB"/>
        </w:rPr>
        <w:t xml:space="preserve">The results can also be used to assess the benefits of implementing mitigation alternatives. </w:t>
      </w:r>
    </w:p>
    <w:p w14:paraId="611BAC14" w14:textId="77777777" w:rsidR="00C84AF3" w:rsidRPr="00852AF0" w:rsidRDefault="00C84AF3" w:rsidP="005D2939">
      <w:pPr>
        <w:pStyle w:val="ListParagraph"/>
        <w:numPr>
          <w:ilvl w:val="0"/>
          <w:numId w:val="11"/>
        </w:numPr>
        <w:spacing w:before="120" w:after="0" w:line="276" w:lineRule="auto"/>
        <w:contextualSpacing w:val="0"/>
        <w:rPr>
          <w:lang w:val="en-GB"/>
        </w:rPr>
      </w:pPr>
      <w:r>
        <w:rPr>
          <w:lang w:val="en-GB"/>
        </w:rPr>
        <w:t>Evaluate historical progress; Past measurement reports can be used over time to (</w:t>
      </w:r>
      <w:proofErr w:type="spellStart"/>
      <w:r>
        <w:rPr>
          <w:lang w:val="en-GB"/>
        </w:rPr>
        <w:t>i</w:t>
      </w:r>
      <w:proofErr w:type="spellEnd"/>
      <w:r>
        <w:rPr>
          <w:lang w:val="en-GB"/>
        </w:rPr>
        <w:t xml:space="preserve">) evaluate the effectiveness of mitigation, (ii) identify components which are more prone to emits and (iii) measure progress </w:t>
      </w:r>
    </w:p>
    <w:p w14:paraId="7DA561B0" w14:textId="756B929B" w:rsidR="00C84AF3" w:rsidRDefault="00C84AF3" w:rsidP="005D2939">
      <w:pPr>
        <w:pStyle w:val="ListParagraph"/>
        <w:numPr>
          <w:ilvl w:val="0"/>
          <w:numId w:val="11"/>
        </w:numPr>
        <w:spacing w:before="120" w:after="0" w:line="276" w:lineRule="auto"/>
        <w:contextualSpacing w:val="0"/>
        <w:rPr>
          <w:lang w:val="en-GB"/>
        </w:rPr>
      </w:pPr>
      <w:r w:rsidRPr="00852AF0">
        <w:rPr>
          <w:lang w:val="en-GB"/>
        </w:rPr>
        <w:t>Derive emission factors: when measurement campaigns are representative, the results of the measurements can also be used</w:t>
      </w:r>
      <w:r>
        <w:rPr>
          <w:lang w:val="en-GB"/>
        </w:rPr>
        <w:t xml:space="preserve"> to </w:t>
      </w:r>
      <w:r w:rsidRPr="00852AF0">
        <w:rPr>
          <w:lang w:val="en-GB"/>
        </w:rPr>
        <w:t xml:space="preserve">derive emission factors for the population of facilities/equipment. </w:t>
      </w:r>
    </w:p>
    <w:p w14:paraId="3AE43154" w14:textId="77777777" w:rsidR="009B0A74" w:rsidRPr="009B0A74" w:rsidRDefault="009B0A74" w:rsidP="009B0A74">
      <w:pPr>
        <w:spacing w:before="120" w:after="0"/>
        <w:rPr>
          <w:lang w:val="en-GB"/>
        </w:rPr>
      </w:pPr>
    </w:p>
    <w:p w14:paraId="4CA1A8C1" w14:textId="77777777" w:rsidR="00C84AF3" w:rsidRPr="005A08B9" w:rsidRDefault="00C84AF3" w:rsidP="00C84AF3">
      <w:pPr>
        <w:pStyle w:val="Heading4"/>
        <w:numPr>
          <w:ilvl w:val="0"/>
          <w:numId w:val="0"/>
        </w:numPr>
        <w:rPr>
          <w:lang w:val="en-GB"/>
        </w:rPr>
      </w:pPr>
      <w:r w:rsidRPr="002040B9">
        <w:rPr>
          <w:lang w:val="en-GB"/>
        </w:rPr>
        <w:t>Emissions inventory reports</w:t>
      </w:r>
    </w:p>
    <w:p w14:paraId="70D3CBDA" w14:textId="77777777" w:rsidR="00C84AF3" w:rsidRPr="005A08B9" w:rsidRDefault="00C84AF3" w:rsidP="00C84AF3">
      <w:pPr>
        <w:spacing w:before="120" w:after="0"/>
        <w:rPr>
          <w:lang w:val="en-GB"/>
        </w:rPr>
      </w:pPr>
      <w:r w:rsidRPr="005A08B9">
        <w:rPr>
          <w:lang w:val="en-GB"/>
        </w:rPr>
        <w:t xml:space="preserve">Emissions inventory reports typically provide a comprehensive overview of emissions sources and magnitude across a geographical area or a selection of facilities. Reports can be for internal and/or external purposes. </w:t>
      </w:r>
    </w:p>
    <w:p w14:paraId="08405EF0" w14:textId="77777777" w:rsidR="00C84AF3" w:rsidRPr="005A08B9" w:rsidRDefault="00C84AF3" w:rsidP="00C84AF3">
      <w:pPr>
        <w:spacing w:before="120" w:after="0"/>
        <w:rPr>
          <w:lang w:val="en-GB"/>
        </w:rPr>
      </w:pPr>
      <w:r w:rsidRPr="005A08B9">
        <w:rPr>
          <w:lang w:val="en-GB"/>
        </w:rPr>
        <w:t>Internal reports can be used to track Key Performance Indicators (KPIs)</w:t>
      </w:r>
      <w:r>
        <w:rPr>
          <w:lang w:val="en-GB"/>
        </w:rPr>
        <w:t>,</w:t>
      </w:r>
      <w:r w:rsidRPr="005A08B9">
        <w:rPr>
          <w:lang w:val="en-GB"/>
        </w:rPr>
        <w:t xml:space="preserve"> and as tools to identify opportunities to reduce emissions. KPIs can also be closely related to external reporting (e.g. on environmental performance, sustainable development indicators etc.). </w:t>
      </w:r>
    </w:p>
    <w:p w14:paraId="2886D0AA" w14:textId="77777777" w:rsidR="00C84AF3" w:rsidRDefault="00C84AF3" w:rsidP="00C84AF3">
      <w:pPr>
        <w:spacing w:before="120" w:after="0"/>
        <w:rPr>
          <w:lang w:val="en-GB"/>
        </w:rPr>
      </w:pPr>
      <w:r w:rsidRPr="005A08B9">
        <w:rPr>
          <w:lang w:val="en-GB"/>
        </w:rPr>
        <w:t>Public/external reports can be used to</w:t>
      </w:r>
      <w:r>
        <w:rPr>
          <w:lang w:val="en-GB"/>
        </w:rPr>
        <w:t>:</w:t>
      </w:r>
      <w:r w:rsidRPr="005A08B9">
        <w:rPr>
          <w:lang w:val="en-GB"/>
        </w:rPr>
        <w:t xml:space="preserve"> (</w:t>
      </w:r>
      <w:proofErr w:type="spellStart"/>
      <w:r w:rsidRPr="005A08B9">
        <w:rPr>
          <w:lang w:val="en-GB"/>
        </w:rPr>
        <w:t>i</w:t>
      </w:r>
      <w:proofErr w:type="spellEnd"/>
      <w:r w:rsidRPr="005A08B9">
        <w:rPr>
          <w:lang w:val="en-GB"/>
        </w:rPr>
        <w:t>) comply with existing regulatory requirement</w:t>
      </w:r>
      <w:r>
        <w:rPr>
          <w:lang w:val="en-GB"/>
        </w:rPr>
        <w:t>s</w:t>
      </w:r>
      <w:r w:rsidRPr="005A08B9">
        <w:rPr>
          <w:lang w:val="en-GB"/>
        </w:rPr>
        <w:t>, (ii) compl</w:t>
      </w:r>
      <w:r w:rsidRPr="00D13940">
        <w:rPr>
          <w:lang w:val="en-GB"/>
        </w:rPr>
        <w:t>y with voluntary commitments</w:t>
      </w:r>
      <w:r>
        <w:rPr>
          <w:lang w:val="en-GB"/>
        </w:rPr>
        <w:t>,</w:t>
      </w:r>
      <w:r w:rsidRPr="00D13940">
        <w:rPr>
          <w:lang w:val="en-GB"/>
        </w:rPr>
        <w:t xml:space="preserve"> or</w:t>
      </w:r>
      <w:r w:rsidRPr="005A08B9">
        <w:rPr>
          <w:lang w:val="en-GB"/>
        </w:rPr>
        <w:t xml:space="preserve"> (iii) communicate externally on ongoing effort</w:t>
      </w:r>
      <w:r>
        <w:rPr>
          <w:lang w:val="en-GB"/>
        </w:rPr>
        <w:t>s</w:t>
      </w:r>
      <w:r w:rsidRPr="005A08B9">
        <w:rPr>
          <w:lang w:val="en-GB"/>
        </w:rPr>
        <w:t>. An interesting development is the number of initiatives taken by industry association and other institutions focusing on methane management</w:t>
      </w:r>
      <w:r>
        <w:rPr>
          <w:lang w:val="en-GB"/>
        </w:rPr>
        <w:t xml:space="preserve"> including reporting on emission levels and progress in mitigation efforts, see Box 3-1</w:t>
      </w:r>
      <w:r w:rsidRPr="005A08B9">
        <w:rPr>
          <w:lang w:val="en-GB"/>
        </w:rPr>
        <w:t>.</w:t>
      </w:r>
    </w:p>
    <w:p w14:paraId="56FFDB6E" w14:textId="3FC64E8A" w:rsidR="001C72A7" w:rsidRDefault="00C84AF3" w:rsidP="00C84AF3">
      <w:pPr>
        <w:spacing w:before="120" w:after="0"/>
        <w:rPr>
          <w:lang w:val="en-GB"/>
        </w:rPr>
      </w:pPr>
      <w:r w:rsidRPr="005A08B9">
        <w:rPr>
          <w:lang w:val="en-GB"/>
        </w:rPr>
        <w:t>By these initiatives one can expect more information to be presented on methane emissions</w:t>
      </w:r>
      <w:r>
        <w:rPr>
          <w:lang w:val="en-GB"/>
        </w:rPr>
        <w:t xml:space="preserve">, as well as </w:t>
      </w:r>
      <w:r w:rsidRPr="005A08B9">
        <w:rPr>
          <w:lang w:val="en-GB"/>
        </w:rPr>
        <w:t>quantification methods and procedures</w:t>
      </w:r>
      <w:r>
        <w:rPr>
          <w:lang w:val="en-GB"/>
        </w:rPr>
        <w:t xml:space="preserve">. </w:t>
      </w:r>
    </w:p>
    <w:p w14:paraId="35BFC792" w14:textId="1957F1CD" w:rsidR="004173F0" w:rsidRDefault="004173F0" w:rsidP="00C84AF3">
      <w:pPr>
        <w:spacing w:before="120" w:after="0"/>
        <w:rPr>
          <w:lang w:val="en-GB"/>
        </w:rPr>
      </w:pPr>
    </w:p>
    <w:p w14:paraId="5DE3FD11" w14:textId="0E706CD7" w:rsidR="004173F0" w:rsidRDefault="004173F0" w:rsidP="00C84AF3">
      <w:pPr>
        <w:spacing w:before="120" w:after="0"/>
        <w:rPr>
          <w:lang w:val="en-GB"/>
        </w:rPr>
      </w:pPr>
    </w:p>
    <w:p w14:paraId="0A0C2AA8" w14:textId="0FCD2B80" w:rsidR="004173F0" w:rsidRDefault="004173F0" w:rsidP="00C84AF3">
      <w:pPr>
        <w:spacing w:before="120" w:after="0"/>
        <w:rPr>
          <w:lang w:val="en-GB"/>
        </w:rPr>
      </w:pPr>
    </w:p>
    <w:p w14:paraId="4D0A9761" w14:textId="77777777" w:rsidR="004173F0" w:rsidRDefault="004173F0" w:rsidP="00C84AF3">
      <w:pPr>
        <w:spacing w:before="120" w:after="0"/>
        <w:rPr>
          <w:lang w:val="en-GB"/>
        </w:rPr>
      </w:pPr>
    </w:p>
    <w:p w14:paraId="3091E45A" w14:textId="77777777" w:rsidR="00C84AF3" w:rsidRDefault="00C84AF3" w:rsidP="00C84AF3">
      <w:pPr>
        <w:spacing w:before="120" w:after="0"/>
        <w:rPr>
          <w:lang w:val="en-GB"/>
        </w:rPr>
      </w:pPr>
    </w:p>
    <w:tbl>
      <w:tblPr>
        <w:tblStyle w:val="TableGrid"/>
        <w:tblW w:w="0" w:type="auto"/>
        <w:shd w:val="clear" w:color="auto" w:fill="F2F2F2" w:themeFill="background1" w:themeFillShade="F2"/>
        <w:tblLook w:val="04A0" w:firstRow="1" w:lastRow="0" w:firstColumn="1" w:lastColumn="0" w:noHBand="0" w:noVBand="1"/>
      </w:tblPr>
      <w:tblGrid>
        <w:gridCol w:w="9089"/>
      </w:tblGrid>
      <w:tr w:rsidR="00C84AF3" w:rsidRPr="00104E87" w14:paraId="54A527AF" w14:textId="77777777" w:rsidTr="00C84AF3">
        <w:tc>
          <w:tcPr>
            <w:tcW w:w="9239" w:type="dxa"/>
            <w:shd w:val="clear" w:color="auto" w:fill="F2F2F2" w:themeFill="background1" w:themeFillShade="F2"/>
          </w:tcPr>
          <w:p w14:paraId="67F21EEB" w14:textId="77777777" w:rsidR="00C84AF3" w:rsidRPr="00905261" w:rsidRDefault="00C84AF3" w:rsidP="00C84AF3">
            <w:pPr>
              <w:spacing w:before="120" w:after="0"/>
              <w:rPr>
                <w:b/>
                <w:lang w:val="en-GB"/>
              </w:rPr>
            </w:pPr>
            <w:r w:rsidRPr="00905261">
              <w:rPr>
                <w:b/>
                <w:lang w:val="en-GB"/>
              </w:rPr>
              <w:t xml:space="preserve">Box 3-1 International initiatives </w:t>
            </w:r>
            <w:r>
              <w:rPr>
                <w:b/>
                <w:lang w:val="en-GB"/>
              </w:rPr>
              <w:t xml:space="preserve">with </w:t>
            </w:r>
            <w:r w:rsidRPr="00905261">
              <w:rPr>
                <w:b/>
                <w:lang w:val="en-GB"/>
              </w:rPr>
              <w:t xml:space="preserve">focus </w:t>
            </w:r>
            <w:r>
              <w:rPr>
                <w:b/>
                <w:lang w:val="en-GB"/>
              </w:rPr>
              <w:t xml:space="preserve">on </w:t>
            </w:r>
            <w:r w:rsidRPr="00905261">
              <w:rPr>
                <w:b/>
                <w:lang w:val="en-GB"/>
              </w:rPr>
              <w:t xml:space="preserve">methane emissions </w:t>
            </w:r>
          </w:p>
          <w:p w14:paraId="4E990F7C" w14:textId="77777777" w:rsidR="00C84AF3" w:rsidRPr="00905261" w:rsidRDefault="00C84AF3" w:rsidP="00C84AF3">
            <w:pPr>
              <w:spacing w:before="120" w:after="0" w:line="276" w:lineRule="auto"/>
              <w:rPr>
                <w:sz w:val="18"/>
                <w:szCs w:val="18"/>
                <w:lang w:val="en-US"/>
              </w:rPr>
            </w:pPr>
            <w:r w:rsidRPr="00905261">
              <w:rPr>
                <w:sz w:val="18"/>
                <w:szCs w:val="18"/>
                <w:lang w:val="en-GB"/>
              </w:rPr>
              <w:t>The significance of oil and gas methane emissions for climate change risks and the potential for large near-term impact of mitigation has led to the creation of a number of initiatives, including but not limited to the</w:t>
            </w:r>
            <w:r w:rsidR="00FF7725">
              <w:rPr>
                <w:sz w:val="18"/>
                <w:szCs w:val="18"/>
                <w:lang w:val="en-GB"/>
              </w:rPr>
              <w:t xml:space="preserve"> Global Methane Initiative (GMI), the Climate and Clean Air Coalition Oil and Gas Methane Partnership</w:t>
            </w:r>
            <w:r w:rsidRPr="00905261">
              <w:rPr>
                <w:sz w:val="18"/>
                <w:szCs w:val="18"/>
                <w:lang w:val="en-GB"/>
              </w:rPr>
              <w:t xml:space="preserve"> </w:t>
            </w:r>
            <w:r w:rsidR="00FF7725">
              <w:rPr>
                <w:sz w:val="18"/>
                <w:szCs w:val="18"/>
                <w:lang w:val="en-GB"/>
              </w:rPr>
              <w:t>(</w:t>
            </w:r>
            <w:r w:rsidRPr="00905261">
              <w:rPr>
                <w:sz w:val="18"/>
                <w:szCs w:val="18"/>
                <w:lang w:val="en-GB"/>
              </w:rPr>
              <w:t>OGMP</w:t>
            </w:r>
            <w:r w:rsidR="00FF7725">
              <w:rPr>
                <w:sz w:val="18"/>
                <w:szCs w:val="18"/>
                <w:lang w:val="en-GB"/>
              </w:rPr>
              <w:t>),</w:t>
            </w:r>
            <w:r w:rsidRPr="00905261">
              <w:rPr>
                <w:rStyle w:val="FootnoteReference"/>
                <w:sz w:val="18"/>
                <w:szCs w:val="18"/>
                <w:lang w:val="en-GB"/>
              </w:rPr>
              <w:footnoteReference w:id="42"/>
            </w:r>
            <w:r w:rsidRPr="00905261">
              <w:rPr>
                <w:sz w:val="18"/>
                <w:szCs w:val="18"/>
                <w:lang w:val="en-GB"/>
              </w:rPr>
              <w:t xml:space="preserve"> Methane Guiding Principles</w:t>
            </w:r>
            <w:r w:rsidRPr="00905261">
              <w:rPr>
                <w:rStyle w:val="FootnoteReference"/>
                <w:sz w:val="18"/>
                <w:szCs w:val="18"/>
                <w:lang w:val="en-GB"/>
              </w:rPr>
              <w:footnoteReference w:id="43"/>
            </w:r>
            <w:r w:rsidRPr="00905261">
              <w:rPr>
                <w:sz w:val="18"/>
                <w:szCs w:val="18"/>
                <w:lang w:val="en-GB"/>
              </w:rPr>
              <w:t xml:space="preserve"> and OGCI</w:t>
            </w:r>
            <w:r w:rsidRPr="00905261">
              <w:rPr>
                <w:rStyle w:val="FootnoteReference"/>
                <w:sz w:val="18"/>
                <w:szCs w:val="18"/>
                <w:lang w:val="en-GB"/>
              </w:rPr>
              <w:footnoteReference w:id="44"/>
            </w:r>
            <w:r w:rsidRPr="00905261">
              <w:rPr>
                <w:sz w:val="18"/>
                <w:szCs w:val="18"/>
                <w:lang w:val="en-GB"/>
              </w:rPr>
              <w:t>. Inter alia, the initiatives focus on improving the quality of emissions data and on transparency of reporting</w:t>
            </w:r>
            <w:r>
              <w:rPr>
                <w:sz w:val="18"/>
                <w:szCs w:val="18"/>
                <w:lang w:val="en-GB"/>
              </w:rPr>
              <w:t>.</w:t>
            </w:r>
            <w:r w:rsidRPr="00905261">
              <w:rPr>
                <w:sz w:val="18"/>
                <w:szCs w:val="18"/>
                <w:lang w:val="en-GB"/>
              </w:rPr>
              <w:t xml:space="preserve"> </w:t>
            </w:r>
            <w:r>
              <w:rPr>
                <w:sz w:val="18"/>
                <w:szCs w:val="18"/>
                <w:lang w:val="en-GB"/>
              </w:rPr>
              <w:t>The</w:t>
            </w:r>
            <w:r w:rsidR="00FF7725">
              <w:rPr>
                <w:sz w:val="18"/>
                <w:szCs w:val="18"/>
                <w:lang w:val="en-GB"/>
              </w:rPr>
              <w:t xml:space="preserve">se </w:t>
            </w:r>
            <w:r>
              <w:rPr>
                <w:sz w:val="18"/>
                <w:szCs w:val="18"/>
                <w:lang w:val="en-GB"/>
              </w:rPr>
              <w:t xml:space="preserve">initiatives encompass an important part of the international oil and gas industry. </w:t>
            </w:r>
            <w:r w:rsidRPr="00905261">
              <w:rPr>
                <w:sz w:val="18"/>
                <w:szCs w:val="18"/>
                <w:lang w:val="en-GB"/>
              </w:rPr>
              <w:t xml:space="preserve">MRV activities of institutions with ownership and/or operational responsibility of assets with methane emissions are critically important. </w:t>
            </w:r>
          </w:p>
          <w:p w14:paraId="60F3FA63" w14:textId="77777777" w:rsidR="00E61682" w:rsidRPr="00E61682" w:rsidRDefault="00E61682" w:rsidP="00C84AF3">
            <w:pPr>
              <w:spacing w:before="120" w:after="0" w:line="276" w:lineRule="auto"/>
              <w:rPr>
                <w:b/>
                <w:sz w:val="18"/>
                <w:szCs w:val="18"/>
                <w:lang w:val="en-GB"/>
              </w:rPr>
            </w:pPr>
            <w:bookmarkStart w:id="73" w:name="_Hlk3296514"/>
            <w:r w:rsidRPr="00E61682">
              <w:rPr>
                <w:b/>
                <w:sz w:val="18"/>
                <w:szCs w:val="18"/>
                <w:lang w:val="en-GB"/>
              </w:rPr>
              <w:lastRenderedPageBreak/>
              <w:t xml:space="preserve">Global Methane Initiative </w:t>
            </w:r>
            <w:bookmarkEnd w:id="73"/>
            <w:r w:rsidRPr="00E61682">
              <w:rPr>
                <w:b/>
                <w:sz w:val="18"/>
                <w:szCs w:val="18"/>
                <w:lang w:val="en-GB"/>
              </w:rPr>
              <w:t xml:space="preserve">(GMI) </w:t>
            </w:r>
            <w:r w:rsidRPr="00F4752C">
              <w:rPr>
                <w:sz w:val="18"/>
                <w:szCs w:val="18"/>
                <w:lang w:val="en-US"/>
              </w:rPr>
              <w:t>is an international public-private partnership focused on reducing barriers to the recovery and use of methane as a clean energy source. GMI’s 45 Partner Countries and more than 500 Project Network members exchange information and technical resources to advance methane mitigation in key sectors, including Oil and Gas. GMI’s Oil &amp; Gas Subcommittee encourages collaboration between delegates from Partner Countries and Project Network members to build capacity, develop strategies and markets and remove technical and non-technical barriers to methane mitigation project development in order to increase environmental quality, improve operational efficiency and strengthen the economy from the additional gas brought to market.</w:t>
            </w:r>
          </w:p>
          <w:p w14:paraId="0AD988DA" w14:textId="77777777" w:rsidR="00E61682" w:rsidRDefault="00E61682" w:rsidP="00E61682">
            <w:pPr>
              <w:spacing w:before="120" w:after="0" w:line="276" w:lineRule="auto"/>
              <w:rPr>
                <w:sz w:val="18"/>
                <w:szCs w:val="18"/>
                <w:lang w:val="en-GB"/>
              </w:rPr>
            </w:pPr>
            <w:r w:rsidRPr="00905261">
              <w:rPr>
                <w:b/>
                <w:sz w:val="18"/>
                <w:szCs w:val="18"/>
                <w:lang w:val="en-GB"/>
              </w:rPr>
              <w:t>Oil and Gas Methane Partnership (OGMP)</w:t>
            </w:r>
            <w:r w:rsidRPr="00905261">
              <w:rPr>
                <w:sz w:val="18"/>
                <w:szCs w:val="18"/>
                <w:lang w:val="en-GB"/>
              </w:rPr>
              <w:t xml:space="preserve"> is a voluntary, public-private partnership under the Climate and Clean Air Coalition, with 13 partner companies. OGMP requires companies to survey nine “core” sources of emissions, evaluate cost efficient technology option and report annual progress. The partner companies have surveyed more than 50 assets in nine countries to date</w:t>
            </w:r>
            <w:r w:rsidRPr="00905261">
              <w:rPr>
                <w:sz w:val="18"/>
                <w:szCs w:val="18"/>
                <w:vertAlign w:val="superscript"/>
              </w:rPr>
              <w:footnoteReference w:id="45"/>
            </w:r>
            <w:r w:rsidRPr="00905261">
              <w:rPr>
                <w:sz w:val="18"/>
                <w:szCs w:val="18"/>
                <w:lang w:val="en-GB"/>
              </w:rPr>
              <w:t xml:space="preserve">. </w:t>
            </w:r>
          </w:p>
          <w:p w14:paraId="5663C15A" w14:textId="06117EA6" w:rsidR="00E61682" w:rsidRDefault="00E61682" w:rsidP="00C84AF3">
            <w:pPr>
              <w:spacing w:before="120" w:after="0" w:line="276" w:lineRule="auto"/>
              <w:rPr>
                <w:sz w:val="18"/>
                <w:szCs w:val="18"/>
                <w:lang w:val="en-GB"/>
              </w:rPr>
            </w:pPr>
            <w:bookmarkStart w:id="74" w:name="_Hlk3296544"/>
            <w:r w:rsidRPr="00905261">
              <w:rPr>
                <w:b/>
                <w:sz w:val="18"/>
                <w:szCs w:val="18"/>
                <w:lang w:val="en-GB"/>
              </w:rPr>
              <w:t xml:space="preserve">Oil and Gas Carbon Initiative </w:t>
            </w:r>
            <w:bookmarkEnd w:id="74"/>
            <w:r w:rsidRPr="00905261">
              <w:rPr>
                <w:b/>
                <w:sz w:val="18"/>
                <w:szCs w:val="18"/>
                <w:lang w:val="en-GB"/>
              </w:rPr>
              <w:t>(OGCI)</w:t>
            </w:r>
            <w:r w:rsidRPr="00905261">
              <w:rPr>
                <w:sz w:val="18"/>
                <w:szCs w:val="18"/>
                <w:lang w:val="en-GB"/>
              </w:rPr>
              <w:t xml:space="preserve"> comprising 13 of the largest international oil companies which jointly have committed to a 25% reduction in the upstream methane emissions intensity by 2025, and with an ambition to achieve a 33% reduction by the same year. OGCI will report on progress.</w:t>
            </w:r>
            <w:r w:rsidR="00213269">
              <w:rPr>
                <w:rStyle w:val="FootnoteReference"/>
                <w:sz w:val="18"/>
                <w:szCs w:val="18"/>
                <w:lang w:val="en-GB"/>
              </w:rPr>
              <w:footnoteReference w:id="46"/>
            </w:r>
            <w:r w:rsidRPr="00905261">
              <w:rPr>
                <w:sz w:val="18"/>
                <w:szCs w:val="18"/>
                <w:lang w:val="en-GB"/>
              </w:rPr>
              <w:t xml:space="preserve"> The specific quantitative targets set by OGCI will require companies to have in place rigorous methodologies and practical steps to monitor emission levels and progress in reduction efforts. OGCI has published a methodology note</w:t>
            </w:r>
            <w:r w:rsidRPr="009522F7">
              <w:rPr>
                <w:sz w:val="18"/>
                <w:szCs w:val="18"/>
                <w:vertAlign w:val="superscript"/>
                <w:lang w:val="en-GB"/>
              </w:rPr>
              <w:t xml:space="preserve"> </w:t>
            </w:r>
            <w:r w:rsidRPr="00905261">
              <w:rPr>
                <w:sz w:val="18"/>
                <w:szCs w:val="18"/>
                <w:lang w:val="en-GB"/>
              </w:rPr>
              <w:t>in relation to the target, but this and other company reports do not, at this stage, offer much detail on how emissions are quantified.</w:t>
            </w:r>
            <w:r w:rsidR="009A14CA" w:rsidRPr="009522F7">
              <w:rPr>
                <w:sz w:val="18"/>
                <w:szCs w:val="18"/>
                <w:vertAlign w:val="superscript"/>
              </w:rPr>
              <w:footnoteReference w:id="47"/>
            </w:r>
            <w:r w:rsidRPr="00905261">
              <w:rPr>
                <w:sz w:val="18"/>
                <w:szCs w:val="18"/>
                <w:lang w:val="en-GB"/>
              </w:rPr>
              <w:t xml:space="preserve">  </w:t>
            </w:r>
          </w:p>
          <w:p w14:paraId="4BFD6F57" w14:textId="77777777" w:rsidR="00C84AF3" w:rsidRDefault="00C84AF3" w:rsidP="00C84AF3">
            <w:pPr>
              <w:spacing w:before="120" w:after="0" w:line="276" w:lineRule="auto"/>
              <w:rPr>
                <w:lang w:val="en-GB"/>
              </w:rPr>
            </w:pPr>
            <w:r w:rsidRPr="00905261">
              <w:rPr>
                <w:b/>
                <w:sz w:val="18"/>
                <w:szCs w:val="18"/>
                <w:lang w:val="en-GB"/>
              </w:rPr>
              <w:t>Guiding Principles</w:t>
            </w:r>
            <w:r w:rsidRPr="00905261">
              <w:rPr>
                <w:sz w:val="18"/>
                <w:szCs w:val="18"/>
                <w:lang w:val="en-GB"/>
              </w:rPr>
              <w:t xml:space="preserve"> for reducing methane emissions across the natural gas value chain. The Guiding Principles have been signed by 11 oil and gas companies and 8 other organizations. The guiding principles cover both MRV and mitigation, and specifically on external reporting. The companies have committed to present emissions data, methodologies to derive these data, and progress and challenges in methane emissions management.</w:t>
            </w:r>
          </w:p>
        </w:tc>
      </w:tr>
    </w:tbl>
    <w:p w14:paraId="5EF03E90" w14:textId="77777777" w:rsidR="00C84AF3" w:rsidRDefault="00C84AF3" w:rsidP="00C84AF3">
      <w:pPr>
        <w:spacing w:before="120" w:after="0"/>
        <w:rPr>
          <w:lang w:val="en-GB"/>
        </w:rPr>
      </w:pPr>
    </w:p>
    <w:p w14:paraId="419CF9EC" w14:textId="45023C94" w:rsidR="00C84AF3" w:rsidRPr="005A08B9" w:rsidRDefault="00C84AF3" w:rsidP="00C84AF3">
      <w:pPr>
        <w:spacing w:before="120" w:after="0"/>
        <w:rPr>
          <w:lang w:val="en-GB"/>
        </w:rPr>
      </w:pPr>
      <w:r>
        <w:rPr>
          <w:lang w:val="en-GB"/>
        </w:rPr>
        <w:t xml:space="preserve">Depending on the context/objective of the emissions report, </w:t>
      </w:r>
      <w:r w:rsidRPr="005A08B9">
        <w:rPr>
          <w:lang w:val="en-GB"/>
        </w:rPr>
        <w:t>there are specific requirements for monitoring and reporting methodologies and plans (monitoring points, frequency, use of equipment, data recording and storage, uncertainty ranges etc</w:t>
      </w:r>
      <w:r>
        <w:rPr>
          <w:lang w:val="en-GB"/>
        </w:rPr>
        <w:t>.</w:t>
      </w:r>
      <w:r w:rsidRPr="005A08B9">
        <w:rPr>
          <w:lang w:val="en-GB"/>
        </w:rPr>
        <w:t>). They are typically presented protocols consistent with ISO</w:t>
      </w:r>
      <w:r>
        <w:rPr>
          <w:lang w:val="en-GB"/>
        </w:rPr>
        <w:t xml:space="preserve"> 14064</w:t>
      </w:r>
      <w:r w:rsidR="009A14CA">
        <w:rPr>
          <w:lang w:val="en-GB"/>
        </w:rPr>
        <w:t xml:space="preserve"> </w:t>
      </w:r>
      <w:r w:rsidRPr="005A08B9">
        <w:rPr>
          <w:lang w:val="en-GB"/>
        </w:rPr>
        <w:t>or other standards and may be subject to verification by third party certification companies.</w:t>
      </w:r>
      <w:r w:rsidR="009A14CA">
        <w:rPr>
          <w:rStyle w:val="FootnoteReference"/>
          <w:lang w:val="en-GB"/>
        </w:rPr>
        <w:footnoteReference w:id="48"/>
      </w:r>
      <w:r w:rsidR="009A14CA" w:rsidRPr="005A08B9">
        <w:rPr>
          <w:lang w:val="en-GB"/>
        </w:rPr>
        <w:t xml:space="preserve"> </w:t>
      </w:r>
      <w:r w:rsidRPr="005A08B9">
        <w:rPr>
          <w:lang w:val="en-GB"/>
        </w:rPr>
        <w:t xml:space="preserve"> A number of elements should be considered when designing company/facility reporting procedures: </w:t>
      </w:r>
    </w:p>
    <w:p w14:paraId="3E2CA3E2" w14:textId="4544D857" w:rsidR="00C84AF3" w:rsidRPr="005A08B9" w:rsidRDefault="00C84AF3" w:rsidP="005D2939">
      <w:pPr>
        <w:pStyle w:val="ListParagraph"/>
        <w:numPr>
          <w:ilvl w:val="0"/>
          <w:numId w:val="6"/>
        </w:numPr>
        <w:spacing w:before="120" w:after="0" w:line="276" w:lineRule="auto"/>
        <w:ind w:left="714" w:hanging="357"/>
        <w:contextualSpacing w:val="0"/>
        <w:rPr>
          <w:lang w:val="en-GB"/>
        </w:rPr>
      </w:pPr>
      <w:r w:rsidRPr="005A08B9">
        <w:rPr>
          <w:u w:val="single"/>
          <w:lang w:val="en-GB"/>
        </w:rPr>
        <w:t>Emission coverage</w:t>
      </w:r>
      <w:r w:rsidRPr="005A08B9">
        <w:rPr>
          <w:b/>
          <w:lang w:val="en-GB"/>
        </w:rPr>
        <w:t>:</w:t>
      </w:r>
      <w:r w:rsidRPr="005A08B9">
        <w:rPr>
          <w:lang w:val="en-GB"/>
        </w:rPr>
        <w:t xml:space="preserve"> Though an emission inventory does not necessar</w:t>
      </w:r>
      <w:r>
        <w:rPr>
          <w:lang w:val="en-GB"/>
        </w:rPr>
        <w:t>il</w:t>
      </w:r>
      <w:r w:rsidRPr="005A08B9">
        <w:rPr>
          <w:lang w:val="en-GB"/>
        </w:rPr>
        <w:t>y need to be completely exhaustive (there are a large number of very small methane emissions sources), an emission inventory should include all the medium and large emissions sources</w:t>
      </w:r>
      <w:r w:rsidR="009A14CA">
        <w:rPr>
          <w:lang w:val="en-GB"/>
        </w:rPr>
        <w:t>.</w:t>
      </w:r>
      <w:r w:rsidRPr="005A08B9">
        <w:rPr>
          <w:rStyle w:val="FootnoteReference"/>
          <w:lang w:val="en-GB"/>
        </w:rPr>
        <w:footnoteReference w:id="49"/>
      </w:r>
      <w:r w:rsidRPr="005A08B9">
        <w:rPr>
          <w:lang w:val="en-GB"/>
        </w:rPr>
        <w:t xml:space="preserve"> </w:t>
      </w:r>
    </w:p>
    <w:p w14:paraId="5197E413" w14:textId="77777777" w:rsidR="00C84AF3" w:rsidRPr="005A08B9" w:rsidRDefault="00C84AF3" w:rsidP="005D2939">
      <w:pPr>
        <w:pStyle w:val="ListParagraph"/>
        <w:numPr>
          <w:ilvl w:val="0"/>
          <w:numId w:val="6"/>
        </w:numPr>
        <w:spacing w:before="120" w:after="0" w:line="276" w:lineRule="auto"/>
        <w:ind w:left="714" w:hanging="357"/>
        <w:contextualSpacing w:val="0"/>
        <w:rPr>
          <w:lang w:val="en-GB"/>
        </w:rPr>
      </w:pPr>
      <w:r w:rsidRPr="005A08B9">
        <w:rPr>
          <w:u w:val="single"/>
          <w:lang w:val="en-GB"/>
        </w:rPr>
        <w:t>Consistency</w:t>
      </w:r>
      <w:r w:rsidRPr="005A08B9">
        <w:rPr>
          <w:lang w:val="en-GB"/>
        </w:rPr>
        <w:t>: To allow data analysis and comparison between facilities or regions, a consistent approach(es) and vocabulary should be defined</w:t>
      </w:r>
      <w:r>
        <w:rPr>
          <w:lang w:val="en-GB"/>
        </w:rPr>
        <w:t xml:space="preserve">. Time consistency should also be considered to allow comparison of emissions over time. </w:t>
      </w:r>
    </w:p>
    <w:p w14:paraId="4B1597F9" w14:textId="0723DA58" w:rsidR="00C84AF3" w:rsidRPr="005A08B9" w:rsidRDefault="00C84AF3" w:rsidP="005D2939">
      <w:pPr>
        <w:pStyle w:val="ListParagraph"/>
        <w:numPr>
          <w:ilvl w:val="0"/>
          <w:numId w:val="6"/>
        </w:numPr>
        <w:spacing w:before="120" w:after="0" w:line="276" w:lineRule="auto"/>
        <w:ind w:left="714" w:hanging="357"/>
        <w:contextualSpacing w:val="0"/>
        <w:rPr>
          <w:lang w:val="en-GB"/>
        </w:rPr>
      </w:pPr>
      <w:r w:rsidRPr="005A08B9">
        <w:rPr>
          <w:u w:val="single"/>
          <w:lang w:val="en-GB"/>
        </w:rPr>
        <w:t>Transparency</w:t>
      </w:r>
      <w:r w:rsidRPr="005A08B9">
        <w:rPr>
          <w:lang w:val="en-GB"/>
        </w:rPr>
        <w:t>: To allow improvements over time and meaningful analysis, the methodology used to estimate emission or emission reduction needs to be transparent and trackable. Using a transparent and verifiable approach is also central to a credible report vis-a</w:t>
      </w:r>
      <w:r>
        <w:rPr>
          <w:lang w:val="en-GB"/>
        </w:rPr>
        <w:t>-</w:t>
      </w:r>
      <w:r w:rsidRPr="005A08B9">
        <w:rPr>
          <w:lang w:val="en-GB"/>
        </w:rPr>
        <w:t>vis external</w:t>
      </w:r>
      <w:r w:rsidR="009A14CA">
        <w:rPr>
          <w:lang w:val="en-GB"/>
        </w:rPr>
        <w:t xml:space="preserve"> </w:t>
      </w:r>
      <w:r w:rsidRPr="005A08B9">
        <w:rPr>
          <w:lang w:val="en-GB"/>
        </w:rPr>
        <w:t xml:space="preserve">stakeholders. </w:t>
      </w:r>
    </w:p>
    <w:p w14:paraId="16741AF4" w14:textId="77777777" w:rsidR="00C84AF3" w:rsidRPr="005A08B9" w:rsidRDefault="00FB73A9" w:rsidP="005D2939">
      <w:pPr>
        <w:pStyle w:val="ListParagraph"/>
        <w:numPr>
          <w:ilvl w:val="0"/>
          <w:numId w:val="6"/>
        </w:numPr>
        <w:spacing w:before="120" w:after="0" w:line="276" w:lineRule="auto"/>
        <w:ind w:left="714" w:hanging="357"/>
        <w:contextualSpacing w:val="0"/>
        <w:rPr>
          <w:lang w:val="en-GB"/>
        </w:rPr>
      </w:pPr>
      <w:r>
        <w:rPr>
          <w:u w:val="single"/>
          <w:lang w:val="en-GB"/>
        </w:rPr>
        <w:lastRenderedPageBreak/>
        <w:t>Identification and scale of e</w:t>
      </w:r>
      <w:r w:rsidR="00C84AF3" w:rsidRPr="005A08B9">
        <w:rPr>
          <w:u w:val="single"/>
          <w:lang w:val="en-GB"/>
        </w:rPr>
        <w:t>mission reduction opportunity and progress tracking</w:t>
      </w:r>
      <w:r w:rsidR="00C84AF3" w:rsidRPr="005A08B9">
        <w:rPr>
          <w:b/>
          <w:lang w:val="en-GB"/>
        </w:rPr>
        <w:t>:</w:t>
      </w:r>
      <w:r w:rsidR="00C84AF3" w:rsidRPr="005A08B9">
        <w:rPr>
          <w:lang w:val="en-GB"/>
        </w:rPr>
        <w:t xml:space="preserve"> The report should be detailed enough to </w:t>
      </w:r>
      <w:r>
        <w:rPr>
          <w:lang w:val="en-GB"/>
        </w:rPr>
        <w:t>assess</w:t>
      </w:r>
      <w:r w:rsidR="00C84AF3" w:rsidRPr="005A08B9">
        <w:rPr>
          <w:lang w:val="en-GB"/>
        </w:rPr>
        <w:t xml:space="preserve"> emission reduction opportunities.  In addition to information on the level of emissions, emissions reports may include information on past emission reductions and past projects. </w:t>
      </w:r>
      <w:r w:rsidR="00C84AF3" w:rsidRPr="00E33AC5">
        <w:rPr>
          <w:lang w:val="en-GB"/>
        </w:rPr>
        <w:t xml:space="preserve">Reports </w:t>
      </w:r>
      <w:r w:rsidR="00C84AF3" w:rsidRPr="00F10975">
        <w:rPr>
          <w:lang w:val="en-GB"/>
        </w:rPr>
        <w:t xml:space="preserve">can thus also allow tracking </w:t>
      </w:r>
      <w:r w:rsidR="00C84AF3">
        <w:rPr>
          <w:lang w:val="en-GB"/>
        </w:rPr>
        <w:t xml:space="preserve">of </w:t>
      </w:r>
      <w:r w:rsidR="00C84AF3" w:rsidRPr="00F10975">
        <w:rPr>
          <w:lang w:val="en-GB"/>
        </w:rPr>
        <w:t>progress and evaluati</w:t>
      </w:r>
      <w:r w:rsidR="00C84AF3">
        <w:rPr>
          <w:lang w:val="en-GB"/>
        </w:rPr>
        <w:t>o</w:t>
      </w:r>
      <w:r w:rsidR="00C84AF3" w:rsidRPr="00F10975">
        <w:rPr>
          <w:lang w:val="en-GB"/>
        </w:rPr>
        <w:t>n</w:t>
      </w:r>
      <w:r w:rsidR="00C84AF3">
        <w:rPr>
          <w:lang w:val="en-GB"/>
        </w:rPr>
        <w:t xml:space="preserve"> of</w:t>
      </w:r>
      <w:r w:rsidR="00C84AF3" w:rsidRPr="00F10975">
        <w:rPr>
          <w:lang w:val="en-GB"/>
        </w:rPr>
        <w:t xml:space="preserve"> past project</w:t>
      </w:r>
      <w:r w:rsidR="00C84AF3">
        <w:rPr>
          <w:lang w:val="en-GB"/>
        </w:rPr>
        <w:t>’</w:t>
      </w:r>
      <w:r w:rsidR="00C84AF3" w:rsidRPr="00F10975">
        <w:rPr>
          <w:lang w:val="en-GB"/>
        </w:rPr>
        <w:t xml:space="preserve">s performance </w:t>
      </w:r>
      <w:r w:rsidR="00C84AF3">
        <w:rPr>
          <w:lang w:val="en-GB"/>
        </w:rPr>
        <w:t>to</w:t>
      </w:r>
      <w:r w:rsidR="00C84AF3" w:rsidRPr="00F10975">
        <w:rPr>
          <w:lang w:val="en-GB"/>
        </w:rPr>
        <w:t xml:space="preserve"> improve future project design.</w:t>
      </w:r>
    </w:p>
    <w:p w14:paraId="7F3AC0E7" w14:textId="77777777" w:rsidR="00C84AF3" w:rsidRPr="00E33AC5" w:rsidRDefault="000109A4" w:rsidP="005D2939">
      <w:pPr>
        <w:pStyle w:val="ListParagraph"/>
        <w:numPr>
          <w:ilvl w:val="0"/>
          <w:numId w:val="6"/>
        </w:numPr>
        <w:spacing w:before="120" w:after="0" w:line="276" w:lineRule="auto"/>
        <w:ind w:left="714" w:hanging="357"/>
        <w:contextualSpacing w:val="0"/>
        <w:rPr>
          <w:lang w:val="en-GB"/>
        </w:rPr>
      </w:pPr>
      <w:r>
        <w:rPr>
          <w:u w:val="single"/>
          <w:lang w:val="en-GB"/>
        </w:rPr>
        <w:t>Regular updates</w:t>
      </w:r>
      <w:r w:rsidR="00C84AF3" w:rsidRPr="005A08B9">
        <w:rPr>
          <w:b/>
          <w:lang w:val="en-GB"/>
        </w:rPr>
        <w:t>:</w:t>
      </w:r>
      <w:r w:rsidR="00C84AF3" w:rsidRPr="005A08B9">
        <w:rPr>
          <w:lang w:val="en-GB"/>
        </w:rPr>
        <w:t xml:space="preserve"> Finally reports should be updated on a regular basis. Results of new measurements campaigns should also be incorporated by e.g. update relevant emissions factors. </w:t>
      </w:r>
    </w:p>
    <w:p w14:paraId="0C075BF3" w14:textId="77777777" w:rsidR="00C84AF3" w:rsidRPr="00E33AC5" w:rsidRDefault="00C84AF3" w:rsidP="005D2939">
      <w:pPr>
        <w:pStyle w:val="ListParagraph"/>
        <w:numPr>
          <w:ilvl w:val="0"/>
          <w:numId w:val="6"/>
        </w:numPr>
        <w:spacing w:before="120" w:after="0" w:line="276" w:lineRule="auto"/>
        <w:ind w:left="714" w:hanging="357"/>
        <w:contextualSpacing w:val="0"/>
        <w:rPr>
          <w:lang w:val="en-GB"/>
        </w:rPr>
      </w:pPr>
      <w:r w:rsidRPr="00323D82">
        <w:rPr>
          <w:u w:val="single"/>
          <w:lang w:val="en-GB"/>
        </w:rPr>
        <w:t>Representativeness of the measurements (if relevant)</w:t>
      </w:r>
      <w:r w:rsidRPr="00D13940">
        <w:rPr>
          <w:lang w:val="en-GB"/>
        </w:rPr>
        <w:t>: As highlighted above, inventories are typically constructed based on a combinatio</w:t>
      </w:r>
      <w:r w:rsidRPr="00E33AC5">
        <w:rPr>
          <w:lang w:val="en-GB"/>
        </w:rPr>
        <w:t>n of measurement campaigns and calculation</w:t>
      </w:r>
      <w:r>
        <w:rPr>
          <w:lang w:val="en-GB"/>
        </w:rPr>
        <w:t>-</w:t>
      </w:r>
      <w:r w:rsidRPr="00E33AC5">
        <w:rPr>
          <w:lang w:val="en-GB"/>
        </w:rPr>
        <w:t xml:space="preserve">based method. The approaches used to select sites for the measurement and their representativeness should thus be documented. </w:t>
      </w:r>
    </w:p>
    <w:p w14:paraId="115F40D6" w14:textId="77777777" w:rsidR="00C84AF3" w:rsidRDefault="00C84AF3" w:rsidP="00C84AF3">
      <w:pPr>
        <w:spacing w:before="120" w:after="0"/>
        <w:rPr>
          <w:lang w:val="en-GB"/>
        </w:rPr>
      </w:pPr>
      <w:r w:rsidRPr="005A08B9">
        <w:rPr>
          <w:lang w:val="en-GB"/>
        </w:rPr>
        <w:t xml:space="preserve">With the increasing focus on demonstrating the climate impact of </w:t>
      </w:r>
      <w:r>
        <w:rPr>
          <w:lang w:val="en-GB"/>
        </w:rPr>
        <w:t xml:space="preserve">natural </w:t>
      </w:r>
      <w:r w:rsidRPr="005A08B9">
        <w:rPr>
          <w:lang w:val="en-GB"/>
        </w:rPr>
        <w:t>gas (in comparison to coal and to renewables), operators have more pressure to document credibly emissions along the gas value chain. In this context, and given the specific challenges associated with methane MRV, emissions reports should be based on robust and transparent approaches. In addition, operators may consider the value of opening facilities to independent parties (for example research groups) who can provide an unbiased assessment of the situation.</w:t>
      </w:r>
    </w:p>
    <w:p w14:paraId="0E471721" w14:textId="77777777" w:rsidR="00C84AF3" w:rsidRDefault="00C84AF3" w:rsidP="00C84AF3">
      <w:pPr>
        <w:pStyle w:val="Heading3"/>
        <w:rPr>
          <w:lang w:val="en-GB"/>
        </w:rPr>
      </w:pPr>
      <w:r w:rsidRPr="00966051">
        <w:rPr>
          <w:lang w:val="en-GB"/>
        </w:rPr>
        <w:t>Verification</w:t>
      </w:r>
    </w:p>
    <w:p w14:paraId="618054DD" w14:textId="620352E3" w:rsidR="009B0A74" w:rsidRDefault="00C84AF3" w:rsidP="00325636">
      <w:pPr>
        <w:pStyle w:val="Heading3"/>
        <w:rPr>
          <w:lang w:val="en-GB"/>
        </w:rPr>
      </w:pPr>
      <w:r w:rsidRPr="00EC6745">
        <w:rPr>
          <w:b w:val="0"/>
          <w:lang w:val="en-GB"/>
        </w:rPr>
        <w:t xml:space="preserve">Verification of emission </w:t>
      </w:r>
      <w:r>
        <w:rPr>
          <w:b w:val="0"/>
          <w:lang w:val="en-GB"/>
        </w:rPr>
        <w:t>reports</w:t>
      </w:r>
      <w:r w:rsidRPr="00EC6745">
        <w:rPr>
          <w:b w:val="0"/>
          <w:lang w:val="en-GB"/>
        </w:rPr>
        <w:t xml:space="preserve"> </w:t>
      </w:r>
      <w:r>
        <w:rPr>
          <w:b w:val="0"/>
          <w:lang w:val="en-GB"/>
        </w:rPr>
        <w:t>or</w:t>
      </w:r>
      <w:r w:rsidRPr="00EC6745">
        <w:rPr>
          <w:b w:val="0"/>
          <w:lang w:val="en-GB"/>
        </w:rPr>
        <w:t xml:space="preserve"> </w:t>
      </w:r>
      <w:r>
        <w:rPr>
          <w:b w:val="0"/>
          <w:lang w:val="en-GB"/>
        </w:rPr>
        <w:t xml:space="preserve">verification of </w:t>
      </w:r>
      <w:r w:rsidRPr="00EC6745">
        <w:rPr>
          <w:b w:val="0"/>
          <w:lang w:val="en-GB"/>
        </w:rPr>
        <w:t xml:space="preserve">changes in emissions for a project, facility or company means a </w:t>
      </w:r>
      <w:r w:rsidRPr="009D2036">
        <w:rPr>
          <w:b w:val="0"/>
          <w:lang w:val="en-GB"/>
        </w:rPr>
        <w:t xml:space="preserve">systematic, independent and documented process for the evaluation of a greenhouse gas </w:t>
      </w:r>
      <w:r>
        <w:rPr>
          <w:b w:val="0"/>
          <w:lang w:val="en-GB"/>
        </w:rPr>
        <w:t>inventory report or emission reduction report</w:t>
      </w:r>
      <w:r w:rsidRPr="009D2036">
        <w:rPr>
          <w:b w:val="0"/>
          <w:lang w:val="en-GB"/>
        </w:rPr>
        <w:t xml:space="preserve"> against agreed verification criteria</w:t>
      </w:r>
      <w:r>
        <w:rPr>
          <w:b w:val="0"/>
          <w:lang w:val="en-GB"/>
        </w:rPr>
        <w:t xml:space="preserve">, typically performed by a third </w:t>
      </w:r>
      <w:r w:rsidRPr="009A14CA">
        <w:rPr>
          <w:b w:val="0"/>
          <w:lang w:val="en-GB"/>
        </w:rPr>
        <w:t>party.</w:t>
      </w:r>
      <w:r w:rsidR="009A14CA" w:rsidRPr="009A14CA">
        <w:rPr>
          <w:rStyle w:val="FootnoteReference"/>
          <w:b w:val="0"/>
          <w:lang w:val="en-GB"/>
        </w:rPr>
        <w:footnoteReference w:id="50"/>
      </w:r>
      <w:r>
        <w:rPr>
          <w:lang w:val="en-GB"/>
        </w:rPr>
        <w:t xml:space="preserve"> </w:t>
      </w:r>
      <w:r w:rsidRPr="00CA51AC">
        <w:rPr>
          <w:b w:val="0"/>
          <w:lang w:val="en-GB"/>
        </w:rPr>
        <w:t xml:space="preserve">The verification will be done according to standard </w:t>
      </w:r>
      <w:r>
        <w:rPr>
          <w:b w:val="0"/>
          <w:lang w:val="en-GB"/>
        </w:rPr>
        <w:t xml:space="preserve">based on </w:t>
      </w:r>
      <w:r w:rsidRPr="00CA51AC">
        <w:rPr>
          <w:b w:val="0"/>
          <w:lang w:val="en-GB"/>
        </w:rPr>
        <w:t xml:space="preserve">which rules and guidelines are set. There are a number of </w:t>
      </w:r>
      <w:r>
        <w:rPr>
          <w:b w:val="0"/>
          <w:lang w:val="en-GB"/>
        </w:rPr>
        <w:t xml:space="preserve">guidelines and </w:t>
      </w:r>
      <w:r w:rsidRPr="00CA51AC">
        <w:rPr>
          <w:b w:val="0"/>
          <w:lang w:val="en-GB"/>
        </w:rPr>
        <w:t xml:space="preserve">standards </w:t>
      </w:r>
      <w:r>
        <w:rPr>
          <w:b w:val="0"/>
          <w:lang w:val="en-GB"/>
        </w:rPr>
        <w:t>that could be used as</w:t>
      </w:r>
      <w:r w:rsidRPr="00CA51AC">
        <w:rPr>
          <w:b w:val="0"/>
          <w:lang w:val="en-GB"/>
        </w:rPr>
        <w:t xml:space="preserve"> verification</w:t>
      </w:r>
      <w:r>
        <w:rPr>
          <w:b w:val="0"/>
          <w:lang w:val="en-GB"/>
        </w:rPr>
        <w:t xml:space="preserve"> criteria</w:t>
      </w:r>
      <w:r w:rsidRPr="00CA51AC">
        <w:rPr>
          <w:b w:val="0"/>
          <w:lang w:val="en-GB"/>
        </w:rPr>
        <w:t>, some which are broad and general and others specific for the nature of emission sources and emissions in question.</w:t>
      </w:r>
      <w:r>
        <w:rPr>
          <w:lang w:val="en-GB"/>
        </w:rPr>
        <w:t xml:space="preserve"> </w:t>
      </w:r>
    </w:p>
    <w:p w14:paraId="348FB784" w14:textId="77777777" w:rsidR="00325636" w:rsidRPr="00325636" w:rsidRDefault="00325636" w:rsidP="00325636">
      <w:pPr>
        <w:rPr>
          <w:lang w:val="en-GB"/>
        </w:rPr>
      </w:pPr>
    </w:p>
    <w:p w14:paraId="6AF6D9B5" w14:textId="435AFD44" w:rsidR="00C84AF3" w:rsidRDefault="00C84AF3" w:rsidP="00C84AF3">
      <w:pPr>
        <w:pStyle w:val="Caption"/>
        <w:rPr>
          <w:lang w:val="en-GB"/>
        </w:rPr>
      </w:pPr>
      <w:r>
        <w:rPr>
          <w:lang w:val="en-GB"/>
        </w:rPr>
        <w:t xml:space="preserve">Table 3.1 Standards and protocols for verification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Look w:val="04A0" w:firstRow="1" w:lastRow="0" w:firstColumn="1" w:lastColumn="0" w:noHBand="0" w:noVBand="1"/>
      </w:tblPr>
      <w:tblGrid>
        <w:gridCol w:w="5790"/>
        <w:gridCol w:w="1551"/>
        <w:gridCol w:w="1748"/>
      </w:tblGrid>
      <w:tr w:rsidR="00C84AF3" w:rsidRPr="00D14568" w14:paraId="71BDD984" w14:textId="77777777" w:rsidTr="00ED00BF">
        <w:tc>
          <w:tcPr>
            <w:tcW w:w="5790" w:type="dxa"/>
            <w:shd w:val="clear" w:color="auto" w:fill="A2E9C7" w:themeFill="text2" w:themeFillTint="66"/>
            <w:vAlign w:val="center"/>
          </w:tcPr>
          <w:p w14:paraId="1B0AF628" w14:textId="77777777" w:rsidR="00C84AF3" w:rsidRPr="00D14568" w:rsidRDefault="00C84AF3" w:rsidP="00C84AF3">
            <w:pPr>
              <w:spacing w:after="0"/>
              <w:rPr>
                <w:sz w:val="18"/>
                <w:szCs w:val="18"/>
                <w:lang w:val="en-GB"/>
              </w:rPr>
            </w:pPr>
            <w:r w:rsidRPr="00D14568">
              <w:rPr>
                <w:sz w:val="18"/>
                <w:szCs w:val="18"/>
                <w:lang w:val="en-GB"/>
              </w:rPr>
              <w:t>Standard, Guideline</w:t>
            </w:r>
            <w:r>
              <w:rPr>
                <w:sz w:val="18"/>
                <w:szCs w:val="18"/>
                <w:lang w:val="en-GB"/>
              </w:rPr>
              <w:t xml:space="preserve">s, Methodology </w:t>
            </w:r>
            <w:r w:rsidRPr="00D14568">
              <w:rPr>
                <w:sz w:val="18"/>
                <w:szCs w:val="18"/>
                <w:lang w:val="en-GB"/>
              </w:rPr>
              <w:t>or Protocol</w:t>
            </w:r>
          </w:p>
        </w:tc>
        <w:tc>
          <w:tcPr>
            <w:tcW w:w="1551" w:type="dxa"/>
            <w:shd w:val="clear" w:color="auto" w:fill="A2E9C7" w:themeFill="text2" w:themeFillTint="66"/>
            <w:vAlign w:val="center"/>
          </w:tcPr>
          <w:p w14:paraId="0E922AAF" w14:textId="77777777" w:rsidR="00C84AF3" w:rsidRPr="00D14568" w:rsidRDefault="00C84AF3" w:rsidP="00C84AF3">
            <w:pPr>
              <w:spacing w:after="0"/>
              <w:jc w:val="center"/>
              <w:rPr>
                <w:sz w:val="18"/>
                <w:szCs w:val="18"/>
                <w:lang w:val="en-GB"/>
              </w:rPr>
            </w:pPr>
            <w:r w:rsidRPr="00D14568">
              <w:rPr>
                <w:sz w:val="18"/>
                <w:szCs w:val="18"/>
                <w:lang w:val="en-GB"/>
              </w:rPr>
              <w:t>General / Methane-Specific</w:t>
            </w:r>
          </w:p>
        </w:tc>
        <w:tc>
          <w:tcPr>
            <w:tcW w:w="1748" w:type="dxa"/>
            <w:shd w:val="clear" w:color="auto" w:fill="A2E9C7" w:themeFill="text2" w:themeFillTint="66"/>
            <w:vAlign w:val="center"/>
          </w:tcPr>
          <w:p w14:paraId="187C405C" w14:textId="77777777" w:rsidR="00C84AF3" w:rsidRPr="00D14568" w:rsidRDefault="00C84AF3" w:rsidP="00C84AF3">
            <w:pPr>
              <w:spacing w:after="0"/>
              <w:jc w:val="center"/>
              <w:rPr>
                <w:sz w:val="18"/>
                <w:szCs w:val="18"/>
                <w:lang w:val="en-GB"/>
              </w:rPr>
            </w:pPr>
            <w:r w:rsidRPr="00D14568">
              <w:rPr>
                <w:sz w:val="18"/>
                <w:szCs w:val="18"/>
                <w:lang w:val="en-GB"/>
              </w:rPr>
              <w:t>Inventories / Reduction Projects</w:t>
            </w:r>
          </w:p>
        </w:tc>
      </w:tr>
      <w:tr w:rsidR="00C84AF3" w:rsidRPr="0084462C" w14:paraId="32EFADB2" w14:textId="77777777" w:rsidTr="00ED00BF">
        <w:tc>
          <w:tcPr>
            <w:tcW w:w="9089" w:type="dxa"/>
            <w:gridSpan w:val="3"/>
            <w:shd w:val="clear" w:color="auto" w:fill="D9D9D9" w:themeFill="background1" w:themeFillShade="D9"/>
            <w:vAlign w:val="center"/>
          </w:tcPr>
          <w:p w14:paraId="1B4EA3D4" w14:textId="77777777" w:rsidR="00C84AF3" w:rsidRPr="0084462C" w:rsidRDefault="00C84AF3" w:rsidP="00C84AF3">
            <w:pPr>
              <w:spacing w:after="0"/>
              <w:rPr>
                <w:b/>
                <w:sz w:val="18"/>
                <w:szCs w:val="18"/>
                <w:lang w:val="en-GB"/>
              </w:rPr>
            </w:pPr>
            <w:r w:rsidRPr="0084462C">
              <w:rPr>
                <w:b/>
                <w:sz w:val="18"/>
                <w:szCs w:val="18"/>
                <w:lang w:val="en-GB"/>
              </w:rPr>
              <w:t xml:space="preserve">Inventories – emissions levels </w:t>
            </w:r>
          </w:p>
        </w:tc>
      </w:tr>
      <w:tr w:rsidR="00C84AF3" w:rsidRPr="00D14568" w14:paraId="054A15B7" w14:textId="77777777" w:rsidTr="00ED00BF">
        <w:tc>
          <w:tcPr>
            <w:tcW w:w="5790" w:type="dxa"/>
            <w:shd w:val="clear" w:color="auto" w:fill="F2F2F2" w:themeFill="background1" w:themeFillShade="F2"/>
            <w:vAlign w:val="center"/>
          </w:tcPr>
          <w:p w14:paraId="2FE7498D" w14:textId="77777777" w:rsidR="00C84AF3" w:rsidRPr="005534BA" w:rsidRDefault="00C84AF3" w:rsidP="00C84AF3">
            <w:pPr>
              <w:spacing w:after="0"/>
              <w:rPr>
                <w:sz w:val="18"/>
                <w:szCs w:val="18"/>
                <w:lang w:val="en-GB"/>
              </w:rPr>
            </w:pPr>
            <w:r w:rsidRPr="005534BA">
              <w:rPr>
                <w:sz w:val="18"/>
                <w:szCs w:val="18"/>
                <w:lang w:val="en-GB"/>
              </w:rPr>
              <w:t xml:space="preserve">ISO 14064: Part 1 – Specification with guidance at the </w:t>
            </w:r>
            <w:r w:rsidRPr="005534BA">
              <w:rPr>
                <w:sz w:val="18"/>
                <w:szCs w:val="18"/>
                <w:u w:val="single"/>
                <w:lang w:val="en-GB"/>
              </w:rPr>
              <w:t>organization level</w:t>
            </w:r>
            <w:r w:rsidRPr="005534BA">
              <w:rPr>
                <w:sz w:val="18"/>
                <w:szCs w:val="18"/>
                <w:lang w:val="en-GB"/>
              </w:rPr>
              <w:t xml:space="preserve"> for quantification and reporting of GHG emissions</w:t>
            </w:r>
          </w:p>
        </w:tc>
        <w:tc>
          <w:tcPr>
            <w:tcW w:w="1551" w:type="dxa"/>
            <w:shd w:val="clear" w:color="auto" w:fill="F2F2F2" w:themeFill="background1" w:themeFillShade="F2"/>
            <w:vAlign w:val="center"/>
          </w:tcPr>
          <w:p w14:paraId="56FD6F6D" w14:textId="77777777" w:rsidR="00C84AF3" w:rsidRPr="005534BA" w:rsidRDefault="00C84AF3" w:rsidP="00C84AF3">
            <w:pPr>
              <w:spacing w:after="0"/>
              <w:jc w:val="center"/>
              <w:rPr>
                <w:sz w:val="18"/>
                <w:szCs w:val="18"/>
                <w:lang w:val="en-GB"/>
              </w:rPr>
            </w:pPr>
            <w:r w:rsidRPr="005534BA">
              <w:rPr>
                <w:sz w:val="18"/>
                <w:szCs w:val="18"/>
                <w:lang w:val="en-GB"/>
              </w:rPr>
              <w:t>General</w:t>
            </w:r>
          </w:p>
        </w:tc>
        <w:tc>
          <w:tcPr>
            <w:tcW w:w="1748" w:type="dxa"/>
            <w:shd w:val="clear" w:color="auto" w:fill="F2F2F2" w:themeFill="background1" w:themeFillShade="F2"/>
            <w:vAlign w:val="center"/>
          </w:tcPr>
          <w:p w14:paraId="53A89432" w14:textId="77777777" w:rsidR="00C84AF3" w:rsidRPr="005534BA" w:rsidRDefault="00C84AF3" w:rsidP="00C84AF3">
            <w:pPr>
              <w:spacing w:after="0"/>
              <w:jc w:val="center"/>
              <w:rPr>
                <w:sz w:val="18"/>
                <w:szCs w:val="18"/>
                <w:lang w:val="en-GB"/>
              </w:rPr>
            </w:pPr>
            <w:r w:rsidRPr="005534BA">
              <w:rPr>
                <w:sz w:val="18"/>
                <w:szCs w:val="18"/>
                <w:lang w:val="en-GB"/>
              </w:rPr>
              <w:t>Inventories</w:t>
            </w:r>
          </w:p>
        </w:tc>
      </w:tr>
      <w:tr w:rsidR="00C84AF3" w:rsidRPr="00D14568" w14:paraId="2EF2E785" w14:textId="77777777" w:rsidTr="00ED00BF">
        <w:tc>
          <w:tcPr>
            <w:tcW w:w="5790" w:type="dxa"/>
            <w:shd w:val="clear" w:color="auto" w:fill="F2F2F2" w:themeFill="background1" w:themeFillShade="F2"/>
            <w:vAlign w:val="center"/>
          </w:tcPr>
          <w:p w14:paraId="062FAEE7" w14:textId="77777777" w:rsidR="00C84AF3" w:rsidRPr="005534BA" w:rsidRDefault="00C84AF3" w:rsidP="00C84AF3">
            <w:pPr>
              <w:spacing w:after="0"/>
              <w:rPr>
                <w:sz w:val="18"/>
                <w:szCs w:val="18"/>
                <w:lang w:val="en-GB"/>
              </w:rPr>
            </w:pPr>
            <w:r w:rsidRPr="005534BA">
              <w:rPr>
                <w:sz w:val="18"/>
                <w:szCs w:val="18"/>
                <w:lang w:val="en-GB"/>
              </w:rPr>
              <w:t xml:space="preserve">ISO 14064 Part 2 – Specification with guidance to quantification, monitoring &amp; reporting of greenhouse gas </w:t>
            </w:r>
            <w:r w:rsidRPr="005534BA">
              <w:rPr>
                <w:sz w:val="18"/>
                <w:szCs w:val="18"/>
                <w:u w:val="single"/>
                <w:lang w:val="en-GB"/>
              </w:rPr>
              <w:t>emission reductions at project level</w:t>
            </w:r>
          </w:p>
        </w:tc>
        <w:tc>
          <w:tcPr>
            <w:tcW w:w="1551" w:type="dxa"/>
            <w:shd w:val="clear" w:color="auto" w:fill="F2F2F2" w:themeFill="background1" w:themeFillShade="F2"/>
            <w:vAlign w:val="center"/>
          </w:tcPr>
          <w:p w14:paraId="6E5587D7" w14:textId="77777777" w:rsidR="00C84AF3" w:rsidRPr="005534BA" w:rsidRDefault="00C84AF3" w:rsidP="00C84AF3">
            <w:pPr>
              <w:spacing w:after="0"/>
              <w:jc w:val="center"/>
              <w:rPr>
                <w:sz w:val="18"/>
                <w:szCs w:val="18"/>
                <w:lang w:val="en-GB"/>
              </w:rPr>
            </w:pPr>
            <w:r w:rsidRPr="005534BA">
              <w:rPr>
                <w:sz w:val="18"/>
                <w:szCs w:val="18"/>
                <w:lang w:val="en-GB"/>
              </w:rPr>
              <w:t>General</w:t>
            </w:r>
          </w:p>
        </w:tc>
        <w:tc>
          <w:tcPr>
            <w:tcW w:w="1748" w:type="dxa"/>
            <w:shd w:val="clear" w:color="auto" w:fill="F2F2F2" w:themeFill="background1" w:themeFillShade="F2"/>
            <w:vAlign w:val="center"/>
          </w:tcPr>
          <w:p w14:paraId="62493E96" w14:textId="77777777" w:rsidR="00C84AF3" w:rsidRPr="005534BA" w:rsidRDefault="00C84AF3" w:rsidP="00C84AF3">
            <w:pPr>
              <w:spacing w:after="0"/>
              <w:jc w:val="center"/>
              <w:rPr>
                <w:sz w:val="18"/>
                <w:szCs w:val="18"/>
                <w:lang w:val="en-GB"/>
              </w:rPr>
            </w:pPr>
            <w:r w:rsidRPr="005534BA">
              <w:rPr>
                <w:sz w:val="18"/>
                <w:szCs w:val="18"/>
                <w:lang w:val="en-GB"/>
              </w:rPr>
              <w:t>Reduction Projects</w:t>
            </w:r>
          </w:p>
        </w:tc>
      </w:tr>
      <w:tr w:rsidR="00C84AF3" w:rsidRPr="00D14568" w14:paraId="2624D20A" w14:textId="77777777" w:rsidTr="00ED00BF">
        <w:tc>
          <w:tcPr>
            <w:tcW w:w="5790" w:type="dxa"/>
            <w:shd w:val="clear" w:color="auto" w:fill="F2F2F2" w:themeFill="background1" w:themeFillShade="F2"/>
            <w:vAlign w:val="center"/>
          </w:tcPr>
          <w:p w14:paraId="37A8A9CA" w14:textId="77777777" w:rsidR="00C84AF3" w:rsidRPr="005534BA" w:rsidRDefault="00C84AF3" w:rsidP="00C84AF3">
            <w:pPr>
              <w:spacing w:after="0"/>
              <w:rPr>
                <w:sz w:val="18"/>
                <w:szCs w:val="18"/>
                <w:lang w:val="en-GB"/>
              </w:rPr>
            </w:pPr>
            <w:r w:rsidRPr="005534BA">
              <w:rPr>
                <w:sz w:val="18"/>
                <w:szCs w:val="18"/>
                <w:lang w:val="en-GB"/>
              </w:rPr>
              <w:t>IPCC Guidelines for National Greenhouse Gas Inventories (Chapter 4 on fugitive emissions).</w:t>
            </w:r>
          </w:p>
        </w:tc>
        <w:tc>
          <w:tcPr>
            <w:tcW w:w="1551" w:type="dxa"/>
            <w:shd w:val="clear" w:color="auto" w:fill="F2F2F2" w:themeFill="background1" w:themeFillShade="F2"/>
            <w:vAlign w:val="center"/>
          </w:tcPr>
          <w:p w14:paraId="5C86875E" w14:textId="77777777" w:rsidR="00C84AF3" w:rsidRPr="005534BA" w:rsidRDefault="00C84AF3" w:rsidP="00C84AF3">
            <w:pPr>
              <w:spacing w:after="0"/>
              <w:jc w:val="center"/>
              <w:rPr>
                <w:sz w:val="18"/>
                <w:szCs w:val="18"/>
                <w:lang w:val="en-GB"/>
              </w:rPr>
            </w:pPr>
            <w:r w:rsidRPr="005534BA">
              <w:rPr>
                <w:sz w:val="18"/>
                <w:szCs w:val="18"/>
                <w:lang w:val="en-GB"/>
              </w:rPr>
              <w:t>Methane-Specific</w:t>
            </w:r>
          </w:p>
        </w:tc>
        <w:tc>
          <w:tcPr>
            <w:tcW w:w="1748" w:type="dxa"/>
            <w:shd w:val="clear" w:color="auto" w:fill="F2F2F2" w:themeFill="background1" w:themeFillShade="F2"/>
            <w:vAlign w:val="center"/>
          </w:tcPr>
          <w:p w14:paraId="30040AF3" w14:textId="77777777" w:rsidR="00C84AF3" w:rsidRPr="005534BA" w:rsidRDefault="00C84AF3" w:rsidP="00C84AF3">
            <w:pPr>
              <w:spacing w:after="0"/>
              <w:jc w:val="center"/>
              <w:rPr>
                <w:sz w:val="18"/>
                <w:szCs w:val="18"/>
                <w:lang w:val="en-GB"/>
              </w:rPr>
            </w:pPr>
            <w:r w:rsidRPr="005534BA">
              <w:rPr>
                <w:sz w:val="18"/>
                <w:szCs w:val="18"/>
                <w:lang w:val="en-GB"/>
              </w:rPr>
              <w:t>Inventories</w:t>
            </w:r>
          </w:p>
        </w:tc>
      </w:tr>
      <w:tr w:rsidR="00C84AF3" w:rsidRPr="00D14568" w14:paraId="4F6BA82B" w14:textId="77777777" w:rsidTr="00ED00BF">
        <w:tc>
          <w:tcPr>
            <w:tcW w:w="5790" w:type="dxa"/>
            <w:shd w:val="clear" w:color="auto" w:fill="F2F2F2" w:themeFill="background1" w:themeFillShade="F2"/>
            <w:vAlign w:val="center"/>
          </w:tcPr>
          <w:p w14:paraId="6D9A813A" w14:textId="77777777" w:rsidR="00C84AF3" w:rsidRPr="005534BA" w:rsidRDefault="00C84AF3" w:rsidP="00C84AF3">
            <w:pPr>
              <w:spacing w:after="0"/>
              <w:rPr>
                <w:sz w:val="18"/>
                <w:szCs w:val="18"/>
                <w:lang w:val="en-GB"/>
              </w:rPr>
            </w:pPr>
            <w:r w:rsidRPr="005534BA">
              <w:rPr>
                <w:sz w:val="18"/>
                <w:szCs w:val="18"/>
                <w:lang w:val="en-GB"/>
              </w:rPr>
              <w:t>Compendium of Greenhouse Gas Emissions Estimation Methodologies for the Oil and Natural Gas Industry, IPIECA, OGP and API</w:t>
            </w:r>
          </w:p>
        </w:tc>
        <w:tc>
          <w:tcPr>
            <w:tcW w:w="1551" w:type="dxa"/>
            <w:shd w:val="clear" w:color="auto" w:fill="F2F2F2" w:themeFill="background1" w:themeFillShade="F2"/>
            <w:vAlign w:val="center"/>
          </w:tcPr>
          <w:p w14:paraId="5B5C85BB" w14:textId="77777777" w:rsidR="00C84AF3" w:rsidRPr="005534BA" w:rsidRDefault="00C84AF3" w:rsidP="00C84AF3">
            <w:pPr>
              <w:spacing w:after="0"/>
              <w:jc w:val="center"/>
              <w:rPr>
                <w:sz w:val="18"/>
                <w:szCs w:val="18"/>
                <w:lang w:val="en-GB"/>
              </w:rPr>
            </w:pPr>
            <w:r w:rsidRPr="005534BA">
              <w:rPr>
                <w:sz w:val="18"/>
                <w:szCs w:val="18"/>
                <w:lang w:val="en-GB"/>
              </w:rPr>
              <w:t>Methane-Specific</w:t>
            </w:r>
          </w:p>
        </w:tc>
        <w:tc>
          <w:tcPr>
            <w:tcW w:w="1748" w:type="dxa"/>
            <w:shd w:val="clear" w:color="auto" w:fill="F2F2F2" w:themeFill="background1" w:themeFillShade="F2"/>
            <w:vAlign w:val="center"/>
          </w:tcPr>
          <w:p w14:paraId="078333EC" w14:textId="77777777" w:rsidR="00C84AF3" w:rsidRPr="005534BA" w:rsidRDefault="00C84AF3" w:rsidP="00C84AF3">
            <w:pPr>
              <w:spacing w:after="0"/>
              <w:jc w:val="center"/>
              <w:rPr>
                <w:sz w:val="18"/>
                <w:szCs w:val="18"/>
                <w:lang w:val="en-GB"/>
              </w:rPr>
            </w:pPr>
            <w:r w:rsidRPr="005534BA">
              <w:rPr>
                <w:sz w:val="18"/>
                <w:szCs w:val="18"/>
                <w:lang w:val="en-GB"/>
              </w:rPr>
              <w:t>Inventories</w:t>
            </w:r>
          </w:p>
        </w:tc>
      </w:tr>
      <w:tr w:rsidR="00C84AF3" w:rsidRPr="00D14568" w14:paraId="77023E31" w14:textId="77777777" w:rsidTr="00ED00BF">
        <w:tc>
          <w:tcPr>
            <w:tcW w:w="5790" w:type="dxa"/>
            <w:shd w:val="clear" w:color="auto" w:fill="F2F2F2" w:themeFill="background1" w:themeFillShade="F2"/>
          </w:tcPr>
          <w:p w14:paraId="701F65BD" w14:textId="77777777" w:rsidR="00C84AF3" w:rsidRPr="005534BA" w:rsidRDefault="00C84AF3" w:rsidP="00C84AF3">
            <w:pPr>
              <w:spacing w:after="0"/>
              <w:rPr>
                <w:sz w:val="18"/>
                <w:szCs w:val="18"/>
                <w:lang w:val="en-GB"/>
              </w:rPr>
            </w:pPr>
            <w:r w:rsidRPr="005534BA">
              <w:rPr>
                <w:sz w:val="18"/>
                <w:szCs w:val="18"/>
                <w:lang w:val="en-GB"/>
              </w:rPr>
              <w:t>Methodology for estimation of pollutant emission from diffuse sources of fugitive emissions in oil and gas equipment (in Russian)</w:t>
            </w:r>
          </w:p>
        </w:tc>
        <w:tc>
          <w:tcPr>
            <w:tcW w:w="1551" w:type="dxa"/>
            <w:shd w:val="clear" w:color="auto" w:fill="F2F2F2" w:themeFill="background1" w:themeFillShade="F2"/>
            <w:vAlign w:val="center"/>
          </w:tcPr>
          <w:p w14:paraId="7F8F07FB" w14:textId="77777777" w:rsidR="00C84AF3" w:rsidRPr="005534BA" w:rsidRDefault="00C84AF3" w:rsidP="00C84AF3">
            <w:pPr>
              <w:spacing w:after="0"/>
              <w:jc w:val="center"/>
              <w:rPr>
                <w:sz w:val="18"/>
                <w:szCs w:val="18"/>
                <w:lang w:val="en-GB"/>
              </w:rPr>
            </w:pPr>
            <w:r w:rsidRPr="005534BA">
              <w:rPr>
                <w:sz w:val="18"/>
                <w:szCs w:val="18"/>
                <w:lang w:val="en-GB"/>
              </w:rPr>
              <w:t>Methane-Specific</w:t>
            </w:r>
          </w:p>
        </w:tc>
        <w:tc>
          <w:tcPr>
            <w:tcW w:w="1748" w:type="dxa"/>
            <w:shd w:val="clear" w:color="auto" w:fill="F2F2F2" w:themeFill="background1" w:themeFillShade="F2"/>
            <w:vAlign w:val="center"/>
          </w:tcPr>
          <w:p w14:paraId="2D321FFF" w14:textId="77777777" w:rsidR="00C84AF3" w:rsidRPr="005534BA" w:rsidRDefault="00C84AF3" w:rsidP="00C84AF3">
            <w:pPr>
              <w:spacing w:after="0"/>
              <w:jc w:val="center"/>
              <w:rPr>
                <w:sz w:val="18"/>
                <w:szCs w:val="18"/>
                <w:lang w:val="en-GB"/>
              </w:rPr>
            </w:pPr>
            <w:r w:rsidRPr="005534BA">
              <w:rPr>
                <w:sz w:val="18"/>
                <w:szCs w:val="18"/>
                <w:lang w:val="en-GB"/>
              </w:rPr>
              <w:t>Inventories</w:t>
            </w:r>
          </w:p>
        </w:tc>
      </w:tr>
      <w:tr w:rsidR="00C84AF3" w:rsidRPr="00D14568" w14:paraId="572E7249" w14:textId="77777777" w:rsidTr="00ED00BF">
        <w:tc>
          <w:tcPr>
            <w:tcW w:w="5790" w:type="dxa"/>
            <w:tcBorders>
              <w:bottom w:val="single" w:sz="4" w:space="0" w:color="auto"/>
            </w:tcBorders>
            <w:shd w:val="clear" w:color="auto" w:fill="F2F2F2" w:themeFill="background1" w:themeFillShade="F2"/>
            <w:vAlign w:val="center"/>
          </w:tcPr>
          <w:p w14:paraId="2C18E5B9" w14:textId="77777777" w:rsidR="00C84AF3" w:rsidRPr="005534BA" w:rsidRDefault="00C84AF3" w:rsidP="00C84AF3">
            <w:pPr>
              <w:spacing w:after="0"/>
              <w:rPr>
                <w:sz w:val="18"/>
                <w:szCs w:val="18"/>
                <w:lang w:val="en-GB"/>
              </w:rPr>
            </w:pPr>
            <w:r w:rsidRPr="005534BA">
              <w:rPr>
                <w:sz w:val="18"/>
                <w:szCs w:val="18"/>
                <w:lang w:val="en-GB"/>
              </w:rPr>
              <w:t>Recommended guidelines for emission reporting (in Norwegian), Norwegian Oil and Gas Association</w:t>
            </w:r>
          </w:p>
        </w:tc>
        <w:tc>
          <w:tcPr>
            <w:tcW w:w="1551" w:type="dxa"/>
            <w:tcBorders>
              <w:bottom w:val="single" w:sz="4" w:space="0" w:color="auto"/>
            </w:tcBorders>
            <w:shd w:val="clear" w:color="auto" w:fill="F2F2F2" w:themeFill="background1" w:themeFillShade="F2"/>
            <w:vAlign w:val="center"/>
          </w:tcPr>
          <w:p w14:paraId="5231B0DD" w14:textId="77777777" w:rsidR="00C84AF3" w:rsidRPr="005534BA" w:rsidRDefault="00C84AF3" w:rsidP="00C84AF3">
            <w:pPr>
              <w:spacing w:after="0"/>
              <w:jc w:val="center"/>
              <w:rPr>
                <w:sz w:val="18"/>
                <w:szCs w:val="18"/>
                <w:lang w:val="en-GB"/>
              </w:rPr>
            </w:pPr>
            <w:r w:rsidRPr="005534BA">
              <w:rPr>
                <w:sz w:val="18"/>
                <w:szCs w:val="18"/>
                <w:lang w:val="en-GB"/>
              </w:rPr>
              <w:t>Methane-Specific</w:t>
            </w:r>
          </w:p>
        </w:tc>
        <w:tc>
          <w:tcPr>
            <w:tcW w:w="1748" w:type="dxa"/>
            <w:tcBorders>
              <w:bottom w:val="single" w:sz="4" w:space="0" w:color="auto"/>
            </w:tcBorders>
            <w:shd w:val="clear" w:color="auto" w:fill="F2F2F2" w:themeFill="background1" w:themeFillShade="F2"/>
            <w:vAlign w:val="center"/>
          </w:tcPr>
          <w:p w14:paraId="575AF323" w14:textId="77777777" w:rsidR="00C84AF3" w:rsidRPr="005534BA" w:rsidRDefault="00C84AF3" w:rsidP="00C84AF3">
            <w:pPr>
              <w:spacing w:after="0"/>
              <w:jc w:val="center"/>
              <w:rPr>
                <w:sz w:val="18"/>
                <w:szCs w:val="18"/>
                <w:lang w:val="en-GB"/>
              </w:rPr>
            </w:pPr>
            <w:r w:rsidRPr="005534BA">
              <w:rPr>
                <w:sz w:val="18"/>
                <w:szCs w:val="18"/>
                <w:lang w:val="en-GB"/>
              </w:rPr>
              <w:t>Inventories</w:t>
            </w:r>
          </w:p>
        </w:tc>
      </w:tr>
      <w:tr w:rsidR="00ED00BF" w:rsidRPr="0084462C" w14:paraId="64E1E005" w14:textId="77777777" w:rsidTr="00ED00BF">
        <w:tc>
          <w:tcPr>
            <w:tcW w:w="9089" w:type="dxa"/>
            <w:gridSpan w:val="3"/>
            <w:tcBorders>
              <w:top w:val="nil"/>
            </w:tcBorders>
            <w:shd w:val="clear" w:color="auto" w:fill="D9D9D9" w:themeFill="background1" w:themeFillShade="D9"/>
          </w:tcPr>
          <w:p w14:paraId="1C9A41FA" w14:textId="0FB5A378" w:rsidR="00ED00BF" w:rsidRDefault="00ED00BF" w:rsidP="00C84AF3">
            <w:pPr>
              <w:spacing w:after="0"/>
              <w:rPr>
                <w:b/>
                <w:sz w:val="18"/>
                <w:szCs w:val="18"/>
                <w:lang w:val="en-GB"/>
              </w:rPr>
            </w:pPr>
            <w:r w:rsidRPr="0084462C">
              <w:rPr>
                <w:b/>
                <w:sz w:val="18"/>
                <w:szCs w:val="18"/>
                <w:lang w:val="en-GB"/>
              </w:rPr>
              <w:t>Emission reductions</w:t>
            </w:r>
          </w:p>
        </w:tc>
      </w:tr>
      <w:tr w:rsidR="00C84AF3" w:rsidRPr="00D14568" w14:paraId="5C0763BA" w14:textId="77777777" w:rsidTr="00ED00BF">
        <w:tc>
          <w:tcPr>
            <w:tcW w:w="5790" w:type="dxa"/>
            <w:shd w:val="clear" w:color="auto" w:fill="F2F2F2" w:themeFill="background1" w:themeFillShade="F2"/>
          </w:tcPr>
          <w:p w14:paraId="674C5C10" w14:textId="77777777" w:rsidR="00C84AF3" w:rsidRPr="005534BA" w:rsidRDefault="00C84AF3" w:rsidP="00C84AF3">
            <w:pPr>
              <w:spacing w:after="0"/>
              <w:rPr>
                <w:sz w:val="18"/>
                <w:szCs w:val="18"/>
                <w:lang w:val="en-GB"/>
              </w:rPr>
            </w:pPr>
            <w:r w:rsidRPr="005534BA">
              <w:rPr>
                <w:sz w:val="18"/>
                <w:szCs w:val="18"/>
                <w:lang w:val="en-GB"/>
              </w:rPr>
              <w:t xml:space="preserve">CDM Approved baseline and monitoring methodology - AM0023: Leak detection and repair in gas production, processing, transmission, storage and distribution systems and in refinery facilities </w:t>
            </w:r>
          </w:p>
        </w:tc>
        <w:tc>
          <w:tcPr>
            <w:tcW w:w="1551" w:type="dxa"/>
            <w:shd w:val="clear" w:color="auto" w:fill="F2F2F2" w:themeFill="background1" w:themeFillShade="F2"/>
            <w:vAlign w:val="center"/>
          </w:tcPr>
          <w:p w14:paraId="7774C5E0" w14:textId="77777777" w:rsidR="00C84AF3" w:rsidRPr="005534BA" w:rsidRDefault="00C84AF3" w:rsidP="00C84AF3">
            <w:pPr>
              <w:spacing w:after="0"/>
              <w:jc w:val="center"/>
              <w:rPr>
                <w:sz w:val="18"/>
                <w:szCs w:val="18"/>
                <w:lang w:val="en-GB"/>
              </w:rPr>
            </w:pPr>
            <w:r w:rsidRPr="005534BA">
              <w:rPr>
                <w:sz w:val="18"/>
                <w:szCs w:val="18"/>
                <w:lang w:val="en-GB"/>
              </w:rPr>
              <w:t>Methane-Specific</w:t>
            </w:r>
          </w:p>
        </w:tc>
        <w:tc>
          <w:tcPr>
            <w:tcW w:w="1748" w:type="dxa"/>
            <w:shd w:val="clear" w:color="auto" w:fill="F2F2F2" w:themeFill="background1" w:themeFillShade="F2"/>
            <w:vAlign w:val="center"/>
          </w:tcPr>
          <w:p w14:paraId="55D80A13" w14:textId="77777777" w:rsidR="00C84AF3" w:rsidRPr="005534BA" w:rsidRDefault="00C84AF3" w:rsidP="00C84AF3">
            <w:pPr>
              <w:spacing w:after="0"/>
              <w:jc w:val="center"/>
              <w:rPr>
                <w:sz w:val="18"/>
                <w:szCs w:val="18"/>
                <w:lang w:val="en-GB"/>
              </w:rPr>
            </w:pPr>
            <w:r w:rsidRPr="005534BA">
              <w:rPr>
                <w:sz w:val="18"/>
                <w:szCs w:val="18"/>
                <w:lang w:val="en-GB"/>
              </w:rPr>
              <w:t>Reduction Projects</w:t>
            </w:r>
          </w:p>
        </w:tc>
      </w:tr>
      <w:tr w:rsidR="00C84AF3" w:rsidRPr="00D14568" w14:paraId="29D1319E" w14:textId="77777777" w:rsidTr="00ED00BF">
        <w:tc>
          <w:tcPr>
            <w:tcW w:w="5790" w:type="dxa"/>
            <w:shd w:val="clear" w:color="auto" w:fill="F2F2F2" w:themeFill="background1" w:themeFillShade="F2"/>
          </w:tcPr>
          <w:p w14:paraId="2289B4D5" w14:textId="77777777" w:rsidR="00C84AF3" w:rsidRPr="005534BA" w:rsidRDefault="00C84AF3" w:rsidP="00C84AF3">
            <w:pPr>
              <w:spacing w:after="0"/>
              <w:rPr>
                <w:sz w:val="18"/>
                <w:szCs w:val="18"/>
                <w:lang w:val="en-GB"/>
              </w:rPr>
            </w:pPr>
            <w:r w:rsidRPr="005534BA">
              <w:rPr>
                <w:sz w:val="18"/>
                <w:szCs w:val="18"/>
                <w:lang w:val="en-GB"/>
              </w:rPr>
              <w:t>CDM Approved baseline and monitoring methodology - Recovery of gas from oil wells that would otherwise be vented or flared and its delivery to specific end-users - AM0077</w:t>
            </w:r>
          </w:p>
        </w:tc>
        <w:tc>
          <w:tcPr>
            <w:tcW w:w="1551" w:type="dxa"/>
            <w:shd w:val="clear" w:color="auto" w:fill="F2F2F2" w:themeFill="background1" w:themeFillShade="F2"/>
            <w:vAlign w:val="center"/>
          </w:tcPr>
          <w:p w14:paraId="17EB1630" w14:textId="77777777" w:rsidR="00C84AF3" w:rsidRPr="005534BA" w:rsidRDefault="00C84AF3" w:rsidP="00C84AF3">
            <w:pPr>
              <w:spacing w:after="0"/>
              <w:jc w:val="center"/>
              <w:rPr>
                <w:sz w:val="18"/>
                <w:szCs w:val="18"/>
                <w:lang w:val="en-GB"/>
              </w:rPr>
            </w:pPr>
            <w:r w:rsidRPr="005534BA">
              <w:rPr>
                <w:sz w:val="18"/>
                <w:szCs w:val="18"/>
                <w:lang w:val="en-GB"/>
              </w:rPr>
              <w:t>Methane-Specific</w:t>
            </w:r>
          </w:p>
        </w:tc>
        <w:tc>
          <w:tcPr>
            <w:tcW w:w="1748" w:type="dxa"/>
            <w:shd w:val="clear" w:color="auto" w:fill="F2F2F2" w:themeFill="background1" w:themeFillShade="F2"/>
            <w:vAlign w:val="center"/>
          </w:tcPr>
          <w:p w14:paraId="30BEFBDE" w14:textId="77777777" w:rsidR="00C84AF3" w:rsidRPr="005534BA" w:rsidRDefault="00C84AF3" w:rsidP="00C84AF3">
            <w:pPr>
              <w:spacing w:after="0"/>
              <w:jc w:val="center"/>
              <w:rPr>
                <w:sz w:val="18"/>
                <w:szCs w:val="18"/>
                <w:lang w:val="en-GB"/>
              </w:rPr>
            </w:pPr>
            <w:r w:rsidRPr="005534BA">
              <w:rPr>
                <w:sz w:val="18"/>
                <w:szCs w:val="18"/>
                <w:lang w:val="en-GB"/>
              </w:rPr>
              <w:t>Reduction Projects</w:t>
            </w:r>
          </w:p>
        </w:tc>
      </w:tr>
      <w:tr w:rsidR="00C84AF3" w:rsidRPr="00D14568" w14:paraId="7EC8E77B" w14:textId="77777777" w:rsidTr="00ED00BF">
        <w:tc>
          <w:tcPr>
            <w:tcW w:w="5790" w:type="dxa"/>
            <w:shd w:val="clear" w:color="auto" w:fill="F2F2F2" w:themeFill="background1" w:themeFillShade="F2"/>
          </w:tcPr>
          <w:p w14:paraId="59693631" w14:textId="77777777" w:rsidR="00C84AF3" w:rsidRPr="005534BA" w:rsidRDefault="00C84AF3" w:rsidP="00C84AF3">
            <w:pPr>
              <w:spacing w:after="0"/>
              <w:rPr>
                <w:sz w:val="18"/>
                <w:szCs w:val="18"/>
                <w:lang w:val="en-GB"/>
              </w:rPr>
            </w:pPr>
            <w:r w:rsidRPr="005534BA">
              <w:rPr>
                <w:sz w:val="18"/>
                <w:szCs w:val="18"/>
                <w:lang w:val="en-GB"/>
              </w:rPr>
              <w:t xml:space="preserve">Alberta Emission Offset Program - Quantification Protocol for Greenhouse Gas Emission Reductions from Pneumatic Devices </w:t>
            </w:r>
          </w:p>
        </w:tc>
        <w:tc>
          <w:tcPr>
            <w:tcW w:w="1551" w:type="dxa"/>
            <w:shd w:val="clear" w:color="auto" w:fill="F2F2F2" w:themeFill="background1" w:themeFillShade="F2"/>
            <w:vAlign w:val="center"/>
          </w:tcPr>
          <w:p w14:paraId="3450CDB1" w14:textId="77777777" w:rsidR="00C84AF3" w:rsidRPr="005534BA" w:rsidRDefault="00C84AF3" w:rsidP="00C84AF3">
            <w:pPr>
              <w:spacing w:after="0"/>
              <w:jc w:val="center"/>
              <w:rPr>
                <w:sz w:val="18"/>
                <w:szCs w:val="18"/>
                <w:lang w:val="en-GB"/>
              </w:rPr>
            </w:pPr>
            <w:r w:rsidRPr="005534BA">
              <w:rPr>
                <w:sz w:val="18"/>
                <w:szCs w:val="18"/>
                <w:lang w:val="en-GB"/>
              </w:rPr>
              <w:t>Methane-Specific</w:t>
            </w:r>
          </w:p>
        </w:tc>
        <w:tc>
          <w:tcPr>
            <w:tcW w:w="1748" w:type="dxa"/>
            <w:shd w:val="clear" w:color="auto" w:fill="F2F2F2" w:themeFill="background1" w:themeFillShade="F2"/>
            <w:vAlign w:val="center"/>
          </w:tcPr>
          <w:p w14:paraId="1AEFDB9D" w14:textId="77777777" w:rsidR="00C84AF3" w:rsidRPr="005534BA" w:rsidRDefault="00C84AF3" w:rsidP="00C84AF3">
            <w:pPr>
              <w:spacing w:after="0"/>
              <w:jc w:val="center"/>
              <w:rPr>
                <w:sz w:val="18"/>
                <w:szCs w:val="18"/>
                <w:lang w:val="en-GB"/>
              </w:rPr>
            </w:pPr>
            <w:r w:rsidRPr="005534BA">
              <w:rPr>
                <w:sz w:val="18"/>
                <w:szCs w:val="18"/>
                <w:lang w:val="en-GB"/>
              </w:rPr>
              <w:t>Reduction Projects</w:t>
            </w:r>
          </w:p>
        </w:tc>
      </w:tr>
      <w:tr w:rsidR="00C84AF3" w:rsidRPr="00D14568" w14:paraId="5D14BEE5" w14:textId="77777777" w:rsidTr="00ED00BF">
        <w:tc>
          <w:tcPr>
            <w:tcW w:w="5790" w:type="dxa"/>
            <w:shd w:val="clear" w:color="auto" w:fill="F2F2F2" w:themeFill="background1" w:themeFillShade="F2"/>
          </w:tcPr>
          <w:p w14:paraId="7C654487" w14:textId="77777777" w:rsidR="00C84AF3" w:rsidRPr="005534BA" w:rsidRDefault="00C84AF3" w:rsidP="00C84AF3">
            <w:pPr>
              <w:spacing w:after="0"/>
              <w:rPr>
                <w:sz w:val="18"/>
                <w:szCs w:val="18"/>
                <w:lang w:val="en-GB"/>
              </w:rPr>
            </w:pPr>
            <w:r w:rsidRPr="005534BA">
              <w:rPr>
                <w:sz w:val="18"/>
                <w:szCs w:val="18"/>
                <w:lang w:val="en-GB"/>
              </w:rPr>
              <w:t xml:space="preserve">Alberta Emission Offset Program - Quantification Protocol for Engine Fuel Management and Vent Gas Capture Carbon Competitiveness Incentive Regulation  </w:t>
            </w:r>
          </w:p>
        </w:tc>
        <w:tc>
          <w:tcPr>
            <w:tcW w:w="1551" w:type="dxa"/>
            <w:shd w:val="clear" w:color="auto" w:fill="F2F2F2" w:themeFill="background1" w:themeFillShade="F2"/>
            <w:vAlign w:val="center"/>
          </w:tcPr>
          <w:p w14:paraId="5402F025" w14:textId="77777777" w:rsidR="00C84AF3" w:rsidRPr="005534BA" w:rsidRDefault="00C84AF3" w:rsidP="00C84AF3">
            <w:pPr>
              <w:spacing w:after="0"/>
              <w:jc w:val="center"/>
              <w:rPr>
                <w:sz w:val="18"/>
                <w:szCs w:val="18"/>
                <w:lang w:val="en-GB"/>
              </w:rPr>
            </w:pPr>
            <w:r w:rsidRPr="005534BA">
              <w:rPr>
                <w:sz w:val="18"/>
                <w:szCs w:val="18"/>
                <w:lang w:val="en-GB"/>
              </w:rPr>
              <w:t>Methane-Specific</w:t>
            </w:r>
          </w:p>
        </w:tc>
        <w:tc>
          <w:tcPr>
            <w:tcW w:w="1748" w:type="dxa"/>
            <w:shd w:val="clear" w:color="auto" w:fill="F2F2F2" w:themeFill="background1" w:themeFillShade="F2"/>
            <w:vAlign w:val="center"/>
          </w:tcPr>
          <w:p w14:paraId="0FC39416" w14:textId="77777777" w:rsidR="00C84AF3" w:rsidRPr="005534BA" w:rsidRDefault="00C84AF3" w:rsidP="00C84AF3">
            <w:pPr>
              <w:spacing w:after="0"/>
              <w:jc w:val="center"/>
              <w:rPr>
                <w:sz w:val="18"/>
                <w:szCs w:val="18"/>
                <w:lang w:val="en-GB"/>
              </w:rPr>
            </w:pPr>
            <w:r w:rsidRPr="005534BA">
              <w:rPr>
                <w:sz w:val="18"/>
                <w:szCs w:val="18"/>
                <w:lang w:val="en-GB"/>
              </w:rPr>
              <w:t>Reduction Projects</w:t>
            </w:r>
          </w:p>
        </w:tc>
      </w:tr>
      <w:tr w:rsidR="00C84AF3" w:rsidRPr="00D14568" w14:paraId="4F99DA28" w14:textId="77777777" w:rsidTr="00ED00BF">
        <w:tc>
          <w:tcPr>
            <w:tcW w:w="5790" w:type="dxa"/>
            <w:shd w:val="clear" w:color="auto" w:fill="F2F2F2" w:themeFill="background1" w:themeFillShade="F2"/>
          </w:tcPr>
          <w:p w14:paraId="7FEC4C27" w14:textId="77777777" w:rsidR="00C84AF3" w:rsidRPr="005534BA" w:rsidRDefault="00C84AF3" w:rsidP="00C84AF3">
            <w:pPr>
              <w:spacing w:after="0"/>
              <w:rPr>
                <w:sz w:val="18"/>
                <w:szCs w:val="18"/>
                <w:lang w:val="en-GB"/>
              </w:rPr>
            </w:pPr>
            <w:r w:rsidRPr="005534BA">
              <w:rPr>
                <w:sz w:val="18"/>
                <w:szCs w:val="18"/>
                <w:lang w:val="en-GB"/>
              </w:rPr>
              <w:t xml:space="preserve">Alberta Emission Offset Program - Quantification protocol for solution gas conservation </w:t>
            </w:r>
          </w:p>
        </w:tc>
        <w:tc>
          <w:tcPr>
            <w:tcW w:w="1551" w:type="dxa"/>
            <w:shd w:val="clear" w:color="auto" w:fill="F2F2F2" w:themeFill="background1" w:themeFillShade="F2"/>
            <w:vAlign w:val="center"/>
          </w:tcPr>
          <w:p w14:paraId="273262C4" w14:textId="77777777" w:rsidR="00C84AF3" w:rsidRPr="005534BA" w:rsidRDefault="00C84AF3" w:rsidP="00C84AF3">
            <w:pPr>
              <w:spacing w:after="0"/>
              <w:jc w:val="center"/>
              <w:rPr>
                <w:sz w:val="18"/>
                <w:szCs w:val="18"/>
                <w:lang w:val="en-GB"/>
              </w:rPr>
            </w:pPr>
            <w:r w:rsidRPr="005534BA">
              <w:rPr>
                <w:sz w:val="18"/>
                <w:szCs w:val="18"/>
                <w:lang w:val="en-GB"/>
              </w:rPr>
              <w:t>Methane-Specific</w:t>
            </w:r>
          </w:p>
        </w:tc>
        <w:tc>
          <w:tcPr>
            <w:tcW w:w="1748" w:type="dxa"/>
            <w:shd w:val="clear" w:color="auto" w:fill="F2F2F2" w:themeFill="background1" w:themeFillShade="F2"/>
            <w:vAlign w:val="center"/>
          </w:tcPr>
          <w:p w14:paraId="5303B093" w14:textId="77777777" w:rsidR="00C84AF3" w:rsidRPr="005534BA" w:rsidRDefault="00C84AF3" w:rsidP="00C84AF3">
            <w:pPr>
              <w:spacing w:after="0"/>
              <w:jc w:val="center"/>
              <w:rPr>
                <w:sz w:val="18"/>
                <w:szCs w:val="18"/>
                <w:lang w:val="en-GB"/>
              </w:rPr>
            </w:pPr>
            <w:r w:rsidRPr="005534BA">
              <w:rPr>
                <w:sz w:val="18"/>
                <w:szCs w:val="18"/>
                <w:lang w:val="en-GB"/>
              </w:rPr>
              <w:t>Reduction Projects</w:t>
            </w:r>
          </w:p>
        </w:tc>
      </w:tr>
      <w:tr w:rsidR="00C84AF3" w:rsidRPr="00D14568" w14:paraId="2B9C314D" w14:textId="77777777" w:rsidTr="00ED00BF">
        <w:tc>
          <w:tcPr>
            <w:tcW w:w="5790" w:type="dxa"/>
            <w:shd w:val="clear" w:color="auto" w:fill="F2F2F2" w:themeFill="background1" w:themeFillShade="F2"/>
          </w:tcPr>
          <w:p w14:paraId="5C5319CE" w14:textId="77777777" w:rsidR="00C84AF3" w:rsidRPr="005534BA" w:rsidRDefault="00C84AF3" w:rsidP="00C84AF3">
            <w:pPr>
              <w:spacing w:after="0"/>
              <w:rPr>
                <w:sz w:val="18"/>
                <w:szCs w:val="18"/>
                <w:lang w:val="en-GB"/>
              </w:rPr>
            </w:pPr>
            <w:r w:rsidRPr="005534BA">
              <w:rPr>
                <w:sz w:val="18"/>
                <w:szCs w:val="18"/>
                <w:lang w:val="en-GB"/>
              </w:rPr>
              <w:t xml:space="preserve">British Columbia Greenhouse Gas Offset - Vented Emissions Reductions GHG Offset Protocol </w:t>
            </w:r>
          </w:p>
        </w:tc>
        <w:tc>
          <w:tcPr>
            <w:tcW w:w="1551" w:type="dxa"/>
            <w:shd w:val="clear" w:color="auto" w:fill="F2F2F2" w:themeFill="background1" w:themeFillShade="F2"/>
            <w:vAlign w:val="center"/>
          </w:tcPr>
          <w:p w14:paraId="7B11D58A" w14:textId="77777777" w:rsidR="00C84AF3" w:rsidRPr="005534BA" w:rsidRDefault="00C84AF3" w:rsidP="00C84AF3">
            <w:pPr>
              <w:spacing w:after="0"/>
              <w:jc w:val="center"/>
              <w:rPr>
                <w:sz w:val="18"/>
                <w:szCs w:val="18"/>
                <w:lang w:val="en-GB"/>
              </w:rPr>
            </w:pPr>
            <w:r w:rsidRPr="005534BA">
              <w:rPr>
                <w:sz w:val="18"/>
                <w:szCs w:val="18"/>
                <w:lang w:val="en-GB"/>
              </w:rPr>
              <w:t>Methane-Specific</w:t>
            </w:r>
          </w:p>
        </w:tc>
        <w:tc>
          <w:tcPr>
            <w:tcW w:w="1748" w:type="dxa"/>
            <w:shd w:val="clear" w:color="auto" w:fill="F2F2F2" w:themeFill="background1" w:themeFillShade="F2"/>
            <w:vAlign w:val="center"/>
          </w:tcPr>
          <w:p w14:paraId="763A09F0" w14:textId="77777777" w:rsidR="00C84AF3" w:rsidRPr="005534BA" w:rsidRDefault="00C84AF3" w:rsidP="00C84AF3">
            <w:pPr>
              <w:spacing w:after="0"/>
              <w:jc w:val="center"/>
              <w:rPr>
                <w:sz w:val="18"/>
                <w:szCs w:val="18"/>
                <w:lang w:val="en-GB"/>
              </w:rPr>
            </w:pPr>
            <w:r w:rsidRPr="005534BA">
              <w:rPr>
                <w:sz w:val="18"/>
                <w:szCs w:val="18"/>
                <w:lang w:val="en-GB"/>
              </w:rPr>
              <w:t>Reduction Projects</w:t>
            </w:r>
          </w:p>
        </w:tc>
      </w:tr>
    </w:tbl>
    <w:p w14:paraId="7D101078" w14:textId="77777777" w:rsidR="004173F0" w:rsidRDefault="004173F0" w:rsidP="00C84AF3">
      <w:pPr>
        <w:pStyle w:val="Heading3"/>
        <w:rPr>
          <w:b w:val="0"/>
          <w:lang w:val="en-GB"/>
        </w:rPr>
      </w:pPr>
    </w:p>
    <w:p w14:paraId="221C2D38" w14:textId="2A5E41D3" w:rsidR="00C84AF3" w:rsidRPr="00CA51AC" w:rsidRDefault="00C84AF3" w:rsidP="00C84AF3">
      <w:pPr>
        <w:pStyle w:val="Heading3"/>
        <w:rPr>
          <w:b w:val="0"/>
          <w:lang w:val="en-GB"/>
        </w:rPr>
      </w:pPr>
      <w:r w:rsidRPr="00CA51AC">
        <w:rPr>
          <w:b w:val="0"/>
          <w:lang w:val="en-GB"/>
        </w:rPr>
        <w:t xml:space="preserve">Verification of methane emissions can be mandatory as part of regulatory requirements or voluntary </w:t>
      </w:r>
      <w:proofErr w:type="gramStart"/>
      <w:r w:rsidRPr="00CA51AC">
        <w:rPr>
          <w:b w:val="0"/>
          <w:lang w:val="en-GB"/>
        </w:rPr>
        <w:t>for the purpose of</w:t>
      </w:r>
      <w:proofErr w:type="gramEnd"/>
      <w:r w:rsidRPr="00CA51AC">
        <w:rPr>
          <w:b w:val="0"/>
          <w:lang w:val="en-GB"/>
        </w:rPr>
        <w:t xml:space="preserve"> internal use by a company or for public disclose of information. </w:t>
      </w:r>
    </w:p>
    <w:p w14:paraId="2DFF7372" w14:textId="1344923B" w:rsidR="00C84AF3" w:rsidRDefault="00C84AF3" w:rsidP="00C84AF3">
      <w:pPr>
        <w:rPr>
          <w:lang w:val="en-GB"/>
        </w:rPr>
      </w:pPr>
      <w:r>
        <w:rPr>
          <w:lang w:val="en-GB"/>
        </w:rPr>
        <w:t>In countries</w:t>
      </w:r>
      <w:r w:rsidRPr="00725F6B">
        <w:rPr>
          <w:lang w:val="en-GB"/>
        </w:rPr>
        <w:t xml:space="preserve"> </w:t>
      </w:r>
      <w:r>
        <w:rPr>
          <w:lang w:val="en-GB"/>
        </w:rPr>
        <w:t xml:space="preserve">and regions such as Norway, US, Canada, Russia and Kazakhstan, operators are required to report methane emissions on annual basis, </w:t>
      </w:r>
      <w:r w:rsidR="00F4752C">
        <w:rPr>
          <w:lang w:val="en-GB"/>
        </w:rPr>
        <w:t xml:space="preserve">followed by </w:t>
      </w:r>
      <w:r>
        <w:rPr>
          <w:lang w:val="en-GB"/>
        </w:rPr>
        <w:t xml:space="preserve">verification </w:t>
      </w:r>
      <w:r w:rsidR="00F4752C">
        <w:rPr>
          <w:lang w:val="en-GB"/>
        </w:rPr>
        <w:t>conducted by the regulator or a third party</w:t>
      </w:r>
      <w:r>
        <w:rPr>
          <w:lang w:val="en-GB"/>
        </w:rPr>
        <w:t xml:space="preserve">. </w:t>
      </w:r>
      <w:r w:rsidR="00F4752C" w:rsidRPr="00F4752C">
        <w:rPr>
          <w:lang w:val="en-US"/>
        </w:rPr>
        <w:t>Typically</w:t>
      </w:r>
      <w:r w:rsidR="00F4752C">
        <w:rPr>
          <w:lang w:val="en-US"/>
        </w:rPr>
        <w:t>, facilities use uniform methods prescribed by the authorities</w:t>
      </w:r>
      <w:r w:rsidR="00E6567A">
        <w:rPr>
          <w:lang w:val="en-US"/>
        </w:rPr>
        <w:t xml:space="preserve">, such as </w:t>
      </w:r>
      <w:r w:rsidR="00E6567A" w:rsidRPr="00105932">
        <w:rPr>
          <w:lang w:val="en-US"/>
        </w:rPr>
        <w:t>direct measurement, engineering calculations, or emission factors.  In some cases, operators have a choice of calculation methods for an emission source</w:t>
      </w:r>
      <w:r w:rsidR="00E6567A">
        <w:rPr>
          <w:lang w:val="en-US"/>
        </w:rPr>
        <w:t xml:space="preserve">. </w:t>
      </w:r>
      <w:r w:rsidR="00B31FC1">
        <w:rPr>
          <w:lang w:val="en-GB"/>
        </w:rPr>
        <w:t>V</w:t>
      </w:r>
      <w:r>
        <w:rPr>
          <w:lang w:val="en-GB"/>
        </w:rPr>
        <w:t xml:space="preserve">erification of emission reports </w:t>
      </w:r>
      <w:r w:rsidR="00B31FC1">
        <w:rPr>
          <w:lang w:val="en-GB"/>
        </w:rPr>
        <w:t xml:space="preserve">can involve </w:t>
      </w:r>
      <w:r>
        <w:rPr>
          <w:lang w:val="en-GB"/>
        </w:rPr>
        <w:t>a desk verification of activity data (i.e. count of emission sources) and verification of the adequacy of the applied methodology for emissions.</w:t>
      </w:r>
    </w:p>
    <w:p w14:paraId="276A7871" w14:textId="77777777" w:rsidR="009B0A74" w:rsidRDefault="009B0A74" w:rsidP="00C84AF3">
      <w:pPr>
        <w:rPr>
          <w:lang w:val="en-GB"/>
        </w:rPr>
      </w:pPr>
    </w:p>
    <w:tbl>
      <w:tblPr>
        <w:tblStyle w:val="TableGrid"/>
        <w:tblW w:w="0" w:type="auto"/>
        <w:shd w:val="clear" w:color="auto" w:fill="F2F2F2" w:themeFill="background1" w:themeFillShade="F2"/>
        <w:tblLook w:val="04A0" w:firstRow="1" w:lastRow="0" w:firstColumn="1" w:lastColumn="0" w:noHBand="0" w:noVBand="1"/>
      </w:tblPr>
      <w:tblGrid>
        <w:gridCol w:w="9089"/>
      </w:tblGrid>
      <w:tr w:rsidR="00C84AF3" w:rsidRPr="00104E87" w14:paraId="41D9E0F1" w14:textId="77777777" w:rsidTr="00C84AF3">
        <w:tc>
          <w:tcPr>
            <w:tcW w:w="9239" w:type="dxa"/>
            <w:shd w:val="clear" w:color="auto" w:fill="F2F2F2" w:themeFill="background1" w:themeFillShade="F2"/>
          </w:tcPr>
          <w:p w14:paraId="3BFC956F" w14:textId="77777777" w:rsidR="00C84AF3" w:rsidRPr="008E00BE" w:rsidRDefault="00C84AF3" w:rsidP="00C84AF3">
            <w:pPr>
              <w:spacing w:line="276" w:lineRule="auto"/>
              <w:rPr>
                <w:b/>
                <w:lang w:val="en-GB"/>
              </w:rPr>
            </w:pPr>
            <w:r w:rsidRPr="008E00BE">
              <w:rPr>
                <w:b/>
                <w:lang w:val="en-GB"/>
              </w:rPr>
              <w:t>Box 3-</w:t>
            </w:r>
            <w:r w:rsidR="00E6567A">
              <w:rPr>
                <w:b/>
                <w:lang w:val="en-GB"/>
              </w:rPr>
              <w:t>2</w:t>
            </w:r>
            <w:r w:rsidRPr="008E00BE">
              <w:rPr>
                <w:b/>
                <w:lang w:val="en-GB"/>
              </w:rPr>
              <w:t xml:space="preserve"> Mandatory verification in selected counties </w:t>
            </w:r>
          </w:p>
          <w:p w14:paraId="63FDA5EE" w14:textId="77777777" w:rsidR="00B31FC1" w:rsidRPr="001A0183" w:rsidRDefault="00C84AF3" w:rsidP="00B31FC1">
            <w:pPr>
              <w:spacing w:line="276" w:lineRule="auto"/>
              <w:rPr>
                <w:sz w:val="18"/>
                <w:szCs w:val="18"/>
                <w:lang w:val="en-GB"/>
              </w:rPr>
            </w:pPr>
            <w:r>
              <w:rPr>
                <w:b/>
                <w:sz w:val="18"/>
                <w:szCs w:val="18"/>
                <w:lang w:val="en-GB"/>
              </w:rPr>
              <w:t xml:space="preserve">In the US </w:t>
            </w:r>
            <w:r w:rsidR="00B31FC1">
              <w:rPr>
                <w:sz w:val="18"/>
                <w:szCs w:val="18"/>
                <w:lang w:val="en-GB"/>
              </w:rPr>
              <w:t xml:space="preserve">Greenhouse Gas Reporting Program, the US EPA </w:t>
            </w:r>
            <w:r w:rsidR="00B31FC1" w:rsidRPr="00EE7301">
              <w:rPr>
                <w:sz w:val="18"/>
                <w:szCs w:val="18"/>
                <w:lang w:val="en-GB"/>
              </w:rPr>
              <w:t>has a multi-step data verification process, including automatic checks during data-entry,</w:t>
            </w:r>
            <w:r w:rsidR="00B31FC1">
              <w:rPr>
                <w:sz w:val="18"/>
                <w:szCs w:val="18"/>
                <w:lang w:val="en-GB"/>
              </w:rPr>
              <w:t xml:space="preserve"> </w:t>
            </w:r>
            <w:r w:rsidR="00B31FC1" w:rsidRPr="00EE7301">
              <w:rPr>
                <w:sz w:val="18"/>
                <w:szCs w:val="18"/>
                <w:lang w:val="en-GB"/>
              </w:rPr>
              <w:t>statistical analyses on completed reports, and staff review of the reported data.</w:t>
            </w:r>
            <w:r w:rsidR="00B31FC1">
              <w:rPr>
                <w:sz w:val="18"/>
                <w:szCs w:val="18"/>
                <w:lang w:val="en-GB"/>
              </w:rPr>
              <w:t xml:space="preserve"> </w:t>
            </w:r>
            <w:r w:rsidR="00B31FC1" w:rsidRPr="00EE7301">
              <w:rPr>
                <w:sz w:val="18"/>
                <w:szCs w:val="18"/>
                <w:lang w:val="en-GB"/>
              </w:rPr>
              <w:t>Based on the</w:t>
            </w:r>
            <w:r w:rsidR="00B31FC1">
              <w:rPr>
                <w:sz w:val="18"/>
                <w:szCs w:val="18"/>
                <w:lang w:val="en-GB"/>
              </w:rPr>
              <w:t xml:space="preserve"> </w:t>
            </w:r>
            <w:r w:rsidR="00B31FC1" w:rsidRPr="00EE7301">
              <w:rPr>
                <w:sz w:val="18"/>
                <w:szCs w:val="18"/>
                <w:lang w:val="en-GB"/>
              </w:rPr>
              <w:t xml:space="preserve">results of the verification process, </w:t>
            </w:r>
            <w:r w:rsidR="00B31FC1">
              <w:rPr>
                <w:sz w:val="18"/>
                <w:szCs w:val="18"/>
                <w:lang w:val="en-GB"/>
              </w:rPr>
              <w:t>US</w:t>
            </w:r>
            <w:r w:rsidR="00B31FC1" w:rsidRPr="00EE7301">
              <w:rPr>
                <w:sz w:val="18"/>
                <w:szCs w:val="18"/>
                <w:lang w:val="en-GB"/>
              </w:rPr>
              <w:t xml:space="preserve"> EPA follows up with facilities to resolve mistakes that may</w:t>
            </w:r>
            <w:r w:rsidR="00B31FC1">
              <w:rPr>
                <w:sz w:val="18"/>
                <w:szCs w:val="18"/>
                <w:lang w:val="en-GB"/>
              </w:rPr>
              <w:t xml:space="preserve"> </w:t>
            </w:r>
            <w:r w:rsidR="00B31FC1" w:rsidRPr="00EE7301">
              <w:rPr>
                <w:sz w:val="18"/>
                <w:szCs w:val="18"/>
                <w:lang w:val="en-GB"/>
              </w:rPr>
              <w:t>have occurred.</w:t>
            </w:r>
            <w:r w:rsidR="00B31FC1">
              <w:rPr>
                <w:rStyle w:val="FootnoteReference"/>
                <w:sz w:val="18"/>
                <w:szCs w:val="18"/>
                <w:lang w:val="en-GB"/>
              </w:rPr>
              <w:footnoteReference w:id="51"/>
            </w:r>
          </w:p>
          <w:p w14:paraId="14D376CD" w14:textId="54C5E18D" w:rsidR="00C84AF3" w:rsidRDefault="00C84AF3" w:rsidP="00C84AF3">
            <w:pPr>
              <w:spacing w:line="276" w:lineRule="auto"/>
              <w:rPr>
                <w:sz w:val="18"/>
                <w:szCs w:val="18"/>
                <w:lang w:val="en-GB"/>
              </w:rPr>
            </w:pPr>
            <w:r>
              <w:rPr>
                <w:sz w:val="18"/>
                <w:szCs w:val="18"/>
                <w:lang w:val="en-GB"/>
              </w:rPr>
              <w:t xml:space="preserve">In </w:t>
            </w:r>
            <w:r w:rsidRPr="008E00BE">
              <w:rPr>
                <w:b/>
                <w:sz w:val="18"/>
                <w:szCs w:val="18"/>
                <w:lang w:val="en-GB"/>
              </w:rPr>
              <w:t>Canada</w:t>
            </w:r>
            <w:r>
              <w:rPr>
                <w:sz w:val="18"/>
                <w:szCs w:val="18"/>
                <w:lang w:val="en-GB"/>
              </w:rPr>
              <w:t xml:space="preserve"> </w:t>
            </w:r>
            <w:r w:rsidRPr="008E00BE">
              <w:rPr>
                <w:sz w:val="18"/>
                <w:szCs w:val="18"/>
                <w:lang w:val="en-GB"/>
              </w:rPr>
              <w:t xml:space="preserve">reporting on emissions due to oil and gas operations (including fugitive emissions) is done under the National Pollutant Release Inventory. All the necessary information about requirements for emission estimations and reporting are compiled in Reporting Guide for the National Pollutant Release Inventory. For upstream oil and gas industry, a specialized “Recommended Approach to Completing the </w:t>
            </w:r>
            <w:bookmarkStart w:id="75" w:name="_Hlk3296692"/>
            <w:r w:rsidRPr="008E00BE">
              <w:rPr>
                <w:sz w:val="18"/>
                <w:szCs w:val="18"/>
                <w:lang w:val="en-GB"/>
              </w:rPr>
              <w:t>NPRI</w:t>
            </w:r>
            <w:bookmarkEnd w:id="75"/>
            <w:r w:rsidRPr="008E00BE">
              <w:rPr>
                <w:sz w:val="18"/>
                <w:szCs w:val="18"/>
                <w:lang w:val="en-GB"/>
              </w:rPr>
              <w:t>” prescribes methodologies and emission factors for estimating emissions from various emission sources.</w:t>
            </w:r>
            <w:r w:rsidR="009A14CA" w:rsidRPr="008E00BE">
              <w:rPr>
                <w:rStyle w:val="FootnoteReference"/>
                <w:sz w:val="18"/>
                <w:szCs w:val="18"/>
                <w:lang w:val="en-GB"/>
              </w:rPr>
              <w:t xml:space="preserve"> </w:t>
            </w:r>
            <w:r w:rsidR="009A14CA" w:rsidRPr="008E00BE">
              <w:rPr>
                <w:rStyle w:val="FootnoteReference"/>
                <w:sz w:val="18"/>
                <w:szCs w:val="18"/>
                <w:lang w:val="en-GB"/>
              </w:rPr>
              <w:footnoteReference w:id="52"/>
            </w:r>
            <w:r w:rsidR="009A14CA" w:rsidRPr="008E00BE">
              <w:rPr>
                <w:sz w:val="18"/>
                <w:szCs w:val="18"/>
                <w:lang w:val="en-GB"/>
              </w:rPr>
              <w:t xml:space="preserve"> </w:t>
            </w:r>
            <w:r w:rsidRPr="008E00BE">
              <w:rPr>
                <w:sz w:val="18"/>
                <w:szCs w:val="18"/>
                <w:lang w:val="en-GB"/>
              </w:rPr>
              <w:t xml:space="preserve"> The verification is done by Environment and Climate Change Canada which “checks the reports for inaccuracies and reporting errors, and may contact or visit facilities to verify or correct information</w:t>
            </w:r>
            <w:r w:rsidR="009A14CA">
              <w:rPr>
                <w:sz w:val="18"/>
                <w:szCs w:val="18"/>
                <w:lang w:val="en-GB"/>
              </w:rPr>
              <w:t>.</w:t>
            </w:r>
            <w:r w:rsidRPr="008E00BE">
              <w:rPr>
                <w:sz w:val="18"/>
                <w:szCs w:val="18"/>
                <w:lang w:val="en-GB"/>
              </w:rPr>
              <w:t>”</w:t>
            </w:r>
            <w:r w:rsidRPr="008E00BE">
              <w:rPr>
                <w:rStyle w:val="FootnoteReference"/>
                <w:sz w:val="18"/>
                <w:szCs w:val="18"/>
                <w:lang w:val="en-GB"/>
              </w:rPr>
              <w:footnoteReference w:id="53"/>
            </w:r>
          </w:p>
          <w:p w14:paraId="0F815A10" w14:textId="6C3FE89B" w:rsidR="00C84AF3" w:rsidRDefault="00C84AF3" w:rsidP="00C84AF3">
            <w:pPr>
              <w:spacing w:line="276" w:lineRule="auto"/>
              <w:rPr>
                <w:sz w:val="18"/>
                <w:szCs w:val="18"/>
                <w:lang w:val="en-GB"/>
              </w:rPr>
            </w:pPr>
            <w:r w:rsidRPr="008E00BE">
              <w:rPr>
                <w:sz w:val="18"/>
                <w:szCs w:val="18"/>
                <w:lang w:val="en-GB"/>
              </w:rPr>
              <w:t xml:space="preserve">In </w:t>
            </w:r>
            <w:r w:rsidRPr="008E00BE">
              <w:rPr>
                <w:b/>
                <w:sz w:val="18"/>
                <w:szCs w:val="18"/>
                <w:lang w:val="en-GB"/>
              </w:rPr>
              <w:t>Norway</w:t>
            </w:r>
            <w:r w:rsidRPr="008E00BE">
              <w:rPr>
                <w:sz w:val="18"/>
                <w:szCs w:val="18"/>
                <w:lang w:val="en-GB"/>
              </w:rPr>
              <w:t xml:space="preserve"> </w:t>
            </w:r>
            <w:r w:rsidR="009B0A74">
              <w:rPr>
                <w:sz w:val="18"/>
                <w:szCs w:val="18"/>
                <w:lang w:val="en-GB"/>
              </w:rPr>
              <w:t>t</w:t>
            </w:r>
            <w:r w:rsidRPr="008E00BE">
              <w:rPr>
                <w:sz w:val="18"/>
                <w:szCs w:val="18"/>
                <w:lang w:val="en-GB"/>
              </w:rPr>
              <w:t xml:space="preserve">he updated guidelines for reporting of methane and other </w:t>
            </w:r>
            <w:r w:rsidR="009B0A74" w:rsidRPr="00905261">
              <w:rPr>
                <w:b/>
                <w:sz w:val="18"/>
                <w:szCs w:val="18"/>
                <w:lang w:val="en-GB"/>
              </w:rPr>
              <w:t>Oil and Gas Carbon Initiative</w:t>
            </w:r>
            <w:r w:rsidRPr="008E00BE">
              <w:rPr>
                <w:sz w:val="18"/>
                <w:szCs w:val="18"/>
                <w:lang w:val="en-GB"/>
              </w:rPr>
              <w:t xml:space="preserve"> emissions, released in 2018, includes a section detailing estimation methodologies for various emission sources. The estimation methods are calculation-based, i.e. </w:t>
            </w:r>
            <w:r w:rsidRPr="0029394B">
              <w:rPr>
                <w:bCs/>
                <w:i/>
                <w:iCs/>
                <w:sz w:val="18"/>
                <w:szCs w:val="18"/>
                <w:lang w:val="en-GB"/>
              </w:rPr>
              <w:t>activity data × emission factor</w:t>
            </w:r>
            <w:r w:rsidRPr="008E00BE">
              <w:rPr>
                <w:sz w:val="18"/>
                <w:szCs w:val="18"/>
                <w:lang w:val="en-GB"/>
              </w:rPr>
              <w:t>, and the operators have been given instructions on how to obtain emission factors. Relatively strict rules on documentation of underlying activity data (flow rate, measurements, information from technology provider, other type of documentation) are required, although no third-party audit or verification standard is specified.</w:t>
            </w:r>
          </w:p>
          <w:p w14:paraId="7068C524" w14:textId="77777777" w:rsidR="00C84AF3" w:rsidRPr="008E00BE" w:rsidRDefault="00C84AF3" w:rsidP="00C84AF3">
            <w:pPr>
              <w:spacing w:line="276" w:lineRule="auto"/>
              <w:rPr>
                <w:sz w:val="18"/>
                <w:szCs w:val="18"/>
                <w:lang w:val="en-GB"/>
              </w:rPr>
            </w:pPr>
            <w:r w:rsidRPr="008E00BE">
              <w:rPr>
                <w:sz w:val="18"/>
                <w:szCs w:val="18"/>
                <w:lang w:val="en-GB"/>
              </w:rPr>
              <w:t xml:space="preserve">According to Article 22 of the </w:t>
            </w:r>
            <w:r w:rsidRPr="0029394B">
              <w:rPr>
                <w:b/>
                <w:sz w:val="18"/>
                <w:szCs w:val="18"/>
                <w:lang w:val="en-GB"/>
              </w:rPr>
              <w:t>Russian</w:t>
            </w:r>
            <w:r w:rsidRPr="008E00BE">
              <w:rPr>
                <w:sz w:val="18"/>
                <w:szCs w:val="18"/>
                <w:lang w:val="en-GB"/>
              </w:rPr>
              <w:t xml:space="preserve"> Federal Law #96 on “Protection of the atmosphere” (last amended on 13</w:t>
            </w:r>
            <w:r w:rsidRPr="008E00BE">
              <w:rPr>
                <w:sz w:val="18"/>
                <w:szCs w:val="18"/>
                <w:vertAlign w:val="superscript"/>
                <w:lang w:val="en-GB"/>
              </w:rPr>
              <w:t>th</w:t>
            </w:r>
            <w:r w:rsidRPr="008E00BE">
              <w:rPr>
                <w:sz w:val="18"/>
                <w:szCs w:val="18"/>
                <w:lang w:val="en-GB"/>
              </w:rPr>
              <w:t xml:space="preserve"> July 2015), operators are obliged to compile inventories of the pollutant emissions at least once every five years and to provide annual actual data as a basis for pollutant emission payments. For fugitive methane </w:t>
            </w:r>
            <w:r w:rsidRPr="008E00BE">
              <w:rPr>
                <w:sz w:val="18"/>
                <w:szCs w:val="18"/>
                <w:lang w:val="en-GB"/>
              </w:rPr>
              <w:lastRenderedPageBreak/>
              <w:t>emissions however, it is not required to use facility-specific emission factors and it is only the calculation methodology that is verified. Nevertheless, companies can base their emissions monitoring and reporting based on the technical guidelines developed internally (and approved by the authorities).</w:t>
            </w:r>
          </w:p>
          <w:p w14:paraId="7E5FF228" w14:textId="25305D13" w:rsidR="00C84AF3" w:rsidRDefault="00C84AF3" w:rsidP="00C84AF3">
            <w:pPr>
              <w:spacing w:line="276" w:lineRule="auto"/>
              <w:rPr>
                <w:lang w:val="en-GB"/>
              </w:rPr>
            </w:pPr>
            <w:r w:rsidRPr="008E00BE">
              <w:rPr>
                <w:sz w:val="18"/>
                <w:szCs w:val="18"/>
                <w:lang w:val="en-GB"/>
              </w:rPr>
              <w:t xml:space="preserve">As the result, there is no single established methodology for estimating emissions of pollutants from oil and gas operations in Russia. Instead, there </w:t>
            </w:r>
            <w:r>
              <w:rPr>
                <w:sz w:val="18"/>
                <w:szCs w:val="18"/>
                <w:lang w:val="en-GB"/>
              </w:rPr>
              <w:t xml:space="preserve">are </w:t>
            </w:r>
            <w:r w:rsidRPr="008E00BE">
              <w:rPr>
                <w:sz w:val="18"/>
                <w:szCs w:val="18"/>
                <w:lang w:val="en-GB"/>
              </w:rPr>
              <w:t>a number of guidance documents</w:t>
            </w:r>
            <w:r w:rsidR="009A14CA">
              <w:rPr>
                <w:sz w:val="18"/>
                <w:szCs w:val="18"/>
                <w:lang w:val="en-GB"/>
              </w:rPr>
              <w:t xml:space="preserve"> </w:t>
            </w:r>
            <w:r w:rsidRPr="008E00BE">
              <w:rPr>
                <w:sz w:val="18"/>
                <w:szCs w:val="18"/>
                <w:lang w:val="en-GB"/>
              </w:rPr>
              <w:t>that are approved by the government to be used when estimating and reporting company’s emissions</w:t>
            </w:r>
            <w:r>
              <w:rPr>
                <w:lang w:val="en-GB"/>
              </w:rPr>
              <w:t>.</w:t>
            </w:r>
            <w:r w:rsidR="009A14CA">
              <w:rPr>
                <w:rStyle w:val="FootnoteReference"/>
                <w:sz w:val="18"/>
                <w:szCs w:val="18"/>
                <w:lang w:val="en-GB"/>
              </w:rPr>
              <w:footnoteReference w:id="54"/>
            </w:r>
          </w:p>
        </w:tc>
      </w:tr>
    </w:tbl>
    <w:p w14:paraId="5E97537E" w14:textId="6C54BD1C" w:rsidR="00C84AF3" w:rsidRDefault="00C84AF3" w:rsidP="00C84AF3">
      <w:pPr>
        <w:rPr>
          <w:lang w:val="en-GB"/>
        </w:rPr>
      </w:pPr>
    </w:p>
    <w:p w14:paraId="09E7BC35" w14:textId="77777777" w:rsidR="004173F0" w:rsidRDefault="004173F0" w:rsidP="00C84AF3">
      <w:pPr>
        <w:rPr>
          <w:lang w:val="en-GB"/>
        </w:rPr>
      </w:pPr>
    </w:p>
    <w:p w14:paraId="6E6AEFB9" w14:textId="77777777" w:rsidR="00C84AF3" w:rsidRPr="00772B30" w:rsidRDefault="00C84AF3" w:rsidP="005D2939">
      <w:pPr>
        <w:pStyle w:val="Heading2"/>
        <w:numPr>
          <w:ilvl w:val="1"/>
          <w:numId w:val="3"/>
        </w:numPr>
        <w:spacing w:before="120" w:after="0"/>
        <w:rPr>
          <w:rStyle w:val="Heading2Char"/>
          <w:b/>
          <w:sz w:val="22"/>
          <w:szCs w:val="22"/>
          <w:lang w:val="en-GB"/>
        </w:rPr>
      </w:pPr>
      <w:bookmarkStart w:id="76" w:name="_Toc521656539"/>
      <w:bookmarkStart w:id="77" w:name="_Ref524608031"/>
      <w:bookmarkStart w:id="78" w:name="_Toc531690992"/>
      <w:bookmarkStart w:id="79" w:name="_Toc531691035"/>
      <w:bookmarkStart w:id="80" w:name="_Toc3473003"/>
      <w:r w:rsidRPr="00772B30">
        <w:rPr>
          <w:rStyle w:val="Heading2Char"/>
          <w:b/>
          <w:sz w:val="22"/>
          <w:szCs w:val="22"/>
          <w:lang w:val="en-GB"/>
        </w:rPr>
        <w:t>MRV at the national level</w:t>
      </w:r>
      <w:bookmarkEnd w:id="76"/>
      <w:bookmarkEnd w:id="77"/>
      <w:bookmarkEnd w:id="78"/>
      <w:bookmarkEnd w:id="79"/>
      <w:r>
        <w:rPr>
          <w:rStyle w:val="Heading2Char"/>
          <w:b/>
          <w:sz w:val="22"/>
          <w:szCs w:val="22"/>
          <w:lang w:val="en-GB"/>
        </w:rPr>
        <w:t xml:space="preserve"> and international reporting</w:t>
      </w:r>
      <w:bookmarkEnd w:id="80"/>
      <w:r>
        <w:rPr>
          <w:rStyle w:val="Heading2Char"/>
          <w:b/>
          <w:sz w:val="22"/>
          <w:szCs w:val="22"/>
          <w:lang w:val="en-GB"/>
        </w:rPr>
        <w:t xml:space="preserve">  </w:t>
      </w:r>
      <w:r w:rsidRPr="00772B30">
        <w:rPr>
          <w:rStyle w:val="Heading2Char"/>
          <w:b/>
          <w:sz w:val="22"/>
          <w:szCs w:val="22"/>
          <w:lang w:val="en-GB"/>
        </w:rPr>
        <w:t xml:space="preserve"> </w:t>
      </w:r>
    </w:p>
    <w:p w14:paraId="177B7C14" w14:textId="77777777" w:rsidR="00C84AF3" w:rsidRDefault="00C84AF3" w:rsidP="00C84AF3">
      <w:pPr>
        <w:spacing w:before="120" w:after="0"/>
        <w:rPr>
          <w:lang w:val="en-GB"/>
        </w:rPr>
      </w:pPr>
      <w:r w:rsidRPr="005A08B9">
        <w:rPr>
          <w:lang w:val="en-GB"/>
        </w:rPr>
        <w:t xml:space="preserve">Calculation </w:t>
      </w:r>
      <w:r>
        <w:rPr>
          <w:lang w:val="en-GB"/>
        </w:rPr>
        <w:t xml:space="preserve">and reporting </w:t>
      </w:r>
      <w:r w:rsidRPr="005A08B9">
        <w:rPr>
          <w:lang w:val="en-GB"/>
        </w:rPr>
        <w:t>of national methane emissions are important for knowledge, awareness and inciting action</w:t>
      </w:r>
      <w:r>
        <w:rPr>
          <w:lang w:val="en-GB"/>
        </w:rPr>
        <w:t>.</w:t>
      </w:r>
      <w:r w:rsidRPr="005A08B9">
        <w:rPr>
          <w:lang w:val="en-GB"/>
        </w:rPr>
        <w:t xml:space="preserve"> It forms a fundamental basis for the design and implementation of effective policies and measures, and for monitoring </w:t>
      </w:r>
      <w:r>
        <w:rPr>
          <w:lang w:val="en-GB"/>
        </w:rPr>
        <w:t xml:space="preserve">progress from mitigation efforts. </w:t>
      </w:r>
      <w:r w:rsidRPr="005A08B9">
        <w:rPr>
          <w:lang w:val="en-GB"/>
        </w:rPr>
        <w:t xml:space="preserve">This section summarizes key aspects </w:t>
      </w:r>
      <w:r>
        <w:rPr>
          <w:lang w:val="en-GB"/>
        </w:rPr>
        <w:t>of the</w:t>
      </w:r>
      <w:r w:rsidRPr="005A08B9">
        <w:rPr>
          <w:lang w:val="en-GB"/>
        </w:rPr>
        <w:t xml:space="preserve"> methodologies and practical guidelines for calculating methane emissions</w:t>
      </w:r>
      <w:r>
        <w:rPr>
          <w:lang w:val="en-GB"/>
        </w:rPr>
        <w:t xml:space="preserve"> at the national level and how this information should be presented and used in a national context and internationally as required according to UNFCCC decisions. </w:t>
      </w:r>
    </w:p>
    <w:p w14:paraId="7753C615" w14:textId="7E9F45C0" w:rsidR="00C84AF3" w:rsidRPr="005A08B9" w:rsidRDefault="00C84AF3" w:rsidP="00C84AF3">
      <w:pPr>
        <w:spacing w:before="120" w:after="0"/>
        <w:rPr>
          <w:lang w:val="en-GB"/>
        </w:rPr>
      </w:pPr>
      <w:r w:rsidRPr="005A08B9">
        <w:rPr>
          <w:lang w:val="en-GB"/>
        </w:rPr>
        <w:t xml:space="preserve">Internationally agreed methodologies and practical guidelines </w:t>
      </w:r>
      <w:r>
        <w:rPr>
          <w:lang w:val="en-GB"/>
        </w:rPr>
        <w:t>(IPCC Guidelines) strongly influence national calculations and reporting of methane emissions. IPCC Guidelines are briefly presented here</w:t>
      </w:r>
      <w:r w:rsidR="004316E4">
        <w:rPr>
          <w:lang w:val="en-GB"/>
        </w:rPr>
        <w:t>,</w:t>
      </w:r>
      <w:r>
        <w:rPr>
          <w:lang w:val="en-GB"/>
        </w:rPr>
        <w:t xml:space="preserve"> followed by a discussion of important aspects with national reporting and the new reporting requirements which are now adopted under the Paris Agreement.</w:t>
      </w:r>
    </w:p>
    <w:p w14:paraId="63E30405" w14:textId="77777777" w:rsidR="00C84AF3" w:rsidRPr="005A08B9" w:rsidRDefault="00C84AF3" w:rsidP="00C84AF3">
      <w:pPr>
        <w:pStyle w:val="Heading3"/>
        <w:spacing w:before="120" w:after="0"/>
        <w:rPr>
          <w:lang w:val="en-GB"/>
        </w:rPr>
      </w:pPr>
      <w:bookmarkStart w:id="81" w:name="_Toc531690993"/>
      <w:bookmarkStart w:id="82" w:name="_Ref524702338"/>
      <w:r>
        <w:rPr>
          <w:lang w:val="en-GB"/>
        </w:rPr>
        <w:t xml:space="preserve">The </w:t>
      </w:r>
      <w:r w:rsidRPr="005A08B9">
        <w:rPr>
          <w:lang w:val="en-GB"/>
        </w:rPr>
        <w:t>IPCC Guidelines</w:t>
      </w:r>
      <w:bookmarkEnd w:id="81"/>
      <w:r w:rsidRPr="005A08B9">
        <w:rPr>
          <w:lang w:val="en-GB"/>
        </w:rPr>
        <w:t xml:space="preserve"> </w:t>
      </w:r>
      <w:bookmarkEnd w:id="82"/>
    </w:p>
    <w:p w14:paraId="171E1F57" w14:textId="5E8FA8B6" w:rsidR="00C84AF3" w:rsidRPr="005A08B9" w:rsidRDefault="00C84AF3" w:rsidP="00C84AF3">
      <w:pPr>
        <w:spacing w:before="120" w:after="0"/>
        <w:rPr>
          <w:i/>
          <w:iCs/>
          <w:lang w:val="en-GB"/>
        </w:rPr>
      </w:pPr>
      <w:r w:rsidRPr="005A08B9">
        <w:rPr>
          <w:lang w:val="en-GB"/>
        </w:rPr>
        <w:t>The Task Force on Greenhouse Gas Inventories was established in 1991 by the IPCC and the latest version of the IPCC Guidelines for National Greenhouse Gas Inventories is from 2006</w:t>
      </w:r>
      <w:r w:rsidR="009A14CA">
        <w:rPr>
          <w:lang w:val="en-GB"/>
        </w:rPr>
        <w:t>.</w:t>
      </w:r>
      <w:r w:rsidRPr="005A08B9">
        <w:rPr>
          <w:vertAlign w:val="superscript"/>
          <w:lang w:val="en-GB"/>
        </w:rPr>
        <w:footnoteReference w:id="55"/>
      </w:r>
      <w:r w:rsidRPr="005A08B9">
        <w:rPr>
          <w:lang w:val="en-GB"/>
        </w:rPr>
        <w:t xml:space="preserve"> A </w:t>
      </w:r>
      <w:r w:rsidR="00406717">
        <w:rPr>
          <w:lang w:val="en-GB"/>
        </w:rPr>
        <w:t xml:space="preserve">process for the </w:t>
      </w:r>
      <w:r w:rsidRPr="005A08B9">
        <w:rPr>
          <w:lang w:val="en-GB"/>
        </w:rPr>
        <w:t xml:space="preserve">refinement of the 2006 IPCC Guidelines </w:t>
      </w:r>
      <w:r w:rsidR="00406717">
        <w:rPr>
          <w:lang w:val="en-GB"/>
        </w:rPr>
        <w:t>began in</w:t>
      </w:r>
      <w:r w:rsidRPr="005A08B9">
        <w:rPr>
          <w:lang w:val="en-GB"/>
        </w:rPr>
        <w:t xml:space="preserve"> 2017 with the Refinement document </w:t>
      </w:r>
      <w:r w:rsidR="00104E87">
        <w:rPr>
          <w:lang w:val="en-GB"/>
        </w:rPr>
        <w:t>scheduled for adoption by the Panel</w:t>
      </w:r>
      <w:r w:rsidRPr="005A08B9">
        <w:rPr>
          <w:lang w:val="en-GB"/>
        </w:rPr>
        <w:t xml:space="preserve"> in May 2019</w:t>
      </w:r>
      <w:r w:rsidR="009A14CA">
        <w:rPr>
          <w:lang w:val="en-GB"/>
        </w:rPr>
        <w:t>.</w:t>
      </w:r>
      <w:r w:rsidRPr="005A08B9">
        <w:rPr>
          <w:vertAlign w:val="superscript"/>
          <w:lang w:val="en-GB"/>
        </w:rPr>
        <w:footnoteReference w:id="56"/>
      </w:r>
      <w:r w:rsidRPr="005A08B9">
        <w:rPr>
          <w:lang w:val="en-GB"/>
        </w:rPr>
        <w:t xml:space="preserve"> </w:t>
      </w:r>
    </w:p>
    <w:p w14:paraId="79A5192E" w14:textId="77777777" w:rsidR="001C72A7" w:rsidRDefault="001C72A7" w:rsidP="00C84AF3">
      <w:pPr>
        <w:spacing w:before="120" w:after="0"/>
        <w:rPr>
          <w:b/>
          <w:color w:val="208855" w:themeColor="accent1" w:themeShade="BF"/>
          <w:sz w:val="18"/>
          <w:szCs w:val="18"/>
          <w:lang w:val="en-GB"/>
        </w:rPr>
      </w:pPr>
    </w:p>
    <w:p w14:paraId="7008F4F2" w14:textId="77777777" w:rsidR="00104E87" w:rsidRDefault="00C84AF3" w:rsidP="00C84AF3">
      <w:pPr>
        <w:spacing w:before="120" w:after="0"/>
        <w:rPr>
          <w:lang w:val="en-US"/>
        </w:rPr>
      </w:pPr>
      <w:r w:rsidRPr="00DA4EA7">
        <w:rPr>
          <w:b/>
          <w:color w:val="208855" w:themeColor="accent1" w:themeShade="BF"/>
          <w:sz w:val="18"/>
          <w:szCs w:val="18"/>
          <w:lang w:val="en-GB"/>
        </w:rPr>
        <w:t>[Here will follow a summary of 2006 Guidelines and the 2019 Refinement</w:t>
      </w:r>
      <w:r>
        <w:rPr>
          <w:b/>
          <w:color w:val="208855" w:themeColor="accent1" w:themeShade="BF"/>
          <w:sz w:val="18"/>
          <w:szCs w:val="18"/>
          <w:lang w:val="en-GB"/>
        </w:rPr>
        <w:t xml:space="preserve">. </w:t>
      </w:r>
      <w:r w:rsidR="00104E87">
        <w:rPr>
          <w:b/>
          <w:color w:val="208855" w:themeColor="accent1" w:themeShade="BF"/>
          <w:sz w:val="18"/>
          <w:szCs w:val="18"/>
          <w:lang w:val="en-GB"/>
        </w:rPr>
        <w:t xml:space="preserve">It should be noted that </w:t>
      </w:r>
      <w:r w:rsidR="00104E87" w:rsidRPr="00104E87">
        <w:rPr>
          <w:lang w:val="en-US"/>
        </w:rPr>
        <w:t xml:space="preserve">, </w:t>
      </w:r>
      <w:r w:rsidR="00104E87" w:rsidRPr="00104E87">
        <w:rPr>
          <w:b/>
          <w:color w:val="208855" w:themeColor="accent1" w:themeShade="BF"/>
          <w:sz w:val="18"/>
          <w:szCs w:val="18"/>
          <w:lang w:val="en-GB"/>
        </w:rPr>
        <w:t>developed country Parties to the UNFCCC are currently required to use the 2006 GL, and many developing countries also use them. All Parties to the Paris Agreement will be required to use the 2006 Guidelines when reporting starts in 2024</w:t>
      </w:r>
      <w:r w:rsidR="00104E87" w:rsidRPr="00104E87">
        <w:rPr>
          <w:lang w:val="en-US"/>
        </w:rPr>
        <w:t xml:space="preserve">. </w:t>
      </w:r>
    </w:p>
    <w:p w14:paraId="7040AFCE" w14:textId="22A9CAE5" w:rsidR="00C84AF3" w:rsidRPr="00DA4EA7" w:rsidRDefault="00C84AF3" w:rsidP="00C84AF3">
      <w:pPr>
        <w:spacing w:before="120" w:after="0"/>
        <w:rPr>
          <w:b/>
          <w:color w:val="208855" w:themeColor="accent1" w:themeShade="BF"/>
          <w:sz w:val="18"/>
          <w:szCs w:val="18"/>
          <w:lang w:val="en-GB"/>
        </w:rPr>
      </w:pPr>
      <w:r>
        <w:rPr>
          <w:b/>
          <w:color w:val="208855" w:themeColor="accent1" w:themeShade="BF"/>
          <w:sz w:val="18"/>
          <w:szCs w:val="18"/>
          <w:lang w:val="en-GB"/>
        </w:rPr>
        <w:t>Since the 2019 Refinement is still being reviewed by relevant governmental institutions (expected to be released in May 2019) it will be included once it has been made public</w:t>
      </w:r>
      <w:r w:rsidRPr="00DA4EA7">
        <w:rPr>
          <w:b/>
          <w:color w:val="208855" w:themeColor="accent1" w:themeShade="BF"/>
          <w:sz w:val="18"/>
          <w:szCs w:val="18"/>
          <w:lang w:val="en-GB"/>
        </w:rPr>
        <w:t xml:space="preserve">. </w:t>
      </w:r>
      <w:r>
        <w:rPr>
          <w:b/>
          <w:color w:val="208855" w:themeColor="accent1" w:themeShade="BF"/>
          <w:sz w:val="18"/>
          <w:szCs w:val="18"/>
          <w:lang w:val="en-GB"/>
        </w:rPr>
        <w:t>The following main points to be included are (2-3 pages):</w:t>
      </w:r>
    </w:p>
    <w:p w14:paraId="7CA577CE" w14:textId="77777777" w:rsidR="00C84AF3" w:rsidRPr="00165211" w:rsidRDefault="00C84AF3" w:rsidP="005D2939">
      <w:pPr>
        <w:pStyle w:val="ListParagraph"/>
        <w:numPr>
          <w:ilvl w:val="0"/>
          <w:numId w:val="30"/>
        </w:numPr>
        <w:spacing w:before="120" w:after="0" w:line="276" w:lineRule="auto"/>
        <w:contextualSpacing w:val="0"/>
        <w:rPr>
          <w:color w:val="208855" w:themeColor="accent1" w:themeShade="BF"/>
          <w:sz w:val="18"/>
          <w:szCs w:val="18"/>
          <w:lang w:val="en-GB"/>
        </w:rPr>
      </w:pPr>
      <w:r w:rsidRPr="00165211">
        <w:rPr>
          <w:color w:val="208855" w:themeColor="accent1" w:themeShade="BF"/>
          <w:sz w:val="18"/>
          <w:szCs w:val="18"/>
          <w:lang w:val="en-GB"/>
        </w:rPr>
        <w:t xml:space="preserve">Presentation of main methodological features; activity data, emission factors and tiers, see Box 2-1 above.  </w:t>
      </w:r>
    </w:p>
    <w:p w14:paraId="72F21158" w14:textId="77777777" w:rsidR="00C84AF3" w:rsidRPr="00165211" w:rsidRDefault="00C84AF3" w:rsidP="005D2939">
      <w:pPr>
        <w:pStyle w:val="ListParagraph"/>
        <w:numPr>
          <w:ilvl w:val="0"/>
          <w:numId w:val="30"/>
        </w:numPr>
        <w:spacing w:before="120" w:after="0" w:line="276" w:lineRule="auto"/>
        <w:contextualSpacing w:val="0"/>
        <w:rPr>
          <w:color w:val="208855" w:themeColor="accent1" w:themeShade="BF"/>
          <w:sz w:val="18"/>
          <w:szCs w:val="18"/>
          <w:lang w:val="en-GB"/>
        </w:rPr>
      </w:pPr>
      <w:r w:rsidRPr="00165211">
        <w:rPr>
          <w:color w:val="208855" w:themeColor="accent1" w:themeShade="BF"/>
          <w:sz w:val="18"/>
          <w:szCs w:val="18"/>
          <w:lang w:val="en-GB"/>
        </w:rPr>
        <w:t>Scope and specification Oil and Natural Gas System segments covered</w:t>
      </w:r>
    </w:p>
    <w:p w14:paraId="4B905262" w14:textId="77777777" w:rsidR="00C84AF3" w:rsidRPr="00165211" w:rsidRDefault="00C84AF3" w:rsidP="005D2939">
      <w:pPr>
        <w:pStyle w:val="ListParagraph"/>
        <w:numPr>
          <w:ilvl w:val="0"/>
          <w:numId w:val="30"/>
        </w:numPr>
        <w:spacing w:before="120" w:after="0" w:line="276" w:lineRule="auto"/>
        <w:contextualSpacing w:val="0"/>
        <w:rPr>
          <w:color w:val="208855" w:themeColor="accent1" w:themeShade="BF"/>
          <w:sz w:val="18"/>
          <w:szCs w:val="18"/>
          <w:lang w:val="en-GB"/>
        </w:rPr>
      </w:pPr>
      <w:r w:rsidRPr="00165211">
        <w:rPr>
          <w:color w:val="208855" w:themeColor="accent1" w:themeShade="BF"/>
          <w:sz w:val="18"/>
          <w:szCs w:val="18"/>
          <w:lang w:val="en-GB"/>
        </w:rPr>
        <w:t xml:space="preserve">Emission factors and uncertainty ranges (as provided in Guideline and IPCC Emissions Factor Database </w:t>
      </w:r>
    </w:p>
    <w:p w14:paraId="7AB5455A" w14:textId="77777777" w:rsidR="00C84AF3" w:rsidRPr="00165211" w:rsidRDefault="00C84AF3" w:rsidP="005D2939">
      <w:pPr>
        <w:pStyle w:val="ListParagraph"/>
        <w:numPr>
          <w:ilvl w:val="0"/>
          <w:numId w:val="30"/>
        </w:numPr>
        <w:spacing w:before="120" w:after="0" w:line="276" w:lineRule="auto"/>
        <w:contextualSpacing w:val="0"/>
        <w:rPr>
          <w:color w:val="208855" w:themeColor="accent1" w:themeShade="BF"/>
          <w:sz w:val="18"/>
          <w:szCs w:val="18"/>
          <w:lang w:val="en-GB"/>
        </w:rPr>
      </w:pPr>
      <w:r w:rsidRPr="00165211">
        <w:rPr>
          <w:color w:val="208855" w:themeColor="accent1" w:themeShade="BF"/>
          <w:sz w:val="18"/>
          <w:szCs w:val="18"/>
          <w:lang w:val="en-GB"/>
        </w:rPr>
        <w:t>Completeness and quality control (e.g. way to ensure that no segments are omitted or double counted)</w:t>
      </w:r>
    </w:p>
    <w:p w14:paraId="1732800A" w14:textId="77777777" w:rsidR="00C84AF3" w:rsidRPr="00165211" w:rsidRDefault="00C84AF3" w:rsidP="005D2939">
      <w:pPr>
        <w:pStyle w:val="ListParagraph"/>
        <w:numPr>
          <w:ilvl w:val="0"/>
          <w:numId w:val="30"/>
        </w:numPr>
        <w:spacing w:before="120" w:after="0" w:line="276" w:lineRule="auto"/>
        <w:contextualSpacing w:val="0"/>
        <w:rPr>
          <w:color w:val="208855" w:themeColor="accent1" w:themeShade="BF"/>
          <w:sz w:val="18"/>
          <w:szCs w:val="18"/>
          <w:lang w:val="en-GB"/>
        </w:rPr>
      </w:pPr>
      <w:r w:rsidRPr="00165211">
        <w:rPr>
          <w:color w:val="208855" w:themeColor="accent1" w:themeShade="BF"/>
          <w:sz w:val="18"/>
          <w:szCs w:val="18"/>
          <w:lang w:val="en-GB"/>
        </w:rPr>
        <w:t>Tools and practical guidelines for preparation of GHG inventories (e.g. IPCC inventory software</w:t>
      </w:r>
      <w:r>
        <w:rPr>
          <w:color w:val="208855" w:themeColor="accent1" w:themeShade="BF"/>
          <w:sz w:val="18"/>
          <w:szCs w:val="18"/>
          <w:lang w:val="en-GB"/>
        </w:rPr>
        <w:t>, various national GHG capacity building tools and guidelines)</w:t>
      </w:r>
      <w:r w:rsidRPr="00165211">
        <w:rPr>
          <w:color w:val="208855" w:themeColor="accent1" w:themeShade="BF"/>
          <w:sz w:val="18"/>
          <w:szCs w:val="18"/>
          <w:lang w:val="en-GB"/>
        </w:rPr>
        <w:t xml:space="preserve"> </w:t>
      </w:r>
    </w:p>
    <w:p w14:paraId="0766BA4E" w14:textId="77777777" w:rsidR="00C84AF3" w:rsidRPr="00A061E8" w:rsidRDefault="00C84AF3" w:rsidP="00C84AF3">
      <w:pPr>
        <w:rPr>
          <w:iCs/>
          <w:sz w:val="18"/>
          <w:szCs w:val="18"/>
          <w:lang w:val="en-GB"/>
        </w:rPr>
      </w:pPr>
    </w:p>
    <w:p w14:paraId="7FFE8F5C" w14:textId="77777777" w:rsidR="00C84AF3" w:rsidRPr="00695CAE" w:rsidRDefault="00C84AF3" w:rsidP="00C84AF3">
      <w:pPr>
        <w:pStyle w:val="Heading3"/>
        <w:rPr>
          <w:lang w:val="en-GB"/>
        </w:rPr>
      </w:pPr>
      <w:bookmarkStart w:id="83" w:name="_Toc531690994"/>
      <w:r w:rsidRPr="00695CAE">
        <w:rPr>
          <w:lang w:val="en-GB"/>
        </w:rPr>
        <w:lastRenderedPageBreak/>
        <w:t>National</w:t>
      </w:r>
      <w:r>
        <w:rPr>
          <w:lang w:val="en-GB"/>
        </w:rPr>
        <w:t xml:space="preserve"> Inventory Reports </w:t>
      </w:r>
      <w:bookmarkEnd w:id="83"/>
    </w:p>
    <w:p w14:paraId="63CEAE9C" w14:textId="1A2BF96D" w:rsidR="00C84AF3" w:rsidRDefault="00C84AF3" w:rsidP="00C84AF3">
      <w:pPr>
        <w:rPr>
          <w:lang w:val="en-GB"/>
        </w:rPr>
      </w:pPr>
      <w:r w:rsidRPr="00780AB1">
        <w:rPr>
          <w:lang w:val="en-GB"/>
        </w:rPr>
        <w:t xml:space="preserve">Improving national inventories, through a progression towards </w:t>
      </w:r>
      <w:r w:rsidR="00406717">
        <w:rPr>
          <w:lang w:val="en-GB"/>
        </w:rPr>
        <w:t>higher tier approaches</w:t>
      </w:r>
      <w:r w:rsidRPr="00780AB1">
        <w:rPr>
          <w:lang w:val="en-GB"/>
        </w:rPr>
        <w:t>, is essential in order to reduce the knowledge gap and create a sound foundation for</w:t>
      </w:r>
      <w:r>
        <w:rPr>
          <w:lang w:val="en-GB"/>
        </w:rPr>
        <w:t xml:space="preserve"> mitigation </w:t>
      </w:r>
      <w:r w:rsidRPr="00780AB1">
        <w:rPr>
          <w:lang w:val="en-GB"/>
        </w:rPr>
        <w:t xml:space="preserve">policies and measures. In practice, improving national inventories for oil and gas methane emissions requires collaboration with oil companies, researchers, and others who can provide important essential inputs, such as emissions factors and activity data. Task forces involving company and public institutions staff can therefore be an important means to improve the quality of national oil and gas methane inventories. </w:t>
      </w:r>
      <w:r>
        <w:rPr>
          <w:lang w:val="en-GB"/>
        </w:rPr>
        <w:t xml:space="preserve">Several countries have had broad collaborative processes which have resulted in greatly improved </w:t>
      </w:r>
      <w:r w:rsidR="00D842B8">
        <w:rPr>
          <w:lang w:val="en-GB"/>
        </w:rPr>
        <w:t xml:space="preserve">national inventories for </w:t>
      </w:r>
      <w:r>
        <w:rPr>
          <w:lang w:val="en-GB"/>
        </w:rPr>
        <w:t xml:space="preserve">oil and gas methane </w:t>
      </w:r>
      <w:r w:rsidR="00D842B8">
        <w:rPr>
          <w:lang w:val="en-GB"/>
        </w:rPr>
        <w:t>emissions</w:t>
      </w:r>
      <w:r>
        <w:rPr>
          <w:lang w:val="en-GB"/>
        </w:rPr>
        <w:t xml:space="preserve">. Three examples are summarized in Box 3-2. </w:t>
      </w:r>
    </w:p>
    <w:p w14:paraId="240C789B" w14:textId="77777777" w:rsidR="004173F0" w:rsidRDefault="004173F0" w:rsidP="00C84AF3">
      <w:pPr>
        <w:rPr>
          <w:lang w:val="en-GB"/>
        </w:rPr>
      </w:pPr>
    </w:p>
    <w:tbl>
      <w:tblPr>
        <w:tblStyle w:val="TableGrid"/>
        <w:tblW w:w="0" w:type="auto"/>
        <w:shd w:val="clear" w:color="auto" w:fill="F2F2F2" w:themeFill="background1" w:themeFillShade="F2"/>
        <w:tblLook w:val="04A0" w:firstRow="1" w:lastRow="0" w:firstColumn="1" w:lastColumn="0" w:noHBand="0" w:noVBand="1"/>
      </w:tblPr>
      <w:tblGrid>
        <w:gridCol w:w="9089"/>
      </w:tblGrid>
      <w:tr w:rsidR="00C84AF3" w:rsidRPr="00104E87" w14:paraId="49FA88EE" w14:textId="77777777" w:rsidTr="00C84AF3">
        <w:tc>
          <w:tcPr>
            <w:tcW w:w="9239" w:type="dxa"/>
            <w:shd w:val="clear" w:color="auto" w:fill="F2F2F2" w:themeFill="background1" w:themeFillShade="F2"/>
          </w:tcPr>
          <w:p w14:paraId="0B0D8FFC" w14:textId="77777777" w:rsidR="00C84AF3" w:rsidRDefault="00C84AF3" w:rsidP="00C84AF3">
            <w:pPr>
              <w:spacing w:before="120" w:after="0" w:line="276" w:lineRule="auto"/>
              <w:rPr>
                <w:b/>
                <w:sz w:val="18"/>
                <w:szCs w:val="18"/>
                <w:lang w:val="en-GB"/>
              </w:rPr>
            </w:pPr>
            <w:r w:rsidRPr="007A066C">
              <w:rPr>
                <w:b/>
                <w:sz w:val="18"/>
                <w:szCs w:val="18"/>
                <w:lang w:val="en-GB"/>
              </w:rPr>
              <w:t xml:space="preserve">Box </w:t>
            </w:r>
            <w:r>
              <w:rPr>
                <w:b/>
                <w:sz w:val="18"/>
                <w:szCs w:val="18"/>
                <w:lang w:val="en-GB"/>
              </w:rPr>
              <w:t>3</w:t>
            </w:r>
            <w:r w:rsidRPr="007A066C">
              <w:rPr>
                <w:b/>
                <w:sz w:val="18"/>
                <w:szCs w:val="18"/>
                <w:lang w:val="en-GB"/>
              </w:rPr>
              <w:t>-</w:t>
            </w:r>
            <w:r>
              <w:rPr>
                <w:b/>
                <w:sz w:val="18"/>
                <w:szCs w:val="18"/>
                <w:lang w:val="en-GB"/>
              </w:rPr>
              <w:t>2</w:t>
            </w:r>
            <w:r w:rsidRPr="007A066C">
              <w:rPr>
                <w:b/>
                <w:sz w:val="18"/>
                <w:szCs w:val="18"/>
                <w:lang w:val="en-GB"/>
              </w:rPr>
              <w:t xml:space="preserve">: </w:t>
            </w:r>
            <w:r>
              <w:rPr>
                <w:b/>
                <w:sz w:val="18"/>
                <w:szCs w:val="18"/>
                <w:lang w:val="en-GB"/>
              </w:rPr>
              <w:t xml:space="preserve">Improving national inventories reports (NIR) for oil and gas methane emissions </w:t>
            </w:r>
          </w:p>
          <w:p w14:paraId="22596CF2" w14:textId="52DD72CF" w:rsidR="00C84AF3" w:rsidRDefault="00C84AF3" w:rsidP="00C84AF3">
            <w:pPr>
              <w:spacing w:before="120" w:after="0" w:line="276" w:lineRule="auto"/>
              <w:rPr>
                <w:sz w:val="18"/>
                <w:szCs w:val="18"/>
                <w:lang w:val="en-GB"/>
              </w:rPr>
            </w:pPr>
            <w:r w:rsidRPr="00AB297F">
              <w:rPr>
                <w:sz w:val="18"/>
                <w:szCs w:val="18"/>
                <w:lang w:val="en-GB"/>
              </w:rPr>
              <w:t xml:space="preserve">The United States, Canada and Norway have over the past xx year improved the quality </w:t>
            </w:r>
            <w:r>
              <w:rPr>
                <w:sz w:val="18"/>
                <w:szCs w:val="18"/>
                <w:lang w:val="en-GB"/>
              </w:rPr>
              <w:t xml:space="preserve">and level of details </w:t>
            </w:r>
            <w:r w:rsidR="00D842B8">
              <w:rPr>
                <w:sz w:val="18"/>
                <w:szCs w:val="18"/>
                <w:lang w:val="en-GB"/>
              </w:rPr>
              <w:t xml:space="preserve">on methane </w:t>
            </w:r>
            <w:r>
              <w:rPr>
                <w:sz w:val="18"/>
                <w:szCs w:val="18"/>
                <w:lang w:val="en-GB"/>
              </w:rPr>
              <w:t>in their NIRs. This has been achieved through active collaboration with the industry and other non- governmental institutions.</w:t>
            </w:r>
          </w:p>
          <w:p w14:paraId="5BB554CE" w14:textId="17E8D025" w:rsidR="00C84AF3" w:rsidRDefault="00C84AF3" w:rsidP="00C84AF3">
            <w:pPr>
              <w:spacing w:before="120" w:after="0" w:line="276" w:lineRule="auto"/>
              <w:rPr>
                <w:sz w:val="18"/>
                <w:szCs w:val="18"/>
                <w:lang w:val="en-GB"/>
              </w:rPr>
            </w:pPr>
            <w:r>
              <w:rPr>
                <w:sz w:val="18"/>
                <w:szCs w:val="18"/>
                <w:lang w:val="en-GB"/>
              </w:rPr>
              <w:t xml:space="preserve">In </w:t>
            </w:r>
            <w:r w:rsidRPr="00AB297F">
              <w:rPr>
                <w:b/>
                <w:sz w:val="18"/>
                <w:szCs w:val="18"/>
                <w:lang w:val="en-GB"/>
              </w:rPr>
              <w:t>Norway</w:t>
            </w:r>
            <w:r>
              <w:rPr>
                <w:sz w:val="18"/>
                <w:szCs w:val="18"/>
                <w:lang w:val="en-GB"/>
              </w:rPr>
              <w:t xml:space="preserve"> a two years study (2014-16) was initiated by the Norwegian Environmental Agency to survey methane emission sources at offshore installations.</w:t>
            </w:r>
            <w:r w:rsidR="009A14CA">
              <w:rPr>
                <w:rStyle w:val="FootnoteReference"/>
                <w:sz w:val="18"/>
                <w:szCs w:val="18"/>
                <w:lang w:val="en-GB"/>
              </w:rPr>
              <w:footnoteReference w:id="57"/>
            </w:r>
            <w:r w:rsidR="009A14CA">
              <w:rPr>
                <w:sz w:val="18"/>
                <w:szCs w:val="18"/>
                <w:lang w:val="en-GB"/>
              </w:rPr>
              <w:t xml:space="preserve"> </w:t>
            </w:r>
            <w:r>
              <w:rPr>
                <w:sz w:val="18"/>
                <w:szCs w:val="18"/>
                <w:lang w:val="en-GB"/>
              </w:rPr>
              <w:t>The objective was to quantify emissions, improve the methodology for quantification (which had been unchanged for more than 20 years) and to undertake BAT assessments and identify suitable mitigation measures. The detailed analysis was conducted by a consultant but with active participation (and data inputs) from operating companies on the Norwegian Continental Shelf, as well as the oil industry association and other relevant regulatory institutions. The work resulted in revisions and a more detailed breakdown of emissions by source (see Table 2.5, Chapter 2 above), and specific recommendations for methodology improvements. Revised emissions levels where found to be lower than previous estimates but with considerable variations between emission sources. The emission abatement potential was found to be modest (around 10%).</w:t>
            </w:r>
          </w:p>
          <w:p w14:paraId="56835B52" w14:textId="77777777" w:rsidR="00406717" w:rsidRPr="00732B54" w:rsidRDefault="00C84AF3" w:rsidP="00C84AF3">
            <w:pPr>
              <w:spacing w:before="120" w:after="0" w:line="276" w:lineRule="auto"/>
              <w:rPr>
                <w:sz w:val="18"/>
                <w:szCs w:val="18"/>
                <w:lang w:val="en-GB"/>
              </w:rPr>
            </w:pPr>
            <w:r>
              <w:rPr>
                <w:sz w:val="18"/>
                <w:szCs w:val="18"/>
                <w:lang w:val="en-GB"/>
              </w:rPr>
              <w:t xml:space="preserve">In preparing annual NIR the </w:t>
            </w:r>
            <w:r w:rsidRPr="00E6567A">
              <w:rPr>
                <w:sz w:val="18"/>
                <w:szCs w:val="18"/>
                <w:lang w:val="en-GB"/>
              </w:rPr>
              <w:t xml:space="preserve">US EPA </w:t>
            </w:r>
            <w:r w:rsidRPr="003B012D">
              <w:rPr>
                <w:sz w:val="18"/>
                <w:szCs w:val="18"/>
                <w:lang w:val="en-GB"/>
              </w:rPr>
              <w:t xml:space="preserve">collaborates with a large number of experts </w:t>
            </w:r>
            <w:r>
              <w:rPr>
                <w:sz w:val="18"/>
                <w:szCs w:val="18"/>
                <w:lang w:val="en-GB"/>
              </w:rPr>
              <w:t xml:space="preserve">and institutions. </w:t>
            </w:r>
            <w:r w:rsidR="00406717" w:rsidRPr="00E6567A">
              <w:rPr>
                <w:sz w:val="18"/>
                <w:szCs w:val="18"/>
                <w:lang w:val="en-GB"/>
              </w:rPr>
              <w:t>EPA receives information and data related to the emission estimates through GHGRP reporting, the annual Inventory formal public notice periods, stakeholder feedback on updates under consideration, and new studies</w:t>
            </w:r>
            <w:r w:rsidR="005A1775" w:rsidRPr="00E6567A">
              <w:rPr>
                <w:sz w:val="18"/>
                <w:szCs w:val="18"/>
                <w:lang w:val="en-GB"/>
              </w:rPr>
              <w:t>.  In recent years, new data has been incorporated into the US estimates across all segments of the oil and gas supp</w:t>
            </w:r>
            <w:r w:rsidR="00FB73A9">
              <w:rPr>
                <w:sz w:val="18"/>
                <w:szCs w:val="18"/>
                <w:lang w:val="en-GB"/>
              </w:rPr>
              <w:t>l</w:t>
            </w:r>
            <w:r w:rsidR="005A1775" w:rsidRPr="00732B54">
              <w:rPr>
                <w:sz w:val="18"/>
                <w:szCs w:val="18"/>
                <w:lang w:val="en-GB"/>
              </w:rPr>
              <w:t>y chain.</w:t>
            </w:r>
          </w:p>
          <w:p w14:paraId="085335A1" w14:textId="77777777" w:rsidR="00C84AF3" w:rsidRDefault="00C84AF3" w:rsidP="00C84AF3">
            <w:pPr>
              <w:spacing w:before="120" w:after="0" w:line="276" w:lineRule="auto"/>
              <w:rPr>
                <w:sz w:val="18"/>
                <w:szCs w:val="18"/>
                <w:lang w:val="en-GB"/>
              </w:rPr>
            </w:pPr>
          </w:p>
          <w:p w14:paraId="7B3D16FC" w14:textId="77777777" w:rsidR="00C84AF3" w:rsidRPr="00AB297F" w:rsidRDefault="00C84AF3" w:rsidP="00C84AF3">
            <w:pPr>
              <w:spacing w:before="120" w:after="0" w:line="276" w:lineRule="auto"/>
              <w:rPr>
                <w:sz w:val="18"/>
                <w:szCs w:val="18"/>
                <w:lang w:val="en-GB"/>
              </w:rPr>
            </w:pPr>
            <w:r>
              <w:rPr>
                <w:sz w:val="18"/>
                <w:szCs w:val="18"/>
                <w:lang w:val="en-GB"/>
              </w:rPr>
              <w:t xml:space="preserve">In </w:t>
            </w:r>
            <w:r w:rsidRPr="00120A7A">
              <w:rPr>
                <w:b/>
                <w:sz w:val="18"/>
                <w:szCs w:val="18"/>
                <w:lang w:val="en-GB"/>
              </w:rPr>
              <w:t>Canada</w:t>
            </w:r>
            <w:r>
              <w:rPr>
                <w:sz w:val="18"/>
                <w:szCs w:val="18"/>
                <w:lang w:val="en-GB"/>
              </w:rPr>
              <w:t xml:space="preserve"> </w:t>
            </w:r>
            <w:r w:rsidRPr="00FF1CD1">
              <w:rPr>
                <w:sz w:val="18"/>
                <w:szCs w:val="18"/>
                <w:highlight w:val="yellow"/>
                <w:lang w:val="en-GB"/>
              </w:rPr>
              <w:t>[</w:t>
            </w:r>
            <w:r w:rsidR="00630236">
              <w:rPr>
                <w:sz w:val="18"/>
                <w:szCs w:val="18"/>
                <w:highlight w:val="yellow"/>
                <w:lang w:val="en-GB"/>
              </w:rPr>
              <w:t>to be added</w:t>
            </w:r>
            <w:r w:rsidRPr="00FF1CD1">
              <w:rPr>
                <w:sz w:val="18"/>
                <w:szCs w:val="18"/>
                <w:highlight w:val="yellow"/>
                <w:lang w:val="en-GB"/>
              </w:rPr>
              <w:t>]</w:t>
            </w:r>
            <w:r w:rsidRPr="00AB297F">
              <w:rPr>
                <w:sz w:val="18"/>
                <w:szCs w:val="18"/>
                <w:lang w:val="en-GB"/>
              </w:rPr>
              <w:t xml:space="preserve"> </w:t>
            </w:r>
          </w:p>
          <w:p w14:paraId="71A7B5E8" w14:textId="77777777" w:rsidR="00C84AF3" w:rsidRDefault="00C84AF3" w:rsidP="00C84AF3">
            <w:pPr>
              <w:spacing w:before="120" w:after="0"/>
              <w:rPr>
                <w:bCs/>
                <w:lang w:val="en-GB"/>
              </w:rPr>
            </w:pPr>
          </w:p>
        </w:tc>
      </w:tr>
    </w:tbl>
    <w:p w14:paraId="45437746" w14:textId="77777777" w:rsidR="004173F0" w:rsidRDefault="004173F0" w:rsidP="00C84AF3">
      <w:pPr>
        <w:spacing w:before="120" w:after="0"/>
        <w:rPr>
          <w:lang w:val="en-GB"/>
        </w:rPr>
      </w:pPr>
    </w:p>
    <w:p w14:paraId="2B63F1D9" w14:textId="29D0AB2C" w:rsidR="00C84AF3" w:rsidRPr="007C197C" w:rsidRDefault="00C84AF3" w:rsidP="00C84AF3">
      <w:pPr>
        <w:spacing w:before="120" w:after="0"/>
        <w:rPr>
          <w:lang w:val="en-GB"/>
        </w:rPr>
      </w:pPr>
      <w:r w:rsidRPr="007C197C">
        <w:rPr>
          <w:lang w:val="en-GB"/>
        </w:rPr>
        <w:t>The process of moving towards Tier 3 calculations is not straight</w:t>
      </w:r>
      <w:r>
        <w:rPr>
          <w:lang w:val="en-GB"/>
        </w:rPr>
        <w:t>-</w:t>
      </w:r>
      <w:r w:rsidRPr="007C197C">
        <w:rPr>
          <w:lang w:val="en-GB"/>
        </w:rPr>
        <w:t xml:space="preserve">forward and requires, among others, careful consideration of the following steps: </w:t>
      </w:r>
    </w:p>
    <w:p w14:paraId="3441CE13" w14:textId="5AB87F48" w:rsidR="00C84AF3" w:rsidRPr="00E97576" w:rsidRDefault="00C84AF3" w:rsidP="005D2939">
      <w:pPr>
        <w:pStyle w:val="ListParagraph"/>
        <w:numPr>
          <w:ilvl w:val="0"/>
          <w:numId w:val="10"/>
        </w:numPr>
        <w:spacing w:before="120" w:after="0" w:line="276" w:lineRule="auto"/>
        <w:contextualSpacing w:val="0"/>
        <w:rPr>
          <w:lang w:val="en-GB"/>
        </w:rPr>
      </w:pPr>
      <w:r w:rsidRPr="00E97576">
        <w:rPr>
          <w:u w:val="single"/>
          <w:lang w:val="en-GB"/>
        </w:rPr>
        <w:t>Definition of the categories of emissions</w:t>
      </w:r>
      <w:r w:rsidRPr="00E97576">
        <w:rPr>
          <w:lang w:val="en-GB"/>
        </w:rPr>
        <w:t>: The IPCC Guidelines include definitions of segments of Oil and Natural Gas Systems</w:t>
      </w:r>
      <w:r>
        <w:rPr>
          <w:lang w:val="en-GB"/>
        </w:rPr>
        <w:t xml:space="preserve">, but there is no </w:t>
      </w:r>
      <w:r w:rsidRPr="00E97576">
        <w:rPr>
          <w:lang w:val="en-GB"/>
        </w:rPr>
        <w:t>internationally recognized categorization of emissions</w:t>
      </w:r>
      <w:r w:rsidR="00D842B8">
        <w:rPr>
          <w:lang w:val="en-GB"/>
        </w:rPr>
        <w:t xml:space="preserve"> subcategories</w:t>
      </w:r>
      <w:r w:rsidRPr="00E97576">
        <w:rPr>
          <w:lang w:val="en-GB"/>
        </w:rPr>
        <w:t xml:space="preserve"> relevant for Tier 3 quantification. The emissions categories from Norway</w:t>
      </w:r>
      <w:r w:rsidR="009A14CA">
        <w:rPr>
          <w:lang w:val="en-GB"/>
        </w:rPr>
        <w:t xml:space="preserve"> </w:t>
      </w:r>
      <w:r w:rsidRPr="00E97576">
        <w:rPr>
          <w:lang w:val="en-GB"/>
        </w:rPr>
        <w:t>or USA</w:t>
      </w:r>
      <w:r w:rsidR="009A14CA">
        <w:rPr>
          <w:lang w:val="en-GB"/>
        </w:rPr>
        <w:t xml:space="preserve"> </w:t>
      </w:r>
      <w:r w:rsidRPr="00E97576">
        <w:rPr>
          <w:lang w:val="en-GB"/>
        </w:rPr>
        <w:t>are two examples of categories of emission components being used in detailed Tier 3 based methane inventories.</w:t>
      </w:r>
      <w:r w:rsidR="009A14CA" w:rsidRPr="009A14CA">
        <w:rPr>
          <w:rStyle w:val="FootnoteReference"/>
          <w:lang w:val="en-GB"/>
        </w:rPr>
        <w:t xml:space="preserve"> </w:t>
      </w:r>
      <w:r w:rsidR="009A14CA" w:rsidRPr="007C197C">
        <w:rPr>
          <w:rStyle w:val="FootnoteReference"/>
          <w:lang w:val="en-GB"/>
        </w:rPr>
        <w:footnoteReference w:id="58"/>
      </w:r>
      <w:r w:rsidR="009A14CA">
        <w:rPr>
          <w:rStyle w:val="FootnoteReference"/>
          <w:lang w:val="en-GB"/>
        </w:rPr>
        <w:t>,</w:t>
      </w:r>
      <w:r w:rsidR="009A14CA">
        <w:rPr>
          <w:vertAlign w:val="superscript"/>
          <w:lang w:val="en-GB"/>
        </w:rPr>
        <w:t xml:space="preserve"> </w:t>
      </w:r>
      <w:r w:rsidR="009A14CA" w:rsidRPr="007C197C">
        <w:rPr>
          <w:rStyle w:val="FootnoteReference"/>
          <w:lang w:val="en-GB"/>
        </w:rPr>
        <w:footnoteReference w:id="59"/>
      </w:r>
      <w:r w:rsidR="009A14CA" w:rsidRPr="00E97576">
        <w:rPr>
          <w:lang w:val="en-GB"/>
        </w:rPr>
        <w:t xml:space="preserve">   </w:t>
      </w:r>
      <w:r w:rsidRPr="00E97576">
        <w:rPr>
          <w:lang w:val="en-GB"/>
        </w:rPr>
        <w:t xml:space="preserve"> </w:t>
      </w:r>
    </w:p>
    <w:p w14:paraId="5B8B8A3D" w14:textId="77777777" w:rsidR="00C84AF3" w:rsidRPr="007C197C" w:rsidRDefault="00C84AF3" w:rsidP="005D2939">
      <w:pPr>
        <w:pStyle w:val="ListParagraph"/>
        <w:numPr>
          <w:ilvl w:val="0"/>
          <w:numId w:val="10"/>
        </w:numPr>
        <w:spacing w:before="120" w:after="0" w:line="276" w:lineRule="auto"/>
        <w:contextualSpacing w:val="0"/>
        <w:rPr>
          <w:lang w:val="en-GB"/>
        </w:rPr>
      </w:pPr>
      <w:r w:rsidRPr="007C197C">
        <w:rPr>
          <w:u w:val="single"/>
          <w:lang w:val="en-GB"/>
        </w:rPr>
        <w:t>Definition of the approach to emission estimate for each emission category</w:t>
      </w:r>
      <w:r w:rsidRPr="007C197C">
        <w:rPr>
          <w:lang w:val="en-GB"/>
        </w:rPr>
        <w:t>: An emission estimation approach is then selected for each emission sources, depending on the data (potentially) available.</w:t>
      </w:r>
    </w:p>
    <w:p w14:paraId="1343301D" w14:textId="77777777" w:rsidR="00C84AF3" w:rsidRPr="007C197C" w:rsidRDefault="00C84AF3" w:rsidP="005D2939">
      <w:pPr>
        <w:pStyle w:val="ListParagraph"/>
        <w:numPr>
          <w:ilvl w:val="0"/>
          <w:numId w:val="10"/>
        </w:numPr>
        <w:spacing w:before="120" w:after="0" w:line="276" w:lineRule="auto"/>
        <w:contextualSpacing w:val="0"/>
        <w:rPr>
          <w:lang w:val="en-GB"/>
        </w:rPr>
      </w:pPr>
      <w:r w:rsidRPr="007C197C">
        <w:rPr>
          <w:u w:val="single"/>
          <w:lang w:val="en-GB"/>
        </w:rPr>
        <w:t>Data collection</w:t>
      </w:r>
      <w:r w:rsidRPr="007C197C">
        <w:rPr>
          <w:lang w:val="en-GB"/>
        </w:rPr>
        <w:t>: The data collection process can then start. Two types of data can be collected: (</w:t>
      </w:r>
      <w:proofErr w:type="spellStart"/>
      <w:r w:rsidRPr="007C197C">
        <w:rPr>
          <w:lang w:val="en-GB"/>
        </w:rPr>
        <w:t>i</w:t>
      </w:r>
      <w:proofErr w:type="spellEnd"/>
      <w:r w:rsidRPr="007C197C">
        <w:rPr>
          <w:lang w:val="en-GB"/>
        </w:rPr>
        <w:t>) activity data and (ii) emission factors. The data may be collected from oil and gas companies (in particular</w:t>
      </w:r>
      <w:r>
        <w:rPr>
          <w:lang w:val="en-GB"/>
        </w:rPr>
        <w:t xml:space="preserve"> </w:t>
      </w:r>
      <w:r w:rsidRPr="007C197C">
        <w:rPr>
          <w:lang w:val="en-GB"/>
        </w:rPr>
        <w:t xml:space="preserve">activity data) but research studies may be performed in parallel to e.g. improve the understanding of emission factors </w:t>
      </w:r>
    </w:p>
    <w:p w14:paraId="139975DF" w14:textId="77777777" w:rsidR="00C84AF3" w:rsidRPr="007C197C" w:rsidRDefault="00C84AF3" w:rsidP="005D2939">
      <w:pPr>
        <w:pStyle w:val="ListParagraph"/>
        <w:numPr>
          <w:ilvl w:val="0"/>
          <w:numId w:val="10"/>
        </w:numPr>
        <w:spacing w:before="120" w:after="0" w:line="276" w:lineRule="auto"/>
        <w:contextualSpacing w:val="0"/>
        <w:rPr>
          <w:lang w:val="en-GB"/>
        </w:rPr>
      </w:pPr>
      <w:r w:rsidRPr="007C197C">
        <w:rPr>
          <w:u w:val="single"/>
          <w:lang w:val="en-GB"/>
        </w:rPr>
        <w:lastRenderedPageBreak/>
        <w:t>Construction of the inventory</w:t>
      </w:r>
      <w:r w:rsidRPr="007C197C">
        <w:rPr>
          <w:lang w:val="en-GB"/>
        </w:rPr>
        <w:t xml:space="preserve">: Based on the results of the steps above the inventory is prepared. Documentation of the approaches and assumptions should be an integral part of the inventory report. </w:t>
      </w:r>
    </w:p>
    <w:p w14:paraId="014B9B5F" w14:textId="1CF59F1F" w:rsidR="00C84AF3" w:rsidRPr="007C197C" w:rsidRDefault="00C84AF3" w:rsidP="005D2939">
      <w:pPr>
        <w:pStyle w:val="ListParagraph"/>
        <w:numPr>
          <w:ilvl w:val="0"/>
          <w:numId w:val="10"/>
        </w:numPr>
        <w:spacing w:before="120" w:after="0" w:line="276" w:lineRule="auto"/>
        <w:contextualSpacing w:val="0"/>
        <w:rPr>
          <w:lang w:val="en-GB"/>
        </w:rPr>
      </w:pPr>
      <w:r w:rsidRPr="007C197C">
        <w:rPr>
          <w:u w:val="single"/>
          <w:lang w:val="en-GB"/>
        </w:rPr>
        <w:t>Update process</w:t>
      </w:r>
      <w:r w:rsidRPr="007C197C">
        <w:rPr>
          <w:lang w:val="en-GB"/>
        </w:rPr>
        <w:t xml:space="preserve">: A process needs also to be developed to keep the inventory updated over time. This will include updating the activity data each year </w:t>
      </w:r>
      <w:r>
        <w:rPr>
          <w:lang w:val="en-GB"/>
        </w:rPr>
        <w:t>as well as</w:t>
      </w:r>
      <w:r w:rsidRPr="007C197C">
        <w:rPr>
          <w:lang w:val="en-GB"/>
        </w:rPr>
        <w:t xml:space="preserve"> refining emission factors </w:t>
      </w:r>
      <w:r>
        <w:rPr>
          <w:lang w:val="en-GB"/>
        </w:rPr>
        <w:t xml:space="preserve">and improving the management uncertainty in estimates. It is in this regard also important that improved knowledge </w:t>
      </w:r>
      <w:r w:rsidR="009A14CA">
        <w:rPr>
          <w:lang w:val="en-GB"/>
        </w:rPr>
        <w:t>is</w:t>
      </w:r>
      <w:r>
        <w:rPr>
          <w:lang w:val="en-GB"/>
        </w:rPr>
        <w:t xml:space="preserve"> being used consistently across time series.</w:t>
      </w:r>
      <w:r w:rsidRPr="007C197C">
        <w:rPr>
          <w:lang w:val="en-GB"/>
        </w:rPr>
        <w:t xml:space="preserve">  </w:t>
      </w:r>
    </w:p>
    <w:p w14:paraId="4C943732" w14:textId="77777777" w:rsidR="00C84AF3" w:rsidRPr="007C197C" w:rsidRDefault="00C84AF3" w:rsidP="00C84AF3">
      <w:pPr>
        <w:spacing w:before="120" w:after="0"/>
        <w:rPr>
          <w:bCs/>
          <w:lang w:val="en-GB"/>
        </w:rPr>
      </w:pPr>
      <w:r w:rsidRPr="007C197C">
        <w:rPr>
          <w:bCs/>
          <w:lang w:val="en-GB"/>
        </w:rPr>
        <w:t xml:space="preserve">A reliable national methane emissions inventory </w:t>
      </w:r>
      <w:r>
        <w:rPr>
          <w:bCs/>
          <w:lang w:val="en-GB"/>
        </w:rPr>
        <w:t>supports the</w:t>
      </w:r>
      <w:r w:rsidRPr="007C197C">
        <w:rPr>
          <w:bCs/>
          <w:lang w:val="en-GB"/>
        </w:rPr>
        <w:t xml:space="preserve"> design and implementation of regulations. In addition, MRV activities </w:t>
      </w:r>
      <w:r w:rsidR="000E10C3">
        <w:rPr>
          <w:bCs/>
          <w:lang w:val="en-GB"/>
        </w:rPr>
        <w:t xml:space="preserve">being </w:t>
      </w:r>
      <w:r w:rsidRPr="007C197C">
        <w:rPr>
          <w:bCs/>
          <w:lang w:val="en-GB"/>
        </w:rPr>
        <w:t>part of regulatory requirements and data submissions can subsequently improve national inventories. Inventory development and MRV activities imposed by policies and regulations are therefore closely related and will be discussed further in the next Chapter.</w:t>
      </w:r>
    </w:p>
    <w:p w14:paraId="6D164F08" w14:textId="77777777" w:rsidR="00C84AF3" w:rsidRPr="007C197C" w:rsidRDefault="00C84AF3" w:rsidP="00C84AF3">
      <w:pPr>
        <w:spacing w:before="120" w:after="0"/>
        <w:rPr>
          <w:lang w:val="en-GB"/>
        </w:rPr>
      </w:pPr>
      <w:r w:rsidRPr="007C197C">
        <w:rPr>
          <w:bCs/>
          <w:lang w:val="en-GB"/>
        </w:rPr>
        <w:t xml:space="preserve">For policy purposes it is also important to have in place procedures and capabilities so that results and progress of mitigation efforts can be monitored over time. As noted above this is very demanding because it requires that reliable quantification of how emissions intensities are affected by improvements in technologies and operational practices. </w:t>
      </w:r>
    </w:p>
    <w:p w14:paraId="0BE2D15B" w14:textId="77777777" w:rsidR="00C84AF3" w:rsidRDefault="00C84AF3" w:rsidP="00C84AF3">
      <w:pPr>
        <w:pStyle w:val="Heading3"/>
        <w:rPr>
          <w:lang w:val="en-GB"/>
        </w:rPr>
      </w:pPr>
      <w:r>
        <w:rPr>
          <w:lang w:val="en-GB"/>
        </w:rPr>
        <w:t>International reporting and the Paris Agreement “Rulebook”</w:t>
      </w:r>
    </w:p>
    <w:p w14:paraId="45C112DA" w14:textId="7753B3AA" w:rsidR="00E5181A" w:rsidRDefault="00E5181A" w:rsidP="00C84AF3">
      <w:pPr>
        <w:spacing w:before="120" w:after="0"/>
        <w:rPr>
          <w:lang w:val="en-GB"/>
        </w:rPr>
      </w:pPr>
      <w:r>
        <w:rPr>
          <w:lang w:val="en-GB"/>
        </w:rPr>
        <w:t xml:space="preserve">The variable and often poor quality of UNFCCC methane emissions data were illustrated in Chapter 2 above. In light of the recent decision providing detailed guidance on Paris Agreement reporting it is important that this data quality is improved. </w:t>
      </w:r>
      <w:r w:rsidRPr="007C197C">
        <w:rPr>
          <w:lang w:val="en-GB"/>
        </w:rPr>
        <w:t>As already covered in some detail</w:t>
      </w:r>
      <w:r>
        <w:rPr>
          <w:lang w:val="en-GB"/>
        </w:rPr>
        <w:t>,</w:t>
      </w:r>
      <w:r w:rsidRPr="007C197C">
        <w:rPr>
          <w:lang w:val="en-GB"/>
        </w:rPr>
        <w:t xml:space="preserve"> the IPCC Guidelines are here important</w:t>
      </w:r>
      <w:r>
        <w:rPr>
          <w:lang w:val="en-GB"/>
        </w:rPr>
        <w:t>.</w:t>
      </w:r>
    </w:p>
    <w:p w14:paraId="178655D2" w14:textId="1AFD0273" w:rsidR="00C84AF3" w:rsidRPr="007C197C" w:rsidRDefault="00C84AF3" w:rsidP="00C84AF3">
      <w:pPr>
        <w:spacing w:before="120" w:after="0"/>
        <w:rPr>
          <w:vertAlign w:val="superscript"/>
          <w:lang w:val="en-GB"/>
        </w:rPr>
      </w:pPr>
      <w:r w:rsidRPr="007C197C">
        <w:rPr>
          <w:lang w:val="en-GB"/>
        </w:rPr>
        <w:t xml:space="preserve">All ECE </w:t>
      </w:r>
      <w:r>
        <w:rPr>
          <w:lang w:val="en-GB"/>
        </w:rPr>
        <w:t xml:space="preserve">member states </w:t>
      </w:r>
      <w:r w:rsidRPr="007C197C">
        <w:rPr>
          <w:lang w:val="en-GB"/>
        </w:rPr>
        <w:t xml:space="preserve">are signatories to the UNFCCC and prepare national GHG emissions inventories as obliged under the Convention. </w:t>
      </w:r>
      <w:r>
        <w:rPr>
          <w:lang w:val="en-GB"/>
        </w:rPr>
        <w:t>Currently s</w:t>
      </w:r>
      <w:r w:rsidRPr="007C197C">
        <w:rPr>
          <w:lang w:val="en-GB"/>
        </w:rPr>
        <w:t>o-called Annex 1 Parties</w:t>
      </w:r>
      <w:r w:rsidR="009A14CA">
        <w:rPr>
          <w:lang w:val="en-GB"/>
        </w:rPr>
        <w:t xml:space="preserve"> </w:t>
      </w:r>
      <w:r w:rsidRPr="007C197C">
        <w:rPr>
          <w:lang w:val="en-GB"/>
        </w:rPr>
        <w:t>submit National Inventory Reports (NIRs) on an annual basis, based on the 2006 IPCC Guideline.</w:t>
      </w:r>
      <w:r w:rsidR="009A14CA" w:rsidRPr="009A14CA">
        <w:rPr>
          <w:rStyle w:val="FootnoteReference"/>
          <w:lang w:val="en-GB"/>
        </w:rPr>
        <w:t xml:space="preserve"> </w:t>
      </w:r>
      <w:r w:rsidR="009A14CA" w:rsidRPr="007C197C">
        <w:rPr>
          <w:rStyle w:val="FootnoteReference"/>
          <w:lang w:val="en-GB"/>
        </w:rPr>
        <w:footnoteReference w:id="60"/>
      </w:r>
      <w:r w:rsidRPr="007C197C">
        <w:rPr>
          <w:lang w:val="en-GB"/>
        </w:rPr>
        <w:t xml:space="preserve"> So-called non-Annex 1 Parties</w:t>
      </w:r>
      <w:r w:rsidR="009A14CA">
        <w:rPr>
          <w:lang w:val="en-GB"/>
        </w:rPr>
        <w:t xml:space="preserve"> </w:t>
      </w:r>
      <w:r w:rsidRPr="007C197C">
        <w:rPr>
          <w:lang w:val="en-GB"/>
        </w:rPr>
        <w:t xml:space="preserve">report their inventories </w:t>
      </w:r>
      <w:r>
        <w:rPr>
          <w:lang w:val="en-GB"/>
        </w:rPr>
        <w:t xml:space="preserve">with less regularity and often </w:t>
      </w:r>
      <w:r w:rsidRPr="007C197C">
        <w:rPr>
          <w:lang w:val="en-GB"/>
        </w:rPr>
        <w:t>as part of the National Communications (NCs)</w:t>
      </w:r>
      <w:r>
        <w:rPr>
          <w:lang w:val="en-GB"/>
        </w:rPr>
        <w:t>.</w:t>
      </w:r>
      <w:r w:rsidR="009A14CA" w:rsidRPr="007C197C">
        <w:rPr>
          <w:rStyle w:val="FootnoteReference"/>
          <w:lang w:val="en-GB"/>
        </w:rPr>
        <w:footnoteReference w:id="61"/>
      </w:r>
      <w:r w:rsidR="009A14CA" w:rsidRPr="007C197C">
        <w:rPr>
          <w:lang w:val="en-GB"/>
        </w:rPr>
        <w:t xml:space="preserve"> </w:t>
      </w:r>
      <w:r w:rsidRPr="007C197C">
        <w:rPr>
          <w:lang w:val="en-GB"/>
        </w:rPr>
        <w:t xml:space="preserve"> </w:t>
      </w:r>
    </w:p>
    <w:p w14:paraId="179710E3" w14:textId="4A3E8641" w:rsidR="00C84AF3" w:rsidRDefault="00E5181A" w:rsidP="00C84AF3">
      <w:pPr>
        <w:spacing w:before="120" w:after="0"/>
        <w:rPr>
          <w:lang w:val="en-GB"/>
        </w:rPr>
      </w:pPr>
      <w:r>
        <w:rPr>
          <w:lang w:val="en-GB"/>
        </w:rPr>
        <w:t>With the focus on higher-quality reporting under the</w:t>
      </w:r>
      <w:r w:rsidRPr="00AB5409">
        <w:rPr>
          <w:lang w:val="en-GB"/>
        </w:rPr>
        <w:t xml:space="preserve"> Paris Agreement</w:t>
      </w:r>
      <w:r>
        <w:rPr>
          <w:lang w:val="en-GB"/>
        </w:rPr>
        <w:t>,</w:t>
      </w:r>
      <w:r w:rsidRPr="00AB5409">
        <w:rPr>
          <w:lang w:val="en-GB"/>
        </w:rPr>
        <w:t xml:space="preserve"> the call on countries to improve the quality </w:t>
      </w:r>
      <w:r>
        <w:rPr>
          <w:lang w:val="en-GB"/>
        </w:rPr>
        <w:t xml:space="preserve">of estimates of emissions from </w:t>
      </w:r>
      <w:r w:rsidRPr="00AB5409">
        <w:rPr>
          <w:lang w:val="en-GB"/>
        </w:rPr>
        <w:t xml:space="preserve">methane </w:t>
      </w:r>
      <w:r>
        <w:rPr>
          <w:lang w:val="en-GB"/>
        </w:rPr>
        <w:t xml:space="preserve">and other GHGs, as well as reporting on mitigation actions undertaken, </w:t>
      </w:r>
      <w:r w:rsidRPr="00AB5409">
        <w:rPr>
          <w:lang w:val="en-GB"/>
        </w:rPr>
        <w:t>will become greater</w:t>
      </w:r>
      <w:r>
        <w:rPr>
          <w:lang w:val="en-GB"/>
        </w:rPr>
        <w:t>. The role played by n</w:t>
      </w:r>
      <w:r w:rsidRPr="00AB5409">
        <w:rPr>
          <w:lang w:val="en-GB"/>
        </w:rPr>
        <w:t>ational authorities in data compilation both for the purposes of international reporting and in support of policies and regulations to curb methane emissions</w:t>
      </w:r>
      <w:r>
        <w:rPr>
          <w:lang w:val="en-GB"/>
        </w:rPr>
        <w:t xml:space="preserve"> will be even more important</w:t>
      </w:r>
      <w:r w:rsidRPr="00AB5409">
        <w:rPr>
          <w:lang w:val="en-GB"/>
        </w:rPr>
        <w:t xml:space="preserve">. </w:t>
      </w:r>
      <w:r>
        <w:rPr>
          <w:lang w:val="en-GB"/>
        </w:rPr>
        <w:t>Issues specifically related to the NDCs are further discussed in Chapter 4.</w:t>
      </w:r>
      <w:r w:rsidR="00FB73A9">
        <w:rPr>
          <w:lang w:val="en-GB"/>
        </w:rPr>
        <w:t xml:space="preserve"> </w:t>
      </w:r>
    </w:p>
    <w:p w14:paraId="196FA5C4" w14:textId="51ED7FC6" w:rsidR="00C84AF3" w:rsidRDefault="00C84AF3" w:rsidP="00C84AF3">
      <w:pPr>
        <w:spacing w:before="120" w:after="0"/>
        <w:rPr>
          <w:lang w:val="en-GB"/>
        </w:rPr>
      </w:pPr>
      <w:r>
        <w:rPr>
          <w:lang w:val="en-GB"/>
        </w:rPr>
        <w:t>An important step to make the Paris Agreement operational was achieved in December 2018 with adoption of the Paris Agreement “Rulebook”</w:t>
      </w:r>
      <w:r w:rsidR="009A14CA">
        <w:rPr>
          <w:lang w:val="en-GB"/>
        </w:rPr>
        <w:t>.</w:t>
      </w:r>
      <w:r>
        <w:rPr>
          <w:rStyle w:val="FootnoteReference"/>
          <w:lang w:val="en-GB"/>
        </w:rPr>
        <w:footnoteReference w:id="62"/>
      </w:r>
      <w:r>
        <w:rPr>
          <w:lang w:val="en-GB"/>
        </w:rPr>
        <w:t xml:space="preserve"> The part of the Rulebook particularly relevant here are the </w:t>
      </w:r>
      <w:bookmarkStart w:id="84" w:name="_Hlk3296879"/>
      <w:r>
        <w:rPr>
          <w:lang w:val="en-GB"/>
        </w:rPr>
        <w:t xml:space="preserve">modalities, procedures and guidelines </w:t>
      </w:r>
      <w:bookmarkEnd w:id="84"/>
      <w:r>
        <w:rPr>
          <w:lang w:val="en-GB"/>
        </w:rPr>
        <w:t>(MPGs) for the Transparency Framework (Article 13) of the Paris Agreement</w:t>
      </w:r>
      <w:r w:rsidR="009A14CA">
        <w:rPr>
          <w:lang w:val="en-GB"/>
        </w:rPr>
        <w:t>.</w:t>
      </w:r>
      <w:r>
        <w:rPr>
          <w:rStyle w:val="FootnoteReference"/>
          <w:lang w:val="en-GB"/>
        </w:rPr>
        <w:footnoteReference w:id="63"/>
      </w:r>
      <w:r>
        <w:rPr>
          <w:lang w:val="en-GB"/>
        </w:rPr>
        <w:t xml:space="preserve"> The MPGs include a robust and common system that all parties to the Paris Agreement must use in accounting of their emissions. </w:t>
      </w:r>
    </w:p>
    <w:p w14:paraId="6B3706C0" w14:textId="73EF560A" w:rsidR="00C84AF3" w:rsidRDefault="00C84AF3" w:rsidP="00C84AF3">
      <w:pPr>
        <w:spacing w:before="120" w:after="0"/>
        <w:rPr>
          <w:lang w:val="en-GB"/>
        </w:rPr>
      </w:pPr>
      <w:r>
        <w:rPr>
          <w:lang w:val="en-GB"/>
        </w:rPr>
        <w:t xml:space="preserve">The Transparency Framework </w:t>
      </w:r>
      <w:r w:rsidR="005A1775">
        <w:rPr>
          <w:lang w:val="en-GB"/>
        </w:rPr>
        <w:t>i</w:t>
      </w:r>
      <w:r>
        <w:rPr>
          <w:lang w:val="en-GB"/>
        </w:rPr>
        <w:t>s at the heart of the Paris Agreement. It relates to sharing of comprehensive and comparable information. The MPGs build on the reporting requirements developed under the Convention</w:t>
      </w:r>
      <w:r w:rsidR="00C515AC">
        <w:rPr>
          <w:lang w:val="en-GB"/>
        </w:rPr>
        <w:t xml:space="preserve"> but set in place common guidelines for reporting and review. This includes greater expectations for the frequency, scope, and level of detail for developing countries, many of which have reported infrequently using less detailed guidelines.  . Of note, beginning in 2024, all Parties to the Paris Agreement will report a full NIR at least every two years, providing annual data on </w:t>
      </w:r>
      <w:r w:rsidR="00C515AC">
        <w:rPr>
          <w:lang w:val="en-GB"/>
        </w:rPr>
        <w:lastRenderedPageBreak/>
        <w:t xml:space="preserve">emissions and removals following the 2006 IPCC Guidelines. Each Party must report on all sectors and on seven gases (including methane) at the most disaggregated level possible in the NIR. </w:t>
      </w:r>
      <w:r>
        <w:rPr>
          <w:lang w:val="en-GB"/>
        </w:rPr>
        <w:t xml:space="preserve"> </w:t>
      </w:r>
    </w:p>
    <w:p w14:paraId="5234AA18" w14:textId="77777777" w:rsidR="00C515AC" w:rsidRDefault="00C515AC" w:rsidP="00C515AC">
      <w:pPr>
        <w:spacing w:before="120" w:after="0"/>
        <w:rPr>
          <w:lang w:val="en-GB"/>
        </w:rPr>
      </w:pPr>
      <w:r>
        <w:rPr>
          <w:lang w:val="en-GB"/>
        </w:rPr>
        <w:t xml:space="preserve">For many counties significant efforts will be need in order to fully meet the MPGs of the Transparency Framework. </w:t>
      </w:r>
    </w:p>
    <w:p w14:paraId="496E457E" w14:textId="77777777" w:rsidR="00C515AC" w:rsidRDefault="00C515AC" w:rsidP="00C515AC">
      <w:pPr>
        <w:pStyle w:val="ListParagraph"/>
        <w:numPr>
          <w:ilvl w:val="0"/>
          <w:numId w:val="31"/>
        </w:numPr>
        <w:spacing w:before="120" w:after="0" w:line="276" w:lineRule="auto"/>
        <w:ind w:left="771" w:hanging="357"/>
        <w:contextualSpacing w:val="0"/>
        <w:rPr>
          <w:lang w:val="en-GB"/>
        </w:rPr>
      </w:pPr>
      <w:r>
        <w:rPr>
          <w:lang w:val="en-GB"/>
        </w:rPr>
        <w:t xml:space="preserve">All Parties will report using the same MPGs. While reporting requirements so far have been different for Annex 1 and non-Annex 1 countries, this differentiation does not exist in the MPGs. There are, however some time limited flexibilities for developing countries that need it in the light of their capacities. </w:t>
      </w:r>
    </w:p>
    <w:p w14:paraId="266CC665" w14:textId="77777777" w:rsidR="00C515AC" w:rsidRDefault="00C515AC" w:rsidP="00C515AC">
      <w:pPr>
        <w:pStyle w:val="ListParagraph"/>
        <w:numPr>
          <w:ilvl w:val="0"/>
          <w:numId w:val="31"/>
        </w:numPr>
        <w:spacing w:before="120" w:after="0" w:line="276" w:lineRule="auto"/>
        <w:ind w:left="771" w:hanging="357"/>
        <w:contextualSpacing w:val="0"/>
        <w:rPr>
          <w:lang w:val="en-GB"/>
        </w:rPr>
      </w:pPr>
      <w:r>
        <w:rPr>
          <w:lang w:val="en-GB"/>
        </w:rPr>
        <w:t xml:space="preserve">All Parties will use common reporting formats. </w:t>
      </w:r>
    </w:p>
    <w:p w14:paraId="3603DF71" w14:textId="77777777" w:rsidR="00C515AC" w:rsidRDefault="00C515AC" w:rsidP="00C515AC">
      <w:pPr>
        <w:pStyle w:val="ListParagraph"/>
        <w:numPr>
          <w:ilvl w:val="0"/>
          <w:numId w:val="31"/>
        </w:numPr>
        <w:spacing w:before="120" w:after="0" w:line="276" w:lineRule="auto"/>
        <w:ind w:left="771" w:hanging="357"/>
        <w:contextualSpacing w:val="0"/>
        <w:rPr>
          <w:lang w:val="en-GB"/>
        </w:rPr>
      </w:pPr>
      <w:r>
        <w:rPr>
          <w:lang w:val="en-GB"/>
        </w:rPr>
        <w:t xml:space="preserve">Biennial transparency reports (BTRs) and national inventory reports (NIRs)  (can be one report) are to be submitted biennially starting from end 2024. </w:t>
      </w:r>
    </w:p>
    <w:p w14:paraId="4D9FC838" w14:textId="77777777" w:rsidR="00C515AC" w:rsidRPr="007533C8" w:rsidRDefault="00C515AC" w:rsidP="00C515AC">
      <w:pPr>
        <w:pStyle w:val="ListParagraph"/>
        <w:numPr>
          <w:ilvl w:val="0"/>
          <w:numId w:val="31"/>
        </w:numPr>
        <w:spacing w:before="120" w:after="0" w:line="276" w:lineRule="auto"/>
        <w:ind w:left="771" w:hanging="357"/>
        <w:contextualSpacing w:val="0"/>
        <w:rPr>
          <w:lang w:val="en-GB"/>
        </w:rPr>
      </w:pPr>
      <w:r w:rsidRPr="007533C8">
        <w:rPr>
          <w:lang w:val="en-GB"/>
        </w:rPr>
        <w:t xml:space="preserve">Two aspects with the biennial transparency reports </w:t>
      </w:r>
      <w:r>
        <w:rPr>
          <w:lang w:val="en-GB"/>
        </w:rPr>
        <w:t>particularly relevant to this report</w:t>
      </w:r>
      <w:r w:rsidRPr="007533C8">
        <w:rPr>
          <w:lang w:val="en-GB"/>
        </w:rPr>
        <w:t xml:space="preserve">: </w:t>
      </w:r>
    </w:p>
    <w:p w14:paraId="05D0E1D7" w14:textId="77777777" w:rsidR="00C515AC" w:rsidRPr="007533C8" w:rsidRDefault="00C515AC" w:rsidP="00C515AC">
      <w:pPr>
        <w:pStyle w:val="ListParagraph"/>
        <w:numPr>
          <w:ilvl w:val="1"/>
          <w:numId w:val="31"/>
        </w:numPr>
        <w:spacing w:before="120" w:after="0" w:line="276" w:lineRule="auto"/>
        <w:contextualSpacing w:val="0"/>
        <w:rPr>
          <w:lang w:val="en-GB"/>
        </w:rPr>
      </w:pPr>
      <w:r w:rsidRPr="007533C8">
        <w:rPr>
          <w:lang w:val="en-GB"/>
        </w:rPr>
        <w:t xml:space="preserve">The National Inventory Report consistent with </w:t>
      </w:r>
      <w:r>
        <w:rPr>
          <w:lang w:val="en-GB"/>
        </w:rPr>
        <w:t xml:space="preserve">the 2006 </w:t>
      </w:r>
      <w:r w:rsidRPr="007533C8">
        <w:rPr>
          <w:lang w:val="en-GB"/>
        </w:rPr>
        <w:t xml:space="preserve">IPCC Guidelines. </w:t>
      </w:r>
    </w:p>
    <w:p w14:paraId="3974B23F" w14:textId="77777777" w:rsidR="00C515AC" w:rsidRPr="007533C8" w:rsidRDefault="00C515AC" w:rsidP="00C515AC">
      <w:pPr>
        <w:pStyle w:val="ListParagraph"/>
        <w:numPr>
          <w:ilvl w:val="1"/>
          <w:numId w:val="31"/>
        </w:numPr>
        <w:spacing w:before="120" w:after="0" w:line="276" w:lineRule="auto"/>
        <w:contextualSpacing w:val="0"/>
        <w:rPr>
          <w:lang w:val="en-GB"/>
        </w:rPr>
      </w:pPr>
      <w:r w:rsidRPr="007533C8">
        <w:rPr>
          <w:lang w:val="en-GB"/>
        </w:rPr>
        <w:t xml:space="preserve">Information necessary to track progress in implementing and achieving the </w:t>
      </w:r>
      <w:r>
        <w:rPr>
          <w:lang w:val="en-GB"/>
        </w:rPr>
        <w:t>NDCs</w:t>
      </w:r>
      <w:r w:rsidRPr="007533C8">
        <w:rPr>
          <w:lang w:val="en-GB"/>
        </w:rPr>
        <w:t xml:space="preserve">. </w:t>
      </w:r>
    </w:p>
    <w:p w14:paraId="753479DD" w14:textId="3F728B3C" w:rsidR="00C84AF3" w:rsidRPr="00241AFD" w:rsidRDefault="00C515AC" w:rsidP="00C84AF3">
      <w:pPr>
        <w:spacing w:before="120" w:after="0"/>
        <w:rPr>
          <w:lang w:val="en-GB"/>
        </w:rPr>
      </w:pPr>
      <w:r>
        <w:rPr>
          <w:lang w:val="en-GB"/>
        </w:rPr>
        <w:t xml:space="preserve">Some ECE member states (those being non- Annex 1 to the UNFCCC) may need substantial additional capacity to be able to report according to transparency reporting requirements, particularly for the part that relates to oil and gas sector methane in the national inventory report. Whether methane is included in reporting on progress relative to NDC depends on whether methane is explicitly covered in the NDC. Currently this is not the case for many ECE member states (see section 4.3). However as will be further explained elsewhere in this document many countries have large opportunities for cost-efficient methane mitigation, and may wish to include some of   these opportunities in their NDCs. This would require the countries to implement IPCC methodologies and procedures for monitoring and reporting methane emissions on a regular basis, and with focus on providing consistent time series. The use of national activity data and emissions factors, combined with detailed, regular reporting, greatly facilitates the quantification of impacts of mitigation efforts.  Fortunately, the international community is now very focused on providing capacity building assistance to countries seeking to improve the quality of their reporting under this new enhanced transparency framework. </w:t>
      </w:r>
    </w:p>
    <w:p w14:paraId="09BC716A" w14:textId="1D57B2B9" w:rsidR="00C515AC" w:rsidRDefault="00C515AC" w:rsidP="00C515AC">
      <w:pPr>
        <w:pStyle w:val="Heading3"/>
        <w:rPr>
          <w:lang w:val="en-GB"/>
        </w:rPr>
      </w:pPr>
      <w:r>
        <w:rPr>
          <w:lang w:val="en-GB"/>
        </w:rPr>
        <w:t xml:space="preserve">Review of national GHG </w:t>
      </w:r>
      <w:r w:rsidRPr="00553F2F">
        <w:rPr>
          <w:lang w:val="en-GB"/>
        </w:rPr>
        <w:t>inventories</w:t>
      </w:r>
    </w:p>
    <w:p w14:paraId="7D7D6673" w14:textId="77777777" w:rsidR="00C515AC" w:rsidRPr="00EB0519" w:rsidRDefault="00C515AC" w:rsidP="00C515AC">
      <w:pPr>
        <w:spacing w:before="120" w:after="0"/>
        <w:rPr>
          <w:lang w:val="en-GB"/>
        </w:rPr>
      </w:pPr>
      <w:r>
        <w:rPr>
          <w:lang w:val="en-GB"/>
        </w:rPr>
        <w:t>Currently, the UNFCCC review of Annex 1 national</w:t>
      </w:r>
      <w:r w:rsidRPr="00EB0519">
        <w:rPr>
          <w:lang w:val="en-GB"/>
        </w:rPr>
        <w:t xml:space="preserve"> inventories </w:t>
      </w:r>
      <w:r>
        <w:rPr>
          <w:lang w:val="en-GB"/>
        </w:rPr>
        <w:t xml:space="preserve">is carried out in 2 steps: </w:t>
      </w:r>
      <w:r w:rsidRPr="00C021A8">
        <w:rPr>
          <w:b/>
          <w:bCs/>
          <w:i/>
          <w:iCs/>
          <w:lang w:val="en-GB"/>
        </w:rPr>
        <w:t>(</w:t>
      </w:r>
      <w:proofErr w:type="spellStart"/>
      <w:r w:rsidRPr="00C021A8">
        <w:rPr>
          <w:b/>
          <w:bCs/>
          <w:i/>
          <w:iCs/>
          <w:lang w:val="en-GB"/>
        </w:rPr>
        <w:t>i</w:t>
      </w:r>
      <w:proofErr w:type="spellEnd"/>
      <w:r w:rsidRPr="00C021A8">
        <w:rPr>
          <w:b/>
          <w:bCs/>
          <w:i/>
          <w:iCs/>
          <w:lang w:val="en-GB"/>
        </w:rPr>
        <w:t>)</w:t>
      </w:r>
      <w:r>
        <w:rPr>
          <w:lang w:val="en-GB"/>
        </w:rPr>
        <w:t xml:space="preserve"> In</w:t>
      </w:r>
      <w:r w:rsidRPr="00EB0519">
        <w:rPr>
          <w:lang w:val="en-GB"/>
        </w:rPr>
        <w:t>itial assessment by the secretariat</w:t>
      </w:r>
      <w:r>
        <w:rPr>
          <w:lang w:val="en-GB"/>
        </w:rPr>
        <w:t xml:space="preserve"> which consists of </w:t>
      </w:r>
      <w:r w:rsidRPr="00EB0519">
        <w:rPr>
          <w:lang w:val="en-GB"/>
        </w:rPr>
        <w:t xml:space="preserve">a </w:t>
      </w:r>
      <w:r>
        <w:rPr>
          <w:lang w:val="en-GB"/>
        </w:rPr>
        <w:t xml:space="preserve">basic </w:t>
      </w:r>
      <w:r w:rsidRPr="00EB0519">
        <w:rPr>
          <w:lang w:val="en-GB"/>
        </w:rPr>
        <w:t>comparison</w:t>
      </w:r>
      <w:r>
        <w:rPr>
          <w:lang w:val="en-GB"/>
        </w:rPr>
        <w:t xml:space="preserve"> of the </w:t>
      </w:r>
      <w:r w:rsidRPr="00EB0519">
        <w:rPr>
          <w:lang w:val="en-GB"/>
        </w:rPr>
        <w:t xml:space="preserve">reporting format, </w:t>
      </w:r>
      <w:r>
        <w:rPr>
          <w:lang w:val="en-GB"/>
        </w:rPr>
        <w:t xml:space="preserve">overall </w:t>
      </w:r>
      <w:r w:rsidRPr="00EB0519">
        <w:rPr>
          <w:lang w:val="en-GB"/>
        </w:rPr>
        <w:t>consistent, complete</w:t>
      </w:r>
      <w:r>
        <w:rPr>
          <w:lang w:val="en-GB"/>
        </w:rPr>
        <w:t>ness</w:t>
      </w:r>
      <w:r w:rsidRPr="00EB0519">
        <w:rPr>
          <w:lang w:val="en-GB"/>
        </w:rPr>
        <w:t xml:space="preserve"> </w:t>
      </w:r>
      <w:r>
        <w:rPr>
          <w:lang w:val="en-GB"/>
        </w:rPr>
        <w:t>check</w:t>
      </w:r>
      <w:r w:rsidRPr="00EB0519">
        <w:rPr>
          <w:lang w:val="en-GB"/>
        </w:rPr>
        <w:t>;</w:t>
      </w:r>
      <w:r>
        <w:rPr>
          <w:lang w:val="en-GB"/>
        </w:rPr>
        <w:t xml:space="preserve"> and </w:t>
      </w:r>
      <w:r w:rsidRPr="00C021A8">
        <w:rPr>
          <w:b/>
          <w:bCs/>
          <w:i/>
          <w:iCs/>
          <w:lang w:val="en-GB"/>
        </w:rPr>
        <w:t>(ii)</w:t>
      </w:r>
      <w:r>
        <w:rPr>
          <w:lang w:val="en-GB"/>
        </w:rPr>
        <w:t xml:space="preserve"> </w:t>
      </w:r>
      <w:r w:rsidRPr="00EB0519">
        <w:rPr>
          <w:lang w:val="en-GB"/>
        </w:rPr>
        <w:t xml:space="preserve">Review by </w:t>
      </w:r>
      <w:r w:rsidRPr="00C021A8">
        <w:rPr>
          <w:lang w:val="en-GB"/>
        </w:rPr>
        <w:t>expert review teams</w:t>
      </w:r>
      <w:r>
        <w:rPr>
          <w:lang w:val="en-GB"/>
        </w:rPr>
        <w:t xml:space="preserve"> that </w:t>
      </w:r>
      <w:r w:rsidRPr="00EB0519">
        <w:rPr>
          <w:lang w:val="en-GB"/>
        </w:rPr>
        <w:t>examine the data, methodologies and procedures used in preparing the national inventory</w:t>
      </w:r>
      <w:r>
        <w:rPr>
          <w:lang w:val="en-GB"/>
        </w:rPr>
        <w:t xml:space="preserve"> against UNFCCC reporting guidelines, with a particular focus on </w:t>
      </w:r>
      <w:r w:rsidRPr="00EB0519">
        <w:rPr>
          <w:lang w:val="en-GB"/>
        </w:rPr>
        <w:t xml:space="preserve">key categories, areas where issues have been identified </w:t>
      </w:r>
      <w:r>
        <w:rPr>
          <w:lang w:val="en-GB"/>
        </w:rPr>
        <w:t xml:space="preserve">and </w:t>
      </w:r>
      <w:r w:rsidRPr="00EB0519">
        <w:rPr>
          <w:lang w:val="en-GB"/>
        </w:rPr>
        <w:t xml:space="preserve">recommendations made </w:t>
      </w:r>
      <w:r>
        <w:rPr>
          <w:lang w:val="en-GB"/>
        </w:rPr>
        <w:t xml:space="preserve">in the </w:t>
      </w:r>
      <w:r w:rsidRPr="00EB0519">
        <w:rPr>
          <w:lang w:val="en-GB"/>
        </w:rPr>
        <w:t>previous reviews</w:t>
      </w:r>
      <w:r>
        <w:rPr>
          <w:lang w:val="en-GB"/>
        </w:rPr>
        <w:t>.</w:t>
      </w:r>
    </w:p>
    <w:p w14:paraId="5E5DCE43" w14:textId="2FE4E8A5" w:rsidR="00C515AC" w:rsidRDefault="00C515AC" w:rsidP="00C515AC">
      <w:pPr>
        <w:spacing w:before="120" w:after="0"/>
        <w:rPr>
          <w:lang w:val="en-GB"/>
        </w:rPr>
      </w:pPr>
      <w:r>
        <w:rPr>
          <w:lang w:val="en-GB"/>
        </w:rPr>
        <w:t>The MPG document for the Transparency Framework of the Paris Agreement has a detailed description of the scope of work for the Technical Expert Review Team to review the national inventory reports and biennial transparency reports. Relevant to this report, two areas under review will be reporting on the NIRs and information on progress relative to NDC targets. The Technical Expert Review Team will provide recommendations for improvements, and assess the need for capacity building support for those developing country Parties that have used a flexibility provision in the light of their capacity.  To the extent that oil and gas sector methane emissions represent a large part of GHG emissions and are explicitly covered in the NDCs, this part will obviously be included in the Technical Expert Review.</w:t>
      </w:r>
    </w:p>
    <w:p w14:paraId="4FBEC02C" w14:textId="2D078A67" w:rsidR="00C84AF3" w:rsidRPr="00A4029A" w:rsidRDefault="00C84AF3" w:rsidP="00C84AF3">
      <w:pPr>
        <w:spacing w:before="120" w:after="0"/>
        <w:rPr>
          <w:lang w:val="en-GB"/>
        </w:rPr>
      </w:pPr>
      <w:r>
        <w:rPr>
          <w:lang w:val="en-GB"/>
        </w:rPr>
        <w:t xml:space="preserve"> </w:t>
      </w:r>
    </w:p>
    <w:p w14:paraId="63DF3E09" w14:textId="77777777" w:rsidR="00C84AF3" w:rsidRDefault="00C84AF3" w:rsidP="00C3032E">
      <w:pPr>
        <w:rPr>
          <w:lang w:val="en-GB"/>
        </w:rPr>
      </w:pPr>
    </w:p>
    <w:p w14:paraId="065BC83F" w14:textId="77777777" w:rsidR="001C72A7" w:rsidRDefault="001C72A7" w:rsidP="00C3032E">
      <w:pPr>
        <w:rPr>
          <w:lang w:val="en-GB"/>
        </w:rPr>
      </w:pPr>
    </w:p>
    <w:p w14:paraId="0A1DDEB9" w14:textId="77777777" w:rsidR="004A786A" w:rsidRPr="00D108D9" w:rsidRDefault="004A786A" w:rsidP="005D2939">
      <w:pPr>
        <w:pStyle w:val="Heading1"/>
        <w:numPr>
          <w:ilvl w:val="0"/>
          <w:numId w:val="35"/>
        </w:numPr>
        <w:rPr>
          <w:lang w:val="en-GB"/>
        </w:rPr>
      </w:pPr>
      <w:r w:rsidRPr="00D108D9">
        <w:rPr>
          <w:lang w:val="en-GB"/>
        </w:rPr>
        <w:br w:type="column"/>
      </w:r>
      <w:bookmarkStart w:id="85" w:name="_Toc531690995"/>
      <w:bookmarkStart w:id="86" w:name="_Toc531691036"/>
      <w:bookmarkStart w:id="87" w:name="_Toc3473004"/>
      <w:bookmarkStart w:id="88" w:name="_Toc521656545"/>
      <w:r w:rsidRPr="00D108D9">
        <w:rPr>
          <w:lang w:val="en-GB"/>
        </w:rPr>
        <w:lastRenderedPageBreak/>
        <w:t>Mitigation</w:t>
      </w:r>
      <w:bookmarkEnd w:id="85"/>
      <w:bookmarkEnd w:id="86"/>
      <w:bookmarkEnd w:id="87"/>
      <w:r w:rsidRPr="00D108D9">
        <w:rPr>
          <w:lang w:val="en-GB"/>
        </w:rPr>
        <w:t xml:space="preserve">  </w:t>
      </w:r>
    </w:p>
    <w:p w14:paraId="36F61DC6" w14:textId="77777777" w:rsidR="004A786A" w:rsidRDefault="004A786A" w:rsidP="004A786A">
      <w:pPr>
        <w:pStyle w:val="Heading3"/>
        <w:rPr>
          <w:lang w:val="en-GB"/>
        </w:rPr>
      </w:pPr>
      <w:bookmarkStart w:id="89" w:name="_Toc521656542"/>
      <w:bookmarkStart w:id="90" w:name="_Toc531690996"/>
      <w:bookmarkStart w:id="91" w:name="_Toc531691037"/>
      <w:r>
        <w:rPr>
          <w:lang w:val="en-GB"/>
        </w:rPr>
        <w:t>Key messages</w:t>
      </w:r>
      <w:bookmarkEnd w:id="89"/>
      <w:bookmarkEnd w:id="90"/>
      <w:bookmarkEnd w:id="91"/>
      <w:r>
        <w:rPr>
          <w:lang w:val="en-GB"/>
        </w:rPr>
        <w:t xml:space="preserve"> </w:t>
      </w:r>
    </w:p>
    <w:p w14:paraId="1AE1021C" w14:textId="77777777" w:rsidR="004A786A" w:rsidRDefault="004A786A" w:rsidP="005D2939">
      <w:pPr>
        <w:pStyle w:val="ListParagraph"/>
        <w:numPr>
          <w:ilvl w:val="0"/>
          <w:numId w:val="21"/>
        </w:numPr>
        <w:spacing w:before="120" w:after="0"/>
        <w:ind w:left="714" w:hanging="357"/>
        <w:contextualSpacing w:val="0"/>
      </w:pPr>
      <w:r>
        <w:t>Methane emissions can be reduced effectively with large near-term climate change mitigation impacts at low capital expenditures. An important part of the emission reduction can be achieved without imposing any net cost to investors.</w:t>
      </w:r>
    </w:p>
    <w:p w14:paraId="451AA318" w14:textId="77777777" w:rsidR="004A786A" w:rsidRDefault="004A786A" w:rsidP="005D2939">
      <w:pPr>
        <w:pStyle w:val="ListParagraph"/>
        <w:numPr>
          <w:ilvl w:val="0"/>
          <w:numId w:val="21"/>
        </w:numPr>
        <w:spacing w:before="120" w:after="0"/>
        <w:ind w:left="714" w:hanging="357"/>
        <w:contextualSpacing w:val="0"/>
      </w:pPr>
      <w:r>
        <w:t>Barriers, such as lack of knowledge, awareness and financial incentives, as well as regulatory factors, hinder many of these opportunities from being implemented. Understanding the barriers is essential for planning and implementing mitigation measures and policy instruments</w:t>
      </w:r>
    </w:p>
    <w:p w14:paraId="29EFAF07" w14:textId="77777777" w:rsidR="004A786A" w:rsidRDefault="004A786A" w:rsidP="005D2939">
      <w:pPr>
        <w:pStyle w:val="ListParagraph"/>
        <w:numPr>
          <w:ilvl w:val="0"/>
          <w:numId w:val="21"/>
        </w:numPr>
        <w:spacing w:before="120" w:after="0"/>
        <w:ind w:left="714" w:hanging="357"/>
        <w:contextualSpacing w:val="0"/>
      </w:pPr>
      <w:r>
        <w:t>In addition to motivation to prioritize methane management and implement cost-efficient action companies must acquire knowledge about emission sources, a good overview of abatement options/technologies and establish sound procedures to execute projects and monitor results.</w:t>
      </w:r>
    </w:p>
    <w:p w14:paraId="6B1A7B2E" w14:textId="77777777" w:rsidR="004A786A" w:rsidRDefault="004A786A" w:rsidP="005D2939">
      <w:pPr>
        <w:pStyle w:val="ListParagraph"/>
        <w:numPr>
          <w:ilvl w:val="0"/>
          <w:numId w:val="21"/>
        </w:numPr>
        <w:spacing w:before="120" w:after="0"/>
        <w:ind w:left="714" w:hanging="357"/>
        <w:contextualSpacing w:val="0"/>
      </w:pPr>
      <w:r>
        <w:t>National circumstances imply that policies and regulations for methane emission can vary greatly between countries. Effectiveness and cost-efficient can be achieved with different approaches but there are some general principles and examples of good practices, regulations and policies which countries should consider. Importantly new technologies for detection and measurement will increase the scope for and efficiency of regulations.</w:t>
      </w:r>
    </w:p>
    <w:p w14:paraId="15B31420" w14:textId="2773460E" w:rsidR="0020377C" w:rsidRDefault="0020377C" w:rsidP="0020377C">
      <w:pPr>
        <w:pStyle w:val="ListParagraph"/>
        <w:numPr>
          <w:ilvl w:val="0"/>
          <w:numId w:val="21"/>
        </w:numPr>
        <w:spacing w:before="120" w:after="0"/>
        <w:ind w:left="714" w:hanging="357"/>
        <w:contextualSpacing w:val="0"/>
      </w:pPr>
      <w:r w:rsidRPr="00CA3DF1">
        <w:t>As countries increasingly focus on the achievement of national targets under international frameworks like the UNFCCC, methane mitigation may provide an attractive opportunity to enhance action.</w:t>
      </w:r>
      <w:r>
        <w:t xml:space="preserve"> Methane emission reductions could be more explicitly covered in each country’s Nationally Determined Contribution (NDC) to the Paris Agreement. </w:t>
      </w:r>
      <w:proofErr w:type="gramStart"/>
      <w:r>
        <w:t>International carbon and climate finance,</w:t>
      </w:r>
      <w:proofErr w:type="gramEnd"/>
      <w:r>
        <w:t xml:space="preserve"> is one element of carbon pricing that can also play a role in incentivizing mitigation.</w:t>
      </w:r>
    </w:p>
    <w:p w14:paraId="0C534BB9" w14:textId="77777777" w:rsidR="004173F0" w:rsidRPr="00BE01E7" w:rsidRDefault="004173F0" w:rsidP="004173F0">
      <w:pPr>
        <w:pStyle w:val="ListParagraph"/>
        <w:spacing w:before="120" w:after="0"/>
        <w:ind w:left="714"/>
        <w:contextualSpacing w:val="0"/>
      </w:pPr>
    </w:p>
    <w:p w14:paraId="49F32258" w14:textId="77777777" w:rsidR="004A786A" w:rsidRDefault="004A786A" w:rsidP="004A786A">
      <w:pPr>
        <w:pStyle w:val="Heading2"/>
        <w:numPr>
          <w:ilvl w:val="0"/>
          <w:numId w:val="0"/>
        </w:numPr>
        <w:ind w:left="710"/>
        <w:rPr>
          <w:lang w:val="en-GB"/>
        </w:rPr>
      </w:pPr>
      <w:bookmarkStart w:id="92" w:name="_Toc3473005"/>
      <w:r w:rsidRPr="004245A2">
        <w:rPr>
          <w:lang w:val="en-GB"/>
        </w:rPr>
        <w:t>4.1</w:t>
      </w:r>
      <w:r>
        <w:rPr>
          <w:lang w:val="en-GB"/>
        </w:rPr>
        <w:t xml:space="preserve"> Abatement opportunities and barriers to action</w:t>
      </w:r>
      <w:bookmarkEnd w:id="92"/>
      <w:r>
        <w:rPr>
          <w:lang w:val="en-GB"/>
        </w:rPr>
        <w:t xml:space="preserve"> </w:t>
      </w:r>
      <w:r w:rsidRPr="004245A2">
        <w:rPr>
          <w:lang w:val="en-GB"/>
        </w:rPr>
        <w:t xml:space="preserve"> </w:t>
      </w:r>
    </w:p>
    <w:p w14:paraId="0F796F33" w14:textId="34EFEB43" w:rsidR="004A786A" w:rsidRDefault="004A786A" w:rsidP="004A786A">
      <w:pPr>
        <w:rPr>
          <w:lang w:val="en-US"/>
        </w:rPr>
      </w:pPr>
      <w:r>
        <w:rPr>
          <w:lang w:val="en-US"/>
        </w:rPr>
        <w:t>A number of empirical studies have documented that oil and gas methane emissions can be substantially reduced at no or low costs. Since methane is a powerful GHG and short</w:t>
      </w:r>
      <w:r w:rsidR="004F0417">
        <w:rPr>
          <w:lang w:val="en-US"/>
        </w:rPr>
        <w:t>-</w:t>
      </w:r>
      <w:r>
        <w:rPr>
          <w:lang w:val="en-US"/>
        </w:rPr>
        <w:t xml:space="preserve">term climate pollutant emission reductions measures can offer large near term climate mitigation benefits and are among the most cost-efficient opportunities of emission reduction efforts. </w:t>
      </w:r>
    </w:p>
    <w:p w14:paraId="626EFCD3" w14:textId="77777777" w:rsidR="004173F0" w:rsidRDefault="004173F0" w:rsidP="004A786A">
      <w:pPr>
        <w:pStyle w:val="Caption"/>
        <w:rPr>
          <w:bCs w:val="0"/>
          <w:i/>
          <w:iCs/>
          <w:lang w:val="en-US"/>
        </w:rPr>
      </w:pPr>
    </w:p>
    <w:p w14:paraId="40ABBA37" w14:textId="48438C6D" w:rsidR="004A786A" w:rsidRPr="004532A1" w:rsidRDefault="004A786A" w:rsidP="004A786A">
      <w:pPr>
        <w:pStyle w:val="Caption"/>
        <w:rPr>
          <w:bCs w:val="0"/>
          <w:i/>
          <w:iCs/>
          <w:lang w:val="en-US"/>
        </w:rPr>
      </w:pPr>
      <w:r w:rsidRPr="004532A1">
        <w:rPr>
          <w:bCs w:val="0"/>
          <w:i/>
          <w:iCs/>
          <w:lang w:val="en-US"/>
        </w:rPr>
        <w:t xml:space="preserve">Table 4.1 Methane emissions abatement potential in selected countries  </w:t>
      </w:r>
    </w:p>
    <w:tbl>
      <w:tblPr>
        <w:tblStyle w:val="TableGrid"/>
        <w:tblW w:w="9039" w:type="dxa"/>
        <w:tblLook w:val="04A0" w:firstRow="1" w:lastRow="0" w:firstColumn="1" w:lastColumn="0" w:noHBand="0" w:noVBand="1"/>
      </w:tblPr>
      <w:tblGrid>
        <w:gridCol w:w="1809"/>
        <w:gridCol w:w="2268"/>
        <w:gridCol w:w="4962"/>
      </w:tblGrid>
      <w:tr w:rsidR="004A786A" w:rsidRPr="00E33AC5" w14:paraId="3873196C" w14:textId="77777777" w:rsidTr="00DD5FB6">
        <w:tc>
          <w:tcPr>
            <w:tcW w:w="1809" w:type="dxa"/>
            <w:shd w:val="clear" w:color="auto" w:fill="A2E9C7" w:themeFill="text2" w:themeFillTint="66"/>
          </w:tcPr>
          <w:p w14:paraId="17139CC9" w14:textId="77777777" w:rsidR="004A786A" w:rsidRPr="00C61D0B" w:rsidRDefault="004A786A" w:rsidP="00DD5FB6">
            <w:pPr>
              <w:spacing w:after="0"/>
              <w:rPr>
                <w:b/>
                <w:szCs w:val="20"/>
                <w:lang w:val="en-GB"/>
              </w:rPr>
            </w:pPr>
            <w:r w:rsidRPr="00C61D0B">
              <w:rPr>
                <w:b/>
                <w:szCs w:val="20"/>
                <w:lang w:val="en-GB"/>
              </w:rPr>
              <w:t xml:space="preserve">Country /Region </w:t>
            </w:r>
          </w:p>
        </w:tc>
        <w:tc>
          <w:tcPr>
            <w:tcW w:w="2268" w:type="dxa"/>
            <w:shd w:val="clear" w:color="auto" w:fill="A2E9C7" w:themeFill="text2" w:themeFillTint="66"/>
          </w:tcPr>
          <w:p w14:paraId="66728576" w14:textId="77777777" w:rsidR="004A786A" w:rsidRPr="00C61D0B" w:rsidRDefault="004A786A" w:rsidP="00DD5FB6">
            <w:pPr>
              <w:spacing w:after="0"/>
              <w:rPr>
                <w:b/>
                <w:szCs w:val="20"/>
                <w:lang w:val="en-GB"/>
              </w:rPr>
            </w:pPr>
            <w:r>
              <w:rPr>
                <w:b/>
                <w:szCs w:val="20"/>
                <w:lang w:val="en-GB"/>
              </w:rPr>
              <w:t>Reduction p</w:t>
            </w:r>
            <w:r w:rsidRPr="00C61D0B">
              <w:rPr>
                <w:b/>
                <w:szCs w:val="20"/>
                <w:lang w:val="en-GB"/>
              </w:rPr>
              <w:t xml:space="preserve">otential </w:t>
            </w:r>
          </w:p>
        </w:tc>
        <w:tc>
          <w:tcPr>
            <w:tcW w:w="4962" w:type="dxa"/>
            <w:shd w:val="clear" w:color="auto" w:fill="A2E9C7" w:themeFill="text2" w:themeFillTint="66"/>
          </w:tcPr>
          <w:p w14:paraId="5276F3C8" w14:textId="77777777" w:rsidR="004A786A" w:rsidRPr="00C61D0B" w:rsidRDefault="004A786A" w:rsidP="00DD5FB6">
            <w:pPr>
              <w:spacing w:after="0"/>
              <w:rPr>
                <w:b/>
                <w:szCs w:val="20"/>
                <w:lang w:val="en-GB"/>
              </w:rPr>
            </w:pPr>
            <w:r w:rsidRPr="00C61D0B">
              <w:rPr>
                <w:b/>
                <w:szCs w:val="20"/>
                <w:lang w:val="en-GB"/>
              </w:rPr>
              <w:t xml:space="preserve">Further details </w:t>
            </w:r>
          </w:p>
        </w:tc>
      </w:tr>
      <w:tr w:rsidR="004A786A" w:rsidRPr="00104E87" w14:paraId="564D6103" w14:textId="77777777" w:rsidTr="00DD5FB6">
        <w:tc>
          <w:tcPr>
            <w:tcW w:w="1809" w:type="dxa"/>
            <w:shd w:val="clear" w:color="auto" w:fill="F2F2F2" w:themeFill="background1" w:themeFillShade="F2"/>
          </w:tcPr>
          <w:p w14:paraId="32A30EF0" w14:textId="77777777" w:rsidR="004A786A" w:rsidRPr="00C61D0B" w:rsidRDefault="004A786A" w:rsidP="00DD5FB6">
            <w:pPr>
              <w:spacing w:after="0" w:line="276" w:lineRule="auto"/>
              <w:rPr>
                <w:sz w:val="16"/>
                <w:szCs w:val="16"/>
                <w:lang w:val="en-GB"/>
              </w:rPr>
            </w:pPr>
            <w:r w:rsidRPr="00C61D0B">
              <w:rPr>
                <w:sz w:val="16"/>
                <w:szCs w:val="16"/>
                <w:lang w:val="en-GB"/>
              </w:rPr>
              <w:t>Global</w:t>
            </w:r>
            <w:r w:rsidRPr="00C61D0B">
              <w:rPr>
                <w:rStyle w:val="FootnoteReference"/>
                <w:sz w:val="16"/>
                <w:szCs w:val="16"/>
                <w:lang w:val="en-GB"/>
              </w:rPr>
              <w:footnoteReference w:id="64"/>
            </w:r>
            <w:r w:rsidRPr="00C61D0B">
              <w:rPr>
                <w:sz w:val="16"/>
                <w:szCs w:val="16"/>
                <w:lang w:val="en-US"/>
              </w:rPr>
              <w:t xml:space="preserve"> </w:t>
            </w:r>
            <w:r w:rsidRPr="00C61D0B">
              <w:rPr>
                <w:sz w:val="16"/>
                <w:szCs w:val="16"/>
                <w:lang w:val="en-GB"/>
              </w:rPr>
              <w:t xml:space="preserve"> </w:t>
            </w:r>
          </w:p>
        </w:tc>
        <w:tc>
          <w:tcPr>
            <w:tcW w:w="2268" w:type="dxa"/>
            <w:shd w:val="clear" w:color="auto" w:fill="F2F2F2" w:themeFill="background1" w:themeFillShade="F2"/>
          </w:tcPr>
          <w:p w14:paraId="3480EAB3" w14:textId="77777777" w:rsidR="004A786A" w:rsidRPr="00112F1C" w:rsidRDefault="004A786A" w:rsidP="00DD5FB6">
            <w:pPr>
              <w:spacing w:after="0" w:line="276" w:lineRule="auto"/>
              <w:jc w:val="center"/>
              <w:rPr>
                <w:b/>
                <w:sz w:val="16"/>
                <w:szCs w:val="16"/>
                <w:lang w:val="en-GB"/>
              </w:rPr>
            </w:pPr>
            <w:r w:rsidRPr="00112F1C">
              <w:rPr>
                <w:b/>
                <w:sz w:val="16"/>
                <w:szCs w:val="16"/>
                <w:lang w:val="en-GB"/>
              </w:rPr>
              <w:t>50%</w:t>
            </w:r>
          </w:p>
        </w:tc>
        <w:tc>
          <w:tcPr>
            <w:tcW w:w="4962" w:type="dxa"/>
            <w:shd w:val="clear" w:color="auto" w:fill="F2F2F2" w:themeFill="background1" w:themeFillShade="F2"/>
          </w:tcPr>
          <w:p w14:paraId="50B8A2E1" w14:textId="77777777" w:rsidR="004A786A" w:rsidRPr="00C61D0B" w:rsidRDefault="004A786A" w:rsidP="00DD5FB6">
            <w:pPr>
              <w:spacing w:after="0" w:line="276" w:lineRule="auto"/>
              <w:rPr>
                <w:sz w:val="16"/>
                <w:szCs w:val="16"/>
                <w:lang w:val="en-GB"/>
              </w:rPr>
            </w:pPr>
            <w:r>
              <w:rPr>
                <w:sz w:val="16"/>
                <w:szCs w:val="16"/>
                <w:lang w:val="en-GB"/>
              </w:rPr>
              <w:t xml:space="preserve">Can be mitigated with positive net present value </w:t>
            </w:r>
          </w:p>
        </w:tc>
      </w:tr>
      <w:tr w:rsidR="004A786A" w:rsidRPr="00104E87" w14:paraId="704E6336" w14:textId="77777777" w:rsidTr="00DD5FB6">
        <w:tc>
          <w:tcPr>
            <w:tcW w:w="1809" w:type="dxa"/>
            <w:shd w:val="clear" w:color="auto" w:fill="F2F2F2" w:themeFill="background1" w:themeFillShade="F2"/>
          </w:tcPr>
          <w:p w14:paraId="718F90AB" w14:textId="77777777" w:rsidR="004A786A" w:rsidRPr="00C61D0B" w:rsidRDefault="004A786A" w:rsidP="00DD5FB6">
            <w:pPr>
              <w:spacing w:after="0" w:line="276" w:lineRule="auto"/>
              <w:rPr>
                <w:sz w:val="16"/>
                <w:szCs w:val="16"/>
                <w:lang w:val="en-GB"/>
              </w:rPr>
            </w:pPr>
            <w:r w:rsidRPr="00C61D0B">
              <w:rPr>
                <w:sz w:val="16"/>
                <w:szCs w:val="16"/>
                <w:lang w:val="en-GB"/>
              </w:rPr>
              <w:t>USA</w:t>
            </w:r>
            <w:r w:rsidRPr="00C61D0B">
              <w:rPr>
                <w:rStyle w:val="FootnoteReference"/>
                <w:sz w:val="16"/>
                <w:szCs w:val="16"/>
              </w:rPr>
              <w:footnoteReference w:id="65"/>
            </w:r>
          </w:p>
        </w:tc>
        <w:tc>
          <w:tcPr>
            <w:tcW w:w="2268" w:type="dxa"/>
            <w:shd w:val="clear" w:color="auto" w:fill="F2F2F2" w:themeFill="background1" w:themeFillShade="F2"/>
            <w:vAlign w:val="center"/>
          </w:tcPr>
          <w:p w14:paraId="2BADF57F" w14:textId="77777777" w:rsidR="004A786A" w:rsidRPr="006E15A7" w:rsidRDefault="004A786A" w:rsidP="00DD5FB6">
            <w:pPr>
              <w:spacing w:after="0" w:line="276" w:lineRule="auto"/>
              <w:jc w:val="center"/>
              <w:rPr>
                <w:sz w:val="16"/>
                <w:szCs w:val="16"/>
                <w:lang w:val="en-GB"/>
              </w:rPr>
            </w:pPr>
            <w:r w:rsidRPr="006E15A7">
              <w:rPr>
                <w:b/>
                <w:sz w:val="16"/>
                <w:szCs w:val="16"/>
                <w:lang w:val="en-GB"/>
              </w:rPr>
              <w:t>40%</w:t>
            </w:r>
            <w:r w:rsidRPr="006E15A7">
              <w:rPr>
                <w:sz w:val="16"/>
                <w:szCs w:val="16"/>
                <w:lang w:val="en-GB"/>
              </w:rPr>
              <w:t xml:space="preserve"> from onshore installations</w:t>
            </w:r>
          </w:p>
        </w:tc>
        <w:tc>
          <w:tcPr>
            <w:tcW w:w="4962" w:type="dxa"/>
            <w:shd w:val="clear" w:color="auto" w:fill="F2F2F2" w:themeFill="background1" w:themeFillShade="F2"/>
          </w:tcPr>
          <w:p w14:paraId="4BAFC8E6" w14:textId="77777777" w:rsidR="004A786A" w:rsidRPr="00C61D0B" w:rsidRDefault="004A786A" w:rsidP="00DD5FB6">
            <w:pPr>
              <w:spacing w:after="0" w:line="276" w:lineRule="auto"/>
              <w:rPr>
                <w:sz w:val="16"/>
                <w:szCs w:val="16"/>
                <w:lang w:val="en-GB"/>
              </w:rPr>
            </w:pPr>
            <w:r w:rsidRPr="00C61D0B">
              <w:rPr>
                <w:sz w:val="16"/>
                <w:szCs w:val="16"/>
                <w:lang w:val="en-GB"/>
              </w:rPr>
              <w:t xml:space="preserve">Net costs </w:t>
            </w:r>
            <w:r w:rsidRPr="00C61D0B">
              <w:rPr>
                <w:rFonts w:cstheme="minorHAnsi"/>
                <w:sz w:val="16"/>
                <w:szCs w:val="16"/>
                <w:lang w:val="en-GB"/>
              </w:rPr>
              <w:t>≤</w:t>
            </w:r>
            <w:r w:rsidRPr="00C61D0B">
              <w:rPr>
                <w:sz w:val="16"/>
                <w:szCs w:val="16"/>
                <w:lang w:val="en-GB"/>
              </w:rPr>
              <w:t xml:space="preserve"> 0.01 US$/Mcf of natural gas produced</w:t>
            </w:r>
          </w:p>
          <w:p w14:paraId="31BB0F80" w14:textId="77777777" w:rsidR="004A786A" w:rsidRPr="00C61D0B" w:rsidRDefault="004A786A" w:rsidP="00DD5FB6">
            <w:pPr>
              <w:spacing w:after="0" w:line="276" w:lineRule="auto"/>
              <w:rPr>
                <w:sz w:val="16"/>
                <w:szCs w:val="16"/>
                <w:lang w:val="en-GB"/>
              </w:rPr>
            </w:pPr>
            <w:r w:rsidRPr="00C61D0B">
              <w:rPr>
                <w:sz w:val="16"/>
                <w:szCs w:val="16"/>
                <w:lang w:val="en-GB"/>
              </w:rPr>
              <w:t xml:space="preserve">Most of the potential and largest cost savings in Centrifugal Compressors (wet seals) and High Bleed Pneumatic Devices </w:t>
            </w:r>
          </w:p>
        </w:tc>
      </w:tr>
      <w:tr w:rsidR="004A786A" w:rsidRPr="00104E87" w14:paraId="4C181D0F" w14:textId="77777777" w:rsidTr="00DD5FB6">
        <w:tc>
          <w:tcPr>
            <w:tcW w:w="1809" w:type="dxa"/>
            <w:shd w:val="clear" w:color="auto" w:fill="F2F2F2" w:themeFill="background1" w:themeFillShade="F2"/>
          </w:tcPr>
          <w:p w14:paraId="0A40F3ED" w14:textId="77777777" w:rsidR="004A786A" w:rsidRPr="00C61D0B" w:rsidRDefault="004A786A" w:rsidP="00DD5FB6">
            <w:pPr>
              <w:spacing w:after="0" w:line="276" w:lineRule="auto"/>
              <w:rPr>
                <w:sz w:val="16"/>
                <w:szCs w:val="16"/>
                <w:lang w:val="en-GB"/>
              </w:rPr>
            </w:pPr>
            <w:r w:rsidRPr="00C61D0B">
              <w:rPr>
                <w:sz w:val="16"/>
                <w:szCs w:val="16"/>
                <w:lang w:val="en-GB"/>
              </w:rPr>
              <w:t>Canada</w:t>
            </w:r>
            <w:r w:rsidRPr="00C61D0B">
              <w:rPr>
                <w:rStyle w:val="FootnoteReference"/>
                <w:sz w:val="16"/>
                <w:szCs w:val="16"/>
              </w:rPr>
              <w:footnoteReference w:id="66"/>
            </w:r>
            <w:r w:rsidRPr="00C61D0B">
              <w:rPr>
                <w:sz w:val="16"/>
                <w:szCs w:val="16"/>
                <w:lang w:val="en-GB"/>
              </w:rPr>
              <w:t xml:space="preserve"> </w:t>
            </w:r>
          </w:p>
        </w:tc>
        <w:tc>
          <w:tcPr>
            <w:tcW w:w="2268" w:type="dxa"/>
            <w:shd w:val="clear" w:color="auto" w:fill="F2F2F2" w:themeFill="background1" w:themeFillShade="F2"/>
            <w:vAlign w:val="center"/>
          </w:tcPr>
          <w:p w14:paraId="78DA6E63" w14:textId="77777777" w:rsidR="004A786A" w:rsidRPr="006E15A7" w:rsidRDefault="004A786A" w:rsidP="00DD5FB6">
            <w:pPr>
              <w:spacing w:after="0" w:line="276" w:lineRule="auto"/>
              <w:jc w:val="center"/>
              <w:rPr>
                <w:sz w:val="16"/>
                <w:szCs w:val="16"/>
                <w:lang w:val="en-GB"/>
              </w:rPr>
            </w:pPr>
            <w:r w:rsidRPr="006E15A7">
              <w:rPr>
                <w:b/>
                <w:sz w:val="16"/>
                <w:szCs w:val="16"/>
                <w:lang w:val="en-GB"/>
              </w:rPr>
              <w:t>45%</w:t>
            </w:r>
            <w:r w:rsidRPr="006E15A7">
              <w:rPr>
                <w:sz w:val="16"/>
                <w:szCs w:val="16"/>
                <w:lang w:val="en-GB"/>
              </w:rPr>
              <w:t xml:space="preserve"> from onshore installations</w:t>
            </w:r>
          </w:p>
        </w:tc>
        <w:tc>
          <w:tcPr>
            <w:tcW w:w="4962" w:type="dxa"/>
            <w:shd w:val="clear" w:color="auto" w:fill="F2F2F2" w:themeFill="background1" w:themeFillShade="F2"/>
          </w:tcPr>
          <w:p w14:paraId="6EC9BB02" w14:textId="77777777" w:rsidR="004A786A" w:rsidRPr="00C61D0B" w:rsidRDefault="004A786A" w:rsidP="00DD5FB6">
            <w:pPr>
              <w:spacing w:after="0" w:line="276" w:lineRule="auto"/>
              <w:rPr>
                <w:sz w:val="16"/>
                <w:szCs w:val="16"/>
                <w:lang w:val="en-GB"/>
              </w:rPr>
            </w:pPr>
            <w:r w:rsidRPr="00C61D0B">
              <w:rPr>
                <w:sz w:val="16"/>
                <w:szCs w:val="16"/>
                <w:lang w:val="en-GB"/>
              </w:rPr>
              <w:t xml:space="preserve">Costs </w:t>
            </w:r>
            <w:r w:rsidRPr="00C61D0B">
              <w:rPr>
                <w:rFonts w:cstheme="minorHAnsi"/>
                <w:sz w:val="16"/>
                <w:szCs w:val="16"/>
                <w:lang w:val="en-GB"/>
              </w:rPr>
              <w:t>≤</w:t>
            </w:r>
            <w:r w:rsidRPr="00C61D0B">
              <w:rPr>
                <w:sz w:val="16"/>
                <w:szCs w:val="16"/>
                <w:lang w:val="en-GB"/>
              </w:rPr>
              <w:t xml:space="preserve"> 0.01 CAD/Mcf of natural gas produced  </w:t>
            </w:r>
          </w:p>
        </w:tc>
      </w:tr>
      <w:tr w:rsidR="004A786A" w:rsidRPr="00104E87" w14:paraId="479F6241" w14:textId="77777777" w:rsidTr="00DD5FB6">
        <w:tc>
          <w:tcPr>
            <w:tcW w:w="1809" w:type="dxa"/>
            <w:shd w:val="clear" w:color="auto" w:fill="F2F2F2" w:themeFill="background1" w:themeFillShade="F2"/>
          </w:tcPr>
          <w:p w14:paraId="541FA07D" w14:textId="77777777" w:rsidR="004A786A" w:rsidRPr="00C61D0B" w:rsidRDefault="004A786A" w:rsidP="00DD5FB6">
            <w:pPr>
              <w:spacing w:after="0" w:line="276" w:lineRule="auto"/>
              <w:rPr>
                <w:sz w:val="16"/>
                <w:szCs w:val="16"/>
                <w:lang w:val="en-GB"/>
              </w:rPr>
            </w:pPr>
            <w:r w:rsidRPr="00C61D0B">
              <w:rPr>
                <w:sz w:val="16"/>
                <w:szCs w:val="16"/>
                <w:lang w:val="en-GB"/>
              </w:rPr>
              <w:t>Mexico</w:t>
            </w:r>
            <w:r w:rsidRPr="00C61D0B">
              <w:rPr>
                <w:rStyle w:val="FootnoteReference"/>
                <w:sz w:val="16"/>
                <w:szCs w:val="16"/>
                <w:lang w:val="en-GB"/>
              </w:rPr>
              <w:footnoteReference w:id="67"/>
            </w:r>
            <w:r w:rsidRPr="00C61D0B">
              <w:rPr>
                <w:sz w:val="16"/>
                <w:szCs w:val="16"/>
                <w:lang w:val="en-GB"/>
              </w:rPr>
              <w:t xml:space="preserve"> </w:t>
            </w:r>
          </w:p>
        </w:tc>
        <w:tc>
          <w:tcPr>
            <w:tcW w:w="2268" w:type="dxa"/>
            <w:shd w:val="clear" w:color="auto" w:fill="F2F2F2" w:themeFill="background1" w:themeFillShade="F2"/>
            <w:vAlign w:val="center"/>
          </w:tcPr>
          <w:p w14:paraId="5C5CC5A8" w14:textId="77777777" w:rsidR="004A786A" w:rsidRPr="00C61D0B" w:rsidRDefault="004A786A" w:rsidP="00DD5FB6">
            <w:pPr>
              <w:spacing w:after="0" w:line="276" w:lineRule="auto"/>
              <w:jc w:val="center"/>
              <w:rPr>
                <w:sz w:val="16"/>
                <w:szCs w:val="16"/>
                <w:lang w:val="en-GB"/>
              </w:rPr>
            </w:pPr>
            <w:r w:rsidRPr="00C61D0B">
              <w:rPr>
                <w:b/>
                <w:sz w:val="16"/>
                <w:szCs w:val="16"/>
                <w:lang w:val="en-GB"/>
              </w:rPr>
              <w:t>54%</w:t>
            </w:r>
            <w:r w:rsidRPr="00C61D0B">
              <w:rPr>
                <w:sz w:val="16"/>
                <w:szCs w:val="16"/>
                <w:lang w:val="en-GB"/>
              </w:rPr>
              <w:t xml:space="preserve"> of  from onshore and offshore installations</w:t>
            </w:r>
          </w:p>
        </w:tc>
        <w:tc>
          <w:tcPr>
            <w:tcW w:w="4962" w:type="dxa"/>
            <w:shd w:val="clear" w:color="auto" w:fill="F2F2F2" w:themeFill="background1" w:themeFillShade="F2"/>
          </w:tcPr>
          <w:p w14:paraId="6E17AD99" w14:textId="77777777" w:rsidR="004A786A" w:rsidRDefault="004A786A" w:rsidP="00DD5FB6">
            <w:pPr>
              <w:spacing w:after="0" w:line="276" w:lineRule="auto"/>
              <w:rPr>
                <w:sz w:val="16"/>
                <w:szCs w:val="16"/>
                <w:lang w:val="en-GB"/>
              </w:rPr>
            </w:pPr>
            <w:r w:rsidRPr="00C61D0B">
              <w:rPr>
                <w:sz w:val="16"/>
                <w:szCs w:val="16"/>
                <w:lang w:val="en-GB"/>
              </w:rPr>
              <w:t xml:space="preserve">Costs </w:t>
            </w:r>
            <w:r w:rsidRPr="00C61D0B">
              <w:rPr>
                <w:rFonts w:cstheme="minorHAnsi"/>
                <w:sz w:val="16"/>
                <w:szCs w:val="16"/>
                <w:lang w:val="en-GB"/>
              </w:rPr>
              <w:t>≤</w:t>
            </w:r>
            <w:r w:rsidRPr="00C61D0B">
              <w:rPr>
                <w:sz w:val="16"/>
                <w:szCs w:val="16"/>
                <w:lang w:val="en-GB"/>
              </w:rPr>
              <w:t xml:space="preserve"> 0.01 </w:t>
            </w:r>
            <w:r>
              <w:rPr>
                <w:sz w:val="16"/>
                <w:szCs w:val="16"/>
                <w:lang w:val="en-GB"/>
              </w:rPr>
              <w:t>$</w:t>
            </w:r>
            <w:proofErr w:type="spellStart"/>
            <w:r>
              <w:rPr>
                <w:sz w:val="16"/>
                <w:szCs w:val="16"/>
                <w:lang w:val="en-GB"/>
              </w:rPr>
              <w:t>MXn</w:t>
            </w:r>
            <w:proofErr w:type="spellEnd"/>
            <w:r w:rsidRPr="00C61D0B">
              <w:rPr>
                <w:sz w:val="16"/>
                <w:szCs w:val="16"/>
                <w:lang w:val="en-GB"/>
              </w:rPr>
              <w:t xml:space="preserve">/Mcf of natural gas produced  </w:t>
            </w:r>
          </w:p>
          <w:p w14:paraId="1D6BB22E" w14:textId="77777777" w:rsidR="004A786A" w:rsidRPr="00C61D0B" w:rsidRDefault="004A786A" w:rsidP="00DD5FB6">
            <w:pPr>
              <w:spacing w:after="0" w:line="276" w:lineRule="auto"/>
              <w:rPr>
                <w:sz w:val="16"/>
                <w:szCs w:val="16"/>
                <w:lang w:val="en-GB"/>
              </w:rPr>
            </w:pPr>
            <w:r>
              <w:rPr>
                <w:sz w:val="16"/>
                <w:szCs w:val="16"/>
                <w:lang w:val="en-GB"/>
              </w:rPr>
              <w:t xml:space="preserve">More than half the potential in Oil Tanks  </w:t>
            </w:r>
          </w:p>
        </w:tc>
      </w:tr>
      <w:tr w:rsidR="004A786A" w:rsidRPr="00104E87" w14:paraId="57FF5779" w14:textId="77777777" w:rsidTr="00DD5FB6">
        <w:tc>
          <w:tcPr>
            <w:tcW w:w="1809" w:type="dxa"/>
            <w:shd w:val="clear" w:color="auto" w:fill="F2F2F2" w:themeFill="background1" w:themeFillShade="F2"/>
          </w:tcPr>
          <w:p w14:paraId="488945C2" w14:textId="77777777" w:rsidR="004A786A" w:rsidRPr="005A08B9" w:rsidRDefault="004A786A" w:rsidP="00DD5FB6">
            <w:pPr>
              <w:spacing w:after="0" w:line="276" w:lineRule="auto"/>
              <w:rPr>
                <w:sz w:val="18"/>
                <w:szCs w:val="18"/>
                <w:lang w:val="en-GB"/>
              </w:rPr>
            </w:pPr>
            <w:r w:rsidRPr="00750AA6">
              <w:rPr>
                <w:sz w:val="16"/>
                <w:szCs w:val="16"/>
                <w:lang w:val="en-GB"/>
              </w:rPr>
              <w:t>Kazakhstan</w:t>
            </w:r>
            <w:r w:rsidRPr="00403BCA">
              <w:rPr>
                <w:sz w:val="16"/>
                <w:szCs w:val="16"/>
                <w:vertAlign w:val="superscript"/>
              </w:rPr>
              <w:footnoteReference w:id="68"/>
            </w:r>
            <w:r w:rsidRPr="00403BCA">
              <w:rPr>
                <w:sz w:val="18"/>
                <w:szCs w:val="18"/>
                <w:vertAlign w:val="superscript"/>
                <w:lang w:val="en-GB"/>
              </w:rPr>
              <w:t xml:space="preserve"> </w:t>
            </w:r>
          </w:p>
        </w:tc>
        <w:tc>
          <w:tcPr>
            <w:tcW w:w="2268" w:type="dxa"/>
            <w:shd w:val="clear" w:color="auto" w:fill="F2F2F2" w:themeFill="background1" w:themeFillShade="F2"/>
            <w:vAlign w:val="center"/>
          </w:tcPr>
          <w:p w14:paraId="5545FDC4" w14:textId="77777777" w:rsidR="004A786A" w:rsidRPr="006E15A7" w:rsidRDefault="004A786A" w:rsidP="00DD5FB6">
            <w:pPr>
              <w:spacing w:after="0" w:line="276" w:lineRule="auto"/>
              <w:jc w:val="center"/>
              <w:rPr>
                <w:b/>
                <w:sz w:val="18"/>
                <w:szCs w:val="18"/>
                <w:lang w:val="en-GB"/>
              </w:rPr>
            </w:pPr>
            <w:r w:rsidRPr="006E15A7">
              <w:rPr>
                <w:b/>
                <w:sz w:val="16"/>
                <w:szCs w:val="16"/>
                <w:lang w:val="en-GB"/>
              </w:rPr>
              <w:t xml:space="preserve">50% </w:t>
            </w:r>
            <w:r w:rsidRPr="006E15A7">
              <w:rPr>
                <w:sz w:val="16"/>
                <w:szCs w:val="16"/>
                <w:lang w:val="en-GB"/>
              </w:rPr>
              <w:t>from onshore installations</w:t>
            </w:r>
          </w:p>
        </w:tc>
        <w:tc>
          <w:tcPr>
            <w:tcW w:w="4962" w:type="dxa"/>
            <w:shd w:val="clear" w:color="auto" w:fill="F2F2F2" w:themeFill="background1" w:themeFillShade="F2"/>
          </w:tcPr>
          <w:p w14:paraId="79251D52" w14:textId="77777777" w:rsidR="004A786A" w:rsidRPr="00630A4C" w:rsidRDefault="004A786A" w:rsidP="00DD5FB6">
            <w:pPr>
              <w:spacing w:after="0" w:line="276" w:lineRule="auto"/>
              <w:rPr>
                <w:sz w:val="16"/>
                <w:szCs w:val="16"/>
                <w:lang w:val="en-GB"/>
              </w:rPr>
            </w:pPr>
            <w:r w:rsidRPr="00630A4C">
              <w:rPr>
                <w:sz w:val="16"/>
                <w:szCs w:val="16"/>
                <w:lang w:val="en-GB"/>
              </w:rPr>
              <w:t xml:space="preserve">Positive net present value for operating companies </w:t>
            </w:r>
          </w:p>
          <w:p w14:paraId="1FE2B9D1" w14:textId="77777777" w:rsidR="004A786A" w:rsidRPr="005A08B9" w:rsidRDefault="004A786A" w:rsidP="00DD5FB6">
            <w:pPr>
              <w:spacing w:after="0" w:line="276" w:lineRule="auto"/>
              <w:rPr>
                <w:sz w:val="18"/>
                <w:szCs w:val="18"/>
                <w:lang w:val="en-GB"/>
              </w:rPr>
            </w:pPr>
            <w:r w:rsidRPr="00630A4C">
              <w:rPr>
                <w:sz w:val="16"/>
                <w:szCs w:val="16"/>
                <w:lang w:val="en-GB"/>
              </w:rPr>
              <w:t xml:space="preserve">2/3 of the potential at </w:t>
            </w:r>
            <w:r>
              <w:rPr>
                <w:sz w:val="16"/>
                <w:szCs w:val="16"/>
                <w:lang w:val="en-GB"/>
              </w:rPr>
              <w:t>T</w:t>
            </w:r>
            <w:r w:rsidRPr="00630A4C">
              <w:rPr>
                <w:sz w:val="16"/>
                <w:szCs w:val="16"/>
                <w:lang w:val="en-GB"/>
              </w:rPr>
              <w:t xml:space="preserve">ank </w:t>
            </w:r>
            <w:r>
              <w:rPr>
                <w:sz w:val="16"/>
                <w:szCs w:val="16"/>
                <w:lang w:val="en-GB"/>
              </w:rPr>
              <w:t>F</w:t>
            </w:r>
            <w:r w:rsidRPr="00630A4C">
              <w:rPr>
                <w:sz w:val="16"/>
                <w:szCs w:val="16"/>
                <w:lang w:val="en-GB"/>
              </w:rPr>
              <w:t>arms and Centrifugal Compressors</w:t>
            </w:r>
            <w:r>
              <w:rPr>
                <w:sz w:val="18"/>
                <w:szCs w:val="18"/>
                <w:lang w:val="en-GB"/>
              </w:rPr>
              <w:t xml:space="preserve"> </w:t>
            </w:r>
          </w:p>
        </w:tc>
      </w:tr>
    </w:tbl>
    <w:p w14:paraId="79CBA0E8" w14:textId="77777777" w:rsidR="004A786A" w:rsidRPr="006E15A7" w:rsidRDefault="004A786A" w:rsidP="004A786A">
      <w:pPr>
        <w:rPr>
          <w:sz w:val="16"/>
          <w:szCs w:val="16"/>
          <w:lang w:val="en-US"/>
        </w:rPr>
      </w:pPr>
      <w:r w:rsidRPr="006E15A7">
        <w:rPr>
          <w:sz w:val="16"/>
          <w:szCs w:val="16"/>
          <w:lang w:val="en-US"/>
        </w:rPr>
        <w:t>Note: The methodologies for the cost calculations and assumptions (particularly gas prices) of the analyses are better documented in the studies for the US, Canada and Mexico (all commissioned by the international nonprofit organization Environmental Defense Fund)</w:t>
      </w:r>
      <w:r w:rsidR="000E10C3">
        <w:rPr>
          <w:sz w:val="16"/>
          <w:szCs w:val="16"/>
          <w:lang w:val="en-US"/>
        </w:rPr>
        <w:t xml:space="preserve"> than the global estimates provided by the IEA</w:t>
      </w:r>
      <w:r>
        <w:rPr>
          <w:sz w:val="16"/>
          <w:szCs w:val="16"/>
          <w:lang w:val="en-US"/>
        </w:rPr>
        <w:t xml:space="preserve">.  </w:t>
      </w:r>
    </w:p>
    <w:p w14:paraId="13E8F053" w14:textId="647DA4A0" w:rsidR="00D108D9" w:rsidRDefault="00B67CD3" w:rsidP="004A786A">
      <w:pPr>
        <w:rPr>
          <w:lang w:val="en-US"/>
        </w:rPr>
      </w:pPr>
      <w:r>
        <w:rPr>
          <w:lang w:val="en-US"/>
        </w:rPr>
        <w:lastRenderedPageBreak/>
        <w:t>A number of studies have highlighted the importance of oil and gas methane mitigation in international climate policies</w:t>
      </w:r>
      <w:r w:rsidR="009A14CA">
        <w:rPr>
          <w:lang w:val="en-US"/>
        </w:rPr>
        <w:t>.</w:t>
      </w:r>
      <w:r>
        <w:rPr>
          <w:rStyle w:val="FootnoteReference"/>
        </w:rPr>
        <w:footnoteReference w:id="69"/>
      </w:r>
      <w:r>
        <w:rPr>
          <w:lang w:val="en-US"/>
        </w:rPr>
        <w:t xml:space="preserve"> </w:t>
      </w:r>
      <w:r w:rsidR="00D108D9">
        <w:rPr>
          <w:lang w:val="en-US"/>
        </w:rPr>
        <w:t>Table 4.1 presents results from a selection of methane abatement cost studies. The potential for profitable abatement measures are in the range 40-54</w:t>
      </w:r>
      <w:r w:rsidR="004F0417">
        <w:rPr>
          <w:lang w:val="en-US"/>
        </w:rPr>
        <w:t xml:space="preserve"> </w:t>
      </w:r>
      <w:r w:rsidR="00D108D9">
        <w:rPr>
          <w:lang w:val="en-US"/>
        </w:rPr>
        <w:t>%</w:t>
      </w:r>
      <w:r w:rsidR="004F0417">
        <w:rPr>
          <w:lang w:val="en-US"/>
        </w:rPr>
        <w:t xml:space="preserve"> </w:t>
      </w:r>
      <w:r w:rsidR="00D108D9">
        <w:rPr>
          <w:lang w:val="en-US"/>
        </w:rPr>
        <w:t>direct measurement, engineering calculations, or emission factors.  In some cases, operators have a choice of calculation methods for an emission source</w:t>
      </w:r>
    </w:p>
    <w:p w14:paraId="6A58665C" w14:textId="77777777" w:rsidR="004A786A" w:rsidRDefault="004A786A" w:rsidP="004A786A">
      <w:pPr>
        <w:rPr>
          <w:lang w:val="en-US"/>
        </w:rPr>
      </w:pPr>
      <w:r>
        <w:rPr>
          <w:lang w:val="en-US"/>
        </w:rPr>
        <w:t>Limited information is available about the causes for this large, persistent and unexploited potential for economic emission reductions. Barriers to action may vary from country to country and across companies, but there are some common features which are summarized in Figure 4.1 and further explained below.</w:t>
      </w:r>
    </w:p>
    <w:p w14:paraId="10B3E979" w14:textId="77777777" w:rsidR="004173F0" w:rsidRDefault="004173F0" w:rsidP="004A786A">
      <w:pPr>
        <w:pStyle w:val="Caption"/>
        <w:rPr>
          <w:bCs w:val="0"/>
          <w:i/>
          <w:iCs/>
          <w:lang w:val="en-US"/>
        </w:rPr>
      </w:pPr>
    </w:p>
    <w:p w14:paraId="5C5BB8D4" w14:textId="5E878987" w:rsidR="004A786A" w:rsidRPr="00AB5409" w:rsidRDefault="004A786A" w:rsidP="004A786A">
      <w:pPr>
        <w:pStyle w:val="Caption"/>
        <w:rPr>
          <w:bCs w:val="0"/>
          <w:i/>
          <w:iCs/>
          <w:lang w:val="en-US"/>
        </w:rPr>
      </w:pPr>
      <w:r w:rsidRPr="004A786A">
        <w:rPr>
          <w:bCs w:val="0"/>
          <w:i/>
          <w:iCs/>
          <w:lang w:val="en-US"/>
        </w:rPr>
        <w:t>Figure 4.1: Overview of barrier to methane emission mitigation</w:t>
      </w:r>
    </w:p>
    <w:p w14:paraId="45CE7BF3" w14:textId="611080E0" w:rsidR="004A786A" w:rsidRDefault="004A786A" w:rsidP="004A786A">
      <w:pPr>
        <w:rPr>
          <w:lang w:val="en-US"/>
        </w:rPr>
      </w:pPr>
      <w:r>
        <w:rPr>
          <w:noProof/>
          <w:lang w:eastAsia="nb-NO"/>
        </w:rPr>
        <w:drawing>
          <wp:inline distT="0" distB="0" distL="0" distR="0" wp14:anchorId="0033B212" wp14:editId="5A43030D">
            <wp:extent cx="4694375" cy="24384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480" cy="2438974"/>
                    </a:xfrm>
                    <a:prstGeom prst="rect">
                      <a:avLst/>
                    </a:prstGeom>
                    <a:noFill/>
                  </pic:spPr>
                </pic:pic>
              </a:graphicData>
            </a:graphic>
          </wp:inline>
        </w:drawing>
      </w:r>
    </w:p>
    <w:p w14:paraId="512CFAE0" w14:textId="77777777" w:rsidR="004173F0" w:rsidRPr="006F6315" w:rsidRDefault="004173F0" w:rsidP="004A786A">
      <w:pPr>
        <w:rPr>
          <w:lang w:val="en-US"/>
        </w:rPr>
      </w:pPr>
    </w:p>
    <w:p w14:paraId="1D75F870" w14:textId="77777777" w:rsidR="004A786A" w:rsidRPr="00D14069" w:rsidRDefault="004A786A" w:rsidP="004A786A">
      <w:pPr>
        <w:pStyle w:val="Heading4"/>
        <w:numPr>
          <w:ilvl w:val="0"/>
          <w:numId w:val="0"/>
        </w:numPr>
        <w:rPr>
          <w:lang w:val="en-GB"/>
        </w:rPr>
      </w:pPr>
      <w:r w:rsidRPr="00D14069">
        <w:rPr>
          <w:lang w:val="en-GB"/>
        </w:rPr>
        <w:t xml:space="preserve">Lack of awareness and knowledge </w:t>
      </w:r>
    </w:p>
    <w:p w14:paraId="51C8AE63" w14:textId="77777777" w:rsidR="004A786A" w:rsidRDefault="004A786A" w:rsidP="004A786A">
      <w:pPr>
        <w:rPr>
          <w:lang w:val="en-US"/>
        </w:rPr>
      </w:pPr>
      <w:r>
        <w:rPr>
          <w:lang w:val="en-US"/>
        </w:rPr>
        <w:t>Methane emissions are largely not visible, and often unknown to the public. Additionally, CO</w:t>
      </w:r>
      <w:r>
        <w:rPr>
          <w:vertAlign w:val="subscript"/>
          <w:lang w:val="en-US"/>
        </w:rPr>
        <w:t xml:space="preserve">2 </w:t>
      </w:r>
      <w:r>
        <w:rPr>
          <w:lang w:val="en-US"/>
        </w:rPr>
        <w:t xml:space="preserve">emissions have been considered </w:t>
      </w:r>
      <w:r w:rsidRPr="00CC1FAE">
        <w:rPr>
          <w:lang w:val="en-GB"/>
        </w:rPr>
        <w:t xml:space="preserve">the dominant contributor to </w:t>
      </w:r>
      <w:r>
        <w:rPr>
          <w:lang w:val="en-GB"/>
        </w:rPr>
        <w:t xml:space="preserve">GHG emissions, despite the high share of GHG emissions in the Oil and Natural Gas system. Even if </w:t>
      </w:r>
      <w:r w:rsidRPr="00C61D05">
        <w:rPr>
          <w:lang w:val="en-US"/>
        </w:rPr>
        <w:t xml:space="preserve">awareness </w:t>
      </w:r>
      <w:r>
        <w:rPr>
          <w:lang w:val="en-US"/>
        </w:rPr>
        <w:t xml:space="preserve">exists, </w:t>
      </w:r>
      <w:r w:rsidRPr="00C61D05">
        <w:rPr>
          <w:lang w:val="en-US"/>
        </w:rPr>
        <w:t xml:space="preserve">there </w:t>
      </w:r>
      <w:r>
        <w:rPr>
          <w:lang w:val="en-US"/>
        </w:rPr>
        <w:t xml:space="preserve">may </w:t>
      </w:r>
      <w:r w:rsidRPr="00C61D05">
        <w:rPr>
          <w:lang w:val="en-US"/>
        </w:rPr>
        <w:t xml:space="preserve">still be a lack of </w:t>
      </w:r>
      <w:r>
        <w:rPr>
          <w:lang w:val="en-US"/>
        </w:rPr>
        <w:t>motivation</w:t>
      </w:r>
      <w:r w:rsidRPr="00C61D05">
        <w:rPr>
          <w:lang w:val="en-US"/>
        </w:rPr>
        <w:t xml:space="preserve"> or experience </w:t>
      </w:r>
      <w:r>
        <w:rPr>
          <w:lang w:val="en-US"/>
        </w:rPr>
        <w:t xml:space="preserve">to implement mitigation </w:t>
      </w:r>
      <w:r w:rsidRPr="00C61D05">
        <w:rPr>
          <w:lang w:val="en-US"/>
        </w:rPr>
        <w:t>technologies</w:t>
      </w:r>
      <w:r>
        <w:rPr>
          <w:lang w:val="en-US"/>
        </w:rPr>
        <w:t xml:space="preserve">. Particularly small companies would typically lack </w:t>
      </w:r>
      <w:r w:rsidRPr="00C61D05">
        <w:rPr>
          <w:lang w:val="en-US"/>
        </w:rPr>
        <w:t xml:space="preserve">experience or the resources to </w:t>
      </w:r>
      <w:r>
        <w:rPr>
          <w:lang w:val="en-US"/>
        </w:rPr>
        <w:t>address the issue.</w:t>
      </w:r>
      <w:r w:rsidRPr="00C61D05">
        <w:rPr>
          <w:lang w:val="en-US"/>
        </w:rPr>
        <w:t xml:space="preserve"> </w:t>
      </w:r>
    </w:p>
    <w:p w14:paraId="1AD6F3AB" w14:textId="45A133A0" w:rsidR="004A786A" w:rsidRDefault="004A786A" w:rsidP="004A786A">
      <w:pPr>
        <w:rPr>
          <w:lang w:val="en-GB"/>
        </w:rPr>
      </w:pPr>
      <w:r>
        <w:rPr>
          <w:lang w:val="en-GB"/>
        </w:rPr>
        <w:t xml:space="preserve">Lack of </w:t>
      </w:r>
      <w:r w:rsidRPr="00CC1FAE">
        <w:rPr>
          <w:lang w:val="en-GB"/>
        </w:rPr>
        <w:t>basic inventories for methane</w:t>
      </w:r>
      <w:r>
        <w:rPr>
          <w:lang w:val="en-GB"/>
        </w:rPr>
        <w:t xml:space="preserve"> both at the national and company level hinder mitigation actions, and e</w:t>
      </w:r>
      <w:r w:rsidRPr="00CC1FAE">
        <w:rPr>
          <w:rFonts w:cstheme="minorHAnsi"/>
          <w:szCs w:val="20"/>
          <w:lang w:val="en-GB"/>
        </w:rPr>
        <w:t xml:space="preserve">ven when methane emission inventories exist, </w:t>
      </w:r>
      <w:r w:rsidRPr="00CC1FAE">
        <w:rPr>
          <w:lang w:val="en-GB"/>
        </w:rPr>
        <w:t xml:space="preserve">uncertainties in the estimates </w:t>
      </w:r>
      <w:r>
        <w:rPr>
          <w:lang w:val="en-GB"/>
        </w:rPr>
        <w:t xml:space="preserve">can halt decision making at the corporate level and may </w:t>
      </w:r>
      <w:r w:rsidRPr="00CC1FAE">
        <w:rPr>
          <w:lang w:val="en-GB"/>
        </w:rPr>
        <w:t xml:space="preserve">confuse and alienate participants in the political debate and prevent consensus building. </w:t>
      </w:r>
    </w:p>
    <w:p w14:paraId="54464935" w14:textId="77777777" w:rsidR="004173F0" w:rsidRPr="00CC1FAE" w:rsidRDefault="004173F0" w:rsidP="004A786A">
      <w:pPr>
        <w:rPr>
          <w:lang w:val="en-GB"/>
        </w:rPr>
      </w:pPr>
    </w:p>
    <w:p w14:paraId="434EA995" w14:textId="77777777" w:rsidR="004A786A" w:rsidRPr="00487DF1" w:rsidRDefault="004A786A" w:rsidP="004A786A">
      <w:pPr>
        <w:pStyle w:val="Heading4"/>
        <w:numPr>
          <w:ilvl w:val="0"/>
          <w:numId w:val="0"/>
        </w:numPr>
        <w:rPr>
          <w:lang w:val="en-US"/>
        </w:rPr>
      </w:pPr>
      <w:r w:rsidRPr="00487DF1">
        <w:rPr>
          <w:lang w:val="en-US"/>
        </w:rPr>
        <w:t xml:space="preserve">Economic </w:t>
      </w:r>
      <w:r>
        <w:rPr>
          <w:lang w:val="en-US"/>
        </w:rPr>
        <w:t>- F</w:t>
      </w:r>
      <w:r w:rsidRPr="00487DF1">
        <w:rPr>
          <w:lang w:val="en-US"/>
        </w:rPr>
        <w:t xml:space="preserve">inancial </w:t>
      </w:r>
    </w:p>
    <w:p w14:paraId="3BCC9764" w14:textId="45B34F26" w:rsidR="004A786A" w:rsidRDefault="004A786A" w:rsidP="004A786A">
      <w:pPr>
        <w:rPr>
          <w:lang w:val="en-GB"/>
        </w:rPr>
      </w:pPr>
      <w:r>
        <w:rPr>
          <w:lang w:val="en-US"/>
        </w:rPr>
        <w:t>Even when companies have the knowledge of the scale and nature of emissions, and have identified profitable mitigation opportunities, this may not be enough to spur action.</w:t>
      </w:r>
      <w:r w:rsidR="004F0417">
        <w:rPr>
          <w:lang w:val="en-US"/>
        </w:rPr>
        <w:t xml:space="preserve"> </w:t>
      </w:r>
      <w:r>
        <w:rPr>
          <w:lang w:val="en-GB"/>
        </w:rPr>
        <w:t xml:space="preserve">Not all </w:t>
      </w:r>
      <w:r w:rsidRPr="004A1D42">
        <w:rPr>
          <w:lang w:val="en-GB"/>
        </w:rPr>
        <w:t>profitable projects are undertaken or invested in</w:t>
      </w:r>
      <w:r>
        <w:rPr>
          <w:lang w:val="en-GB"/>
        </w:rPr>
        <w:t>, due to lack of human resources and capital to pursue all project propositions reported as profitable. U</w:t>
      </w:r>
      <w:r w:rsidRPr="00CC1FAE">
        <w:rPr>
          <w:lang w:val="en-GB"/>
        </w:rPr>
        <w:t>nless there are specific guidelines or policy reasons (</w:t>
      </w:r>
      <w:r>
        <w:rPr>
          <w:lang w:val="en-GB"/>
        </w:rPr>
        <w:t xml:space="preserve">e.g., </w:t>
      </w:r>
      <w:r w:rsidRPr="00CC1FAE">
        <w:rPr>
          <w:lang w:val="en-GB"/>
        </w:rPr>
        <w:t xml:space="preserve">“Licence to Operate”) to prioritise </w:t>
      </w:r>
      <w:r>
        <w:rPr>
          <w:lang w:val="en-GB"/>
        </w:rPr>
        <w:t xml:space="preserve">methane management practices and </w:t>
      </w:r>
      <w:r w:rsidRPr="00CC1FAE">
        <w:rPr>
          <w:lang w:val="en-GB"/>
        </w:rPr>
        <w:t>investments</w:t>
      </w:r>
      <w:r>
        <w:rPr>
          <w:lang w:val="en-GB"/>
        </w:rPr>
        <w:t>,</w:t>
      </w:r>
      <w:r w:rsidRPr="00CC1FAE">
        <w:rPr>
          <w:lang w:val="en-GB"/>
        </w:rPr>
        <w:t xml:space="preserve"> they will </w:t>
      </w:r>
      <w:r>
        <w:rPr>
          <w:lang w:val="en-GB"/>
        </w:rPr>
        <w:t xml:space="preserve">often </w:t>
      </w:r>
      <w:r w:rsidRPr="00CC1FAE">
        <w:rPr>
          <w:lang w:val="en-GB"/>
        </w:rPr>
        <w:t>not be selected in the internal comp</w:t>
      </w:r>
      <w:r>
        <w:rPr>
          <w:lang w:val="en-GB"/>
        </w:rPr>
        <w:t xml:space="preserve">etition </w:t>
      </w:r>
      <w:r w:rsidRPr="00CC1FAE">
        <w:rPr>
          <w:lang w:val="en-GB"/>
        </w:rPr>
        <w:t xml:space="preserve">for resources. </w:t>
      </w:r>
    </w:p>
    <w:p w14:paraId="32D89E23" w14:textId="0AF0368E" w:rsidR="004A786A" w:rsidRDefault="004A786A" w:rsidP="004A786A">
      <w:pPr>
        <w:rPr>
          <w:lang w:val="en-GB"/>
        </w:rPr>
      </w:pPr>
      <w:r w:rsidRPr="00E47B9C">
        <w:rPr>
          <w:lang w:val="en-GB"/>
        </w:rPr>
        <w:t>The financial return on methane emission reduction project</w:t>
      </w:r>
      <w:r>
        <w:rPr>
          <w:lang w:val="en-GB"/>
        </w:rPr>
        <w:t>s</w:t>
      </w:r>
      <w:r w:rsidRPr="00E47B9C">
        <w:rPr>
          <w:lang w:val="en-GB"/>
        </w:rPr>
        <w:t xml:space="preserve"> depend critically on the price being paid for the gas captured and brought to market</w:t>
      </w:r>
      <w:r>
        <w:rPr>
          <w:lang w:val="en-GB"/>
        </w:rPr>
        <w:t>s</w:t>
      </w:r>
      <w:r w:rsidRPr="00E47B9C">
        <w:rPr>
          <w:lang w:val="en-GB"/>
        </w:rPr>
        <w:t xml:space="preserve">. </w:t>
      </w:r>
      <w:r>
        <w:rPr>
          <w:lang w:val="en-GB"/>
        </w:rPr>
        <w:t xml:space="preserve">If prices used in investment analyses are those observed </w:t>
      </w:r>
      <w:r>
        <w:rPr>
          <w:lang w:val="en-GB"/>
        </w:rPr>
        <w:lastRenderedPageBreak/>
        <w:t xml:space="preserve">in relevant gas markets, and prices are kept artificially low through regulations or subsidy schemes, then the incentives for capturing gas otherwise wasted would be too weak. Another and perhaps even more serious hindrance exist if the gas market is “demand constrained” implying that the additional supplies brought about by gas capture does not lead to increased gas sales, but only result in less production. In such cases the gas supplied may not see a near term benefit to justify the costs of gas capture. </w:t>
      </w:r>
    </w:p>
    <w:p w14:paraId="3C699F95" w14:textId="77777777" w:rsidR="004F0417" w:rsidRDefault="004F0417" w:rsidP="004A786A">
      <w:pPr>
        <w:rPr>
          <w:lang w:val="en-GB"/>
        </w:rPr>
      </w:pPr>
    </w:p>
    <w:p w14:paraId="3B377124" w14:textId="77777777" w:rsidR="004A786A" w:rsidRPr="00487DF1" w:rsidRDefault="004A786A" w:rsidP="004A786A">
      <w:pPr>
        <w:pStyle w:val="Heading4"/>
        <w:numPr>
          <w:ilvl w:val="0"/>
          <w:numId w:val="0"/>
        </w:numPr>
        <w:rPr>
          <w:lang w:val="en-US"/>
        </w:rPr>
      </w:pPr>
      <w:r w:rsidRPr="00487DF1">
        <w:rPr>
          <w:lang w:val="en-US"/>
        </w:rPr>
        <w:t xml:space="preserve">Regulatory </w:t>
      </w:r>
    </w:p>
    <w:p w14:paraId="58FC5668" w14:textId="77777777" w:rsidR="004A786A" w:rsidRPr="00CC1FAE" w:rsidRDefault="004A786A" w:rsidP="004A786A">
      <w:pPr>
        <w:spacing w:before="120" w:after="0"/>
        <w:rPr>
          <w:lang w:val="en-GB"/>
        </w:rPr>
      </w:pPr>
      <w:r>
        <w:rPr>
          <w:lang w:val="en-GB"/>
        </w:rPr>
        <w:t>Oil and gas sector methane emissions have in many jurisdictions have received little political attention and with limited regulatory measures being imposed.</w:t>
      </w:r>
      <w:r w:rsidRPr="00CC1FAE">
        <w:rPr>
          <w:lang w:val="en-GB"/>
        </w:rPr>
        <w:t xml:space="preserve"> A number of </w:t>
      </w:r>
      <w:r>
        <w:rPr>
          <w:lang w:val="en-GB"/>
        </w:rPr>
        <w:t xml:space="preserve">factors </w:t>
      </w:r>
      <w:r w:rsidRPr="00CC1FAE">
        <w:rPr>
          <w:lang w:val="en-GB"/>
        </w:rPr>
        <w:t>can explain this:</w:t>
      </w:r>
    </w:p>
    <w:p w14:paraId="638BB5EF" w14:textId="77777777" w:rsidR="004A786A" w:rsidRPr="00D14069" w:rsidRDefault="004A786A" w:rsidP="005D2939">
      <w:pPr>
        <w:pStyle w:val="ListParagraph"/>
        <w:numPr>
          <w:ilvl w:val="0"/>
          <w:numId w:val="26"/>
        </w:numPr>
        <w:spacing w:before="120" w:after="0" w:line="276" w:lineRule="auto"/>
        <w:ind w:left="714" w:hanging="357"/>
        <w:contextualSpacing w:val="0"/>
        <w:rPr>
          <w:color w:val="000000" w:themeColor="text1"/>
          <w:lang w:val="en-GB"/>
        </w:rPr>
      </w:pPr>
      <w:r w:rsidRPr="00D14069">
        <w:rPr>
          <w:color w:val="000000" w:themeColor="text1"/>
          <w:lang w:val="en-GB"/>
        </w:rPr>
        <w:t>As largely invisible and originating in relatively moderate volumes from a huge and dis</w:t>
      </w:r>
      <w:r>
        <w:rPr>
          <w:color w:val="000000" w:themeColor="text1"/>
          <w:lang w:val="en-GB"/>
        </w:rPr>
        <w:t>pe</w:t>
      </w:r>
      <w:r w:rsidRPr="00D14069">
        <w:rPr>
          <w:color w:val="000000" w:themeColor="text1"/>
          <w:lang w:val="en-GB"/>
        </w:rPr>
        <w:t>rsed number of sources, methane emission</w:t>
      </w:r>
      <w:r>
        <w:rPr>
          <w:color w:val="000000" w:themeColor="text1"/>
          <w:lang w:val="en-GB"/>
        </w:rPr>
        <w:t>s</w:t>
      </w:r>
      <w:r w:rsidRPr="00D14069">
        <w:rPr>
          <w:color w:val="000000" w:themeColor="text1"/>
          <w:lang w:val="en-GB"/>
        </w:rPr>
        <w:t xml:space="preserve"> have not attracted the attention of policy makers and the public. Focus has been on large and visible point sources,</w:t>
      </w:r>
      <w:r>
        <w:rPr>
          <w:color w:val="000000" w:themeColor="text1"/>
          <w:lang w:val="en-GB"/>
        </w:rPr>
        <w:t xml:space="preserve"> as flare stacks.</w:t>
      </w:r>
    </w:p>
    <w:p w14:paraId="01CF9015" w14:textId="77777777" w:rsidR="004A786A" w:rsidRPr="00D14069" w:rsidRDefault="004A786A" w:rsidP="005D2939">
      <w:pPr>
        <w:pStyle w:val="ListParagraph"/>
        <w:numPr>
          <w:ilvl w:val="0"/>
          <w:numId w:val="26"/>
        </w:numPr>
        <w:spacing w:before="120" w:after="0" w:line="276" w:lineRule="auto"/>
        <w:ind w:left="714" w:hanging="357"/>
        <w:contextualSpacing w:val="0"/>
        <w:rPr>
          <w:color w:val="000000" w:themeColor="text1"/>
          <w:lang w:val="en-GB"/>
        </w:rPr>
      </w:pPr>
      <w:r w:rsidRPr="00D14069">
        <w:rPr>
          <w:color w:val="000000" w:themeColor="text1"/>
          <w:lang w:val="en-GB"/>
        </w:rPr>
        <w:t xml:space="preserve">Given the complexity of oil and gas sector methane emissions, there are major challenges in developing and implementing good regulations, including the demanding task of establishing competent regulatory institutions. </w:t>
      </w:r>
    </w:p>
    <w:p w14:paraId="12D72B95" w14:textId="77777777" w:rsidR="004A786A" w:rsidRPr="00D3288C" w:rsidRDefault="004A786A" w:rsidP="005D2939">
      <w:pPr>
        <w:pStyle w:val="ListParagraph"/>
        <w:numPr>
          <w:ilvl w:val="0"/>
          <w:numId w:val="26"/>
        </w:numPr>
        <w:spacing w:before="120" w:after="0" w:line="276" w:lineRule="auto"/>
        <w:ind w:left="714" w:hanging="357"/>
        <w:contextualSpacing w:val="0"/>
        <w:rPr>
          <w:lang w:val="en-GB"/>
        </w:rPr>
      </w:pPr>
      <w:r w:rsidRPr="00D3288C">
        <w:rPr>
          <w:color w:val="000000" w:themeColor="text1"/>
          <w:lang w:val="en-GB"/>
        </w:rPr>
        <w:t xml:space="preserve">In many countries climate change mitigation has only recently emerged as a political priority. It may be perceived as a threat to oil and gas sector revenues, jobs and industrial activity. </w:t>
      </w:r>
    </w:p>
    <w:p w14:paraId="63AF9E37" w14:textId="3B1BE13C" w:rsidR="004A786A" w:rsidRDefault="004A786A" w:rsidP="004A786A">
      <w:pPr>
        <w:spacing w:before="120" w:after="0"/>
        <w:rPr>
          <w:lang w:val="en-GB"/>
        </w:rPr>
      </w:pPr>
      <w:r w:rsidRPr="00D3288C">
        <w:rPr>
          <w:lang w:val="en-GB"/>
        </w:rPr>
        <w:t xml:space="preserve">The capacity and capabilities of regulatory institutions are important factors, particularly since methane emissions from oil and gas industries are new on the policy agenda and given the complexities of these emissions and the measures to reduce them. More fundamentally, in some countries there are independent regulatory institutions and/or policy making branches that regulate energy, environment, and commercial activities separately. </w:t>
      </w:r>
    </w:p>
    <w:p w14:paraId="379C86ED" w14:textId="77777777" w:rsidR="004F0417" w:rsidRPr="00D3288C" w:rsidRDefault="004F0417" w:rsidP="004A786A">
      <w:pPr>
        <w:spacing w:before="120" w:after="0"/>
        <w:rPr>
          <w:lang w:val="en-GB"/>
        </w:rPr>
      </w:pPr>
    </w:p>
    <w:p w14:paraId="63557F77" w14:textId="77777777" w:rsidR="004A786A" w:rsidRDefault="004A786A" w:rsidP="004A786A">
      <w:pPr>
        <w:pStyle w:val="Heading4"/>
        <w:numPr>
          <w:ilvl w:val="0"/>
          <w:numId w:val="0"/>
        </w:numPr>
        <w:rPr>
          <w:lang w:val="en-US"/>
        </w:rPr>
      </w:pPr>
      <w:r w:rsidRPr="0099793D">
        <w:rPr>
          <w:lang w:val="en-US"/>
        </w:rPr>
        <w:t xml:space="preserve">Structural </w:t>
      </w:r>
    </w:p>
    <w:p w14:paraId="6207F01D" w14:textId="77777777" w:rsidR="004A786A" w:rsidRDefault="004A786A" w:rsidP="004A786A">
      <w:pPr>
        <w:pStyle w:val="ListNumber"/>
        <w:numPr>
          <w:ilvl w:val="0"/>
          <w:numId w:val="0"/>
        </w:numPr>
        <w:spacing w:before="120" w:after="0"/>
        <w:contextualSpacing w:val="0"/>
        <w:rPr>
          <w:lang w:val="en-US"/>
        </w:rPr>
      </w:pPr>
      <w:r>
        <w:rPr>
          <w:lang w:val="en-US"/>
        </w:rPr>
        <w:t xml:space="preserve">Structural barriers are related to framework conditions for operators and other partners in oil and gas supply, operations, and development sectors.  One important aspect in the upstream segment of the industry is the coverage of gas in Technical Service Contracts or Production Sharing Agreement between companies and host country authorities. Such agreements often reserve the ownership rights of gas produced in association with oil to the state or have clauses for delivery and sales of the gas which offers poor incentives to operators to develop and manage gas handling facilities. As a consequence, considerable gas volumes are flared or otherwise wasted with significant economic losses on top of the environmental damages. With the increased focus on flare reduction many countries have or are taking steps to change legal and regulatory conditions with the aim to incentivize gas utilization. </w:t>
      </w:r>
    </w:p>
    <w:p w14:paraId="65C9A529" w14:textId="7932E020" w:rsidR="00B67CD3" w:rsidRDefault="004A786A" w:rsidP="004A786A">
      <w:pPr>
        <w:pStyle w:val="ListNumber"/>
        <w:numPr>
          <w:ilvl w:val="0"/>
          <w:numId w:val="0"/>
        </w:numPr>
        <w:spacing w:before="120" w:after="0"/>
        <w:contextualSpacing w:val="0"/>
        <w:rPr>
          <w:lang w:val="en-US" w:eastAsia="nb-NO"/>
        </w:rPr>
      </w:pPr>
      <w:r>
        <w:rPr>
          <w:lang w:val="en-US"/>
        </w:rPr>
        <w:t xml:space="preserve">In the downstream segment of the gas value chain a common problem is a lack of incentives for distribution companies to prevent gas losses. Often </w:t>
      </w:r>
      <w:r w:rsidRPr="00AB5409">
        <w:rPr>
          <w:lang w:val="en-US" w:eastAsia="nb-NO"/>
        </w:rPr>
        <w:t>companies do not purchase and sell the gas, but are merely paid by the volume of gas distributed, as measured at inlet stations. Consequently</w:t>
      </w:r>
      <w:r>
        <w:rPr>
          <w:lang w:val="en-US" w:eastAsia="nb-NO"/>
        </w:rPr>
        <w:t>,</w:t>
      </w:r>
      <w:r w:rsidRPr="00AB5409">
        <w:rPr>
          <w:lang w:val="en-US" w:eastAsia="nb-NO"/>
        </w:rPr>
        <w:t xml:space="preserve"> their revenues are not sensitive to the rate of losses and their incentives </w:t>
      </w:r>
      <w:r>
        <w:rPr>
          <w:lang w:val="en-US" w:eastAsia="nb-NO"/>
        </w:rPr>
        <w:t xml:space="preserve">to </w:t>
      </w:r>
      <w:r w:rsidRPr="00AB5409">
        <w:rPr>
          <w:lang w:val="en-US" w:eastAsia="nb-NO"/>
        </w:rPr>
        <w:t>undertake maintenance and leak detection and repair may be dictated by safety</w:t>
      </w:r>
      <w:r>
        <w:rPr>
          <w:lang w:val="en-US" w:eastAsia="nb-NO"/>
        </w:rPr>
        <w:t xml:space="preserve"> considerations</w:t>
      </w:r>
      <w:r w:rsidRPr="00AB5409">
        <w:rPr>
          <w:lang w:val="en-US" w:eastAsia="nb-NO"/>
        </w:rPr>
        <w:t xml:space="preserve"> and avoidance of supply disruptions only. </w:t>
      </w:r>
    </w:p>
    <w:p w14:paraId="03D20744" w14:textId="77777777" w:rsidR="004A786A" w:rsidRDefault="004A786A" w:rsidP="004A786A">
      <w:pPr>
        <w:pStyle w:val="ListNumber"/>
        <w:numPr>
          <w:ilvl w:val="0"/>
          <w:numId w:val="0"/>
        </w:numPr>
        <w:spacing w:before="120" w:after="0"/>
        <w:contextualSpacing w:val="0"/>
        <w:rPr>
          <w:lang w:val="en-US" w:eastAsia="nb-NO"/>
        </w:rPr>
      </w:pPr>
      <w:r>
        <w:rPr>
          <w:lang w:val="en-US" w:eastAsia="nb-NO"/>
        </w:rPr>
        <w:t xml:space="preserve">These and other </w:t>
      </w:r>
      <w:r w:rsidRPr="00AB5409">
        <w:rPr>
          <w:lang w:val="en-US" w:eastAsia="nb-NO"/>
        </w:rPr>
        <w:t>barriers can be removed by both corporate measures and through policies and regulations imposed by national authorities</w:t>
      </w:r>
      <w:r>
        <w:rPr>
          <w:lang w:val="en-US" w:eastAsia="nb-NO"/>
        </w:rPr>
        <w:t xml:space="preserve">, including </w:t>
      </w:r>
      <w:r w:rsidRPr="00AB5409">
        <w:rPr>
          <w:lang w:val="en-US" w:eastAsia="nb-NO"/>
        </w:rPr>
        <w:t>collaborative efforts between public institutions and the corporate sector and framework conditions agreed at the international level</w:t>
      </w:r>
      <w:r>
        <w:rPr>
          <w:lang w:val="en-US" w:eastAsia="nb-NO"/>
        </w:rPr>
        <w:t xml:space="preserve">. </w:t>
      </w:r>
      <w:r w:rsidRPr="00AB5409">
        <w:rPr>
          <w:lang w:val="en-US" w:eastAsia="nb-NO"/>
        </w:rPr>
        <w:t>Actions by companies, national authorities and international fora are discussed in the three next sections.</w:t>
      </w:r>
    </w:p>
    <w:p w14:paraId="2B6D685D" w14:textId="77777777" w:rsidR="00B67CD3" w:rsidRDefault="00B67CD3" w:rsidP="004A786A">
      <w:pPr>
        <w:pStyle w:val="ListNumber"/>
        <w:numPr>
          <w:ilvl w:val="0"/>
          <w:numId w:val="0"/>
        </w:numPr>
        <w:spacing w:before="120" w:after="0"/>
        <w:contextualSpacing w:val="0"/>
        <w:rPr>
          <w:lang w:val="en-US" w:eastAsia="nb-NO"/>
        </w:rPr>
      </w:pPr>
    </w:p>
    <w:p w14:paraId="602029F0" w14:textId="77777777" w:rsidR="004A786A" w:rsidRPr="00B126F4" w:rsidRDefault="004A786A" w:rsidP="005D2939">
      <w:pPr>
        <w:pStyle w:val="Heading2"/>
        <w:numPr>
          <w:ilvl w:val="1"/>
          <w:numId w:val="32"/>
        </w:numPr>
        <w:rPr>
          <w:lang w:val="en-GB"/>
        </w:rPr>
      </w:pPr>
      <w:bookmarkStart w:id="93" w:name="_Toc3473006"/>
      <w:r w:rsidRPr="00B126F4">
        <w:rPr>
          <w:lang w:val="en-GB"/>
        </w:rPr>
        <w:lastRenderedPageBreak/>
        <w:t>Company strategies and actions</w:t>
      </w:r>
      <w:bookmarkEnd w:id="93"/>
      <w:r w:rsidRPr="00B126F4">
        <w:rPr>
          <w:lang w:val="en-GB"/>
        </w:rPr>
        <w:t xml:space="preserve"> </w:t>
      </w:r>
    </w:p>
    <w:p w14:paraId="4CF5D50C" w14:textId="77777777" w:rsidR="004A786A" w:rsidRDefault="004A786A" w:rsidP="004A786A">
      <w:pPr>
        <w:spacing w:before="120"/>
        <w:rPr>
          <w:lang w:val="en-GB"/>
        </w:rPr>
      </w:pPr>
      <w:r>
        <w:rPr>
          <w:lang w:val="en-GB"/>
        </w:rPr>
        <w:t>Ultimately decisions and actions to reduce emission of methane emissions are made at the company level. Companies will typically establish strategies and action plans for investments and improvements to operational practices.  A good potential starting point is to have available a company-wide inventory of methane emissions (see Chapter 3) which can be leveraged to prioritize the effort and select sites for measurement campaigns. Existing measurement campaigns can directly be used to identify discrete emission reduction projects. Then follow a three-step process, as illustrated in Figure 4.2.</w:t>
      </w:r>
    </w:p>
    <w:p w14:paraId="00A2CBF5" w14:textId="77777777" w:rsidR="004173F0" w:rsidRDefault="004173F0" w:rsidP="004A786A">
      <w:pPr>
        <w:pStyle w:val="Caption"/>
        <w:rPr>
          <w:rStyle w:val="IntenseEmphasis"/>
          <w:b w:val="0"/>
          <w:bCs/>
          <w:i w:val="0"/>
          <w:iCs w:val="0"/>
          <w:color w:val="2BB673"/>
          <w:lang w:val="en-GB"/>
        </w:rPr>
      </w:pPr>
    </w:p>
    <w:p w14:paraId="0DFB06AD" w14:textId="13F38786" w:rsidR="004A786A" w:rsidRDefault="004A786A" w:rsidP="004A786A">
      <w:pPr>
        <w:pStyle w:val="Caption"/>
        <w:rPr>
          <w:rStyle w:val="IntenseEmphasis"/>
          <w:b w:val="0"/>
          <w:bCs/>
          <w:i w:val="0"/>
          <w:iCs w:val="0"/>
          <w:color w:val="2BB673"/>
          <w:lang w:val="en-GB"/>
        </w:rPr>
      </w:pPr>
      <w:r w:rsidRPr="00AB3AAD">
        <w:rPr>
          <w:rStyle w:val="IntenseEmphasis"/>
          <w:b w:val="0"/>
          <w:bCs/>
          <w:i w:val="0"/>
          <w:iCs w:val="0"/>
          <w:color w:val="2BB673"/>
          <w:lang w:val="en-GB"/>
        </w:rPr>
        <w:t xml:space="preserve">Figure 4.2 Steps in implementation of a methane mitigation strategy and plan </w:t>
      </w:r>
    </w:p>
    <w:p w14:paraId="723BE21A" w14:textId="20EA0889" w:rsidR="004A786A" w:rsidRDefault="004A786A" w:rsidP="004A786A">
      <w:pPr>
        <w:rPr>
          <w:noProof/>
          <w:lang w:val="en-GB" w:eastAsia="nb-NO"/>
        </w:rPr>
      </w:pPr>
      <w:r w:rsidRPr="00CA0E77">
        <w:rPr>
          <w:noProof/>
          <w:lang w:eastAsia="nb-NO"/>
        </w:rPr>
        <w:drawing>
          <wp:inline distT="0" distB="0" distL="0" distR="0" wp14:anchorId="57D8F180" wp14:editId="38B59351">
            <wp:extent cx="4387354" cy="344669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4463" cy="3444423"/>
                    </a:xfrm>
                    <a:prstGeom prst="rect">
                      <a:avLst/>
                    </a:prstGeom>
                    <a:noFill/>
                    <a:ln>
                      <a:noFill/>
                    </a:ln>
                  </pic:spPr>
                </pic:pic>
              </a:graphicData>
            </a:graphic>
          </wp:inline>
        </w:drawing>
      </w:r>
    </w:p>
    <w:p w14:paraId="4D5645C9" w14:textId="007727A6" w:rsidR="00325636" w:rsidRDefault="00325636" w:rsidP="004A786A">
      <w:pPr>
        <w:rPr>
          <w:noProof/>
          <w:lang w:val="en-GB" w:eastAsia="nb-NO"/>
        </w:rPr>
      </w:pPr>
    </w:p>
    <w:p w14:paraId="7638B886" w14:textId="77777777" w:rsidR="004173F0" w:rsidRDefault="004173F0" w:rsidP="004A786A">
      <w:pPr>
        <w:rPr>
          <w:noProof/>
          <w:lang w:val="en-GB" w:eastAsia="nb-NO"/>
        </w:rPr>
      </w:pPr>
    </w:p>
    <w:p w14:paraId="7E5DF5AE" w14:textId="77777777" w:rsidR="004A786A" w:rsidRDefault="004A786A" w:rsidP="005D2939">
      <w:pPr>
        <w:pStyle w:val="Heading3"/>
        <w:numPr>
          <w:ilvl w:val="0"/>
          <w:numId w:val="19"/>
        </w:numPr>
        <w:spacing w:before="120" w:after="0"/>
        <w:rPr>
          <w:lang w:val="en-US"/>
        </w:rPr>
      </w:pPr>
      <w:bookmarkStart w:id="94" w:name="_Toc531691000"/>
      <w:r>
        <w:rPr>
          <w:lang w:val="en-US"/>
        </w:rPr>
        <w:t xml:space="preserve">Evaluate abatement </w:t>
      </w:r>
      <w:r w:rsidRPr="00D46E02">
        <w:rPr>
          <w:lang w:val="en-US"/>
        </w:rPr>
        <w:t>potential</w:t>
      </w:r>
      <w:r>
        <w:rPr>
          <w:lang w:val="en-US"/>
        </w:rPr>
        <w:t xml:space="preserve"> and costs</w:t>
      </w:r>
      <w:bookmarkEnd w:id="94"/>
      <w:r>
        <w:rPr>
          <w:lang w:val="en-US"/>
        </w:rPr>
        <w:t xml:space="preserve"> </w:t>
      </w:r>
    </w:p>
    <w:p w14:paraId="75A70653" w14:textId="6AC9F059" w:rsidR="004A786A" w:rsidRDefault="004A786A" w:rsidP="004A786A">
      <w:pPr>
        <w:spacing w:before="120" w:after="0"/>
        <w:rPr>
          <w:lang w:val="en-US"/>
        </w:rPr>
      </w:pPr>
      <w:r w:rsidRPr="00890EE8">
        <w:rPr>
          <w:lang w:val="en-GB"/>
        </w:rPr>
        <w:t xml:space="preserve">There are currently a large number of </w:t>
      </w:r>
      <w:r>
        <w:rPr>
          <w:lang w:val="en-GB"/>
        </w:rPr>
        <w:t xml:space="preserve">best </w:t>
      </w:r>
      <w:r w:rsidRPr="00890EE8">
        <w:rPr>
          <w:lang w:val="en-GB"/>
        </w:rPr>
        <w:t xml:space="preserve">practices and technologies that can be applied to reduce methane </w:t>
      </w:r>
      <w:r>
        <w:rPr>
          <w:lang w:val="en-GB"/>
        </w:rPr>
        <w:t xml:space="preserve">emissions </w:t>
      </w:r>
      <w:r>
        <w:rPr>
          <w:lang w:val="en-US"/>
        </w:rPr>
        <w:t>from the oil and gas value chain. These practices have been documented in a number of publicly available reports</w:t>
      </w:r>
      <w:r w:rsidR="009A14CA">
        <w:rPr>
          <w:lang w:val="en-US"/>
        </w:rPr>
        <w:t>.</w:t>
      </w:r>
      <w:r>
        <w:rPr>
          <w:rStyle w:val="FootnoteReference"/>
        </w:rPr>
        <w:footnoteReference w:id="70"/>
      </w:r>
      <w:r>
        <w:rPr>
          <w:lang w:val="en-US"/>
        </w:rPr>
        <w:t xml:space="preserve"> An overview of the main abatement options by emission sources categories are summarized in Table 4.1 and presented in more details (including links to other sources of information)</w:t>
      </w:r>
      <w:r w:rsidRPr="00543E8F">
        <w:rPr>
          <w:lang w:val="en-US"/>
        </w:rPr>
        <w:t xml:space="preserve"> </w:t>
      </w:r>
      <w:r>
        <w:rPr>
          <w:lang w:val="en-US"/>
        </w:rPr>
        <w:t>in the Annex 1.</w:t>
      </w:r>
    </w:p>
    <w:p w14:paraId="59C8E5DD" w14:textId="7651F7B0" w:rsidR="004F0417" w:rsidRDefault="004F0417" w:rsidP="004A786A">
      <w:pPr>
        <w:spacing w:before="120" w:after="0"/>
        <w:rPr>
          <w:lang w:val="en-US"/>
        </w:rPr>
      </w:pPr>
    </w:p>
    <w:p w14:paraId="4198190B" w14:textId="03058973" w:rsidR="004173F0" w:rsidRDefault="004173F0" w:rsidP="004A786A">
      <w:pPr>
        <w:spacing w:before="120" w:after="0"/>
        <w:rPr>
          <w:lang w:val="en-US"/>
        </w:rPr>
      </w:pPr>
    </w:p>
    <w:p w14:paraId="0676BB13" w14:textId="77777777" w:rsidR="004173F0" w:rsidRDefault="004173F0" w:rsidP="004A786A">
      <w:pPr>
        <w:spacing w:before="120" w:after="0"/>
        <w:rPr>
          <w:lang w:val="en-US"/>
        </w:rPr>
      </w:pPr>
    </w:p>
    <w:p w14:paraId="23AA9092" w14:textId="77777777" w:rsidR="004A786A" w:rsidRPr="0078548E" w:rsidRDefault="004A786A" w:rsidP="004A786A">
      <w:pPr>
        <w:pStyle w:val="Caption"/>
        <w:rPr>
          <w:rStyle w:val="IntenseEmphasis"/>
          <w:lang w:val="en-GB"/>
        </w:rPr>
      </w:pPr>
      <w:r w:rsidRPr="0078548E">
        <w:rPr>
          <w:rStyle w:val="IntenseEmphasis"/>
          <w:lang w:val="en-GB"/>
        </w:rPr>
        <w:t>Table 4.</w:t>
      </w:r>
      <w:r>
        <w:rPr>
          <w:rStyle w:val="IntenseEmphasis"/>
          <w:lang w:val="en-GB"/>
        </w:rPr>
        <w:t>2</w:t>
      </w:r>
      <w:r w:rsidRPr="0078548E">
        <w:rPr>
          <w:rStyle w:val="IntenseEmphasis"/>
          <w:lang w:val="en-GB"/>
        </w:rPr>
        <w:t xml:space="preserve"> Main abatement option by emission source </w:t>
      </w:r>
    </w:p>
    <w:tbl>
      <w:tblPr>
        <w:tblStyle w:val="TableGrid"/>
        <w:tblW w:w="9464" w:type="dxa"/>
        <w:tblLook w:val="04A0" w:firstRow="1" w:lastRow="0" w:firstColumn="1" w:lastColumn="0" w:noHBand="0" w:noVBand="1"/>
      </w:tblPr>
      <w:tblGrid>
        <w:gridCol w:w="1668"/>
        <w:gridCol w:w="6237"/>
        <w:gridCol w:w="1559"/>
      </w:tblGrid>
      <w:tr w:rsidR="004A786A" w:rsidRPr="001A5312" w14:paraId="24E7B860" w14:textId="77777777" w:rsidTr="00DD5FB6">
        <w:trPr>
          <w:trHeight w:val="150"/>
        </w:trPr>
        <w:tc>
          <w:tcPr>
            <w:tcW w:w="1668" w:type="dxa"/>
            <w:shd w:val="clear" w:color="auto" w:fill="208855" w:themeFill="text2" w:themeFillShade="BF"/>
            <w:vAlign w:val="center"/>
          </w:tcPr>
          <w:p w14:paraId="6178F299" w14:textId="77777777" w:rsidR="004A786A" w:rsidRPr="001A5312" w:rsidRDefault="004A786A" w:rsidP="00DD5FB6">
            <w:pPr>
              <w:spacing w:after="0"/>
              <w:rPr>
                <w:b/>
                <w:color w:val="FFFFFF" w:themeColor="background1"/>
                <w:szCs w:val="20"/>
                <w:lang w:val="en-GB"/>
              </w:rPr>
            </w:pPr>
            <w:r w:rsidRPr="001A5312">
              <w:rPr>
                <w:b/>
                <w:color w:val="FFFFFF" w:themeColor="background1"/>
                <w:szCs w:val="20"/>
                <w:lang w:val="en-GB"/>
              </w:rPr>
              <w:t xml:space="preserve">Emission source </w:t>
            </w:r>
          </w:p>
        </w:tc>
        <w:tc>
          <w:tcPr>
            <w:tcW w:w="6237" w:type="dxa"/>
            <w:shd w:val="clear" w:color="auto" w:fill="208855" w:themeFill="text2" w:themeFillShade="BF"/>
            <w:vAlign w:val="center"/>
          </w:tcPr>
          <w:p w14:paraId="77FFD54F" w14:textId="77777777" w:rsidR="004A786A" w:rsidRPr="001A5312" w:rsidRDefault="004A786A" w:rsidP="00DD5FB6">
            <w:pPr>
              <w:spacing w:after="0"/>
              <w:rPr>
                <w:b/>
                <w:color w:val="FFFFFF" w:themeColor="background1"/>
                <w:szCs w:val="20"/>
                <w:lang w:val="en-GB"/>
              </w:rPr>
            </w:pPr>
            <w:r w:rsidRPr="001A5312">
              <w:rPr>
                <w:b/>
                <w:color w:val="FFFFFF" w:themeColor="background1"/>
                <w:szCs w:val="20"/>
                <w:lang w:val="en-GB"/>
              </w:rPr>
              <w:t>Abatement option</w:t>
            </w:r>
          </w:p>
        </w:tc>
        <w:tc>
          <w:tcPr>
            <w:tcW w:w="1559" w:type="dxa"/>
            <w:shd w:val="clear" w:color="auto" w:fill="208855" w:themeFill="text2" w:themeFillShade="BF"/>
            <w:vAlign w:val="center"/>
          </w:tcPr>
          <w:p w14:paraId="2CA72FF6" w14:textId="77777777" w:rsidR="004A786A" w:rsidRPr="001A5312" w:rsidRDefault="004A786A" w:rsidP="00DD5FB6">
            <w:pPr>
              <w:spacing w:after="0"/>
              <w:rPr>
                <w:b/>
                <w:color w:val="FFFFFF" w:themeColor="background1"/>
                <w:szCs w:val="20"/>
                <w:lang w:val="en-GB"/>
              </w:rPr>
            </w:pPr>
            <w:r w:rsidRPr="001A5312">
              <w:rPr>
                <w:b/>
                <w:color w:val="FFFFFF" w:themeColor="background1"/>
                <w:szCs w:val="20"/>
                <w:lang w:val="en-GB"/>
              </w:rPr>
              <w:t>Emission reduction</w:t>
            </w:r>
          </w:p>
        </w:tc>
      </w:tr>
      <w:tr w:rsidR="004A786A" w:rsidRPr="00991BC1" w14:paraId="5664E056" w14:textId="77777777" w:rsidTr="00DD5FB6">
        <w:trPr>
          <w:trHeight w:val="20"/>
        </w:trPr>
        <w:tc>
          <w:tcPr>
            <w:tcW w:w="1668" w:type="dxa"/>
            <w:shd w:val="clear" w:color="auto" w:fill="F2F2F2" w:themeFill="background1" w:themeFillShade="F2"/>
          </w:tcPr>
          <w:p w14:paraId="689903B4" w14:textId="77777777" w:rsidR="004A786A" w:rsidRPr="00CB441F" w:rsidRDefault="004A786A" w:rsidP="00DD5FB6">
            <w:pPr>
              <w:spacing w:after="0"/>
              <w:rPr>
                <w:b/>
                <w:sz w:val="16"/>
                <w:szCs w:val="16"/>
                <w:lang w:val="en-US"/>
              </w:rPr>
            </w:pPr>
            <w:r w:rsidRPr="00CB441F">
              <w:rPr>
                <w:b/>
                <w:sz w:val="16"/>
                <w:szCs w:val="16"/>
                <w:lang w:val="en-US"/>
              </w:rPr>
              <w:t>1. Hydraulic fracturing &amp; well completion</w:t>
            </w:r>
          </w:p>
        </w:tc>
        <w:tc>
          <w:tcPr>
            <w:tcW w:w="6237" w:type="dxa"/>
            <w:shd w:val="clear" w:color="auto" w:fill="F2F2F2" w:themeFill="background1" w:themeFillShade="F2"/>
            <w:vAlign w:val="center"/>
          </w:tcPr>
          <w:p w14:paraId="512FFF82" w14:textId="77777777" w:rsidR="004A786A" w:rsidRPr="00991BC1" w:rsidRDefault="004A786A" w:rsidP="00DD5FB6">
            <w:pPr>
              <w:spacing w:after="0"/>
              <w:rPr>
                <w:sz w:val="16"/>
                <w:szCs w:val="16"/>
                <w:lang w:val="en-GB"/>
              </w:rPr>
            </w:pPr>
            <w:r w:rsidRPr="00991BC1">
              <w:rPr>
                <w:sz w:val="16"/>
                <w:szCs w:val="16"/>
                <w:lang w:val="en-GB"/>
              </w:rPr>
              <w:t>Green completion system</w:t>
            </w:r>
          </w:p>
        </w:tc>
        <w:tc>
          <w:tcPr>
            <w:tcW w:w="1559" w:type="dxa"/>
            <w:vMerge w:val="restart"/>
            <w:shd w:val="clear" w:color="auto" w:fill="F2F2F2" w:themeFill="background1" w:themeFillShade="F2"/>
            <w:vAlign w:val="center"/>
          </w:tcPr>
          <w:p w14:paraId="396A0661" w14:textId="77777777" w:rsidR="004A786A" w:rsidRPr="00991BC1" w:rsidRDefault="004A786A" w:rsidP="00DD5FB6">
            <w:pPr>
              <w:spacing w:after="0"/>
              <w:rPr>
                <w:sz w:val="16"/>
                <w:szCs w:val="16"/>
                <w:lang w:val="en-GB"/>
              </w:rPr>
            </w:pPr>
            <w:r w:rsidRPr="00991BC1">
              <w:rPr>
                <w:sz w:val="16"/>
                <w:szCs w:val="16"/>
                <w:lang w:val="en-GB"/>
              </w:rPr>
              <w:t>Up to 9</w:t>
            </w:r>
            <w:r>
              <w:rPr>
                <w:sz w:val="16"/>
                <w:szCs w:val="16"/>
                <w:lang w:val="en-GB"/>
              </w:rPr>
              <w:t>5</w:t>
            </w:r>
            <w:r w:rsidRPr="00991BC1">
              <w:rPr>
                <w:sz w:val="16"/>
                <w:szCs w:val="16"/>
                <w:lang w:val="en-GB"/>
              </w:rPr>
              <w:t>%</w:t>
            </w:r>
          </w:p>
          <w:p w14:paraId="33837D26" w14:textId="77777777" w:rsidR="004A786A" w:rsidRPr="00991BC1" w:rsidRDefault="004A786A" w:rsidP="00DD5FB6">
            <w:pPr>
              <w:spacing w:after="0"/>
              <w:rPr>
                <w:sz w:val="16"/>
                <w:szCs w:val="16"/>
                <w:lang w:val="en-GB"/>
              </w:rPr>
            </w:pPr>
          </w:p>
        </w:tc>
      </w:tr>
      <w:tr w:rsidR="004A786A" w:rsidRPr="00104E87" w14:paraId="22102F27" w14:textId="77777777" w:rsidTr="00DD5FB6">
        <w:trPr>
          <w:trHeight w:val="20"/>
        </w:trPr>
        <w:tc>
          <w:tcPr>
            <w:tcW w:w="1668" w:type="dxa"/>
            <w:shd w:val="clear" w:color="auto" w:fill="D0F4E3" w:themeFill="text2" w:themeFillTint="33"/>
          </w:tcPr>
          <w:p w14:paraId="76FF32A8" w14:textId="77777777" w:rsidR="004A786A" w:rsidRPr="00CB441F" w:rsidRDefault="004A786A" w:rsidP="00DD5FB6">
            <w:pPr>
              <w:spacing w:after="0"/>
              <w:rPr>
                <w:b/>
                <w:sz w:val="16"/>
                <w:szCs w:val="16"/>
                <w:lang w:val="en-US"/>
              </w:rPr>
            </w:pPr>
            <w:r w:rsidRPr="00CB441F">
              <w:rPr>
                <w:b/>
                <w:sz w:val="16"/>
                <w:szCs w:val="16"/>
                <w:lang w:val="en-US"/>
              </w:rPr>
              <w:t>2. Casing</w:t>
            </w:r>
            <w:r>
              <w:rPr>
                <w:b/>
                <w:sz w:val="16"/>
                <w:szCs w:val="16"/>
                <w:lang w:val="en-US"/>
              </w:rPr>
              <w:t xml:space="preserve"> </w:t>
            </w:r>
            <w:r w:rsidRPr="00CB441F">
              <w:rPr>
                <w:b/>
                <w:sz w:val="16"/>
                <w:szCs w:val="16"/>
                <w:lang w:val="en-US"/>
              </w:rPr>
              <w:t>head venting from oil wells</w:t>
            </w:r>
          </w:p>
        </w:tc>
        <w:tc>
          <w:tcPr>
            <w:tcW w:w="6237" w:type="dxa"/>
            <w:shd w:val="clear" w:color="auto" w:fill="D0F4E3" w:themeFill="text2" w:themeFillTint="33"/>
            <w:vAlign w:val="center"/>
          </w:tcPr>
          <w:p w14:paraId="37475B0E" w14:textId="77777777" w:rsidR="004A786A" w:rsidRPr="00991BC1" w:rsidRDefault="004A786A" w:rsidP="00DD5FB6">
            <w:pPr>
              <w:spacing w:after="0"/>
              <w:rPr>
                <w:sz w:val="16"/>
                <w:szCs w:val="16"/>
                <w:lang w:val="en-GB"/>
              </w:rPr>
            </w:pPr>
            <w:r w:rsidRPr="000A2BB2">
              <w:rPr>
                <w:sz w:val="16"/>
                <w:szCs w:val="16"/>
                <w:lang w:val="en-US"/>
              </w:rPr>
              <w:t>Install compressors/VRU to capture casing</w:t>
            </w:r>
            <w:r>
              <w:rPr>
                <w:sz w:val="16"/>
                <w:szCs w:val="16"/>
                <w:lang w:val="en-US"/>
              </w:rPr>
              <w:t xml:space="preserve"> </w:t>
            </w:r>
            <w:r w:rsidRPr="000A2BB2">
              <w:rPr>
                <w:sz w:val="16"/>
                <w:szCs w:val="16"/>
                <w:lang w:val="en-US"/>
              </w:rPr>
              <w:t>head gas or connect casing to tanks equipped with VRUs or re-route casinghead gas to flare</w:t>
            </w:r>
          </w:p>
        </w:tc>
        <w:tc>
          <w:tcPr>
            <w:tcW w:w="1559" w:type="dxa"/>
            <w:vMerge/>
            <w:shd w:val="clear" w:color="auto" w:fill="D0F4E3" w:themeFill="text2" w:themeFillTint="33"/>
            <w:vAlign w:val="center"/>
          </w:tcPr>
          <w:p w14:paraId="477D0406" w14:textId="77777777" w:rsidR="004A786A" w:rsidRPr="00991BC1" w:rsidRDefault="004A786A" w:rsidP="00DD5FB6">
            <w:pPr>
              <w:spacing w:after="0"/>
              <w:rPr>
                <w:sz w:val="16"/>
                <w:szCs w:val="16"/>
                <w:lang w:val="en-GB"/>
              </w:rPr>
            </w:pPr>
          </w:p>
        </w:tc>
      </w:tr>
      <w:tr w:rsidR="004A786A" w:rsidRPr="00991BC1" w14:paraId="40C61ADF" w14:textId="77777777" w:rsidTr="00DD5FB6">
        <w:trPr>
          <w:trHeight w:val="20"/>
        </w:trPr>
        <w:tc>
          <w:tcPr>
            <w:tcW w:w="1668" w:type="dxa"/>
            <w:vMerge w:val="restart"/>
            <w:shd w:val="clear" w:color="auto" w:fill="F2F2F2" w:themeFill="background1" w:themeFillShade="F2"/>
            <w:vAlign w:val="center"/>
          </w:tcPr>
          <w:p w14:paraId="61ED9DE5" w14:textId="77777777" w:rsidR="004A786A" w:rsidRPr="00CB441F" w:rsidRDefault="004A786A" w:rsidP="00DD5FB6">
            <w:pPr>
              <w:spacing w:after="0"/>
              <w:rPr>
                <w:b/>
                <w:sz w:val="16"/>
                <w:szCs w:val="16"/>
                <w:lang w:val="en-US"/>
              </w:rPr>
            </w:pPr>
            <w:r w:rsidRPr="00CB441F">
              <w:rPr>
                <w:b/>
                <w:sz w:val="16"/>
                <w:szCs w:val="16"/>
                <w:lang w:val="en-US"/>
              </w:rPr>
              <w:t>3. Liquids unloading from gas wells</w:t>
            </w:r>
          </w:p>
        </w:tc>
        <w:tc>
          <w:tcPr>
            <w:tcW w:w="6237" w:type="dxa"/>
            <w:shd w:val="clear" w:color="auto" w:fill="F2F2F2" w:themeFill="background1" w:themeFillShade="F2"/>
            <w:vAlign w:val="center"/>
          </w:tcPr>
          <w:p w14:paraId="73CF32E7" w14:textId="77777777" w:rsidR="004A786A" w:rsidRPr="00991BC1" w:rsidRDefault="004A786A" w:rsidP="00DD5FB6">
            <w:pPr>
              <w:spacing w:after="0"/>
              <w:rPr>
                <w:sz w:val="16"/>
                <w:szCs w:val="16"/>
                <w:lang w:val="en-GB"/>
              </w:rPr>
            </w:pPr>
            <w:r w:rsidRPr="00991BC1">
              <w:rPr>
                <w:sz w:val="16"/>
                <w:szCs w:val="16"/>
                <w:lang w:val="en-GB"/>
              </w:rPr>
              <w:t>Install plunger lift systems in gas well</w:t>
            </w:r>
          </w:p>
        </w:tc>
        <w:tc>
          <w:tcPr>
            <w:tcW w:w="1559" w:type="dxa"/>
            <w:shd w:val="clear" w:color="auto" w:fill="F2F2F2" w:themeFill="background1" w:themeFillShade="F2"/>
            <w:vAlign w:val="center"/>
          </w:tcPr>
          <w:p w14:paraId="6EE0CA84" w14:textId="77777777" w:rsidR="004A786A" w:rsidRPr="00991BC1" w:rsidRDefault="004A786A" w:rsidP="00DD5FB6">
            <w:pPr>
              <w:spacing w:after="0"/>
              <w:rPr>
                <w:sz w:val="16"/>
                <w:szCs w:val="16"/>
                <w:lang w:val="en-GB"/>
              </w:rPr>
            </w:pPr>
            <w:r w:rsidRPr="00991BC1">
              <w:rPr>
                <w:sz w:val="16"/>
                <w:szCs w:val="16"/>
                <w:lang w:val="en-GB"/>
              </w:rPr>
              <w:t>Up to 95%</w:t>
            </w:r>
          </w:p>
        </w:tc>
      </w:tr>
      <w:tr w:rsidR="004A786A" w:rsidRPr="00434614" w14:paraId="11338249" w14:textId="77777777" w:rsidTr="00DD5FB6">
        <w:trPr>
          <w:trHeight w:val="20"/>
        </w:trPr>
        <w:tc>
          <w:tcPr>
            <w:tcW w:w="1668" w:type="dxa"/>
            <w:vMerge/>
            <w:shd w:val="clear" w:color="auto" w:fill="F2F2F2" w:themeFill="background1" w:themeFillShade="F2"/>
          </w:tcPr>
          <w:p w14:paraId="0B01ACAA"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5A49AC74" w14:textId="77777777" w:rsidR="004A786A" w:rsidRPr="000A2BB2" w:rsidRDefault="004A786A" w:rsidP="00DD5FB6">
            <w:pPr>
              <w:spacing w:after="0"/>
              <w:rPr>
                <w:rFonts w:cstheme="minorHAnsi"/>
                <w:sz w:val="16"/>
                <w:szCs w:val="16"/>
                <w:lang w:val="en-US"/>
              </w:rPr>
            </w:pPr>
            <w:r>
              <w:rPr>
                <w:rFonts w:cstheme="minorHAnsi"/>
                <w:sz w:val="16"/>
                <w:szCs w:val="16"/>
                <w:lang w:val="en-US"/>
              </w:rPr>
              <w:t>Capture casing head gas and compress/connect to low-pressure line (VRU)</w:t>
            </w:r>
          </w:p>
        </w:tc>
        <w:tc>
          <w:tcPr>
            <w:tcW w:w="1559" w:type="dxa"/>
            <w:shd w:val="clear" w:color="auto" w:fill="F2F2F2" w:themeFill="background1" w:themeFillShade="F2"/>
          </w:tcPr>
          <w:p w14:paraId="5769CEE8" w14:textId="77777777" w:rsidR="004A786A" w:rsidRPr="00991BC1" w:rsidRDefault="004A786A" w:rsidP="00DD5FB6">
            <w:pPr>
              <w:spacing w:after="0"/>
              <w:rPr>
                <w:sz w:val="16"/>
                <w:szCs w:val="16"/>
                <w:lang w:val="en-US"/>
              </w:rPr>
            </w:pPr>
            <w:r>
              <w:rPr>
                <w:sz w:val="16"/>
                <w:szCs w:val="16"/>
                <w:lang w:val="en-US"/>
              </w:rPr>
              <w:t>Up to 98%</w:t>
            </w:r>
          </w:p>
        </w:tc>
      </w:tr>
      <w:tr w:rsidR="004A786A" w:rsidRPr="00434614" w14:paraId="54E4A76E" w14:textId="77777777" w:rsidTr="00DD5FB6">
        <w:trPr>
          <w:trHeight w:val="20"/>
        </w:trPr>
        <w:tc>
          <w:tcPr>
            <w:tcW w:w="1668" w:type="dxa"/>
            <w:vMerge/>
            <w:shd w:val="clear" w:color="auto" w:fill="F2F2F2" w:themeFill="background1" w:themeFillShade="F2"/>
          </w:tcPr>
          <w:p w14:paraId="0019E27F"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7C12C98C" w14:textId="77777777" w:rsidR="004A786A" w:rsidRPr="00147DB6" w:rsidRDefault="004A786A" w:rsidP="00DD5FB6">
            <w:pPr>
              <w:spacing w:after="0"/>
              <w:rPr>
                <w:rFonts w:cstheme="minorHAnsi"/>
                <w:b/>
                <w:color w:val="000000" w:themeColor="text1"/>
                <w:sz w:val="16"/>
                <w:szCs w:val="16"/>
                <w:shd w:val="clear" w:color="auto" w:fill="FFFFFF"/>
                <w:lang w:val="en-US"/>
              </w:rPr>
            </w:pPr>
            <w:r w:rsidRPr="000A2BB2">
              <w:rPr>
                <w:rFonts w:cstheme="minorHAnsi"/>
                <w:sz w:val="16"/>
                <w:szCs w:val="16"/>
                <w:lang w:val="en-US"/>
              </w:rPr>
              <w:t xml:space="preserve">Smart Well technology to plunger lift systems </w:t>
            </w:r>
          </w:p>
        </w:tc>
        <w:tc>
          <w:tcPr>
            <w:tcW w:w="1559" w:type="dxa"/>
            <w:vMerge w:val="restart"/>
            <w:shd w:val="clear" w:color="auto" w:fill="F2F2F2" w:themeFill="background1" w:themeFillShade="F2"/>
            <w:vAlign w:val="center"/>
          </w:tcPr>
          <w:p w14:paraId="77CAEE87" w14:textId="77777777" w:rsidR="004A786A" w:rsidRPr="00991BC1" w:rsidRDefault="004A786A" w:rsidP="00DD5FB6">
            <w:pPr>
              <w:spacing w:after="0"/>
              <w:rPr>
                <w:sz w:val="16"/>
                <w:szCs w:val="16"/>
                <w:lang w:val="en-US"/>
              </w:rPr>
            </w:pPr>
            <w:r>
              <w:rPr>
                <w:sz w:val="16"/>
                <w:szCs w:val="16"/>
                <w:lang w:val="en-US"/>
              </w:rPr>
              <w:t>Variable</w:t>
            </w:r>
          </w:p>
          <w:p w14:paraId="3F2DA375" w14:textId="77777777" w:rsidR="004A786A" w:rsidRPr="00991BC1" w:rsidRDefault="004A786A" w:rsidP="00DD5FB6">
            <w:pPr>
              <w:spacing w:after="0"/>
              <w:rPr>
                <w:sz w:val="16"/>
                <w:szCs w:val="16"/>
                <w:lang w:val="en-US"/>
              </w:rPr>
            </w:pPr>
          </w:p>
        </w:tc>
      </w:tr>
      <w:tr w:rsidR="004A786A" w:rsidRPr="00104E87" w14:paraId="5DC610E9" w14:textId="77777777" w:rsidTr="00DD5FB6">
        <w:trPr>
          <w:trHeight w:val="20"/>
        </w:trPr>
        <w:tc>
          <w:tcPr>
            <w:tcW w:w="1668" w:type="dxa"/>
            <w:vMerge/>
            <w:shd w:val="clear" w:color="auto" w:fill="F2F2F2" w:themeFill="background1" w:themeFillShade="F2"/>
          </w:tcPr>
          <w:p w14:paraId="62F7FE53"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5EE4AE69" w14:textId="77777777" w:rsidR="004A786A" w:rsidRPr="000A2BB2" w:rsidRDefault="004A786A" w:rsidP="00DD5FB6">
            <w:pPr>
              <w:spacing w:after="0"/>
              <w:rPr>
                <w:rFonts w:cstheme="minorHAnsi"/>
                <w:sz w:val="16"/>
                <w:szCs w:val="16"/>
                <w:lang w:val="en-US"/>
              </w:rPr>
            </w:pPr>
            <w:r w:rsidRPr="000A2BB2">
              <w:rPr>
                <w:rFonts w:cstheme="minorHAnsi"/>
                <w:color w:val="000000" w:themeColor="text1"/>
                <w:sz w:val="16"/>
                <w:szCs w:val="16"/>
                <w:shd w:val="clear" w:color="auto" w:fill="FFFFFF"/>
                <w:lang w:val="en-US"/>
              </w:rPr>
              <w:t>Add foaming agents, soap strings, surfactants</w:t>
            </w:r>
          </w:p>
        </w:tc>
        <w:tc>
          <w:tcPr>
            <w:tcW w:w="1559" w:type="dxa"/>
            <w:vMerge/>
            <w:shd w:val="clear" w:color="auto" w:fill="F2F2F2" w:themeFill="background1" w:themeFillShade="F2"/>
          </w:tcPr>
          <w:p w14:paraId="0603E071" w14:textId="77777777" w:rsidR="004A786A" w:rsidRPr="00991BC1" w:rsidRDefault="004A786A" w:rsidP="00DD5FB6">
            <w:pPr>
              <w:spacing w:after="0"/>
              <w:rPr>
                <w:sz w:val="16"/>
                <w:szCs w:val="16"/>
                <w:lang w:val="en-US"/>
              </w:rPr>
            </w:pPr>
          </w:p>
        </w:tc>
      </w:tr>
      <w:tr w:rsidR="004A786A" w:rsidRPr="00991BC1" w14:paraId="0F0236C3" w14:textId="77777777" w:rsidTr="00DD5FB6">
        <w:trPr>
          <w:trHeight w:val="20"/>
        </w:trPr>
        <w:tc>
          <w:tcPr>
            <w:tcW w:w="1668" w:type="dxa"/>
            <w:vMerge/>
            <w:shd w:val="clear" w:color="auto" w:fill="F2F2F2" w:themeFill="background1" w:themeFillShade="F2"/>
          </w:tcPr>
          <w:p w14:paraId="1283ADE3"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60B29EE0" w14:textId="77777777" w:rsidR="004A786A" w:rsidRPr="000A2BB2" w:rsidRDefault="004A786A" w:rsidP="00DD5FB6">
            <w:pPr>
              <w:spacing w:after="0"/>
              <w:rPr>
                <w:rFonts w:cstheme="minorHAnsi"/>
                <w:color w:val="000000" w:themeColor="text1"/>
                <w:sz w:val="16"/>
                <w:szCs w:val="16"/>
                <w:shd w:val="clear" w:color="auto" w:fill="FFFFFF"/>
                <w:lang w:val="en-US"/>
              </w:rPr>
            </w:pPr>
            <w:r w:rsidRPr="000A2BB2">
              <w:rPr>
                <w:rFonts w:cstheme="minorHAnsi"/>
                <w:sz w:val="16"/>
                <w:szCs w:val="16"/>
                <w:lang w:val="en-US"/>
              </w:rPr>
              <w:t>Install velocity tubing</w:t>
            </w:r>
          </w:p>
        </w:tc>
        <w:tc>
          <w:tcPr>
            <w:tcW w:w="1559" w:type="dxa"/>
            <w:vMerge/>
            <w:shd w:val="clear" w:color="auto" w:fill="F2F2F2" w:themeFill="background1" w:themeFillShade="F2"/>
          </w:tcPr>
          <w:p w14:paraId="3F85E72B" w14:textId="77777777" w:rsidR="004A786A" w:rsidRPr="00991BC1" w:rsidRDefault="004A786A" w:rsidP="00DD5FB6">
            <w:pPr>
              <w:spacing w:after="0"/>
              <w:rPr>
                <w:sz w:val="16"/>
                <w:szCs w:val="16"/>
                <w:lang w:val="en-US"/>
              </w:rPr>
            </w:pPr>
          </w:p>
        </w:tc>
      </w:tr>
      <w:tr w:rsidR="004A786A" w:rsidRPr="00991BC1" w14:paraId="794F9C82" w14:textId="77777777" w:rsidTr="00DD5FB6">
        <w:trPr>
          <w:trHeight w:val="113"/>
        </w:trPr>
        <w:tc>
          <w:tcPr>
            <w:tcW w:w="1668" w:type="dxa"/>
            <w:vMerge w:val="restart"/>
            <w:shd w:val="clear" w:color="auto" w:fill="D0F4E3" w:themeFill="text2" w:themeFillTint="33"/>
            <w:vAlign w:val="center"/>
          </w:tcPr>
          <w:p w14:paraId="62FB9E05" w14:textId="77777777" w:rsidR="004A786A" w:rsidRPr="00CB441F" w:rsidRDefault="004A786A" w:rsidP="00DD5FB6">
            <w:pPr>
              <w:spacing w:after="0"/>
              <w:rPr>
                <w:b/>
                <w:sz w:val="16"/>
                <w:szCs w:val="16"/>
                <w:lang w:val="en-US"/>
              </w:rPr>
            </w:pPr>
            <w:r w:rsidRPr="00CB441F">
              <w:rPr>
                <w:b/>
                <w:sz w:val="16"/>
                <w:szCs w:val="16"/>
                <w:lang w:val="en-US"/>
              </w:rPr>
              <w:t>4. Glycol dehydrators</w:t>
            </w:r>
          </w:p>
        </w:tc>
        <w:tc>
          <w:tcPr>
            <w:tcW w:w="6237" w:type="dxa"/>
            <w:shd w:val="clear" w:color="auto" w:fill="D0F4E3" w:themeFill="text2" w:themeFillTint="33"/>
            <w:vAlign w:val="center"/>
          </w:tcPr>
          <w:p w14:paraId="69EA1515" w14:textId="77777777" w:rsidR="004A786A" w:rsidRPr="00991BC1" w:rsidRDefault="004A786A" w:rsidP="00DD5FB6">
            <w:pPr>
              <w:spacing w:after="0"/>
              <w:rPr>
                <w:sz w:val="16"/>
                <w:szCs w:val="16"/>
                <w:lang w:val="en-GB"/>
              </w:rPr>
            </w:pPr>
            <w:r w:rsidRPr="00991BC1">
              <w:rPr>
                <w:sz w:val="16"/>
                <w:szCs w:val="16"/>
                <w:lang w:val="en-GB"/>
              </w:rPr>
              <w:t xml:space="preserve">Install flash tank separator and optimise glycol circulation rates </w:t>
            </w:r>
          </w:p>
        </w:tc>
        <w:tc>
          <w:tcPr>
            <w:tcW w:w="1559" w:type="dxa"/>
            <w:vMerge w:val="restart"/>
            <w:shd w:val="clear" w:color="auto" w:fill="D0F4E3" w:themeFill="text2" w:themeFillTint="33"/>
            <w:vAlign w:val="center"/>
          </w:tcPr>
          <w:p w14:paraId="5437BCB7" w14:textId="77777777" w:rsidR="004A786A" w:rsidRPr="00991BC1" w:rsidRDefault="004A786A" w:rsidP="00DD5FB6">
            <w:pPr>
              <w:spacing w:after="0"/>
              <w:rPr>
                <w:sz w:val="16"/>
                <w:szCs w:val="16"/>
                <w:lang w:val="en-GB"/>
              </w:rPr>
            </w:pPr>
            <w:r w:rsidRPr="00991BC1">
              <w:rPr>
                <w:sz w:val="16"/>
                <w:szCs w:val="16"/>
                <w:lang w:val="en-GB"/>
              </w:rPr>
              <w:t>Up to 90%</w:t>
            </w:r>
          </w:p>
        </w:tc>
      </w:tr>
      <w:tr w:rsidR="004A786A" w:rsidRPr="00104E87" w14:paraId="336BDF7B" w14:textId="77777777" w:rsidTr="00DD5FB6">
        <w:trPr>
          <w:trHeight w:val="113"/>
        </w:trPr>
        <w:tc>
          <w:tcPr>
            <w:tcW w:w="1668" w:type="dxa"/>
            <w:vMerge/>
            <w:shd w:val="clear" w:color="auto" w:fill="D0F4E3" w:themeFill="text2" w:themeFillTint="33"/>
          </w:tcPr>
          <w:p w14:paraId="7E3413DE"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2EEB3A8A" w14:textId="77777777" w:rsidR="004A786A" w:rsidRPr="00991BC1" w:rsidRDefault="004A786A" w:rsidP="00DD5FB6">
            <w:pPr>
              <w:spacing w:after="0"/>
              <w:rPr>
                <w:sz w:val="16"/>
                <w:szCs w:val="16"/>
                <w:lang w:val="en-GB"/>
              </w:rPr>
            </w:pPr>
            <w:r w:rsidRPr="00147DB6">
              <w:rPr>
                <w:rFonts w:cstheme="minorHAnsi"/>
                <w:sz w:val="16"/>
                <w:szCs w:val="16"/>
                <w:lang w:val="en-US"/>
              </w:rPr>
              <w:t>Route flash tank (if present) and dehydrator regenerator vents to VRU for beneficial use</w:t>
            </w:r>
          </w:p>
        </w:tc>
        <w:tc>
          <w:tcPr>
            <w:tcW w:w="1559" w:type="dxa"/>
            <w:vMerge/>
            <w:shd w:val="clear" w:color="auto" w:fill="D0F4E3" w:themeFill="text2" w:themeFillTint="33"/>
            <w:vAlign w:val="center"/>
          </w:tcPr>
          <w:p w14:paraId="11318299" w14:textId="77777777" w:rsidR="004A786A" w:rsidRPr="00991BC1" w:rsidRDefault="004A786A" w:rsidP="00DD5FB6">
            <w:pPr>
              <w:spacing w:after="0"/>
              <w:rPr>
                <w:sz w:val="16"/>
                <w:szCs w:val="16"/>
                <w:lang w:val="en-GB"/>
              </w:rPr>
            </w:pPr>
          </w:p>
        </w:tc>
      </w:tr>
      <w:tr w:rsidR="004A786A" w:rsidRPr="00B96CF1" w14:paraId="58F6D1CA" w14:textId="77777777" w:rsidTr="00DD5FB6">
        <w:trPr>
          <w:trHeight w:val="113"/>
        </w:trPr>
        <w:tc>
          <w:tcPr>
            <w:tcW w:w="1668" w:type="dxa"/>
            <w:vMerge/>
            <w:shd w:val="clear" w:color="auto" w:fill="D0F4E3" w:themeFill="text2" w:themeFillTint="33"/>
          </w:tcPr>
          <w:p w14:paraId="4C69387E"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7BA90632" w14:textId="77777777" w:rsidR="004A786A" w:rsidRPr="00147DB6" w:rsidRDefault="004A786A" w:rsidP="00DD5FB6">
            <w:pPr>
              <w:spacing w:after="0"/>
              <w:rPr>
                <w:rFonts w:cstheme="minorHAnsi"/>
                <w:sz w:val="16"/>
                <w:szCs w:val="16"/>
                <w:lang w:val="en-US"/>
              </w:rPr>
            </w:pPr>
            <w:r w:rsidRPr="00147DB6">
              <w:rPr>
                <w:rFonts w:cstheme="minorHAnsi"/>
                <w:sz w:val="16"/>
                <w:szCs w:val="16"/>
                <w:lang w:val="en-US"/>
              </w:rPr>
              <w:t xml:space="preserve">Route flash tank (if present) and dehydrator regenerator vents to </w:t>
            </w:r>
            <w:r>
              <w:rPr>
                <w:rFonts w:cstheme="minorHAnsi"/>
                <w:sz w:val="16"/>
                <w:szCs w:val="16"/>
                <w:lang w:val="en-US"/>
              </w:rPr>
              <w:t>flare</w:t>
            </w:r>
          </w:p>
        </w:tc>
        <w:tc>
          <w:tcPr>
            <w:tcW w:w="1559" w:type="dxa"/>
            <w:shd w:val="clear" w:color="auto" w:fill="D0F4E3" w:themeFill="text2" w:themeFillTint="33"/>
            <w:vAlign w:val="center"/>
          </w:tcPr>
          <w:p w14:paraId="1E5FB6DC" w14:textId="77777777" w:rsidR="004A786A" w:rsidRPr="00991BC1" w:rsidRDefault="004A786A" w:rsidP="00DD5FB6">
            <w:pPr>
              <w:spacing w:after="0"/>
              <w:rPr>
                <w:sz w:val="16"/>
                <w:szCs w:val="16"/>
                <w:lang w:val="en-GB"/>
              </w:rPr>
            </w:pPr>
            <w:r w:rsidRPr="00991BC1">
              <w:rPr>
                <w:sz w:val="16"/>
                <w:szCs w:val="16"/>
                <w:lang w:val="en-GB"/>
              </w:rPr>
              <w:t>Up to 9</w:t>
            </w:r>
            <w:r>
              <w:rPr>
                <w:sz w:val="16"/>
                <w:szCs w:val="16"/>
                <w:lang w:val="en-GB"/>
              </w:rPr>
              <w:t>8</w:t>
            </w:r>
            <w:r w:rsidRPr="00991BC1">
              <w:rPr>
                <w:sz w:val="16"/>
                <w:szCs w:val="16"/>
                <w:lang w:val="en-GB"/>
              </w:rPr>
              <w:t>%</w:t>
            </w:r>
          </w:p>
        </w:tc>
      </w:tr>
      <w:tr w:rsidR="004A786A" w:rsidRPr="00991BC1" w14:paraId="62F4FE4C" w14:textId="77777777" w:rsidTr="00DD5FB6">
        <w:trPr>
          <w:trHeight w:val="113"/>
        </w:trPr>
        <w:tc>
          <w:tcPr>
            <w:tcW w:w="1668" w:type="dxa"/>
            <w:vMerge/>
            <w:shd w:val="clear" w:color="auto" w:fill="D0F4E3" w:themeFill="text2" w:themeFillTint="33"/>
          </w:tcPr>
          <w:p w14:paraId="0FDB113F"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62314FB6" w14:textId="77777777" w:rsidR="004A786A" w:rsidRPr="00C22CCF" w:rsidRDefault="004A786A" w:rsidP="00DD5FB6">
            <w:pPr>
              <w:spacing w:after="0"/>
              <w:rPr>
                <w:rFonts w:cstheme="minorHAnsi"/>
                <w:b/>
                <w:sz w:val="16"/>
                <w:szCs w:val="16"/>
                <w:lang w:val="en-US"/>
              </w:rPr>
            </w:pPr>
            <w:r w:rsidRPr="00C22CCF">
              <w:rPr>
                <w:rFonts w:cstheme="minorHAnsi"/>
                <w:sz w:val="16"/>
                <w:szCs w:val="16"/>
                <w:lang w:val="en-US"/>
              </w:rPr>
              <w:t>Replacing by zero emissions (e.g. desiccant) dehydrators</w:t>
            </w:r>
          </w:p>
        </w:tc>
        <w:tc>
          <w:tcPr>
            <w:tcW w:w="1559" w:type="dxa"/>
            <w:vMerge w:val="restart"/>
            <w:shd w:val="clear" w:color="auto" w:fill="D0F4E3" w:themeFill="text2" w:themeFillTint="33"/>
            <w:vAlign w:val="center"/>
          </w:tcPr>
          <w:p w14:paraId="18CBF14E" w14:textId="77777777" w:rsidR="004A786A" w:rsidRPr="00991BC1" w:rsidRDefault="004A786A" w:rsidP="00DD5FB6">
            <w:pPr>
              <w:spacing w:after="0"/>
              <w:rPr>
                <w:sz w:val="16"/>
                <w:szCs w:val="16"/>
                <w:lang w:val="en-GB"/>
              </w:rPr>
            </w:pPr>
            <w:r w:rsidRPr="00991BC1">
              <w:rPr>
                <w:sz w:val="16"/>
                <w:szCs w:val="16"/>
                <w:lang w:val="en-GB"/>
              </w:rPr>
              <w:t>100%</w:t>
            </w:r>
          </w:p>
        </w:tc>
      </w:tr>
      <w:tr w:rsidR="004A786A" w:rsidRPr="00104E87" w14:paraId="224AE6CD" w14:textId="77777777" w:rsidTr="00DD5FB6">
        <w:trPr>
          <w:trHeight w:val="113"/>
        </w:trPr>
        <w:tc>
          <w:tcPr>
            <w:tcW w:w="1668" w:type="dxa"/>
            <w:vMerge/>
            <w:shd w:val="clear" w:color="auto" w:fill="D0F4E3" w:themeFill="text2" w:themeFillTint="33"/>
          </w:tcPr>
          <w:p w14:paraId="6BCC95F4"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22A1A482" w14:textId="77777777" w:rsidR="004A786A" w:rsidRPr="00C22CCF" w:rsidRDefault="004A786A" w:rsidP="00DD5FB6">
            <w:pPr>
              <w:spacing w:after="0"/>
              <w:rPr>
                <w:rFonts w:cstheme="minorHAnsi"/>
                <w:sz w:val="16"/>
                <w:szCs w:val="16"/>
                <w:lang w:val="en-US"/>
              </w:rPr>
            </w:pPr>
            <w:r w:rsidRPr="00147DB6">
              <w:rPr>
                <w:rFonts w:cstheme="minorHAnsi"/>
                <w:sz w:val="16"/>
                <w:szCs w:val="16"/>
                <w:lang w:val="en-US"/>
              </w:rPr>
              <w:t>Replace the gas assist lean glycol pump with an electric lean glycol pump</w:t>
            </w:r>
          </w:p>
        </w:tc>
        <w:tc>
          <w:tcPr>
            <w:tcW w:w="1559" w:type="dxa"/>
            <w:vMerge/>
            <w:shd w:val="clear" w:color="auto" w:fill="D0F4E3" w:themeFill="text2" w:themeFillTint="33"/>
            <w:vAlign w:val="center"/>
          </w:tcPr>
          <w:p w14:paraId="2E30D43D" w14:textId="77777777" w:rsidR="004A786A" w:rsidRPr="00991BC1" w:rsidRDefault="004A786A" w:rsidP="00DD5FB6">
            <w:pPr>
              <w:spacing w:after="0"/>
              <w:rPr>
                <w:sz w:val="16"/>
                <w:szCs w:val="16"/>
                <w:lang w:val="en-GB"/>
              </w:rPr>
            </w:pPr>
          </w:p>
        </w:tc>
      </w:tr>
      <w:tr w:rsidR="004A786A" w:rsidRPr="00991BC1" w14:paraId="274D8DC1" w14:textId="77777777" w:rsidTr="00DD5FB6">
        <w:trPr>
          <w:trHeight w:val="113"/>
        </w:trPr>
        <w:tc>
          <w:tcPr>
            <w:tcW w:w="1668" w:type="dxa"/>
            <w:vMerge/>
            <w:shd w:val="clear" w:color="auto" w:fill="D0F4E3" w:themeFill="text2" w:themeFillTint="33"/>
          </w:tcPr>
          <w:p w14:paraId="2E851A9E"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435AF890" w14:textId="77777777" w:rsidR="004A786A" w:rsidRPr="00991BC1" w:rsidRDefault="004A786A" w:rsidP="00DD5FB6">
            <w:pPr>
              <w:spacing w:after="0"/>
              <w:rPr>
                <w:sz w:val="16"/>
                <w:szCs w:val="16"/>
                <w:lang w:val="en-GB"/>
              </w:rPr>
            </w:pPr>
            <w:r w:rsidRPr="00991BC1">
              <w:rPr>
                <w:sz w:val="16"/>
                <w:szCs w:val="16"/>
                <w:lang w:val="en-GB"/>
              </w:rPr>
              <w:t>Reroute glycol skimmer Gas</w:t>
            </w:r>
          </w:p>
        </w:tc>
        <w:tc>
          <w:tcPr>
            <w:tcW w:w="1559" w:type="dxa"/>
            <w:shd w:val="clear" w:color="auto" w:fill="D0F4E3" w:themeFill="text2" w:themeFillTint="33"/>
            <w:vAlign w:val="center"/>
          </w:tcPr>
          <w:p w14:paraId="13FE8C00" w14:textId="77777777" w:rsidR="004A786A" w:rsidRPr="00991BC1" w:rsidRDefault="004A786A" w:rsidP="00DD5FB6">
            <w:pPr>
              <w:spacing w:after="0"/>
              <w:rPr>
                <w:sz w:val="16"/>
                <w:szCs w:val="16"/>
                <w:lang w:val="en-GB"/>
              </w:rPr>
            </w:pPr>
            <w:r w:rsidRPr="00991BC1">
              <w:rPr>
                <w:sz w:val="16"/>
                <w:szCs w:val="16"/>
                <w:lang w:val="en-GB"/>
              </w:rPr>
              <w:t>Up to 95%</w:t>
            </w:r>
          </w:p>
        </w:tc>
      </w:tr>
      <w:tr w:rsidR="004A786A" w:rsidRPr="00991BC1" w14:paraId="6F2D2DE3" w14:textId="77777777" w:rsidTr="00DD5FB6">
        <w:trPr>
          <w:trHeight w:val="113"/>
        </w:trPr>
        <w:tc>
          <w:tcPr>
            <w:tcW w:w="1668" w:type="dxa"/>
            <w:vMerge w:val="restart"/>
            <w:shd w:val="clear" w:color="auto" w:fill="F2F2F2" w:themeFill="background1" w:themeFillShade="F2"/>
            <w:vAlign w:val="center"/>
          </w:tcPr>
          <w:p w14:paraId="6543EFF7" w14:textId="77777777" w:rsidR="004A786A" w:rsidRPr="00CB441F" w:rsidRDefault="004A786A" w:rsidP="00DD5FB6">
            <w:pPr>
              <w:spacing w:after="0"/>
              <w:rPr>
                <w:b/>
                <w:sz w:val="16"/>
                <w:szCs w:val="16"/>
                <w:lang w:val="en-US"/>
              </w:rPr>
            </w:pPr>
            <w:r w:rsidRPr="00CB441F">
              <w:rPr>
                <w:b/>
                <w:sz w:val="16"/>
                <w:szCs w:val="16"/>
                <w:lang w:val="en-US"/>
              </w:rPr>
              <w:t>5. Natural gas driven pneumatic controllers and pumps</w:t>
            </w:r>
          </w:p>
        </w:tc>
        <w:tc>
          <w:tcPr>
            <w:tcW w:w="6237" w:type="dxa"/>
            <w:shd w:val="clear" w:color="auto" w:fill="F2F2F2" w:themeFill="background1" w:themeFillShade="F2"/>
            <w:vAlign w:val="center"/>
          </w:tcPr>
          <w:p w14:paraId="7A59C22D" w14:textId="77777777" w:rsidR="004A786A" w:rsidRPr="00C22CCF" w:rsidRDefault="004A786A" w:rsidP="00DD5FB6">
            <w:pPr>
              <w:spacing w:after="0"/>
              <w:rPr>
                <w:sz w:val="16"/>
                <w:szCs w:val="16"/>
                <w:lang w:val="en-GB"/>
              </w:rPr>
            </w:pPr>
            <w:r w:rsidRPr="00991BC1">
              <w:rPr>
                <w:sz w:val="16"/>
                <w:szCs w:val="16"/>
                <w:lang w:val="en-GB"/>
              </w:rPr>
              <w:t>Replacement or retrofit to from high/intermittent bleed to low bleed devices</w:t>
            </w:r>
          </w:p>
        </w:tc>
        <w:tc>
          <w:tcPr>
            <w:tcW w:w="1559" w:type="dxa"/>
            <w:shd w:val="clear" w:color="auto" w:fill="F2F2F2" w:themeFill="background1" w:themeFillShade="F2"/>
            <w:vAlign w:val="center"/>
          </w:tcPr>
          <w:p w14:paraId="607B2451" w14:textId="77777777" w:rsidR="004A786A" w:rsidRPr="00991BC1" w:rsidRDefault="004A786A" w:rsidP="00DD5FB6">
            <w:pPr>
              <w:spacing w:after="0"/>
              <w:rPr>
                <w:sz w:val="16"/>
                <w:szCs w:val="16"/>
                <w:lang w:val="en-GB"/>
              </w:rPr>
            </w:pPr>
            <w:r w:rsidRPr="00991BC1">
              <w:rPr>
                <w:sz w:val="16"/>
                <w:szCs w:val="16"/>
                <w:lang w:val="en-GB"/>
              </w:rPr>
              <w:t>Up to 97%</w:t>
            </w:r>
          </w:p>
        </w:tc>
      </w:tr>
      <w:tr w:rsidR="004A786A" w:rsidRPr="00991BC1" w14:paraId="1493222C" w14:textId="77777777" w:rsidTr="00DD5FB6">
        <w:trPr>
          <w:trHeight w:val="113"/>
        </w:trPr>
        <w:tc>
          <w:tcPr>
            <w:tcW w:w="1668" w:type="dxa"/>
            <w:vMerge/>
            <w:shd w:val="clear" w:color="auto" w:fill="F2F2F2" w:themeFill="background1" w:themeFillShade="F2"/>
          </w:tcPr>
          <w:p w14:paraId="33463DF9"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vAlign w:val="center"/>
          </w:tcPr>
          <w:p w14:paraId="28C45180" w14:textId="77777777" w:rsidR="004A786A" w:rsidRPr="00991BC1" w:rsidRDefault="004A786A" w:rsidP="00DD5FB6">
            <w:pPr>
              <w:spacing w:after="0"/>
              <w:rPr>
                <w:sz w:val="16"/>
                <w:szCs w:val="16"/>
                <w:lang w:val="en-GB"/>
              </w:rPr>
            </w:pPr>
            <w:r w:rsidRPr="00147DB6">
              <w:rPr>
                <w:rFonts w:cstheme="minorHAnsi"/>
                <w:sz w:val="16"/>
                <w:szCs w:val="16"/>
                <w:lang w:val="en-US"/>
              </w:rPr>
              <w:t>Routing emissions to an existing combustion device or vapor recovery unit</w:t>
            </w:r>
          </w:p>
        </w:tc>
        <w:tc>
          <w:tcPr>
            <w:tcW w:w="1559" w:type="dxa"/>
            <w:shd w:val="clear" w:color="auto" w:fill="F2F2F2" w:themeFill="background1" w:themeFillShade="F2"/>
            <w:vAlign w:val="center"/>
          </w:tcPr>
          <w:p w14:paraId="0E775F63" w14:textId="77777777" w:rsidR="004A786A" w:rsidRPr="00991BC1" w:rsidRDefault="004A786A" w:rsidP="00DD5FB6">
            <w:pPr>
              <w:spacing w:after="0"/>
              <w:rPr>
                <w:sz w:val="16"/>
                <w:szCs w:val="16"/>
                <w:lang w:val="en-GB"/>
              </w:rPr>
            </w:pPr>
            <w:r>
              <w:rPr>
                <w:sz w:val="16"/>
                <w:szCs w:val="16"/>
                <w:lang w:val="en-GB"/>
              </w:rPr>
              <w:t>Up to 95%</w:t>
            </w:r>
          </w:p>
        </w:tc>
      </w:tr>
      <w:tr w:rsidR="004A786A" w:rsidRPr="00991BC1" w14:paraId="7739C6E7" w14:textId="77777777" w:rsidTr="00DD5FB6">
        <w:trPr>
          <w:trHeight w:val="113"/>
        </w:trPr>
        <w:tc>
          <w:tcPr>
            <w:tcW w:w="1668" w:type="dxa"/>
            <w:vMerge/>
            <w:shd w:val="clear" w:color="auto" w:fill="F2F2F2" w:themeFill="background1" w:themeFillShade="F2"/>
          </w:tcPr>
          <w:p w14:paraId="6B92B737"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vAlign w:val="center"/>
          </w:tcPr>
          <w:p w14:paraId="768BB2E3" w14:textId="77777777" w:rsidR="004A786A" w:rsidRPr="00C22CCF" w:rsidRDefault="004A786A" w:rsidP="00DD5FB6">
            <w:pPr>
              <w:spacing w:after="0"/>
              <w:rPr>
                <w:rFonts w:cstheme="minorHAnsi"/>
                <w:b/>
                <w:sz w:val="16"/>
                <w:szCs w:val="16"/>
                <w:lang w:val="en-US"/>
              </w:rPr>
            </w:pPr>
            <w:r w:rsidRPr="003A5D1E">
              <w:rPr>
                <w:rFonts w:cstheme="minorHAnsi"/>
                <w:sz w:val="16"/>
                <w:szCs w:val="16"/>
                <w:lang w:val="en-US"/>
              </w:rPr>
              <w:t>Ensure intermittent bleed controller only vents/emits during the de-actuation portion of a control cycle with no emission when the valve is in a stationery position.</w:t>
            </w:r>
          </w:p>
        </w:tc>
        <w:tc>
          <w:tcPr>
            <w:tcW w:w="1559" w:type="dxa"/>
            <w:shd w:val="clear" w:color="auto" w:fill="F2F2F2" w:themeFill="background1" w:themeFillShade="F2"/>
            <w:vAlign w:val="center"/>
          </w:tcPr>
          <w:p w14:paraId="685A9CAF" w14:textId="77777777" w:rsidR="004A786A" w:rsidRPr="00991BC1" w:rsidRDefault="004A786A" w:rsidP="00DD5FB6">
            <w:pPr>
              <w:spacing w:after="0"/>
              <w:rPr>
                <w:sz w:val="16"/>
                <w:szCs w:val="16"/>
                <w:lang w:val="en-GB"/>
              </w:rPr>
            </w:pPr>
            <w:r>
              <w:rPr>
                <w:sz w:val="16"/>
                <w:szCs w:val="16"/>
                <w:lang w:val="en-GB"/>
              </w:rPr>
              <w:t>Up to 50%</w:t>
            </w:r>
          </w:p>
        </w:tc>
      </w:tr>
      <w:tr w:rsidR="004A786A" w:rsidRPr="00991BC1" w14:paraId="38210ECA" w14:textId="77777777" w:rsidTr="00DD5FB6">
        <w:trPr>
          <w:trHeight w:val="113"/>
        </w:trPr>
        <w:tc>
          <w:tcPr>
            <w:tcW w:w="1668" w:type="dxa"/>
            <w:vMerge/>
            <w:shd w:val="clear" w:color="auto" w:fill="F2F2F2" w:themeFill="background1" w:themeFillShade="F2"/>
          </w:tcPr>
          <w:p w14:paraId="7E908A3E"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vAlign w:val="center"/>
          </w:tcPr>
          <w:p w14:paraId="0A147652" w14:textId="77777777" w:rsidR="004A786A" w:rsidRPr="00991BC1" w:rsidRDefault="004A786A" w:rsidP="00DD5FB6">
            <w:pPr>
              <w:spacing w:after="0"/>
              <w:rPr>
                <w:sz w:val="16"/>
                <w:szCs w:val="16"/>
                <w:lang w:val="en-GB"/>
              </w:rPr>
            </w:pPr>
            <w:r w:rsidRPr="00991BC1">
              <w:rPr>
                <w:sz w:val="16"/>
                <w:szCs w:val="16"/>
                <w:lang w:val="en-GB"/>
              </w:rPr>
              <w:t>Replacement by zero emission options (electric or air driven)</w:t>
            </w:r>
          </w:p>
        </w:tc>
        <w:tc>
          <w:tcPr>
            <w:tcW w:w="1559" w:type="dxa"/>
            <w:shd w:val="clear" w:color="auto" w:fill="F2F2F2" w:themeFill="background1" w:themeFillShade="F2"/>
            <w:vAlign w:val="center"/>
          </w:tcPr>
          <w:p w14:paraId="4E0BDCC3" w14:textId="77777777" w:rsidR="004A786A" w:rsidRPr="00991BC1" w:rsidRDefault="004A786A" w:rsidP="00DD5FB6">
            <w:pPr>
              <w:spacing w:after="0"/>
              <w:rPr>
                <w:sz w:val="16"/>
                <w:szCs w:val="16"/>
                <w:lang w:val="en-GB"/>
              </w:rPr>
            </w:pPr>
            <w:r w:rsidRPr="00991BC1">
              <w:rPr>
                <w:sz w:val="16"/>
                <w:szCs w:val="16"/>
                <w:lang w:val="en-GB"/>
              </w:rPr>
              <w:t>100%</w:t>
            </w:r>
          </w:p>
        </w:tc>
      </w:tr>
      <w:tr w:rsidR="004A786A" w:rsidRPr="00991BC1" w14:paraId="47911D16" w14:textId="77777777" w:rsidTr="00DD5FB6">
        <w:trPr>
          <w:trHeight w:val="170"/>
        </w:trPr>
        <w:tc>
          <w:tcPr>
            <w:tcW w:w="1668" w:type="dxa"/>
            <w:vMerge w:val="restart"/>
            <w:shd w:val="clear" w:color="auto" w:fill="D0F4E3" w:themeFill="text2" w:themeFillTint="33"/>
            <w:vAlign w:val="center"/>
          </w:tcPr>
          <w:p w14:paraId="67412F13" w14:textId="77777777" w:rsidR="004A786A" w:rsidRPr="00CB441F" w:rsidRDefault="004A786A" w:rsidP="00DD5FB6">
            <w:pPr>
              <w:spacing w:after="0"/>
              <w:rPr>
                <w:b/>
                <w:sz w:val="16"/>
                <w:szCs w:val="16"/>
                <w:lang w:val="en-US"/>
              </w:rPr>
            </w:pPr>
            <w:r w:rsidRPr="00CB441F">
              <w:rPr>
                <w:b/>
                <w:sz w:val="16"/>
                <w:szCs w:val="16"/>
                <w:lang w:val="en-US"/>
              </w:rPr>
              <w:t>6. Wet-seal centrifugal compressors</w:t>
            </w:r>
          </w:p>
        </w:tc>
        <w:tc>
          <w:tcPr>
            <w:tcW w:w="6237" w:type="dxa"/>
            <w:shd w:val="clear" w:color="auto" w:fill="D0F4E3" w:themeFill="text2" w:themeFillTint="33"/>
          </w:tcPr>
          <w:p w14:paraId="4AB7E7FC" w14:textId="77777777" w:rsidR="004A786A" w:rsidRPr="00991BC1" w:rsidRDefault="004A786A" w:rsidP="00DD5FB6">
            <w:pPr>
              <w:spacing w:after="0"/>
              <w:rPr>
                <w:sz w:val="16"/>
                <w:szCs w:val="16"/>
                <w:lang w:val="en-US"/>
              </w:rPr>
            </w:pPr>
            <w:r w:rsidRPr="00147DB6">
              <w:rPr>
                <w:rFonts w:cstheme="minorHAnsi"/>
                <w:sz w:val="16"/>
                <w:szCs w:val="16"/>
                <w:lang w:val="en-US"/>
              </w:rPr>
              <w:t xml:space="preserve">Re-route gas at atmospheric pressure to VRU or to a low-pressure inlet </w:t>
            </w:r>
          </w:p>
        </w:tc>
        <w:tc>
          <w:tcPr>
            <w:tcW w:w="1559" w:type="dxa"/>
            <w:shd w:val="clear" w:color="auto" w:fill="D0F4E3" w:themeFill="text2" w:themeFillTint="33"/>
          </w:tcPr>
          <w:p w14:paraId="0C4B8099" w14:textId="77777777" w:rsidR="004A786A" w:rsidRPr="00991BC1" w:rsidRDefault="004A786A" w:rsidP="00DD5FB6">
            <w:pPr>
              <w:spacing w:after="0"/>
              <w:rPr>
                <w:sz w:val="16"/>
                <w:szCs w:val="16"/>
                <w:lang w:val="en-US"/>
              </w:rPr>
            </w:pPr>
            <w:r>
              <w:rPr>
                <w:sz w:val="16"/>
                <w:szCs w:val="16"/>
                <w:lang w:val="en-US"/>
              </w:rPr>
              <w:t>Up to 95%</w:t>
            </w:r>
          </w:p>
        </w:tc>
      </w:tr>
      <w:tr w:rsidR="004A786A" w:rsidRPr="00991BC1" w14:paraId="2430BE64" w14:textId="77777777" w:rsidTr="00DD5FB6">
        <w:trPr>
          <w:trHeight w:val="170"/>
        </w:trPr>
        <w:tc>
          <w:tcPr>
            <w:tcW w:w="1668" w:type="dxa"/>
            <w:vMerge/>
            <w:shd w:val="clear" w:color="auto" w:fill="D0F4E3" w:themeFill="text2" w:themeFillTint="33"/>
          </w:tcPr>
          <w:p w14:paraId="2515B4FA"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4CCCA872" w14:textId="77777777" w:rsidR="004A786A" w:rsidRPr="00147DB6" w:rsidRDefault="004A786A" w:rsidP="00DD5FB6">
            <w:pPr>
              <w:spacing w:after="0"/>
              <w:rPr>
                <w:rFonts w:cstheme="minorHAnsi"/>
                <w:b/>
                <w:sz w:val="16"/>
                <w:szCs w:val="16"/>
                <w:lang w:val="en-US"/>
              </w:rPr>
            </w:pPr>
            <w:r w:rsidRPr="00147DB6">
              <w:rPr>
                <w:rFonts w:cstheme="minorHAnsi"/>
                <w:sz w:val="16"/>
                <w:szCs w:val="16"/>
                <w:lang w:val="en-US"/>
              </w:rPr>
              <w:t>Convert compressor wet seals to dry seals</w:t>
            </w:r>
          </w:p>
        </w:tc>
        <w:tc>
          <w:tcPr>
            <w:tcW w:w="1559" w:type="dxa"/>
            <w:shd w:val="clear" w:color="auto" w:fill="D0F4E3" w:themeFill="text2" w:themeFillTint="33"/>
            <w:vAlign w:val="center"/>
          </w:tcPr>
          <w:p w14:paraId="6266FE25" w14:textId="77777777" w:rsidR="004A786A" w:rsidRPr="00991BC1" w:rsidRDefault="004A786A" w:rsidP="00DD5FB6">
            <w:pPr>
              <w:spacing w:after="0"/>
              <w:rPr>
                <w:sz w:val="16"/>
                <w:szCs w:val="16"/>
                <w:lang w:val="en-US"/>
              </w:rPr>
            </w:pPr>
            <w:r>
              <w:rPr>
                <w:sz w:val="16"/>
                <w:szCs w:val="16"/>
                <w:lang w:val="en-US"/>
              </w:rPr>
              <w:t>Variable</w:t>
            </w:r>
          </w:p>
        </w:tc>
      </w:tr>
      <w:tr w:rsidR="004A786A" w:rsidRPr="00991BC1" w14:paraId="2830A393" w14:textId="77777777" w:rsidTr="00DD5FB6">
        <w:trPr>
          <w:trHeight w:val="170"/>
        </w:trPr>
        <w:tc>
          <w:tcPr>
            <w:tcW w:w="1668" w:type="dxa"/>
            <w:vMerge w:val="restart"/>
            <w:shd w:val="clear" w:color="auto" w:fill="F2F2F2" w:themeFill="background1" w:themeFillShade="F2"/>
            <w:vAlign w:val="center"/>
          </w:tcPr>
          <w:p w14:paraId="7D04B9D9" w14:textId="77777777" w:rsidR="004A786A" w:rsidRPr="00CB441F" w:rsidRDefault="004A786A" w:rsidP="00DD5FB6">
            <w:pPr>
              <w:spacing w:after="0"/>
              <w:rPr>
                <w:b/>
                <w:sz w:val="16"/>
                <w:szCs w:val="16"/>
                <w:lang w:val="en-US"/>
              </w:rPr>
            </w:pPr>
            <w:r w:rsidRPr="00CB441F">
              <w:rPr>
                <w:b/>
                <w:sz w:val="16"/>
                <w:szCs w:val="16"/>
                <w:lang w:val="en-US"/>
              </w:rPr>
              <w:t>7. Reciprocating rod-packing compressors</w:t>
            </w:r>
          </w:p>
        </w:tc>
        <w:tc>
          <w:tcPr>
            <w:tcW w:w="6237" w:type="dxa"/>
            <w:shd w:val="clear" w:color="auto" w:fill="F2F2F2" w:themeFill="background1" w:themeFillShade="F2"/>
          </w:tcPr>
          <w:p w14:paraId="395AAA86" w14:textId="77777777" w:rsidR="004A786A" w:rsidRPr="00147DB6" w:rsidRDefault="004A786A" w:rsidP="00DD5FB6">
            <w:pPr>
              <w:spacing w:after="0"/>
              <w:rPr>
                <w:rFonts w:cstheme="minorHAnsi"/>
                <w:b/>
                <w:sz w:val="16"/>
                <w:szCs w:val="16"/>
                <w:lang w:val="en-US"/>
              </w:rPr>
            </w:pPr>
            <w:r>
              <w:rPr>
                <w:rFonts w:cstheme="minorHAnsi"/>
                <w:sz w:val="16"/>
                <w:szCs w:val="16"/>
                <w:lang w:val="en-US"/>
              </w:rPr>
              <w:t>R</w:t>
            </w:r>
            <w:r w:rsidRPr="00147DB6">
              <w:rPr>
                <w:rFonts w:cstheme="minorHAnsi"/>
                <w:sz w:val="16"/>
                <w:szCs w:val="16"/>
                <w:lang w:val="en-US"/>
              </w:rPr>
              <w:t>egular repl</w:t>
            </w:r>
            <w:r>
              <w:rPr>
                <w:rFonts w:cstheme="minorHAnsi"/>
                <w:sz w:val="16"/>
                <w:szCs w:val="16"/>
                <w:lang w:val="en-US"/>
              </w:rPr>
              <w:t>acement of rod packing</w:t>
            </w:r>
          </w:p>
        </w:tc>
        <w:tc>
          <w:tcPr>
            <w:tcW w:w="1559" w:type="dxa"/>
            <w:shd w:val="clear" w:color="auto" w:fill="F2F2F2" w:themeFill="background1" w:themeFillShade="F2"/>
          </w:tcPr>
          <w:p w14:paraId="664CB7B6" w14:textId="77777777" w:rsidR="004A786A" w:rsidRPr="00991BC1" w:rsidRDefault="004A786A" w:rsidP="00DD5FB6">
            <w:pPr>
              <w:spacing w:after="0"/>
              <w:rPr>
                <w:sz w:val="16"/>
                <w:szCs w:val="16"/>
                <w:lang w:val="en-US"/>
              </w:rPr>
            </w:pPr>
            <w:r>
              <w:rPr>
                <w:sz w:val="16"/>
                <w:szCs w:val="16"/>
                <w:lang w:val="en-US"/>
              </w:rPr>
              <w:t>Typically, 50-65%</w:t>
            </w:r>
          </w:p>
        </w:tc>
      </w:tr>
      <w:tr w:rsidR="004A786A" w:rsidRPr="00991BC1" w14:paraId="49BC2327" w14:textId="77777777" w:rsidTr="00DD5FB6">
        <w:trPr>
          <w:trHeight w:val="170"/>
        </w:trPr>
        <w:tc>
          <w:tcPr>
            <w:tcW w:w="1668" w:type="dxa"/>
            <w:vMerge/>
            <w:shd w:val="clear" w:color="auto" w:fill="F2F2F2" w:themeFill="background1" w:themeFillShade="F2"/>
          </w:tcPr>
          <w:p w14:paraId="6D000BCD"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35D1A9AA" w14:textId="77777777" w:rsidR="004A786A" w:rsidRPr="00991BC1" w:rsidRDefault="004A786A" w:rsidP="00DD5FB6">
            <w:pPr>
              <w:spacing w:after="0"/>
              <w:rPr>
                <w:sz w:val="16"/>
                <w:szCs w:val="16"/>
                <w:lang w:val="en-US"/>
              </w:rPr>
            </w:pPr>
            <w:r w:rsidRPr="00147DB6">
              <w:rPr>
                <w:rFonts w:cstheme="minorHAnsi"/>
                <w:sz w:val="16"/>
                <w:szCs w:val="16"/>
                <w:lang w:val="en-US"/>
              </w:rPr>
              <w:t xml:space="preserve">Re-route </w:t>
            </w:r>
            <w:r>
              <w:rPr>
                <w:rFonts w:cstheme="minorHAnsi"/>
                <w:sz w:val="16"/>
                <w:szCs w:val="16"/>
                <w:lang w:val="en-US"/>
              </w:rPr>
              <w:t xml:space="preserve">vents points </w:t>
            </w:r>
            <w:r w:rsidRPr="00147DB6">
              <w:rPr>
                <w:rFonts w:cstheme="minorHAnsi"/>
                <w:sz w:val="16"/>
                <w:szCs w:val="16"/>
                <w:lang w:val="en-US"/>
              </w:rPr>
              <w:t>to VRU</w:t>
            </w:r>
            <w:r>
              <w:rPr>
                <w:rFonts w:cstheme="minorHAnsi"/>
                <w:sz w:val="16"/>
                <w:szCs w:val="16"/>
                <w:lang w:val="en-US"/>
              </w:rPr>
              <w:t xml:space="preserve"> or </w:t>
            </w:r>
            <w:r w:rsidRPr="00147DB6">
              <w:rPr>
                <w:rFonts w:cstheme="minorHAnsi"/>
                <w:sz w:val="16"/>
                <w:szCs w:val="16"/>
                <w:lang w:val="en-US"/>
              </w:rPr>
              <w:t xml:space="preserve">fuel gas system </w:t>
            </w:r>
          </w:p>
        </w:tc>
        <w:tc>
          <w:tcPr>
            <w:tcW w:w="1559" w:type="dxa"/>
            <w:shd w:val="clear" w:color="auto" w:fill="F2F2F2" w:themeFill="background1" w:themeFillShade="F2"/>
          </w:tcPr>
          <w:p w14:paraId="4766B1B4" w14:textId="77777777" w:rsidR="004A786A" w:rsidRPr="00991BC1" w:rsidRDefault="004A786A" w:rsidP="00DD5FB6">
            <w:pPr>
              <w:spacing w:after="0"/>
              <w:rPr>
                <w:sz w:val="16"/>
                <w:szCs w:val="16"/>
                <w:lang w:val="en-US"/>
              </w:rPr>
            </w:pPr>
            <w:r>
              <w:rPr>
                <w:sz w:val="16"/>
                <w:szCs w:val="16"/>
                <w:lang w:val="en-US"/>
              </w:rPr>
              <w:t>Up to 95%</w:t>
            </w:r>
          </w:p>
        </w:tc>
      </w:tr>
      <w:tr w:rsidR="004A786A" w:rsidRPr="00D50AD2" w14:paraId="33432B42" w14:textId="77777777" w:rsidTr="00DD5FB6">
        <w:trPr>
          <w:trHeight w:val="170"/>
        </w:trPr>
        <w:tc>
          <w:tcPr>
            <w:tcW w:w="1668" w:type="dxa"/>
            <w:vMerge/>
            <w:shd w:val="clear" w:color="auto" w:fill="F2F2F2" w:themeFill="background1" w:themeFillShade="F2"/>
          </w:tcPr>
          <w:p w14:paraId="519D6410"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1E148BF0" w14:textId="77777777" w:rsidR="004A786A" w:rsidRPr="00147DB6" w:rsidRDefault="004A786A" w:rsidP="00DD5FB6">
            <w:pPr>
              <w:spacing w:after="0"/>
              <w:rPr>
                <w:rFonts w:cstheme="minorHAnsi"/>
                <w:sz w:val="16"/>
                <w:szCs w:val="16"/>
                <w:lang w:val="en-US"/>
              </w:rPr>
            </w:pPr>
            <w:r w:rsidRPr="00147DB6">
              <w:rPr>
                <w:rFonts w:cstheme="minorHAnsi"/>
                <w:sz w:val="16"/>
                <w:szCs w:val="16"/>
                <w:lang w:val="en-US"/>
              </w:rPr>
              <w:t xml:space="preserve">Re-route </w:t>
            </w:r>
            <w:r>
              <w:rPr>
                <w:rFonts w:cstheme="minorHAnsi"/>
                <w:sz w:val="16"/>
                <w:szCs w:val="16"/>
                <w:lang w:val="en-US"/>
              </w:rPr>
              <w:t xml:space="preserve">vents points </w:t>
            </w:r>
            <w:r w:rsidRPr="00147DB6">
              <w:rPr>
                <w:rFonts w:cstheme="minorHAnsi"/>
                <w:sz w:val="16"/>
                <w:szCs w:val="16"/>
                <w:lang w:val="en-US"/>
              </w:rPr>
              <w:t>to flare</w:t>
            </w:r>
          </w:p>
        </w:tc>
        <w:tc>
          <w:tcPr>
            <w:tcW w:w="1559" w:type="dxa"/>
            <w:shd w:val="clear" w:color="auto" w:fill="F2F2F2" w:themeFill="background1" w:themeFillShade="F2"/>
          </w:tcPr>
          <w:p w14:paraId="15492CAA" w14:textId="77777777" w:rsidR="004A786A" w:rsidRDefault="004A786A" w:rsidP="00DD5FB6">
            <w:pPr>
              <w:spacing w:after="0"/>
              <w:rPr>
                <w:sz w:val="16"/>
                <w:szCs w:val="16"/>
                <w:lang w:val="en-US"/>
              </w:rPr>
            </w:pPr>
            <w:r>
              <w:rPr>
                <w:sz w:val="16"/>
                <w:szCs w:val="16"/>
                <w:lang w:val="en-US"/>
              </w:rPr>
              <w:t>Up to 99%</w:t>
            </w:r>
          </w:p>
        </w:tc>
      </w:tr>
      <w:tr w:rsidR="004A786A" w:rsidRPr="00991BC1" w14:paraId="1836D3A6" w14:textId="77777777" w:rsidTr="00DD5FB6">
        <w:trPr>
          <w:trHeight w:val="57"/>
        </w:trPr>
        <w:tc>
          <w:tcPr>
            <w:tcW w:w="1668" w:type="dxa"/>
            <w:vMerge w:val="restart"/>
            <w:shd w:val="clear" w:color="auto" w:fill="D0F4E3" w:themeFill="text2" w:themeFillTint="33"/>
            <w:vAlign w:val="center"/>
          </w:tcPr>
          <w:p w14:paraId="32DF50FA" w14:textId="77777777" w:rsidR="004A786A" w:rsidRPr="00CB441F" w:rsidRDefault="004A786A" w:rsidP="00DD5FB6">
            <w:pPr>
              <w:spacing w:after="0"/>
              <w:rPr>
                <w:b/>
                <w:sz w:val="16"/>
                <w:szCs w:val="16"/>
                <w:lang w:val="en-US"/>
              </w:rPr>
            </w:pPr>
            <w:r w:rsidRPr="00CB441F">
              <w:rPr>
                <w:b/>
                <w:sz w:val="16"/>
                <w:szCs w:val="16"/>
                <w:lang w:val="en-US"/>
              </w:rPr>
              <w:t>8. Venting  associated gas at upstream oil production facilities</w:t>
            </w:r>
          </w:p>
        </w:tc>
        <w:tc>
          <w:tcPr>
            <w:tcW w:w="6237" w:type="dxa"/>
            <w:shd w:val="clear" w:color="auto" w:fill="D0F4E3" w:themeFill="text2" w:themeFillTint="33"/>
            <w:vAlign w:val="center"/>
          </w:tcPr>
          <w:p w14:paraId="3C326408" w14:textId="77777777" w:rsidR="004A786A" w:rsidRPr="00991BC1" w:rsidRDefault="004A786A" w:rsidP="00DD5FB6">
            <w:pPr>
              <w:spacing w:after="0"/>
              <w:rPr>
                <w:sz w:val="16"/>
                <w:szCs w:val="16"/>
                <w:lang w:val="en-GB"/>
              </w:rPr>
            </w:pPr>
            <w:r w:rsidRPr="00991BC1">
              <w:rPr>
                <w:sz w:val="16"/>
                <w:szCs w:val="16"/>
                <w:lang w:val="en-GB"/>
              </w:rPr>
              <w:t xml:space="preserve">Flaring </w:t>
            </w:r>
            <w:r>
              <w:rPr>
                <w:sz w:val="16"/>
                <w:szCs w:val="16"/>
                <w:lang w:val="en-GB"/>
              </w:rPr>
              <w:t xml:space="preserve">without energy recovery </w:t>
            </w:r>
            <w:r w:rsidRPr="00991BC1">
              <w:rPr>
                <w:sz w:val="16"/>
                <w:szCs w:val="16"/>
                <w:lang w:val="en-GB"/>
              </w:rPr>
              <w:t>instead of venting</w:t>
            </w:r>
            <w:r>
              <w:rPr>
                <w:rStyle w:val="FootnoteReference"/>
                <w:sz w:val="16"/>
                <w:szCs w:val="16"/>
                <w:lang w:val="en-GB"/>
              </w:rPr>
              <w:footnoteReference w:id="71"/>
            </w:r>
          </w:p>
        </w:tc>
        <w:tc>
          <w:tcPr>
            <w:tcW w:w="1559" w:type="dxa"/>
            <w:shd w:val="clear" w:color="auto" w:fill="D0F4E3" w:themeFill="text2" w:themeFillTint="33"/>
            <w:vAlign w:val="center"/>
          </w:tcPr>
          <w:p w14:paraId="74345F3E" w14:textId="77777777" w:rsidR="004A786A" w:rsidRPr="00991BC1" w:rsidRDefault="004A786A" w:rsidP="00DD5FB6">
            <w:pPr>
              <w:spacing w:after="0"/>
              <w:rPr>
                <w:sz w:val="16"/>
                <w:szCs w:val="16"/>
                <w:lang w:val="en-GB"/>
              </w:rPr>
            </w:pPr>
            <w:r w:rsidRPr="00991BC1">
              <w:rPr>
                <w:sz w:val="16"/>
                <w:szCs w:val="16"/>
                <w:lang w:val="en-GB"/>
              </w:rPr>
              <w:t>Up to 98%</w:t>
            </w:r>
          </w:p>
        </w:tc>
      </w:tr>
      <w:tr w:rsidR="004A786A" w:rsidRPr="00991BC1" w14:paraId="0853302F" w14:textId="77777777" w:rsidTr="00DD5FB6">
        <w:trPr>
          <w:trHeight w:val="57"/>
        </w:trPr>
        <w:tc>
          <w:tcPr>
            <w:tcW w:w="1668" w:type="dxa"/>
            <w:vMerge/>
            <w:shd w:val="clear" w:color="auto" w:fill="D0F4E3" w:themeFill="text2" w:themeFillTint="33"/>
          </w:tcPr>
          <w:p w14:paraId="0A62402E"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7644D303" w14:textId="77777777" w:rsidR="004A786A" w:rsidRPr="00147DB6" w:rsidRDefault="004A786A" w:rsidP="00DD5FB6">
            <w:pPr>
              <w:spacing w:after="0"/>
              <w:rPr>
                <w:rFonts w:cstheme="minorHAnsi"/>
                <w:b/>
                <w:sz w:val="16"/>
                <w:szCs w:val="16"/>
                <w:lang w:val="en-US"/>
              </w:rPr>
            </w:pPr>
            <w:r w:rsidRPr="00147DB6">
              <w:rPr>
                <w:rFonts w:cstheme="minorHAnsi"/>
                <w:sz w:val="16"/>
                <w:szCs w:val="16"/>
                <w:lang w:val="en-US"/>
              </w:rPr>
              <w:t xml:space="preserve">Capturing vent gas for gas utilization </w:t>
            </w:r>
          </w:p>
        </w:tc>
        <w:tc>
          <w:tcPr>
            <w:tcW w:w="1559" w:type="dxa"/>
            <w:shd w:val="clear" w:color="auto" w:fill="D0F4E3" w:themeFill="text2" w:themeFillTint="33"/>
            <w:vAlign w:val="center"/>
          </w:tcPr>
          <w:p w14:paraId="49602408" w14:textId="77777777" w:rsidR="004A786A" w:rsidRPr="00991BC1" w:rsidRDefault="004A786A" w:rsidP="00DD5FB6">
            <w:pPr>
              <w:spacing w:after="0"/>
              <w:rPr>
                <w:sz w:val="16"/>
                <w:szCs w:val="16"/>
                <w:lang w:val="en-GB"/>
              </w:rPr>
            </w:pPr>
            <w:r w:rsidRPr="00147DB6">
              <w:rPr>
                <w:rFonts w:cstheme="minorHAnsi"/>
                <w:sz w:val="16"/>
                <w:szCs w:val="16"/>
                <w:lang w:val="en-US"/>
              </w:rPr>
              <w:t xml:space="preserve">up to 100% </w:t>
            </w:r>
          </w:p>
        </w:tc>
      </w:tr>
      <w:tr w:rsidR="004A786A" w:rsidRPr="00991BC1" w14:paraId="132F1185" w14:textId="77777777" w:rsidTr="00DD5FB6">
        <w:trPr>
          <w:trHeight w:val="57"/>
        </w:trPr>
        <w:tc>
          <w:tcPr>
            <w:tcW w:w="1668" w:type="dxa"/>
            <w:vMerge/>
            <w:shd w:val="clear" w:color="auto" w:fill="D0F4E3" w:themeFill="text2" w:themeFillTint="33"/>
          </w:tcPr>
          <w:p w14:paraId="7A6C366A"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24707B51" w14:textId="77777777" w:rsidR="004A786A" w:rsidRPr="00991BC1" w:rsidRDefault="004A786A" w:rsidP="00DD5FB6">
            <w:pPr>
              <w:spacing w:after="0"/>
              <w:rPr>
                <w:sz w:val="16"/>
                <w:szCs w:val="16"/>
                <w:lang w:val="en-US"/>
              </w:rPr>
            </w:pPr>
            <w:r w:rsidRPr="00991BC1">
              <w:rPr>
                <w:sz w:val="16"/>
                <w:szCs w:val="16"/>
                <w:lang w:val="en-GB"/>
              </w:rPr>
              <w:t>Install flare ignition systems</w:t>
            </w:r>
            <w:r>
              <w:rPr>
                <w:rStyle w:val="FootnoteReference"/>
                <w:sz w:val="16"/>
                <w:szCs w:val="16"/>
                <w:lang w:val="en-GB"/>
              </w:rPr>
              <w:footnoteReference w:id="72"/>
            </w:r>
          </w:p>
        </w:tc>
        <w:tc>
          <w:tcPr>
            <w:tcW w:w="1559" w:type="dxa"/>
            <w:shd w:val="clear" w:color="auto" w:fill="D0F4E3" w:themeFill="text2" w:themeFillTint="33"/>
            <w:vAlign w:val="center"/>
          </w:tcPr>
          <w:p w14:paraId="0A37A12E" w14:textId="77777777" w:rsidR="004A786A" w:rsidRPr="00991BC1" w:rsidRDefault="004A786A" w:rsidP="00DD5FB6">
            <w:pPr>
              <w:spacing w:after="0"/>
              <w:rPr>
                <w:sz w:val="16"/>
                <w:szCs w:val="16"/>
                <w:lang w:val="en-US"/>
              </w:rPr>
            </w:pPr>
            <w:r>
              <w:rPr>
                <w:sz w:val="16"/>
                <w:szCs w:val="16"/>
                <w:lang w:val="en-US"/>
              </w:rPr>
              <w:t xml:space="preserve">Variable </w:t>
            </w:r>
          </w:p>
        </w:tc>
      </w:tr>
      <w:tr w:rsidR="004A786A" w:rsidRPr="00991BC1" w14:paraId="3481B1CE" w14:textId="77777777" w:rsidTr="00DD5FB6">
        <w:trPr>
          <w:trHeight w:val="20"/>
        </w:trPr>
        <w:tc>
          <w:tcPr>
            <w:tcW w:w="1668" w:type="dxa"/>
            <w:vMerge w:val="restart"/>
            <w:shd w:val="clear" w:color="auto" w:fill="F2F2F2" w:themeFill="background1" w:themeFillShade="F2"/>
            <w:vAlign w:val="center"/>
          </w:tcPr>
          <w:p w14:paraId="0FBFCA73" w14:textId="77777777" w:rsidR="004A786A" w:rsidRPr="00CB441F" w:rsidRDefault="004A786A" w:rsidP="00DD5FB6">
            <w:pPr>
              <w:spacing w:after="0"/>
              <w:rPr>
                <w:b/>
                <w:sz w:val="16"/>
                <w:szCs w:val="16"/>
                <w:lang w:val="en-US"/>
              </w:rPr>
            </w:pPr>
            <w:r w:rsidRPr="00CB441F">
              <w:rPr>
                <w:b/>
                <w:sz w:val="16"/>
                <w:szCs w:val="16"/>
                <w:lang w:val="en-US"/>
              </w:rPr>
              <w:t>9. Hydrocarbon liquid storage tank, loading &amp; transportation, produced water discharge</w:t>
            </w:r>
          </w:p>
        </w:tc>
        <w:tc>
          <w:tcPr>
            <w:tcW w:w="6237" w:type="dxa"/>
            <w:shd w:val="clear" w:color="auto" w:fill="F2F2F2" w:themeFill="background1" w:themeFillShade="F2"/>
          </w:tcPr>
          <w:p w14:paraId="4BC65AEB" w14:textId="77777777" w:rsidR="004A786A" w:rsidRPr="00B67CD3" w:rsidRDefault="004A786A" w:rsidP="00DD5FB6">
            <w:pPr>
              <w:spacing w:after="0"/>
              <w:rPr>
                <w:sz w:val="16"/>
                <w:szCs w:val="16"/>
                <w:lang w:val="en-GB"/>
              </w:rPr>
            </w:pPr>
            <w:r w:rsidRPr="00B67CD3">
              <w:rPr>
                <w:sz w:val="16"/>
                <w:szCs w:val="16"/>
                <w:lang w:val="en-GB"/>
              </w:rPr>
              <w:t>Reduce operating pressure upstream</w:t>
            </w:r>
            <w:r w:rsidRPr="00B67CD3">
              <w:rPr>
                <w:rStyle w:val="FootnoteReference"/>
                <w:sz w:val="16"/>
                <w:szCs w:val="16"/>
                <w:lang w:val="en-GB"/>
              </w:rPr>
              <w:footnoteReference w:id="73"/>
            </w:r>
          </w:p>
        </w:tc>
        <w:tc>
          <w:tcPr>
            <w:tcW w:w="1559" w:type="dxa"/>
            <w:shd w:val="clear" w:color="auto" w:fill="F2F2F2" w:themeFill="background1" w:themeFillShade="F2"/>
          </w:tcPr>
          <w:p w14:paraId="139ACB9B" w14:textId="77777777" w:rsidR="004A786A" w:rsidRPr="00991BC1" w:rsidRDefault="004A786A" w:rsidP="00DD5FB6">
            <w:pPr>
              <w:spacing w:after="0"/>
              <w:rPr>
                <w:sz w:val="16"/>
                <w:szCs w:val="16"/>
              </w:rPr>
            </w:pPr>
            <w:r w:rsidRPr="00991BC1">
              <w:rPr>
                <w:sz w:val="16"/>
                <w:szCs w:val="16"/>
              </w:rPr>
              <w:t>Up to 30%</w:t>
            </w:r>
          </w:p>
        </w:tc>
      </w:tr>
      <w:tr w:rsidR="004A786A" w:rsidRPr="00991BC1" w14:paraId="3C6F9B98" w14:textId="77777777" w:rsidTr="00DD5FB6">
        <w:trPr>
          <w:trHeight w:val="20"/>
        </w:trPr>
        <w:tc>
          <w:tcPr>
            <w:tcW w:w="1668" w:type="dxa"/>
            <w:vMerge/>
            <w:shd w:val="clear" w:color="auto" w:fill="F2F2F2" w:themeFill="background1" w:themeFillShade="F2"/>
          </w:tcPr>
          <w:p w14:paraId="6E8F0406"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7F9A525C" w14:textId="77777777" w:rsidR="004A786A" w:rsidRPr="00B67CD3" w:rsidRDefault="004A786A" w:rsidP="00DD5FB6">
            <w:pPr>
              <w:spacing w:after="0"/>
              <w:rPr>
                <w:sz w:val="16"/>
                <w:szCs w:val="16"/>
                <w:lang w:val="en-GB"/>
              </w:rPr>
            </w:pPr>
            <w:r w:rsidRPr="00B67CD3">
              <w:rPr>
                <w:sz w:val="16"/>
                <w:szCs w:val="16"/>
                <w:lang w:val="en-GB"/>
              </w:rPr>
              <w:t>Increase tank pressure</w:t>
            </w:r>
          </w:p>
        </w:tc>
        <w:tc>
          <w:tcPr>
            <w:tcW w:w="1559" w:type="dxa"/>
            <w:shd w:val="clear" w:color="auto" w:fill="F2F2F2" w:themeFill="background1" w:themeFillShade="F2"/>
          </w:tcPr>
          <w:p w14:paraId="5E56A11C" w14:textId="77777777" w:rsidR="004A786A" w:rsidRPr="00991BC1" w:rsidRDefault="004A786A" w:rsidP="00DD5FB6">
            <w:pPr>
              <w:spacing w:after="0"/>
              <w:rPr>
                <w:sz w:val="16"/>
                <w:szCs w:val="16"/>
              </w:rPr>
            </w:pPr>
            <w:r w:rsidRPr="00991BC1">
              <w:rPr>
                <w:sz w:val="16"/>
                <w:szCs w:val="16"/>
              </w:rPr>
              <w:t>10-20%</w:t>
            </w:r>
          </w:p>
        </w:tc>
      </w:tr>
      <w:tr w:rsidR="004A786A" w:rsidRPr="00991BC1" w14:paraId="2D3402A9" w14:textId="77777777" w:rsidTr="00DD5FB6">
        <w:trPr>
          <w:trHeight w:val="20"/>
        </w:trPr>
        <w:tc>
          <w:tcPr>
            <w:tcW w:w="1668" w:type="dxa"/>
            <w:vMerge/>
            <w:shd w:val="clear" w:color="auto" w:fill="F2F2F2" w:themeFill="background1" w:themeFillShade="F2"/>
          </w:tcPr>
          <w:p w14:paraId="20B0E9B1"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3E01EC1D" w14:textId="77777777" w:rsidR="004A786A" w:rsidRPr="00991BC1" w:rsidRDefault="004A786A" w:rsidP="00DD5FB6">
            <w:pPr>
              <w:spacing w:after="0"/>
              <w:rPr>
                <w:sz w:val="16"/>
                <w:szCs w:val="16"/>
                <w:lang w:val="en-US"/>
              </w:rPr>
            </w:pPr>
            <w:r w:rsidRPr="00991BC1">
              <w:rPr>
                <w:sz w:val="16"/>
                <w:szCs w:val="16"/>
                <w:lang w:val="en-US"/>
              </w:rPr>
              <w:t>Change geometry of the loading pipe</w:t>
            </w:r>
          </w:p>
        </w:tc>
        <w:tc>
          <w:tcPr>
            <w:tcW w:w="1559" w:type="dxa"/>
            <w:shd w:val="clear" w:color="auto" w:fill="F2F2F2" w:themeFill="background1" w:themeFillShade="F2"/>
          </w:tcPr>
          <w:p w14:paraId="6ACBF2F1" w14:textId="77777777" w:rsidR="004A786A" w:rsidRPr="00991BC1" w:rsidRDefault="004A786A" w:rsidP="00DD5FB6">
            <w:pPr>
              <w:spacing w:after="0"/>
              <w:rPr>
                <w:sz w:val="16"/>
                <w:szCs w:val="16"/>
              </w:rPr>
            </w:pPr>
            <w:r w:rsidRPr="00991BC1">
              <w:rPr>
                <w:sz w:val="16"/>
                <w:szCs w:val="16"/>
              </w:rPr>
              <w:t xml:space="preserve">Poor data </w:t>
            </w:r>
          </w:p>
        </w:tc>
      </w:tr>
      <w:tr w:rsidR="004A786A" w:rsidRPr="00991BC1" w14:paraId="28206561" w14:textId="77777777" w:rsidTr="00DD5FB6">
        <w:trPr>
          <w:trHeight w:val="20"/>
        </w:trPr>
        <w:tc>
          <w:tcPr>
            <w:tcW w:w="1668" w:type="dxa"/>
            <w:vMerge/>
            <w:shd w:val="clear" w:color="auto" w:fill="F2F2F2" w:themeFill="background1" w:themeFillShade="F2"/>
          </w:tcPr>
          <w:p w14:paraId="3F56D1A8"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00B5DFB8" w14:textId="77777777" w:rsidR="004A786A" w:rsidRPr="00991BC1" w:rsidRDefault="004A786A" w:rsidP="00DD5FB6">
            <w:pPr>
              <w:spacing w:after="0"/>
              <w:rPr>
                <w:sz w:val="16"/>
                <w:szCs w:val="16"/>
                <w:lang w:val="en-US"/>
              </w:rPr>
            </w:pPr>
            <w:r w:rsidRPr="00147DB6">
              <w:rPr>
                <w:rFonts w:cstheme="minorHAnsi"/>
                <w:sz w:val="16"/>
                <w:szCs w:val="16"/>
                <w:lang w:val="en-US"/>
              </w:rPr>
              <w:t>Installing a Vapor Recovery Unit (VRU) and directing to productive use as fuel gas, compressor suction, gas lift</w:t>
            </w:r>
          </w:p>
        </w:tc>
        <w:tc>
          <w:tcPr>
            <w:tcW w:w="1559" w:type="dxa"/>
            <w:shd w:val="clear" w:color="auto" w:fill="F2F2F2" w:themeFill="background1" w:themeFillShade="F2"/>
          </w:tcPr>
          <w:p w14:paraId="5C544679" w14:textId="77777777" w:rsidR="004A786A" w:rsidRPr="0022193F" w:rsidRDefault="004A786A" w:rsidP="00DD5FB6">
            <w:pPr>
              <w:spacing w:after="0"/>
              <w:rPr>
                <w:sz w:val="16"/>
                <w:szCs w:val="16"/>
                <w:lang w:val="en-US"/>
              </w:rPr>
            </w:pPr>
            <w:r>
              <w:rPr>
                <w:sz w:val="16"/>
                <w:szCs w:val="16"/>
                <w:lang w:val="en-US"/>
              </w:rPr>
              <w:t>Up to 98%</w:t>
            </w:r>
          </w:p>
        </w:tc>
      </w:tr>
      <w:tr w:rsidR="004A786A" w:rsidRPr="00991BC1" w14:paraId="1E68EE5F" w14:textId="77777777" w:rsidTr="00DD5FB6">
        <w:trPr>
          <w:trHeight w:val="20"/>
        </w:trPr>
        <w:tc>
          <w:tcPr>
            <w:tcW w:w="1668" w:type="dxa"/>
            <w:vMerge/>
            <w:shd w:val="clear" w:color="auto" w:fill="F2F2F2" w:themeFill="background1" w:themeFillShade="F2"/>
          </w:tcPr>
          <w:p w14:paraId="7DDDFBDF"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48149EB6" w14:textId="77777777" w:rsidR="004A786A" w:rsidRPr="00147DB6" w:rsidRDefault="004A786A" w:rsidP="00DD5FB6">
            <w:pPr>
              <w:spacing w:after="0"/>
              <w:rPr>
                <w:rFonts w:cstheme="minorHAnsi"/>
                <w:sz w:val="16"/>
                <w:szCs w:val="16"/>
                <w:lang w:val="en-US"/>
              </w:rPr>
            </w:pPr>
            <w:r>
              <w:rPr>
                <w:rFonts w:cstheme="minorHAnsi"/>
                <w:sz w:val="16"/>
                <w:szCs w:val="16"/>
                <w:lang w:val="en-US"/>
              </w:rPr>
              <w:t>Hydrocarbon blanketing</w:t>
            </w:r>
          </w:p>
        </w:tc>
        <w:tc>
          <w:tcPr>
            <w:tcW w:w="1559" w:type="dxa"/>
            <w:vMerge w:val="restart"/>
            <w:shd w:val="clear" w:color="auto" w:fill="F2F2F2" w:themeFill="background1" w:themeFillShade="F2"/>
            <w:vAlign w:val="center"/>
          </w:tcPr>
          <w:p w14:paraId="5A1979F7" w14:textId="77777777" w:rsidR="004A786A" w:rsidRDefault="004A786A" w:rsidP="00DD5FB6">
            <w:pPr>
              <w:spacing w:after="0"/>
              <w:rPr>
                <w:sz w:val="16"/>
                <w:szCs w:val="16"/>
                <w:lang w:val="en-US"/>
              </w:rPr>
            </w:pPr>
            <w:r>
              <w:rPr>
                <w:sz w:val="16"/>
                <w:szCs w:val="16"/>
                <w:lang w:val="en-US"/>
              </w:rPr>
              <w:t>Variable</w:t>
            </w:r>
          </w:p>
        </w:tc>
      </w:tr>
      <w:tr w:rsidR="004A786A" w:rsidRPr="00104E87" w14:paraId="06F913CB" w14:textId="77777777" w:rsidTr="00DD5FB6">
        <w:trPr>
          <w:trHeight w:val="20"/>
        </w:trPr>
        <w:tc>
          <w:tcPr>
            <w:tcW w:w="1668" w:type="dxa"/>
            <w:vMerge/>
            <w:shd w:val="clear" w:color="auto" w:fill="F2F2F2" w:themeFill="background1" w:themeFillShade="F2"/>
          </w:tcPr>
          <w:p w14:paraId="3A8D6CBB"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5E9120F1" w14:textId="77777777" w:rsidR="004A786A" w:rsidRPr="0022193F" w:rsidRDefault="004A786A" w:rsidP="00DD5FB6">
            <w:pPr>
              <w:spacing w:after="0"/>
              <w:rPr>
                <w:rFonts w:cstheme="minorHAnsi"/>
                <w:b/>
                <w:sz w:val="16"/>
                <w:szCs w:val="16"/>
                <w:lang w:val="en-US"/>
              </w:rPr>
            </w:pPr>
            <w:r w:rsidRPr="0022193F">
              <w:rPr>
                <w:rFonts w:cstheme="minorHAnsi"/>
                <w:sz w:val="16"/>
                <w:szCs w:val="16"/>
                <w:lang w:val="en-US"/>
              </w:rPr>
              <w:t>Install separate systems to control loading losses from the tank vehicles and storage losses from the tanks. Implement a system to balance or exchange vapors between the tanks and tank vehicles and add a common vapor control device if needed</w:t>
            </w:r>
          </w:p>
        </w:tc>
        <w:tc>
          <w:tcPr>
            <w:tcW w:w="1559" w:type="dxa"/>
            <w:vMerge/>
            <w:shd w:val="clear" w:color="auto" w:fill="F2F2F2" w:themeFill="background1" w:themeFillShade="F2"/>
          </w:tcPr>
          <w:p w14:paraId="00A9A3AF" w14:textId="77777777" w:rsidR="004A786A" w:rsidRDefault="004A786A" w:rsidP="00DD5FB6">
            <w:pPr>
              <w:spacing w:after="0"/>
              <w:rPr>
                <w:sz w:val="16"/>
                <w:szCs w:val="16"/>
                <w:lang w:val="en-US"/>
              </w:rPr>
            </w:pPr>
          </w:p>
        </w:tc>
      </w:tr>
      <w:tr w:rsidR="004A786A" w:rsidRPr="00104E87" w14:paraId="503DE791" w14:textId="77777777" w:rsidTr="00DD5FB6">
        <w:trPr>
          <w:trHeight w:val="20"/>
        </w:trPr>
        <w:tc>
          <w:tcPr>
            <w:tcW w:w="1668" w:type="dxa"/>
            <w:vMerge/>
            <w:shd w:val="clear" w:color="auto" w:fill="F2F2F2" w:themeFill="background1" w:themeFillShade="F2"/>
          </w:tcPr>
          <w:p w14:paraId="1C791476"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6C12BD4E" w14:textId="77777777" w:rsidR="004A786A" w:rsidRPr="006B14F9" w:rsidRDefault="004A786A" w:rsidP="00DD5FB6">
            <w:pPr>
              <w:spacing w:after="0"/>
              <w:rPr>
                <w:rFonts w:cstheme="minorHAnsi"/>
                <w:b/>
                <w:sz w:val="16"/>
                <w:szCs w:val="16"/>
                <w:lang w:val="en-US"/>
              </w:rPr>
            </w:pPr>
            <w:r w:rsidRPr="006B14F9">
              <w:rPr>
                <w:rFonts w:cstheme="minorHAnsi"/>
                <w:sz w:val="16"/>
                <w:szCs w:val="16"/>
                <w:lang w:val="en-US"/>
              </w:rPr>
              <w:t>Implement a system to balance or exchange vapors between the tanks and tank vehicles and add a common vapor control device if needed</w:t>
            </w:r>
          </w:p>
        </w:tc>
        <w:tc>
          <w:tcPr>
            <w:tcW w:w="1559" w:type="dxa"/>
            <w:vMerge/>
            <w:shd w:val="clear" w:color="auto" w:fill="F2F2F2" w:themeFill="background1" w:themeFillShade="F2"/>
          </w:tcPr>
          <w:p w14:paraId="25F55801" w14:textId="77777777" w:rsidR="004A786A" w:rsidRDefault="004A786A" w:rsidP="00DD5FB6">
            <w:pPr>
              <w:spacing w:after="0"/>
              <w:rPr>
                <w:sz w:val="16"/>
                <w:szCs w:val="16"/>
                <w:lang w:val="en-US"/>
              </w:rPr>
            </w:pPr>
          </w:p>
        </w:tc>
      </w:tr>
      <w:tr w:rsidR="004A786A" w:rsidRPr="00104E87" w14:paraId="52D0F91B" w14:textId="77777777" w:rsidTr="00DD5FB6">
        <w:trPr>
          <w:trHeight w:val="20"/>
        </w:trPr>
        <w:tc>
          <w:tcPr>
            <w:tcW w:w="1668" w:type="dxa"/>
            <w:vMerge/>
            <w:shd w:val="clear" w:color="auto" w:fill="F2F2F2" w:themeFill="background1" w:themeFillShade="F2"/>
          </w:tcPr>
          <w:p w14:paraId="71E99145" w14:textId="77777777" w:rsidR="004A786A" w:rsidRPr="00CB441F" w:rsidRDefault="004A786A" w:rsidP="00DD5FB6">
            <w:pPr>
              <w:spacing w:after="0"/>
              <w:rPr>
                <w:b/>
                <w:sz w:val="16"/>
                <w:szCs w:val="16"/>
                <w:lang w:val="en-US"/>
              </w:rPr>
            </w:pPr>
          </w:p>
        </w:tc>
        <w:tc>
          <w:tcPr>
            <w:tcW w:w="6237" w:type="dxa"/>
            <w:shd w:val="clear" w:color="auto" w:fill="F2F2F2" w:themeFill="background1" w:themeFillShade="F2"/>
          </w:tcPr>
          <w:p w14:paraId="2876FDFA" w14:textId="77777777" w:rsidR="004A786A" w:rsidRPr="00991BC1" w:rsidRDefault="004A786A" w:rsidP="00DD5FB6">
            <w:pPr>
              <w:spacing w:after="0"/>
              <w:rPr>
                <w:sz w:val="16"/>
                <w:szCs w:val="16"/>
                <w:lang w:val="en-US"/>
              </w:rPr>
            </w:pPr>
            <w:r w:rsidRPr="00147DB6">
              <w:rPr>
                <w:rFonts w:cstheme="minorHAnsi"/>
                <w:sz w:val="16"/>
                <w:szCs w:val="16"/>
                <w:lang w:val="en-US"/>
              </w:rPr>
              <w:t xml:space="preserve">Install stabilization towers ahead of tanks to obtain a low oil vapor pressure suitable for loading onto ships or barges. </w:t>
            </w:r>
          </w:p>
        </w:tc>
        <w:tc>
          <w:tcPr>
            <w:tcW w:w="1559" w:type="dxa"/>
            <w:vMerge/>
            <w:shd w:val="clear" w:color="auto" w:fill="F2F2F2" w:themeFill="background1" w:themeFillShade="F2"/>
          </w:tcPr>
          <w:p w14:paraId="77FA27AC" w14:textId="77777777" w:rsidR="004A786A" w:rsidRPr="00991BC1" w:rsidRDefault="004A786A" w:rsidP="00DD5FB6">
            <w:pPr>
              <w:spacing w:after="0"/>
              <w:rPr>
                <w:sz w:val="16"/>
                <w:szCs w:val="16"/>
                <w:lang w:val="en-US"/>
              </w:rPr>
            </w:pPr>
          </w:p>
        </w:tc>
      </w:tr>
      <w:tr w:rsidR="004A786A" w:rsidRPr="00991BC1" w14:paraId="72F35952" w14:textId="77777777" w:rsidTr="00DD5FB6">
        <w:trPr>
          <w:trHeight w:val="20"/>
        </w:trPr>
        <w:tc>
          <w:tcPr>
            <w:tcW w:w="1668" w:type="dxa"/>
            <w:vMerge w:val="restart"/>
            <w:shd w:val="clear" w:color="auto" w:fill="D0F4E3" w:themeFill="text2" w:themeFillTint="33"/>
            <w:vAlign w:val="center"/>
          </w:tcPr>
          <w:p w14:paraId="35F151F5" w14:textId="77777777" w:rsidR="004A786A" w:rsidRPr="00CB441F" w:rsidRDefault="004A786A" w:rsidP="00DD5FB6">
            <w:pPr>
              <w:spacing w:after="0"/>
              <w:rPr>
                <w:b/>
                <w:sz w:val="16"/>
                <w:szCs w:val="16"/>
                <w:lang w:val="en-US"/>
              </w:rPr>
            </w:pPr>
            <w:r w:rsidRPr="00CB441F">
              <w:rPr>
                <w:b/>
                <w:sz w:val="16"/>
                <w:szCs w:val="16"/>
                <w:lang w:val="en-US"/>
              </w:rPr>
              <w:t>10. Equipment depressurization and blowdowns from pipelines and facilities</w:t>
            </w:r>
          </w:p>
        </w:tc>
        <w:tc>
          <w:tcPr>
            <w:tcW w:w="6237" w:type="dxa"/>
            <w:shd w:val="clear" w:color="auto" w:fill="D0F4E3" w:themeFill="text2" w:themeFillTint="33"/>
            <w:vAlign w:val="center"/>
          </w:tcPr>
          <w:p w14:paraId="05E1F2FB" w14:textId="77777777" w:rsidR="004A786A" w:rsidRPr="00C22CCF" w:rsidRDefault="004A786A" w:rsidP="00DD5FB6">
            <w:pPr>
              <w:spacing w:after="0"/>
              <w:rPr>
                <w:sz w:val="16"/>
                <w:szCs w:val="16"/>
                <w:lang w:val="en-GB"/>
              </w:rPr>
            </w:pPr>
            <w:r>
              <w:rPr>
                <w:sz w:val="16"/>
                <w:szCs w:val="16"/>
                <w:lang w:val="en-GB"/>
              </w:rPr>
              <w:t>Use Isolation valves to minimize impact</w:t>
            </w:r>
          </w:p>
        </w:tc>
        <w:tc>
          <w:tcPr>
            <w:tcW w:w="1559" w:type="dxa"/>
            <w:vMerge w:val="restart"/>
            <w:shd w:val="clear" w:color="auto" w:fill="D0F4E3" w:themeFill="text2" w:themeFillTint="33"/>
            <w:vAlign w:val="center"/>
          </w:tcPr>
          <w:p w14:paraId="48334BE5" w14:textId="77777777" w:rsidR="004A786A" w:rsidRPr="00991BC1" w:rsidRDefault="004A786A" w:rsidP="00DD5FB6">
            <w:pPr>
              <w:spacing w:after="0"/>
              <w:rPr>
                <w:sz w:val="16"/>
                <w:szCs w:val="16"/>
                <w:lang w:val="en-US"/>
              </w:rPr>
            </w:pPr>
            <w:r>
              <w:rPr>
                <w:sz w:val="16"/>
                <w:szCs w:val="16"/>
                <w:lang w:val="en-US"/>
              </w:rPr>
              <w:t>Variable</w:t>
            </w:r>
          </w:p>
        </w:tc>
      </w:tr>
      <w:tr w:rsidR="004A786A" w:rsidRPr="00104E87" w14:paraId="15E4C5B5" w14:textId="77777777" w:rsidTr="00DD5FB6">
        <w:trPr>
          <w:trHeight w:val="20"/>
        </w:trPr>
        <w:tc>
          <w:tcPr>
            <w:tcW w:w="1668" w:type="dxa"/>
            <w:vMerge/>
            <w:shd w:val="clear" w:color="auto" w:fill="D0F4E3" w:themeFill="text2" w:themeFillTint="33"/>
          </w:tcPr>
          <w:p w14:paraId="7CB6836A"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00DC779E" w14:textId="77777777" w:rsidR="004A786A" w:rsidRPr="00C22CCF" w:rsidRDefault="004A786A" w:rsidP="00DD5FB6">
            <w:pPr>
              <w:spacing w:after="0"/>
              <w:rPr>
                <w:sz w:val="16"/>
                <w:szCs w:val="16"/>
                <w:lang w:val="en-GB"/>
              </w:rPr>
            </w:pPr>
            <w:r w:rsidRPr="00C22CCF">
              <w:rPr>
                <w:rFonts w:cstheme="minorHAnsi"/>
                <w:sz w:val="16"/>
                <w:szCs w:val="16"/>
                <w:lang w:val="en-US"/>
              </w:rPr>
              <w:t>Re-direct gas into storage vessel (field) or low-pressure header (fuel gas or gathering system)</w:t>
            </w:r>
          </w:p>
        </w:tc>
        <w:tc>
          <w:tcPr>
            <w:tcW w:w="1559" w:type="dxa"/>
            <w:vMerge/>
            <w:shd w:val="clear" w:color="auto" w:fill="D0F4E3" w:themeFill="text2" w:themeFillTint="33"/>
          </w:tcPr>
          <w:p w14:paraId="24E5907D" w14:textId="77777777" w:rsidR="004A786A" w:rsidRPr="00991BC1" w:rsidRDefault="004A786A" w:rsidP="00DD5FB6">
            <w:pPr>
              <w:spacing w:after="0"/>
              <w:rPr>
                <w:sz w:val="16"/>
                <w:szCs w:val="16"/>
                <w:lang w:val="en-US"/>
              </w:rPr>
            </w:pPr>
          </w:p>
        </w:tc>
      </w:tr>
      <w:tr w:rsidR="004A786A" w:rsidRPr="00104E87" w14:paraId="343020D7" w14:textId="77777777" w:rsidTr="00DD5FB6">
        <w:trPr>
          <w:trHeight w:val="20"/>
        </w:trPr>
        <w:tc>
          <w:tcPr>
            <w:tcW w:w="1668" w:type="dxa"/>
            <w:vMerge/>
            <w:shd w:val="clear" w:color="auto" w:fill="D0F4E3" w:themeFill="text2" w:themeFillTint="33"/>
          </w:tcPr>
          <w:p w14:paraId="04817BE0"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7679E44D" w14:textId="77777777" w:rsidR="004A786A" w:rsidRPr="00C22CCF" w:rsidRDefault="004A786A" w:rsidP="00DD5FB6">
            <w:pPr>
              <w:spacing w:after="0"/>
              <w:rPr>
                <w:sz w:val="16"/>
                <w:szCs w:val="16"/>
                <w:lang w:val="en-GB"/>
              </w:rPr>
            </w:pPr>
            <w:r w:rsidRPr="00C22CCF">
              <w:rPr>
                <w:sz w:val="16"/>
                <w:szCs w:val="16"/>
                <w:lang w:val="en-GB"/>
              </w:rPr>
              <w:t>Minimise the number of starts ups</w:t>
            </w:r>
          </w:p>
        </w:tc>
        <w:tc>
          <w:tcPr>
            <w:tcW w:w="1559" w:type="dxa"/>
            <w:vMerge/>
            <w:shd w:val="clear" w:color="auto" w:fill="D0F4E3" w:themeFill="text2" w:themeFillTint="33"/>
          </w:tcPr>
          <w:p w14:paraId="3D384EB4" w14:textId="77777777" w:rsidR="004A786A" w:rsidRPr="00991BC1" w:rsidRDefault="004A786A" w:rsidP="00DD5FB6">
            <w:pPr>
              <w:spacing w:after="0"/>
              <w:rPr>
                <w:sz w:val="16"/>
                <w:szCs w:val="16"/>
                <w:lang w:val="en-US"/>
              </w:rPr>
            </w:pPr>
          </w:p>
        </w:tc>
      </w:tr>
      <w:tr w:rsidR="004A786A" w:rsidRPr="00104E87" w14:paraId="02BE7B8B" w14:textId="77777777" w:rsidTr="00DD5FB6">
        <w:trPr>
          <w:trHeight w:val="20"/>
        </w:trPr>
        <w:tc>
          <w:tcPr>
            <w:tcW w:w="1668" w:type="dxa"/>
            <w:vMerge/>
            <w:shd w:val="clear" w:color="auto" w:fill="D0F4E3" w:themeFill="text2" w:themeFillTint="33"/>
          </w:tcPr>
          <w:p w14:paraId="35689C97"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094C2773" w14:textId="77777777" w:rsidR="004A786A" w:rsidRPr="00C22CCF" w:rsidRDefault="004A786A" w:rsidP="00DD5FB6">
            <w:pPr>
              <w:spacing w:after="0"/>
              <w:rPr>
                <w:rFonts w:cstheme="minorHAnsi"/>
                <w:sz w:val="16"/>
                <w:szCs w:val="16"/>
                <w:lang w:val="en-US"/>
              </w:rPr>
            </w:pPr>
            <w:r w:rsidRPr="00C22CCF">
              <w:rPr>
                <w:rFonts w:cstheme="minorHAnsi"/>
                <w:sz w:val="16"/>
                <w:szCs w:val="16"/>
                <w:lang w:val="en-US"/>
              </w:rPr>
              <w:t>Lower pressure in the pipeline prior to event through a mobile compressor stations (for pipeline repairs)</w:t>
            </w:r>
          </w:p>
        </w:tc>
        <w:tc>
          <w:tcPr>
            <w:tcW w:w="1559" w:type="dxa"/>
            <w:vMerge/>
            <w:shd w:val="clear" w:color="auto" w:fill="D0F4E3" w:themeFill="text2" w:themeFillTint="33"/>
          </w:tcPr>
          <w:p w14:paraId="49920B0B" w14:textId="77777777" w:rsidR="004A786A" w:rsidRPr="00991BC1" w:rsidRDefault="004A786A" w:rsidP="00DD5FB6">
            <w:pPr>
              <w:spacing w:after="0"/>
              <w:rPr>
                <w:sz w:val="16"/>
                <w:szCs w:val="16"/>
                <w:lang w:val="en-US"/>
              </w:rPr>
            </w:pPr>
          </w:p>
        </w:tc>
      </w:tr>
      <w:tr w:rsidR="004A786A" w:rsidRPr="00104E87" w14:paraId="386F698C" w14:textId="77777777" w:rsidTr="00DD5FB6">
        <w:trPr>
          <w:trHeight w:val="20"/>
        </w:trPr>
        <w:tc>
          <w:tcPr>
            <w:tcW w:w="1668" w:type="dxa"/>
            <w:vMerge/>
            <w:shd w:val="clear" w:color="auto" w:fill="D0F4E3" w:themeFill="text2" w:themeFillTint="33"/>
          </w:tcPr>
          <w:p w14:paraId="60962F1A"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7C99EDB5" w14:textId="77777777" w:rsidR="004A786A" w:rsidRPr="00C22CCF" w:rsidRDefault="004A786A" w:rsidP="00DD5FB6">
            <w:pPr>
              <w:spacing w:after="0"/>
              <w:rPr>
                <w:rFonts w:cstheme="minorHAnsi"/>
                <w:sz w:val="16"/>
                <w:szCs w:val="16"/>
                <w:lang w:val="en-US"/>
              </w:rPr>
            </w:pPr>
            <w:r w:rsidRPr="00C22CCF">
              <w:rPr>
                <w:rFonts w:cstheme="minorHAnsi"/>
                <w:sz w:val="16"/>
                <w:szCs w:val="16"/>
                <w:lang w:val="en-US"/>
              </w:rPr>
              <w:t>Install plugging equipment to shorten segment of pipeline involved in outage, Use isolation valves to minimize impact</w:t>
            </w:r>
          </w:p>
        </w:tc>
        <w:tc>
          <w:tcPr>
            <w:tcW w:w="1559" w:type="dxa"/>
            <w:vMerge/>
            <w:shd w:val="clear" w:color="auto" w:fill="D0F4E3" w:themeFill="text2" w:themeFillTint="33"/>
          </w:tcPr>
          <w:p w14:paraId="384133DD" w14:textId="77777777" w:rsidR="004A786A" w:rsidRPr="00991BC1" w:rsidRDefault="004A786A" w:rsidP="00DD5FB6">
            <w:pPr>
              <w:spacing w:after="0"/>
              <w:rPr>
                <w:sz w:val="16"/>
                <w:szCs w:val="16"/>
                <w:lang w:val="en-US"/>
              </w:rPr>
            </w:pPr>
          </w:p>
        </w:tc>
      </w:tr>
      <w:tr w:rsidR="004A786A" w:rsidRPr="00991BC1" w14:paraId="0E8EAD8E" w14:textId="77777777" w:rsidTr="00DD5FB6">
        <w:trPr>
          <w:trHeight w:val="340"/>
        </w:trPr>
        <w:tc>
          <w:tcPr>
            <w:tcW w:w="1668" w:type="dxa"/>
            <w:vMerge/>
            <w:shd w:val="clear" w:color="auto" w:fill="D0F4E3" w:themeFill="text2" w:themeFillTint="33"/>
          </w:tcPr>
          <w:p w14:paraId="2530E58B" w14:textId="77777777" w:rsidR="004A786A" w:rsidRPr="00CB441F" w:rsidRDefault="004A786A" w:rsidP="00DD5FB6">
            <w:pPr>
              <w:spacing w:after="0"/>
              <w:rPr>
                <w:b/>
                <w:sz w:val="16"/>
                <w:szCs w:val="16"/>
                <w:lang w:val="en-US"/>
              </w:rPr>
            </w:pPr>
          </w:p>
        </w:tc>
        <w:tc>
          <w:tcPr>
            <w:tcW w:w="6237" w:type="dxa"/>
            <w:shd w:val="clear" w:color="auto" w:fill="D0F4E3" w:themeFill="text2" w:themeFillTint="33"/>
            <w:vAlign w:val="center"/>
          </w:tcPr>
          <w:p w14:paraId="5FE2DC7C" w14:textId="77777777" w:rsidR="004A786A" w:rsidRPr="00C22CCF" w:rsidRDefault="004A786A" w:rsidP="00DD5FB6">
            <w:pPr>
              <w:spacing w:after="0"/>
              <w:rPr>
                <w:rFonts w:cstheme="minorHAnsi"/>
                <w:sz w:val="16"/>
                <w:szCs w:val="16"/>
                <w:lang w:val="en-US"/>
              </w:rPr>
            </w:pPr>
            <w:r w:rsidRPr="00C22CCF">
              <w:rPr>
                <w:rFonts w:cstheme="minorHAnsi"/>
                <w:sz w:val="16"/>
                <w:szCs w:val="16"/>
                <w:lang w:val="en-US"/>
              </w:rPr>
              <w:t>Rerouting the natural gas to a duct burner, thermal oxidizer or flares where possible (upstream) to recover a portion of all of the blowdown gas.</w:t>
            </w:r>
          </w:p>
        </w:tc>
        <w:tc>
          <w:tcPr>
            <w:tcW w:w="1559" w:type="dxa"/>
            <w:shd w:val="clear" w:color="auto" w:fill="D0F4E3" w:themeFill="text2" w:themeFillTint="33"/>
          </w:tcPr>
          <w:p w14:paraId="1D317CD5" w14:textId="77777777" w:rsidR="004A786A" w:rsidRPr="00991BC1" w:rsidRDefault="004A786A" w:rsidP="00DD5FB6">
            <w:pPr>
              <w:spacing w:after="0"/>
              <w:rPr>
                <w:sz w:val="16"/>
                <w:szCs w:val="16"/>
                <w:lang w:val="en-US"/>
              </w:rPr>
            </w:pPr>
            <w:r>
              <w:rPr>
                <w:sz w:val="16"/>
                <w:szCs w:val="16"/>
                <w:lang w:val="en-US"/>
              </w:rPr>
              <w:t>Variable</w:t>
            </w:r>
          </w:p>
        </w:tc>
      </w:tr>
      <w:tr w:rsidR="004A786A" w:rsidRPr="00EA00C9" w14:paraId="290A31C7" w14:textId="77777777" w:rsidTr="00DD5FB6">
        <w:trPr>
          <w:trHeight w:val="150"/>
        </w:trPr>
        <w:tc>
          <w:tcPr>
            <w:tcW w:w="1668" w:type="dxa"/>
            <w:shd w:val="clear" w:color="auto" w:fill="208855" w:themeFill="text2" w:themeFillShade="BF"/>
            <w:vAlign w:val="center"/>
          </w:tcPr>
          <w:p w14:paraId="12A4E094" w14:textId="77777777" w:rsidR="004A786A" w:rsidRPr="001A5312" w:rsidRDefault="004A786A" w:rsidP="00DD5FB6">
            <w:pPr>
              <w:spacing w:after="0"/>
              <w:rPr>
                <w:b/>
                <w:color w:val="FFFFFF" w:themeColor="background1"/>
                <w:szCs w:val="20"/>
                <w:lang w:val="en-GB"/>
              </w:rPr>
            </w:pPr>
            <w:r w:rsidRPr="001A5312">
              <w:rPr>
                <w:b/>
                <w:color w:val="FFFFFF" w:themeColor="background1"/>
                <w:szCs w:val="20"/>
                <w:lang w:val="en-GB"/>
              </w:rPr>
              <w:t xml:space="preserve">Emission source </w:t>
            </w:r>
          </w:p>
        </w:tc>
        <w:tc>
          <w:tcPr>
            <w:tcW w:w="6237" w:type="dxa"/>
            <w:shd w:val="clear" w:color="auto" w:fill="208855" w:themeFill="text2" w:themeFillShade="BF"/>
            <w:vAlign w:val="center"/>
          </w:tcPr>
          <w:p w14:paraId="5A4845E3" w14:textId="77777777" w:rsidR="004A786A" w:rsidRPr="001A5312" w:rsidRDefault="004A786A" w:rsidP="00DD5FB6">
            <w:pPr>
              <w:spacing w:after="0"/>
              <w:rPr>
                <w:b/>
                <w:color w:val="FFFFFF" w:themeColor="background1"/>
                <w:szCs w:val="20"/>
                <w:lang w:val="en-GB"/>
              </w:rPr>
            </w:pPr>
            <w:r w:rsidRPr="001A5312">
              <w:rPr>
                <w:b/>
                <w:color w:val="FFFFFF" w:themeColor="background1"/>
                <w:szCs w:val="20"/>
                <w:lang w:val="en-GB"/>
              </w:rPr>
              <w:t>Abatement option</w:t>
            </w:r>
          </w:p>
        </w:tc>
        <w:tc>
          <w:tcPr>
            <w:tcW w:w="1559" w:type="dxa"/>
            <w:shd w:val="clear" w:color="auto" w:fill="208855" w:themeFill="text2" w:themeFillShade="BF"/>
            <w:vAlign w:val="center"/>
          </w:tcPr>
          <w:p w14:paraId="21ADF12E" w14:textId="77777777" w:rsidR="004A786A" w:rsidRPr="001A5312" w:rsidRDefault="004A786A" w:rsidP="00DD5FB6">
            <w:pPr>
              <w:spacing w:after="0"/>
              <w:rPr>
                <w:b/>
                <w:color w:val="FFFFFF" w:themeColor="background1"/>
                <w:szCs w:val="20"/>
                <w:lang w:val="en-GB"/>
              </w:rPr>
            </w:pPr>
            <w:r w:rsidRPr="001A5312">
              <w:rPr>
                <w:b/>
                <w:color w:val="FFFFFF" w:themeColor="background1"/>
                <w:szCs w:val="20"/>
                <w:lang w:val="en-GB"/>
              </w:rPr>
              <w:t>Emission reduction</w:t>
            </w:r>
          </w:p>
        </w:tc>
      </w:tr>
      <w:tr w:rsidR="004A786A" w:rsidRPr="00991BC1" w14:paraId="4E2050E0" w14:textId="77777777" w:rsidTr="00DD5FB6">
        <w:trPr>
          <w:trHeight w:val="20"/>
        </w:trPr>
        <w:tc>
          <w:tcPr>
            <w:tcW w:w="1668" w:type="dxa"/>
            <w:vMerge w:val="restart"/>
            <w:shd w:val="clear" w:color="auto" w:fill="F2F2F2" w:themeFill="background1" w:themeFillShade="F2"/>
            <w:vAlign w:val="center"/>
          </w:tcPr>
          <w:p w14:paraId="07245E63" w14:textId="77777777" w:rsidR="004A786A" w:rsidRPr="00CB441F" w:rsidRDefault="004A786A" w:rsidP="00DD5FB6">
            <w:pPr>
              <w:spacing w:after="0"/>
              <w:rPr>
                <w:b/>
                <w:sz w:val="16"/>
                <w:szCs w:val="16"/>
                <w:lang w:val="en-US"/>
              </w:rPr>
            </w:pPr>
            <w:r w:rsidRPr="00CB441F">
              <w:rPr>
                <w:rFonts w:cstheme="minorHAnsi"/>
                <w:b/>
                <w:sz w:val="16"/>
                <w:szCs w:val="16"/>
                <w:lang w:val="en-US"/>
              </w:rPr>
              <w:t>11. Component and equipment leaks</w:t>
            </w:r>
          </w:p>
        </w:tc>
        <w:tc>
          <w:tcPr>
            <w:tcW w:w="6237" w:type="dxa"/>
            <w:shd w:val="clear" w:color="auto" w:fill="F2F2F2" w:themeFill="background1" w:themeFillShade="F2"/>
            <w:vAlign w:val="center"/>
          </w:tcPr>
          <w:p w14:paraId="1945AD32" w14:textId="77777777" w:rsidR="004A786A" w:rsidRPr="00991BC1" w:rsidRDefault="004A786A" w:rsidP="00DD5FB6">
            <w:pPr>
              <w:spacing w:after="0"/>
              <w:rPr>
                <w:sz w:val="16"/>
                <w:szCs w:val="16"/>
                <w:lang w:val="en-GB"/>
              </w:rPr>
            </w:pPr>
            <w:r>
              <w:rPr>
                <w:sz w:val="16"/>
                <w:szCs w:val="16"/>
                <w:lang w:val="en-GB"/>
              </w:rPr>
              <w:t>Perform LDAR</w:t>
            </w:r>
          </w:p>
        </w:tc>
        <w:tc>
          <w:tcPr>
            <w:tcW w:w="1559" w:type="dxa"/>
            <w:shd w:val="clear" w:color="auto" w:fill="F2F2F2" w:themeFill="background1" w:themeFillShade="F2"/>
            <w:vAlign w:val="center"/>
          </w:tcPr>
          <w:p w14:paraId="2112179B" w14:textId="77777777" w:rsidR="004A786A" w:rsidRPr="00991BC1" w:rsidRDefault="004A786A" w:rsidP="00DD5FB6">
            <w:pPr>
              <w:spacing w:after="0"/>
              <w:rPr>
                <w:sz w:val="16"/>
                <w:szCs w:val="16"/>
                <w:lang w:val="en-GB"/>
              </w:rPr>
            </w:pPr>
            <w:r>
              <w:rPr>
                <w:sz w:val="16"/>
                <w:szCs w:val="16"/>
                <w:lang w:val="en-GB"/>
              </w:rPr>
              <w:t>Depends on frequency</w:t>
            </w:r>
          </w:p>
        </w:tc>
      </w:tr>
      <w:tr w:rsidR="004A786A" w:rsidRPr="00991BC1" w14:paraId="077375A7" w14:textId="77777777" w:rsidTr="00DD5FB6">
        <w:trPr>
          <w:trHeight w:val="20"/>
        </w:trPr>
        <w:tc>
          <w:tcPr>
            <w:tcW w:w="1668" w:type="dxa"/>
            <w:vMerge/>
            <w:shd w:val="clear" w:color="auto" w:fill="F2F2F2" w:themeFill="background1" w:themeFillShade="F2"/>
          </w:tcPr>
          <w:p w14:paraId="48CB8AB9" w14:textId="77777777" w:rsidR="004A786A" w:rsidRPr="00CB441F" w:rsidRDefault="004A786A" w:rsidP="00DD5FB6">
            <w:pPr>
              <w:spacing w:after="0"/>
              <w:rPr>
                <w:rFonts w:cstheme="minorHAnsi"/>
                <w:b/>
                <w:sz w:val="16"/>
                <w:szCs w:val="16"/>
                <w:lang w:val="en-US"/>
              </w:rPr>
            </w:pPr>
          </w:p>
        </w:tc>
        <w:tc>
          <w:tcPr>
            <w:tcW w:w="6237" w:type="dxa"/>
            <w:shd w:val="clear" w:color="auto" w:fill="F2F2F2" w:themeFill="background1" w:themeFillShade="F2"/>
            <w:vAlign w:val="center"/>
          </w:tcPr>
          <w:p w14:paraId="4395C3E2" w14:textId="77777777" w:rsidR="004A786A" w:rsidRPr="00991BC1" w:rsidRDefault="004A786A" w:rsidP="00DD5FB6">
            <w:pPr>
              <w:spacing w:after="0"/>
              <w:rPr>
                <w:sz w:val="16"/>
                <w:szCs w:val="16"/>
                <w:lang w:val="en-GB"/>
              </w:rPr>
            </w:pPr>
            <w:r>
              <w:rPr>
                <w:sz w:val="16"/>
                <w:szCs w:val="16"/>
                <w:lang w:val="en-GB"/>
              </w:rPr>
              <w:t xml:space="preserve">Distribution pipeline: </w:t>
            </w:r>
            <w:r w:rsidRPr="00991BC1">
              <w:rPr>
                <w:sz w:val="16"/>
                <w:szCs w:val="16"/>
                <w:lang w:val="en-GB"/>
              </w:rPr>
              <w:t>Replace cast iron, and unprotected steel pipeline</w:t>
            </w:r>
          </w:p>
        </w:tc>
        <w:tc>
          <w:tcPr>
            <w:tcW w:w="1559" w:type="dxa"/>
            <w:vMerge w:val="restart"/>
            <w:shd w:val="clear" w:color="auto" w:fill="F2F2F2" w:themeFill="background1" w:themeFillShade="F2"/>
            <w:vAlign w:val="center"/>
          </w:tcPr>
          <w:p w14:paraId="6388856C" w14:textId="77777777" w:rsidR="004A786A" w:rsidRPr="00991BC1" w:rsidRDefault="004A786A" w:rsidP="00DD5FB6">
            <w:pPr>
              <w:spacing w:after="0"/>
              <w:rPr>
                <w:sz w:val="16"/>
                <w:szCs w:val="16"/>
                <w:lang w:val="en-GB"/>
              </w:rPr>
            </w:pPr>
            <w:r>
              <w:rPr>
                <w:sz w:val="16"/>
                <w:szCs w:val="16"/>
                <w:lang w:val="en-GB"/>
              </w:rPr>
              <w:t>Variable</w:t>
            </w:r>
          </w:p>
        </w:tc>
      </w:tr>
      <w:tr w:rsidR="004A786A" w:rsidRPr="00104E87" w14:paraId="39D6F4F2" w14:textId="77777777" w:rsidTr="00DD5FB6">
        <w:trPr>
          <w:trHeight w:val="20"/>
        </w:trPr>
        <w:tc>
          <w:tcPr>
            <w:tcW w:w="1668" w:type="dxa"/>
            <w:vMerge/>
            <w:shd w:val="clear" w:color="auto" w:fill="F2F2F2" w:themeFill="background1" w:themeFillShade="F2"/>
          </w:tcPr>
          <w:p w14:paraId="73752CFB" w14:textId="77777777" w:rsidR="004A786A" w:rsidRPr="00CB441F" w:rsidRDefault="004A786A" w:rsidP="00DD5FB6">
            <w:pPr>
              <w:spacing w:after="0"/>
              <w:rPr>
                <w:rFonts w:cstheme="minorHAnsi"/>
                <w:b/>
                <w:sz w:val="16"/>
                <w:szCs w:val="16"/>
                <w:lang w:val="en-US"/>
              </w:rPr>
            </w:pPr>
          </w:p>
        </w:tc>
        <w:tc>
          <w:tcPr>
            <w:tcW w:w="6237" w:type="dxa"/>
            <w:shd w:val="clear" w:color="auto" w:fill="F2F2F2" w:themeFill="background1" w:themeFillShade="F2"/>
          </w:tcPr>
          <w:p w14:paraId="714B848E" w14:textId="77777777" w:rsidR="004A786A" w:rsidRDefault="004A786A" w:rsidP="00DD5FB6">
            <w:pPr>
              <w:spacing w:after="0"/>
              <w:rPr>
                <w:sz w:val="16"/>
                <w:szCs w:val="16"/>
                <w:lang w:val="en-US"/>
              </w:rPr>
            </w:pPr>
            <w:r>
              <w:rPr>
                <w:sz w:val="16"/>
                <w:szCs w:val="16"/>
                <w:lang w:val="en-US"/>
              </w:rPr>
              <w:t>Planned / carefully executed activities when excavating</w:t>
            </w:r>
          </w:p>
        </w:tc>
        <w:tc>
          <w:tcPr>
            <w:tcW w:w="1559" w:type="dxa"/>
            <w:vMerge/>
            <w:shd w:val="clear" w:color="auto" w:fill="F2F2F2" w:themeFill="background1" w:themeFillShade="F2"/>
          </w:tcPr>
          <w:p w14:paraId="792920A9" w14:textId="77777777" w:rsidR="004A786A" w:rsidRDefault="004A786A" w:rsidP="00DD5FB6">
            <w:pPr>
              <w:spacing w:after="0"/>
              <w:rPr>
                <w:sz w:val="16"/>
                <w:szCs w:val="16"/>
                <w:lang w:val="en-US"/>
              </w:rPr>
            </w:pPr>
          </w:p>
        </w:tc>
      </w:tr>
      <w:tr w:rsidR="004A786A" w:rsidRPr="00104E87" w14:paraId="670F3287" w14:textId="77777777" w:rsidTr="00DD5FB6">
        <w:trPr>
          <w:trHeight w:val="20"/>
        </w:trPr>
        <w:tc>
          <w:tcPr>
            <w:tcW w:w="1668" w:type="dxa"/>
            <w:vMerge/>
            <w:shd w:val="clear" w:color="auto" w:fill="F2F2F2" w:themeFill="background1" w:themeFillShade="F2"/>
          </w:tcPr>
          <w:p w14:paraId="067FC401" w14:textId="77777777" w:rsidR="004A786A" w:rsidRPr="00CB441F" w:rsidRDefault="004A786A" w:rsidP="00DD5FB6">
            <w:pPr>
              <w:spacing w:after="0"/>
              <w:rPr>
                <w:rFonts w:cstheme="minorHAnsi"/>
                <w:b/>
                <w:sz w:val="16"/>
                <w:szCs w:val="16"/>
                <w:lang w:val="en-US"/>
              </w:rPr>
            </w:pPr>
          </w:p>
        </w:tc>
        <w:tc>
          <w:tcPr>
            <w:tcW w:w="6237" w:type="dxa"/>
            <w:shd w:val="clear" w:color="auto" w:fill="F2F2F2" w:themeFill="background1" w:themeFillShade="F2"/>
          </w:tcPr>
          <w:p w14:paraId="6E8F16E7" w14:textId="77777777" w:rsidR="004A786A" w:rsidRPr="00991BC1" w:rsidRDefault="004A786A" w:rsidP="00DD5FB6">
            <w:pPr>
              <w:spacing w:after="0"/>
              <w:rPr>
                <w:sz w:val="16"/>
                <w:szCs w:val="16"/>
                <w:lang w:val="en-US"/>
              </w:rPr>
            </w:pPr>
            <w:r>
              <w:rPr>
                <w:sz w:val="16"/>
                <w:szCs w:val="16"/>
                <w:lang w:val="en-US"/>
              </w:rPr>
              <w:t>Abandoned or suspended wells: Plug the well</w:t>
            </w:r>
          </w:p>
        </w:tc>
        <w:tc>
          <w:tcPr>
            <w:tcW w:w="1559" w:type="dxa"/>
            <w:vMerge/>
            <w:shd w:val="clear" w:color="auto" w:fill="F2F2F2" w:themeFill="background1" w:themeFillShade="F2"/>
          </w:tcPr>
          <w:p w14:paraId="026E9322" w14:textId="77777777" w:rsidR="004A786A" w:rsidRPr="00991BC1" w:rsidRDefault="004A786A" w:rsidP="00DD5FB6">
            <w:pPr>
              <w:spacing w:after="0"/>
              <w:rPr>
                <w:sz w:val="16"/>
                <w:szCs w:val="16"/>
                <w:lang w:val="en-US"/>
              </w:rPr>
            </w:pPr>
          </w:p>
        </w:tc>
      </w:tr>
      <w:tr w:rsidR="004A786A" w:rsidRPr="00991BC1" w14:paraId="299DB8BC" w14:textId="77777777" w:rsidTr="00DD5FB6">
        <w:trPr>
          <w:trHeight w:val="20"/>
        </w:trPr>
        <w:tc>
          <w:tcPr>
            <w:tcW w:w="1668" w:type="dxa"/>
            <w:vMerge w:val="restart"/>
            <w:shd w:val="clear" w:color="auto" w:fill="D0F4E3" w:themeFill="text2" w:themeFillTint="33"/>
            <w:vAlign w:val="center"/>
          </w:tcPr>
          <w:p w14:paraId="4D124135" w14:textId="77777777" w:rsidR="004A786A" w:rsidRPr="00CB441F" w:rsidRDefault="004A786A" w:rsidP="00DD5FB6">
            <w:pPr>
              <w:pStyle w:val="ListParagraph"/>
              <w:spacing w:after="0"/>
              <w:rPr>
                <w:rFonts w:cstheme="minorHAnsi"/>
                <w:b/>
                <w:sz w:val="16"/>
                <w:szCs w:val="16"/>
              </w:rPr>
            </w:pPr>
            <w:r w:rsidRPr="00CB441F">
              <w:rPr>
                <w:rFonts w:cstheme="minorHAnsi"/>
                <w:b/>
                <w:sz w:val="16"/>
                <w:szCs w:val="16"/>
              </w:rPr>
              <w:t xml:space="preserve">12. Incomplete combustion (including </w:t>
            </w:r>
            <w:r w:rsidRPr="00CB441F">
              <w:rPr>
                <w:rFonts w:cstheme="minorHAnsi"/>
                <w:b/>
                <w:sz w:val="16"/>
                <w:szCs w:val="16"/>
              </w:rPr>
              <w:lastRenderedPageBreak/>
              <w:t>Associated petroleum gas (APG) flaring, engines, turbines, fired heaters)</w:t>
            </w:r>
          </w:p>
        </w:tc>
        <w:tc>
          <w:tcPr>
            <w:tcW w:w="6237" w:type="dxa"/>
            <w:shd w:val="clear" w:color="auto" w:fill="D0F4E3" w:themeFill="text2" w:themeFillTint="33"/>
            <w:vAlign w:val="center"/>
          </w:tcPr>
          <w:p w14:paraId="505C68C4" w14:textId="77777777" w:rsidR="004A786A" w:rsidRPr="00991BC1" w:rsidRDefault="004A786A" w:rsidP="00DD5FB6">
            <w:pPr>
              <w:spacing w:after="0"/>
              <w:rPr>
                <w:sz w:val="16"/>
                <w:szCs w:val="16"/>
                <w:lang w:val="en-GB"/>
              </w:rPr>
            </w:pPr>
            <w:r w:rsidRPr="00991BC1">
              <w:rPr>
                <w:sz w:val="16"/>
                <w:szCs w:val="16"/>
                <w:lang w:val="en-GB"/>
              </w:rPr>
              <w:lastRenderedPageBreak/>
              <w:t>Install automated air/fuel ratio controls</w:t>
            </w:r>
          </w:p>
        </w:tc>
        <w:tc>
          <w:tcPr>
            <w:tcW w:w="1559" w:type="dxa"/>
            <w:vMerge w:val="restart"/>
            <w:shd w:val="clear" w:color="auto" w:fill="D0F4E3" w:themeFill="text2" w:themeFillTint="33"/>
            <w:vAlign w:val="center"/>
          </w:tcPr>
          <w:p w14:paraId="042C113B" w14:textId="77777777" w:rsidR="004A786A" w:rsidRPr="00991BC1" w:rsidRDefault="004A786A" w:rsidP="00DD5FB6">
            <w:pPr>
              <w:spacing w:after="0"/>
              <w:rPr>
                <w:sz w:val="16"/>
                <w:szCs w:val="16"/>
                <w:lang w:val="en-US"/>
              </w:rPr>
            </w:pPr>
            <w:r w:rsidRPr="00991BC1">
              <w:rPr>
                <w:sz w:val="16"/>
                <w:szCs w:val="16"/>
                <w:lang w:val="en-GB"/>
              </w:rPr>
              <w:t>Variable/poor data</w:t>
            </w:r>
          </w:p>
        </w:tc>
      </w:tr>
      <w:tr w:rsidR="004A786A" w:rsidRPr="00104E87" w14:paraId="219F740E" w14:textId="77777777" w:rsidTr="00DD5FB6">
        <w:trPr>
          <w:trHeight w:val="20"/>
        </w:trPr>
        <w:tc>
          <w:tcPr>
            <w:tcW w:w="1668" w:type="dxa"/>
            <w:vMerge/>
            <w:shd w:val="clear" w:color="auto" w:fill="D0F4E3" w:themeFill="text2" w:themeFillTint="33"/>
          </w:tcPr>
          <w:p w14:paraId="22C4D5E5" w14:textId="77777777" w:rsidR="004A786A" w:rsidRPr="00991BC1" w:rsidRDefault="004A786A" w:rsidP="00DD5FB6">
            <w:pPr>
              <w:pStyle w:val="ListParagraph"/>
              <w:spacing w:after="0"/>
              <w:rPr>
                <w:rFonts w:cstheme="minorHAnsi"/>
                <w:sz w:val="16"/>
                <w:szCs w:val="16"/>
              </w:rPr>
            </w:pPr>
          </w:p>
        </w:tc>
        <w:tc>
          <w:tcPr>
            <w:tcW w:w="6237" w:type="dxa"/>
            <w:shd w:val="clear" w:color="auto" w:fill="D0F4E3" w:themeFill="text2" w:themeFillTint="33"/>
            <w:vAlign w:val="center"/>
          </w:tcPr>
          <w:p w14:paraId="744E849C" w14:textId="77777777" w:rsidR="004A786A" w:rsidRPr="00991BC1" w:rsidRDefault="004A786A" w:rsidP="00DD5FB6">
            <w:pPr>
              <w:spacing w:after="0"/>
              <w:rPr>
                <w:sz w:val="16"/>
                <w:szCs w:val="16"/>
                <w:lang w:val="en-GB"/>
              </w:rPr>
            </w:pPr>
            <w:r w:rsidRPr="00991BC1">
              <w:rPr>
                <w:sz w:val="16"/>
                <w:szCs w:val="16"/>
                <w:lang w:val="en-GB"/>
              </w:rPr>
              <w:t>Minimise the number of start-ups</w:t>
            </w:r>
          </w:p>
        </w:tc>
        <w:tc>
          <w:tcPr>
            <w:tcW w:w="1559" w:type="dxa"/>
            <w:vMerge/>
            <w:shd w:val="clear" w:color="auto" w:fill="D0F4E3" w:themeFill="text2" w:themeFillTint="33"/>
          </w:tcPr>
          <w:p w14:paraId="03424D63" w14:textId="77777777" w:rsidR="004A786A" w:rsidRPr="00991BC1" w:rsidRDefault="004A786A" w:rsidP="00DD5FB6">
            <w:pPr>
              <w:spacing w:after="0"/>
              <w:rPr>
                <w:sz w:val="16"/>
                <w:szCs w:val="16"/>
                <w:lang w:val="en-US"/>
              </w:rPr>
            </w:pPr>
          </w:p>
        </w:tc>
      </w:tr>
      <w:tr w:rsidR="004A786A" w:rsidRPr="00104E87" w14:paraId="2578B98A" w14:textId="77777777" w:rsidTr="00DD5FB6">
        <w:trPr>
          <w:trHeight w:val="20"/>
        </w:trPr>
        <w:tc>
          <w:tcPr>
            <w:tcW w:w="1668" w:type="dxa"/>
            <w:vMerge/>
            <w:shd w:val="clear" w:color="auto" w:fill="D0F4E3" w:themeFill="text2" w:themeFillTint="33"/>
          </w:tcPr>
          <w:p w14:paraId="7D34138D" w14:textId="77777777" w:rsidR="004A786A" w:rsidRPr="00991BC1" w:rsidRDefault="004A786A" w:rsidP="00DD5FB6">
            <w:pPr>
              <w:pStyle w:val="ListParagraph"/>
              <w:spacing w:after="0"/>
              <w:rPr>
                <w:rFonts w:cstheme="minorHAnsi"/>
                <w:sz w:val="16"/>
                <w:szCs w:val="16"/>
              </w:rPr>
            </w:pPr>
          </w:p>
        </w:tc>
        <w:tc>
          <w:tcPr>
            <w:tcW w:w="6237" w:type="dxa"/>
            <w:shd w:val="clear" w:color="auto" w:fill="D0F4E3" w:themeFill="text2" w:themeFillTint="33"/>
            <w:vAlign w:val="center"/>
          </w:tcPr>
          <w:p w14:paraId="51DF1097" w14:textId="77777777" w:rsidR="004A786A" w:rsidRPr="00991BC1" w:rsidRDefault="004A786A" w:rsidP="00DD5FB6">
            <w:pPr>
              <w:spacing w:after="0"/>
              <w:rPr>
                <w:sz w:val="16"/>
                <w:szCs w:val="16"/>
                <w:lang w:val="en-GB"/>
              </w:rPr>
            </w:pPr>
            <w:r w:rsidRPr="00991BC1">
              <w:rPr>
                <w:sz w:val="16"/>
                <w:szCs w:val="16"/>
                <w:lang w:val="en-GB"/>
              </w:rPr>
              <w:t>Installing catalytic converters on gas fuelled engines and turbine</w:t>
            </w:r>
          </w:p>
        </w:tc>
        <w:tc>
          <w:tcPr>
            <w:tcW w:w="1559" w:type="dxa"/>
            <w:vMerge/>
            <w:shd w:val="clear" w:color="auto" w:fill="D0F4E3" w:themeFill="text2" w:themeFillTint="33"/>
          </w:tcPr>
          <w:p w14:paraId="758C612C" w14:textId="77777777" w:rsidR="004A786A" w:rsidRPr="00991BC1" w:rsidRDefault="004A786A" w:rsidP="00DD5FB6">
            <w:pPr>
              <w:spacing w:after="0"/>
              <w:rPr>
                <w:sz w:val="16"/>
                <w:szCs w:val="16"/>
                <w:lang w:val="en-US"/>
              </w:rPr>
            </w:pPr>
          </w:p>
        </w:tc>
      </w:tr>
      <w:tr w:rsidR="004A786A" w:rsidRPr="00434614" w14:paraId="0C82DC23" w14:textId="77777777" w:rsidTr="00DD5FB6">
        <w:trPr>
          <w:trHeight w:val="20"/>
        </w:trPr>
        <w:tc>
          <w:tcPr>
            <w:tcW w:w="1668" w:type="dxa"/>
            <w:vMerge/>
            <w:shd w:val="clear" w:color="auto" w:fill="D0F4E3" w:themeFill="text2" w:themeFillTint="33"/>
          </w:tcPr>
          <w:p w14:paraId="2372B3FC" w14:textId="77777777" w:rsidR="004A786A" w:rsidRPr="00991BC1" w:rsidRDefault="004A786A" w:rsidP="00DD5FB6">
            <w:pPr>
              <w:pStyle w:val="ListParagraph"/>
              <w:spacing w:after="0"/>
              <w:rPr>
                <w:rFonts w:cstheme="minorHAnsi"/>
                <w:sz w:val="16"/>
                <w:szCs w:val="16"/>
              </w:rPr>
            </w:pPr>
          </w:p>
        </w:tc>
        <w:tc>
          <w:tcPr>
            <w:tcW w:w="6237" w:type="dxa"/>
            <w:shd w:val="clear" w:color="auto" w:fill="D0F4E3" w:themeFill="text2" w:themeFillTint="33"/>
            <w:vAlign w:val="center"/>
          </w:tcPr>
          <w:p w14:paraId="026F7DA7" w14:textId="77777777" w:rsidR="004A786A" w:rsidRDefault="004A786A" w:rsidP="00DD5FB6">
            <w:pPr>
              <w:spacing w:after="0"/>
              <w:rPr>
                <w:sz w:val="16"/>
                <w:szCs w:val="16"/>
                <w:lang w:val="en-GB"/>
              </w:rPr>
            </w:pPr>
            <w:r>
              <w:rPr>
                <w:sz w:val="16"/>
                <w:szCs w:val="16"/>
                <w:lang w:val="en-GB"/>
              </w:rPr>
              <w:t>Increase combustion efficiency by upgrading to more efficient engines/turbines</w:t>
            </w:r>
          </w:p>
        </w:tc>
        <w:tc>
          <w:tcPr>
            <w:tcW w:w="1559" w:type="dxa"/>
            <w:shd w:val="clear" w:color="auto" w:fill="D0F4E3" w:themeFill="text2" w:themeFillTint="33"/>
            <w:vAlign w:val="center"/>
          </w:tcPr>
          <w:p w14:paraId="0A341E80" w14:textId="77777777" w:rsidR="004A786A" w:rsidRPr="00991BC1" w:rsidRDefault="004A786A" w:rsidP="00DD5FB6">
            <w:pPr>
              <w:spacing w:after="0"/>
              <w:rPr>
                <w:sz w:val="16"/>
                <w:szCs w:val="16"/>
                <w:lang w:val="en-GB"/>
              </w:rPr>
            </w:pPr>
            <w:r>
              <w:rPr>
                <w:sz w:val="16"/>
                <w:szCs w:val="16"/>
                <w:lang w:val="en-GB"/>
              </w:rPr>
              <w:t>Variable</w:t>
            </w:r>
          </w:p>
        </w:tc>
      </w:tr>
      <w:tr w:rsidR="004A786A" w:rsidRPr="00104E87" w14:paraId="7CEC7643" w14:textId="77777777" w:rsidTr="00DD5FB6">
        <w:trPr>
          <w:trHeight w:val="20"/>
        </w:trPr>
        <w:tc>
          <w:tcPr>
            <w:tcW w:w="1668" w:type="dxa"/>
            <w:vMerge/>
            <w:shd w:val="clear" w:color="auto" w:fill="D0F4E3" w:themeFill="text2" w:themeFillTint="33"/>
          </w:tcPr>
          <w:p w14:paraId="1343E7B3" w14:textId="77777777" w:rsidR="004A786A" w:rsidRPr="00991BC1" w:rsidRDefault="004A786A" w:rsidP="00DD5FB6">
            <w:pPr>
              <w:pStyle w:val="ListParagraph"/>
              <w:spacing w:after="0"/>
              <w:rPr>
                <w:rFonts w:cstheme="minorHAnsi"/>
                <w:sz w:val="16"/>
                <w:szCs w:val="16"/>
              </w:rPr>
            </w:pPr>
          </w:p>
        </w:tc>
        <w:tc>
          <w:tcPr>
            <w:tcW w:w="6237" w:type="dxa"/>
            <w:shd w:val="clear" w:color="auto" w:fill="D0F4E3" w:themeFill="text2" w:themeFillTint="33"/>
            <w:vAlign w:val="center"/>
          </w:tcPr>
          <w:p w14:paraId="2F1C8311" w14:textId="77777777" w:rsidR="004A786A" w:rsidRPr="00991BC1" w:rsidRDefault="004A786A" w:rsidP="00DD5FB6">
            <w:pPr>
              <w:spacing w:after="0"/>
              <w:rPr>
                <w:sz w:val="16"/>
                <w:szCs w:val="16"/>
                <w:lang w:val="en-GB"/>
              </w:rPr>
            </w:pPr>
            <w:r>
              <w:rPr>
                <w:sz w:val="16"/>
                <w:szCs w:val="16"/>
                <w:lang w:val="en-GB"/>
              </w:rPr>
              <w:t xml:space="preserve">Improve combustion efficiency by </w:t>
            </w:r>
            <w:r w:rsidRPr="00991BC1">
              <w:rPr>
                <w:sz w:val="16"/>
                <w:szCs w:val="16"/>
                <w:lang w:val="en-GB"/>
              </w:rPr>
              <w:t>Change flare</w:t>
            </w:r>
            <w:r>
              <w:rPr>
                <w:sz w:val="16"/>
                <w:szCs w:val="16"/>
                <w:lang w:val="en-GB"/>
              </w:rPr>
              <w:t xml:space="preserve"> tip / installing flare ignition systems</w:t>
            </w:r>
            <w:r>
              <w:rPr>
                <w:rStyle w:val="FootnoteReference"/>
                <w:sz w:val="16"/>
                <w:szCs w:val="16"/>
                <w:lang w:val="en-GB"/>
              </w:rPr>
              <w:footnoteReference w:id="74"/>
            </w:r>
          </w:p>
        </w:tc>
        <w:tc>
          <w:tcPr>
            <w:tcW w:w="1559" w:type="dxa"/>
            <w:shd w:val="clear" w:color="auto" w:fill="D0F4E3" w:themeFill="text2" w:themeFillTint="33"/>
            <w:vAlign w:val="center"/>
          </w:tcPr>
          <w:p w14:paraId="73DCE93B" w14:textId="77777777" w:rsidR="004A786A" w:rsidRPr="00991BC1" w:rsidRDefault="004A786A" w:rsidP="00DD5FB6">
            <w:pPr>
              <w:spacing w:after="0"/>
              <w:rPr>
                <w:sz w:val="16"/>
                <w:szCs w:val="16"/>
                <w:lang w:val="en-GB"/>
              </w:rPr>
            </w:pPr>
            <w:r w:rsidRPr="00991BC1">
              <w:rPr>
                <w:sz w:val="16"/>
                <w:szCs w:val="16"/>
                <w:lang w:val="en-GB"/>
              </w:rPr>
              <w:t>Increase to up 98% Combustion efficiency</w:t>
            </w:r>
          </w:p>
        </w:tc>
      </w:tr>
    </w:tbl>
    <w:p w14:paraId="1681F608" w14:textId="77777777" w:rsidR="004A786A" w:rsidRDefault="004A786A" w:rsidP="004A786A">
      <w:pPr>
        <w:rPr>
          <w:lang w:val="en-US"/>
        </w:rPr>
      </w:pPr>
    </w:p>
    <w:p w14:paraId="12C856F8" w14:textId="77777777" w:rsidR="004A786A" w:rsidRDefault="004A786A" w:rsidP="004A786A">
      <w:pPr>
        <w:spacing w:before="120" w:after="0"/>
        <w:rPr>
          <w:lang w:val="en-US"/>
        </w:rPr>
      </w:pPr>
      <w:r>
        <w:rPr>
          <w:lang w:val="en-US"/>
        </w:rPr>
        <w:t xml:space="preserve"> </w:t>
      </w:r>
      <w:bookmarkStart w:id="95" w:name="_Toc531691001"/>
      <w:r>
        <w:rPr>
          <w:lang w:val="en-US"/>
        </w:rPr>
        <w:t xml:space="preserve">A couple of key emissions sources can be highlighted: </w:t>
      </w:r>
    </w:p>
    <w:p w14:paraId="2ABD1534" w14:textId="77777777" w:rsidR="004A786A" w:rsidRDefault="004A786A" w:rsidP="005D2939">
      <w:pPr>
        <w:pStyle w:val="ListParagraph"/>
        <w:numPr>
          <w:ilvl w:val="0"/>
          <w:numId w:val="20"/>
        </w:numPr>
        <w:spacing w:before="120" w:after="0" w:line="276" w:lineRule="auto"/>
        <w:contextualSpacing w:val="0"/>
      </w:pPr>
      <w:r w:rsidRPr="006A3C72">
        <w:t>Component and equipment leaks</w:t>
      </w:r>
      <w:r>
        <w:t>: Systematic and regular LDAR is typically a central part of methane mitigation.  It is described in the chap 2 and below</w:t>
      </w:r>
    </w:p>
    <w:p w14:paraId="32E32CB4" w14:textId="77DD483E" w:rsidR="004A786A" w:rsidRDefault="004A786A" w:rsidP="005D2939">
      <w:pPr>
        <w:pStyle w:val="ListParagraph"/>
        <w:numPr>
          <w:ilvl w:val="0"/>
          <w:numId w:val="20"/>
        </w:numPr>
        <w:spacing w:before="120" w:after="0" w:line="276" w:lineRule="auto"/>
        <w:contextualSpacing w:val="0"/>
      </w:pPr>
      <w:r>
        <w:t>Compressor vents: Compressor vents contribute a large share of the emission in a number of countries. Various mitigation approaches can be considered including (</w:t>
      </w:r>
      <w:proofErr w:type="spellStart"/>
      <w:r>
        <w:t>i</w:t>
      </w:r>
      <w:proofErr w:type="spellEnd"/>
      <w:r>
        <w:t>) retrofitting to dry seal compressor (ii) re-routing vent emissions to a low</w:t>
      </w:r>
      <w:r w:rsidR="004F0417">
        <w:t>-</w:t>
      </w:r>
      <w:r>
        <w:t xml:space="preserve">pressure gas inlet, and (iii) </w:t>
      </w:r>
      <w:r w:rsidRPr="00E43AA7">
        <w:t>regular replacement of rod packing</w:t>
      </w:r>
    </w:p>
    <w:p w14:paraId="5036D3CD" w14:textId="77777777" w:rsidR="004A786A" w:rsidRPr="006A3C72" w:rsidRDefault="004A786A" w:rsidP="005D2939">
      <w:pPr>
        <w:pStyle w:val="ListParagraph"/>
        <w:numPr>
          <w:ilvl w:val="0"/>
          <w:numId w:val="20"/>
        </w:numPr>
        <w:spacing w:before="120" w:after="0" w:line="276" w:lineRule="auto"/>
        <w:contextualSpacing w:val="0"/>
      </w:pPr>
      <w:proofErr w:type="spellStart"/>
      <w:r>
        <w:t>Unstabilized</w:t>
      </w:r>
      <w:proofErr w:type="spellEnd"/>
      <w:r>
        <w:t xml:space="preserve"> liquid storage tanks: vapor recovery units (VRUs) can be installed to collect methane and VOC emissions, compress them and transport them for productive use (local power production, export to existing processing facilities etc.) </w:t>
      </w:r>
    </w:p>
    <w:p w14:paraId="62683437" w14:textId="38BD9CEB" w:rsidR="004A786A" w:rsidRDefault="004A786A" w:rsidP="00B67CD3">
      <w:pPr>
        <w:spacing w:before="120" w:after="0"/>
        <w:rPr>
          <w:lang w:val="en-US"/>
        </w:rPr>
      </w:pPr>
      <w:r>
        <w:rPr>
          <w:lang w:val="en-US"/>
        </w:rPr>
        <w:t>Overall, many of the methane mitigation technologies and practices are mature and have been used by the industry, sometimes for decades, though not necessary in every country. A few technologies are more recent, this includes electric controllers</w:t>
      </w:r>
      <w:r w:rsidR="009A14CA">
        <w:rPr>
          <w:lang w:val="en-US"/>
        </w:rPr>
        <w:t xml:space="preserve"> </w:t>
      </w:r>
      <w:r>
        <w:rPr>
          <w:lang w:val="en-US"/>
        </w:rPr>
        <w:t>and new methane detection technologies.</w:t>
      </w:r>
      <w:r w:rsidR="009A14CA">
        <w:rPr>
          <w:rStyle w:val="FootnoteReference"/>
        </w:rPr>
        <w:footnoteReference w:id="75"/>
      </w:r>
      <w:r w:rsidR="009A14CA">
        <w:rPr>
          <w:lang w:val="en-US"/>
        </w:rPr>
        <w:t xml:space="preserve"> </w:t>
      </w:r>
      <w:r>
        <w:rPr>
          <w:lang w:val="en-US"/>
        </w:rPr>
        <w:t xml:space="preserve"> </w:t>
      </w:r>
    </w:p>
    <w:p w14:paraId="52A80C87" w14:textId="77777777" w:rsidR="004A786A" w:rsidRDefault="004A786A" w:rsidP="00B67CD3">
      <w:pPr>
        <w:spacing w:before="120" w:after="0"/>
        <w:rPr>
          <w:lang w:val="en-US"/>
        </w:rPr>
      </w:pPr>
      <w:r>
        <w:rPr>
          <w:lang w:val="en-US"/>
        </w:rPr>
        <w:t>Based on the emission inventory developed and/or based on measurement surveys performed, companies can identify which mitigation options are most relevant to evaluate. A detailed inventory, with emissions broken down by emission source subcategories represents a significant advantage to effectively identify program with large abatement potential and to focus the effort</w:t>
      </w:r>
      <w:r w:rsidRPr="00A11A9A">
        <w:rPr>
          <w:lang w:val="en-US"/>
        </w:rPr>
        <w:t xml:space="preserve">. </w:t>
      </w:r>
      <w:r>
        <w:rPr>
          <w:lang w:val="en-US"/>
        </w:rPr>
        <w:t xml:space="preserve">Discrete projects are typically identified through specific facilities assessment or measurement campaigns. </w:t>
      </w:r>
    </w:p>
    <w:p w14:paraId="13F57C20" w14:textId="77777777" w:rsidR="004A786A" w:rsidRDefault="004A786A" w:rsidP="004A786A">
      <w:pPr>
        <w:spacing w:before="120" w:after="0"/>
        <w:rPr>
          <w:lang w:val="en-US"/>
        </w:rPr>
      </w:pPr>
      <w:r>
        <w:rPr>
          <w:lang w:val="en-US"/>
        </w:rPr>
        <w:t xml:space="preserve">For each potential abatement project, an investment analysis can then be performed to estimate the potential emission reduction and the project’s expected cost/profitability. A number of considerations should be highlighted when performing this analysis: </w:t>
      </w:r>
    </w:p>
    <w:p w14:paraId="4BA78C60" w14:textId="7F297006" w:rsidR="004A786A" w:rsidRDefault="004A786A" w:rsidP="005D2939">
      <w:pPr>
        <w:pStyle w:val="ListParagraph"/>
        <w:numPr>
          <w:ilvl w:val="0"/>
          <w:numId w:val="13"/>
        </w:numPr>
        <w:spacing w:before="120" w:after="0" w:line="276" w:lineRule="auto"/>
        <w:contextualSpacing w:val="0"/>
      </w:pPr>
      <w:r w:rsidRPr="00AB3AAD">
        <w:rPr>
          <w:u w:val="single"/>
        </w:rPr>
        <w:t>Investment costs</w:t>
      </w:r>
      <w:r>
        <w:t>: Project investment capital costs typically include engineering, drafting, site preparation, materials, equipment, instrumentation, utilities, logistics (in particular when technologies need to be imported), labor, construction management, and commissioning costs. Though the actual costs for project implementation vary significantly from site to sites, the investment required to implement each project is typically very modest (compared to other oil and gas investments). For example, replacing a gas driven pneumatic controller costs between a few hundreds and a few thousands USD, while installation of a VRU on a tank farm costs a few hundred thousand USD. However, as described below, projects can be implemented in the form of large programs which combined represent substantial investment.</w:t>
      </w:r>
    </w:p>
    <w:p w14:paraId="75C113EA" w14:textId="77777777" w:rsidR="004A786A" w:rsidRDefault="004A786A" w:rsidP="005D2939">
      <w:pPr>
        <w:pStyle w:val="ListParagraph"/>
        <w:numPr>
          <w:ilvl w:val="0"/>
          <w:numId w:val="13"/>
        </w:numPr>
        <w:spacing w:before="120" w:after="0" w:line="276" w:lineRule="auto"/>
        <w:contextualSpacing w:val="0"/>
      </w:pPr>
      <w:r w:rsidRPr="00AB3AAD">
        <w:rPr>
          <w:u w:val="single"/>
        </w:rPr>
        <w:t>Change in operational costs:</w:t>
      </w:r>
      <w:r w:rsidRPr="00976E3B">
        <w:t xml:space="preserve"> The </w:t>
      </w:r>
      <w:r>
        <w:t xml:space="preserve">(positive or negative) </w:t>
      </w:r>
      <w:r w:rsidRPr="00976E3B">
        <w:t>imp</w:t>
      </w:r>
      <w:r>
        <w:t>act of the mitigation technologies</w:t>
      </w:r>
      <w:r w:rsidRPr="00976E3B">
        <w:t xml:space="preserve"> on the operational costs needs to be assessed</w:t>
      </w:r>
      <w:r>
        <w:t xml:space="preserve"> carefully as e</w:t>
      </w:r>
      <w:r w:rsidRPr="00976E3B">
        <w:t xml:space="preserve">xperience has </w:t>
      </w:r>
      <w:r>
        <w:t>d</w:t>
      </w:r>
      <w:r w:rsidRPr="00976E3B">
        <w:t>emonstrated that this impact can be quite substantial. For example</w:t>
      </w:r>
      <w:r>
        <w:t>,</w:t>
      </w:r>
      <w:r w:rsidRPr="00976E3B">
        <w:t xml:space="preserve"> electronic controllers are reported to reduce</w:t>
      </w:r>
      <w:r>
        <w:t xml:space="preserve"> significantly maintenance costs</w:t>
      </w:r>
      <w:r w:rsidRPr="00976E3B">
        <w:t xml:space="preserve"> in particular compared to wet gas</w:t>
      </w:r>
      <w:r>
        <w:t xml:space="preserve"> driven controllers</w:t>
      </w:r>
      <w:r>
        <w:rPr>
          <w:rStyle w:val="FootnoteReference"/>
        </w:rPr>
        <w:footnoteReference w:id="76"/>
      </w:r>
      <w:r>
        <w:t>.</w:t>
      </w:r>
    </w:p>
    <w:p w14:paraId="0B25FE6F" w14:textId="1AC9BBE2" w:rsidR="004A786A" w:rsidRPr="00976E3B" w:rsidRDefault="004A786A" w:rsidP="005D2939">
      <w:pPr>
        <w:pStyle w:val="ListParagraph"/>
        <w:numPr>
          <w:ilvl w:val="0"/>
          <w:numId w:val="13"/>
        </w:numPr>
        <w:spacing w:before="120" w:after="0" w:line="276" w:lineRule="auto"/>
        <w:contextualSpacing w:val="0"/>
      </w:pPr>
      <w:r w:rsidRPr="00AB3AAD">
        <w:rPr>
          <w:u w:val="single"/>
        </w:rPr>
        <w:t>Emission reduction estimate:</w:t>
      </w:r>
      <w:r>
        <w:t xml:space="preserve">  Emission reduction estimates are typically derived from measurement campaigns and/or from engineering calculation</w:t>
      </w:r>
      <w:r w:rsidR="009A14CA">
        <w:t>.</w:t>
      </w:r>
      <w:r>
        <w:rPr>
          <w:rStyle w:val="FootnoteReference"/>
        </w:rPr>
        <w:footnoteReference w:id="77"/>
      </w:r>
      <w:r>
        <w:t xml:space="preserve"> In some cases, the volume of gas that can be saved by the implementation of a mitigation technology needs to be assessed carefully, through the use of models (for example, to quantify vapor emissions from an un-stabilized liquid storage tank). Annual and short-term variations should also be considered </w:t>
      </w:r>
      <w:r>
        <w:lastRenderedPageBreak/>
        <w:t xml:space="preserve">when estimating the benefit (e.g. a compressor used only during the winter). Finally, the lifetime of the abatement measure is also taken into account in the assessment. </w:t>
      </w:r>
    </w:p>
    <w:p w14:paraId="4B9E96B4" w14:textId="3362B4B2" w:rsidR="004A786A" w:rsidRDefault="004A786A" w:rsidP="005D2939">
      <w:pPr>
        <w:pStyle w:val="ListParagraph"/>
        <w:numPr>
          <w:ilvl w:val="0"/>
          <w:numId w:val="13"/>
        </w:numPr>
        <w:spacing w:before="120" w:after="0" w:line="276" w:lineRule="auto"/>
        <w:contextualSpacing w:val="0"/>
      </w:pPr>
      <w:r w:rsidRPr="00AB3AAD">
        <w:rPr>
          <w:u w:val="single"/>
        </w:rPr>
        <w:t>Value of the gas saved:</w:t>
      </w:r>
      <w:r>
        <w:t xml:space="preserve"> As direct emission of gas is reduced/eliminated, the conserved natural gas can in theory be sold and generate revenue for most of the abatement technologies.</w:t>
      </w:r>
      <w:r w:rsidRPr="00293D95">
        <w:t xml:space="preserve"> </w:t>
      </w:r>
      <w:r>
        <w:t>Some of the abatement option</w:t>
      </w:r>
      <w:r w:rsidRPr="005763C6">
        <w:t>s</w:t>
      </w:r>
      <w:r>
        <w:t xml:space="preserve"> (e.g.,</w:t>
      </w:r>
      <w:r w:rsidRPr="005763C6">
        <w:t xml:space="preserve"> </w:t>
      </w:r>
      <w:r>
        <w:t>re-routing a vent to a gas flare)</w:t>
      </w:r>
      <w:r w:rsidRPr="005763C6">
        <w:t xml:space="preserve"> do not however provide any gas saving</w:t>
      </w:r>
      <w:r>
        <w:t>s. Depending on the specific ownership or contractual circumstances, it is not always possible for the company that implements projects to benefit fully from the gas saved (see discussion of barriers in section 4.1). As a result, some projects which are economic from a societal perspective are not economic for the owner of the infrastructure</w:t>
      </w:r>
      <w:r w:rsidR="00AE078E">
        <w:t>.</w:t>
      </w:r>
      <w:r>
        <w:rPr>
          <w:rStyle w:val="FootnoteReference"/>
        </w:rPr>
        <w:footnoteReference w:id="78"/>
      </w:r>
      <w:r>
        <w:t xml:space="preserve"> </w:t>
      </w:r>
    </w:p>
    <w:p w14:paraId="1E0861F1" w14:textId="4B302951" w:rsidR="00E3134E" w:rsidRDefault="004A786A" w:rsidP="005D2939">
      <w:pPr>
        <w:pStyle w:val="Heading3"/>
        <w:numPr>
          <w:ilvl w:val="0"/>
          <w:numId w:val="13"/>
        </w:numPr>
        <w:spacing w:before="120" w:after="0"/>
        <w:rPr>
          <w:b w:val="0"/>
          <w:lang w:val="en-US"/>
        </w:rPr>
      </w:pPr>
      <w:r w:rsidRPr="00426833">
        <w:rPr>
          <w:b w:val="0"/>
          <w:u w:val="single"/>
          <w:lang w:val="en-US"/>
        </w:rPr>
        <w:t>Payback period and abatement cost:</w:t>
      </w:r>
      <w:r w:rsidRPr="00426833">
        <w:rPr>
          <w:b w:val="0"/>
          <w:lang w:val="en-US"/>
        </w:rPr>
        <w:t xml:space="preserve"> The payback and the abatement cost for methane emission reduction projects are highly site specific. Given most notably the important variation in terms of emission factors</w:t>
      </w:r>
      <w:r w:rsidRPr="00426833">
        <w:rPr>
          <w:rStyle w:val="FootnoteReference"/>
          <w:b w:val="0"/>
        </w:rPr>
        <w:footnoteReference w:id="79"/>
      </w:r>
      <w:r w:rsidRPr="00426833">
        <w:rPr>
          <w:b w:val="0"/>
          <w:lang w:val="en-US"/>
        </w:rPr>
        <w:t>, the abatement cost for the same technology can vary significantly for the same abatement options. These indicators should thus always be assessed for each discrete project. Past studies</w:t>
      </w:r>
      <w:r w:rsidRPr="00426833">
        <w:rPr>
          <w:rStyle w:val="FootnoteReference"/>
          <w:b w:val="0"/>
        </w:rPr>
        <w:footnoteReference w:id="80"/>
      </w:r>
      <w:r w:rsidRPr="00426833">
        <w:rPr>
          <w:b w:val="0"/>
          <w:lang w:val="en-US"/>
        </w:rPr>
        <w:t xml:space="preserve"> have however demonstrated that a large share of the abatement potential can be implemented at no-net cost, with payback period varying from a few months to a few years</w:t>
      </w:r>
      <w:r w:rsidR="00E3134E">
        <w:rPr>
          <w:b w:val="0"/>
          <w:lang w:val="en-US"/>
        </w:rPr>
        <w:t>.</w:t>
      </w:r>
    </w:p>
    <w:p w14:paraId="11ADF41A" w14:textId="77777777" w:rsidR="00225A04" w:rsidRPr="00225A04" w:rsidRDefault="00225A04" w:rsidP="00225A04">
      <w:pPr>
        <w:rPr>
          <w:lang w:val="en-US"/>
        </w:rPr>
      </w:pPr>
    </w:p>
    <w:p w14:paraId="42A21944" w14:textId="77777777" w:rsidR="004A786A" w:rsidRPr="00E3134E" w:rsidRDefault="004A786A" w:rsidP="005D2939">
      <w:pPr>
        <w:pStyle w:val="Heading3"/>
        <w:numPr>
          <w:ilvl w:val="0"/>
          <w:numId w:val="19"/>
        </w:numPr>
        <w:spacing w:before="120" w:after="0"/>
        <w:rPr>
          <w:lang w:val="en-US"/>
        </w:rPr>
      </w:pPr>
      <w:r w:rsidRPr="00E3134E">
        <w:rPr>
          <w:lang w:val="en-US"/>
        </w:rPr>
        <w:t>Select abatement project</w:t>
      </w:r>
      <w:bookmarkEnd w:id="95"/>
      <w:r w:rsidRPr="00E3134E">
        <w:rPr>
          <w:lang w:val="en-US"/>
        </w:rPr>
        <w:t xml:space="preserve"> </w:t>
      </w:r>
    </w:p>
    <w:p w14:paraId="5FB020D0" w14:textId="77777777" w:rsidR="004A786A" w:rsidRDefault="004A786A" w:rsidP="004A786A">
      <w:pPr>
        <w:spacing w:before="120" w:after="0"/>
        <w:rPr>
          <w:lang w:val="en-US"/>
        </w:rPr>
      </w:pPr>
      <w:r>
        <w:rPr>
          <w:lang w:val="en-US"/>
        </w:rPr>
        <w:t xml:space="preserve">Companies typically select projects based on a combination of criteria including economic considerations (net present value, internal rate of return, etc.), methane emission reduction and practical considerations. A number of points should be highlighted when selecting methane abatement projects:  </w:t>
      </w:r>
    </w:p>
    <w:p w14:paraId="02E7C6F9" w14:textId="77777777" w:rsidR="004A786A" w:rsidRPr="0093199C" w:rsidRDefault="004A786A" w:rsidP="005D2939">
      <w:pPr>
        <w:pStyle w:val="ListParagraph"/>
        <w:numPr>
          <w:ilvl w:val="0"/>
          <w:numId w:val="14"/>
        </w:numPr>
        <w:spacing w:before="120" w:after="120" w:line="276" w:lineRule="auto"/>
        <w:contextualSpacing w:val="0"/>
      </w:pPr>
      <w:r w:rsidRPr="0072175A">
        <w:rPr>
          <w:u w:val="single"/>
        </w:rPr>
        <w:t xml:space="preserve">The specific role of LDAR: </w:t>
      </w:r>
      <w:r>
        <w:t>LDAR sits at the intersection between inventory development and mitigation. Emissions sources are first detected and measured (allowing to improve the understanding of the emission rates), and when relevant, repairs are performed. Detection and measurement campaigns are an important part of any methane mitigation strategy and inventory development. Experience has demonstrated that it is virtually always economic to repair a leak once it has been detected</w:t>
      </w:r>
      <w:r>
        <w:rPr>
          <w:rStyle w:val="FootnoteReference"/>
        </w:rPr>
        <w:footnoteReference w:id="81"/>
      </w:r>
      <w:r>
        <w:t xml:space="preserve">.  Regular </w:t>
      </w:r>
      <w:r w:rsidRPr="00976E3B">
        <w:t xml:space="preserve">LDAR </w:t>
      </w:r>
      <w:r>
        <w:t xml:space="preserve">thus represents a natural pillar in a </w:t>
      </w:r>
      <w:r w:rsidRPr="00976E3B">
        <w:t>methane emissions managemen</w:t>
      </w:r>
      <w:r>
        <w:t xml:space="preserve">t program and, when relevant, can/ and should be integrated </w:t>
      </w:r>
      <w:r w:rsidRPr="00976E3B">
        <w:t>into regular HSE activities.</w:t>
      </w:r>
      <w:r>
        <w:t xml:space="preserve"> Details on the design of LDAR program are presented in </w:t>
      </w:r>
      <w:r w:rsidR="00FC4A1B">
        <w:t xml:space="preserve">Box 4-1. </w:t>
      </w:r>
      <w:r>
        <w:t xml:space="preserve"> </w:t>
      </w:r>
    </w:p>
    <w:p w14:paraId="10C8F828" w14:textId="5BEACFAD" w:rsidR="004A786A" w:rsidRDefault="004A786A" w:rsidP="005D2939">
      <w:pPr>
        <w:pStyle w:val="ListParagraph"/>
        <w:numPr>
          <w:ilvl w:val="0"/>
          <w:numId w:val="14"/>
        </w:numPr>
        <w:spacing w:before="120" w:after="120" w:line="276" w:lineRule="auto"/>
        <w:contextualSpacing w:val="0"/>
      </w:pPr>
      <w:r w:rsidRPr="0072175A">
        <w:rPr>
          <w:u w:val="single"/>
        </w:rPr>
        <w:t xml:space="preserve">Focus on </w:t>
      </w:r>
      <w:r w:rsidR="00DE1FBB">
        <w:rPr>
          <w:u w:val="single"/>
        </w:rPr>
        <w:t>large emission sources</w:t>
      </w:r>
      <w:r w:rsidRPr="0072175A">
        <w:rPr>
          <w:u w:val="single"/>
        </w:rPr>
        <w:t>:</w:t>
      </w:r>
      <w:r w:rsidRPr="0093199C">
        <w:t xml:space="preserve">  </w:t>
      </w:r>
      <w:r>
        <w:t>A</w:t>
      </w:r>
      <w:r w:rsidRPr="0072175A">
        <w:t xml:space="preserve"> small</w:t>
      </w:r>
      <w:r w:rsidRPr="0093199C">
        <w:t xml:space="preserve"> number of emissions points typically represent the vast majority of the emissions</w:t>
      </w:r>
      <w:r w:rsidR="00DE1FBB">
        <w:t xml:space="preserve"> (see Box 4-</w:t>
      </w:r>
      <w:r w:rsidR="00FC4A1B">
        <w:t>2)</w:t>
      </w:r>
      <w:r w:rsidRPr="0093199C">
        <w:t xml:space="preserve">. Focusing in priority on these emission </w:t>
      </w:r>
      <w:r w:rsidRPr="005003E0">
        <w:rPr>
          <w:szCs w:val="20"/>
        </w:rPr>
        <w:t>points</w:t>
      </w:r>
      <w:r w:rsidR="00DE1FBB" w:rsidRPr="005003E0">
        <w:rPr>
          <w:szCs w:val="20"/>
        </w:rPr>
        <w:t xml:space="preserve"> </w:t>
      </w:r>
      <w:r w:rsidR="00DE1FBB" w:rsidRPr="00E3134E">
        <w:rPr>
          <w:szCs w:val="20"/>
          <w:lang w:val="en-GB"/>
        </w:rPr>
        <w:t xml:space="preserve">(often denoted </w:t>
      </w:r>
      <w:r w:rsidR="00DE1FBB" w:rsidRPr="00E3134E">
        <w:rPr>
          <w:szCs w:val="20"/>
        </w:rPr>
        <w:t>super-emitters),</w:t>
      </w:r>
      <w:r w:rsidR="00DE1FBB">
        <w:rPr>
          <w:sz w:val="18"/>
          <w:szCs w:val="18"/>
        </w:rPr>
        <w:t xml:space="preserve"> </w:t>
      </w:r>
      <w:r w:rsidR="004B6D6A">
        <w:t>can</w:t>
      </w:r>
      <w:r w:rsidR="004B6D6A" w:rsidRPr="0093199C">
        <w:t xml:space="preserve"> </w:t>
      </w:r>
      <w:r w:rsidRPr="0093199C">
        <w:t xml:space="preserve">provide </w:t>
      </w:r>
      <w:r w:rsidR="00DE1FBB">
        <w:t>substantial</w:t>
      </w:r>
      <w:r w:rsidRPr="0093199C">
        <w:t xml:space="preserve"> emission reductions</w:t>
      </w:r>
      <w:r>
        <w:t xml:space="preserve"> and</w:t>
      </w:r>
      <w:r w:rsidRPr="0093199C">
        <w:t xml:space="preserve"> can also be cost effective (due to the large volume of gas wasted)</w:t>
      </w:r>
      <w:r w:rsidR="00E3134E">
        <w:t>.</w:t>
      </w:r>
      <w:r w:rsidR="002A168F">
        <w:rPr>
          <w:rStyle w:val="FootnoteReference"/>
        </w:rPr>
        <w:footnoteReference w:id="82"/>
      </w:r>
      <w:r w:rsidRPr="0093199C">
        <w:t xml:space="preserve"> </w:t>
      </w:r>
    </w:p>
    <w:p w14:paraId="08E4C4C5" w14:textId="4630E57D" w:rsidR="00630236" w:rsidRDefault="00630236" w:rsidP="005D2939">
      <w:pPr>
        <w:pStyle w:val="ListParagraph"/>
        <w:numPr>
          <w:ilvl w:val="0"/>
          <w:numId w:val="14"/>
        </w:numPr>
        <w:spacing w:before="120" w:after="120" w:line="276" w:lineRule="auto"/>
        <w:contextualSpacing w:val="0"/>
      </w:pPr>
      <w:r w:rsidRPr="00630236">
        <w:rPr>
          <w:u w:val="single"/>
        </w:rPr>
        <w:t>Program of projects instead of individual projects:</w:t>
      </w:r>
      <w:r w:rsidRPr="004A786A">
        <w:t xml:space="preserve"> Given the nature of methane emissions (a large number of relatively small sources of emission), it is natural to evaluate program of projects (e.g. install VRU on all the un-stabilized liquid storage tanks within a region). </w:t>
      </w:r>
      <w:r w:rsidRPr="00630236">
        <w:rPr>
          <w:lang w:val="en-GB"/>
        </w:rPr>
        <w:t>A bundle of investments has the attraction of offering important economies-of-scale. Procurement and installation costs will generally be lower, both because better prices can be obtained for equipment and as a result of more streamlined and efficient installation (experience shows that installation costs can be divided by up to five).</w:t>
      </w:r>
      <w:r w:rsidR="002A168F">
        <w:rPr>
          <w:rStyle w:val="FootnoteReference"/>
          <w:lang w:val="en-GB"/>
        </w:rPr>
        <w:footnoteReference w:id="83"/>
      </w:r>
      <w:r w:rsidRPr="00630236">
        <w:rPr>
          <w:lang w:val="en-GB"/>
        </w:rPr>
        <w:t xml:space="preserve"> There will also be costs savings in planning and execution of monitoring and results. For standalone projects such costs can be significant. </w:t>
      </w:r>
      <w:r w:rsidRPr="00630236">
        <w:rPr>
          <w:lang w:val="en-GB"/>
        </w:rPr>
        <w:lastRenderedPageBreak/>
        <w:t xml:space="preserve">The success in achieving efficiency in program implementation typically involves a sequential approach, where experiences and results of the previous installations provide a learning experience for a subsequent scale up. It is however important to note that </w:t>
      </w:r>
      <w:r w:rsidRPr="004A786A">
        <w:t>each system should be properly engineered based on the specific operating conditions and activity levels.</w:t>
      </w:r>
    </w:p>
    <w:p w14:paraId="4B5D6074" w14:textId="77777777" w:rsidR="00FC4A1B" w:rsidRDefault="00FC4A1B" w:rsidP="004A786A">
      <w:pPr>
        <w:spacing w:before="120"/>
        <w:ind w:left="360"/>
        <w:rPr>
          <w:lang w:val="en-US"/>
        </w:rPr>
      </w:pPr>
    </w:p>
    <w:tbl>
      <w:tblPr>
        <w:tblStyle w:val="TableGrid"/>
        <w:tblW w:w="0" w:type="auto"/>
        <w:shd w:val="clear" w:color="auto" w:fill="F2F2F2" w:themeFill="background1" w:themeFillShade="F2"/>
        <w:tblLook w:val="04A0" w:firstRow="1" w:lastRow="0" w:firstColumn="1" w:lastColumn="0" w:noHBand="0" w:noVBand="1"/>
      </w:tblPr>
      <w:tblGrid>
        <w:gridCol w:w="9089"/>
      </w:tblGrid>
      <w:tr w:rsidR="00FC4A1B" w:rsidRPr="00104E87" w14:paraId="7E7CC021" w14:textId="77777777" w:rsidTr="004173F0">
        <w:tc>
          <w:tcPr>
            <w:tcW w:w="9089" w:type="dxa"/>
            <w:tcBorders>
              <w:bottom w:val="single" w:sz="4" w:space="0" w:color="auto"/>
            </w:tcBorders>
            <w:shd w:val="clear" w:color="auto" w:fill="F2F2F2" w:themeFill="background1" w:themeFillShade="F2"/>
          </w:tcPr>
          <w:p w14:paraId="584A2665" w14:textId="5B8DAE37" w:rsidR="00FC4A1B" w:rsidRPr="00CC5BE1" w:rsidRDefault="00FC4A1B" w:rsidP="00FC4A1B">
            <w:pPr>
              <w:spacing w:before="120"/>
              <w:rPr>
                <w:b/>
                <w:lang w:val="en-US"/>
              </w:rPr>
            </w:pPr>
            <w:r w:rsidRPr="00FC4A1B">
              <w:rPr>
                <w:b/>
                <w:lang w:val="en-US"/>
              </w:rPr>
              <w:t>Box 4-</w:t>
            </w:r>
            <w:r>
              <w:rPr>
                <w:b/>
                <w:lang w:val="en-US"/>
              </w:rPr>
              <w:t>1</w:t>
            </w:r>
            <w:r w:rsidRPr="00FC4A1B">
              <w:rPr>
                <w:b/>
                <w:lang w:val="en-US"/>
              </w:rPr>
              <w:t xml:space="preserve"> </w:t>
            </w:r>
            <w:r w:rsidR="00403BCA">
              <w:rPr>
                <w:b/>
                <w:lang w:val="en-US"/>
              </w:rPr>
              <w:t>Leak Detection and Repair</w:t>
            </w:r>
            <w:r w:rsidR="00CA4B8B">
              <w:rPr>
                <w:b/>
                <w:lang w:val="en-US"/>
              </w:rPr>
              <w:t xml:space="preserve"> (LDAR)</w:t>
            </w:r>
            <w:r w:rsidR="00403BCA">
              <w:rPr>
                <w:b/>
                <w:lang w:val="en-US"/>
              </w:rPr>
              <w:t xml:space="preserve">  </w:t>
            </w:r>
          </w:p>
          <w:p w14:paraId="2FAFCBE1" w14:textId="712088A3" w:rsidR="00FC4A1B" w:rsidRPr="00FC4A1B" w:rsidRDefault="00FC4A1B" w:rsidP="00403BCA">
            <w:pPr>
              <w:spacing w:before="120" w:after="0" w:line="276" w:lineRule="auto"/>
              <w:rPr>
                <w:sz w:val="18"/>
                <w:szCs w:val="18"/>
                <w:lang w:val="en-GB"/>
              </w:rPr>
            </w:pPr>
            <w:r w:rsidRPr="00FC4A1B">
              <w:rPr>
                <w:sz w:val="18"/>
                <w:szCs w:val="18"/>
                <w:lang w:val="en-GB"/>
              </w:rPr>
              <w:t>Detection and measurements is often part of a so-called leak detection and repair (LDAR) or ‘</w:t>
            </w:r>
            <w:bookmarkStart w:id="96" w:name="_Hlk3297131"/>
            <w:r w:rsidRPr="00FC4A1B">
              <w:rPr>
                <w:sz w:val="18"/>
                <w:szCs w:val="18"/>
                <w:lang w:val="en-GB"/>
              </w:rPr>
              <w:t>Directed Inspection and Maintenanc</w:t>
            </w:r>
            <w:bookmarkEnd w:id="96"/>
            <w:r w:rsidRPr="00FC4A1B">
              <w:rPr>
                <w:sz w:val="18"/>
                <w:szCs w:val="18"/>
                <w:lang w:val="en-GB"/>
              </w:rPr>
              <w:t>e (</w:t>
            </w:r>
            <w:bookmarkStart w:id="97" w:name="_Hlk3297121"/>
            <w:r w:rsidRPr="00FC4A1B">
              <w:rPr>
                <w:sz w:val="18"/>
                <w:szCs w:val="18"/>
                <w:lang w:val="en-GB"/>
              </w:rPr>
              <w:t>DI&amp;M</w:t>
            </w:r>
            <w:bookmarkEnd w:id="97"/>
            <w:r w:rsidRPr="00FC4A1B">
              <w:rPr>
                <w:sz w:val="18"/>
                <w:szCs w:val="18"/>
                <w:lang w:val="en-GB"/>
              </w:rPr>
              <w:t>)</w:t>
            </w:r>
            <w:r w:rsidR="004F0417">
              <w:rPr>
                <w:sz w:val="18"/>
                <w:szCs w:val="18"/>
                <w:lang w:val="en-GB"/>
              </w:rPr>
              <w:t xml:space="preserve"> </w:t>
            </w:r>
            <w:r w:rsidRPr="00FC4A1B">
              <w:rPr>
                <w:sz w:val="18"/>
                <w:szCs w:val="18"/>
                <w:lang w:val="en-GB"/>
              </w:rPr>
              <w:t xml:space="preserve">campaign </w:t>
            </w:r>
            <w:r w:rsidR="00403BCA">
              <w:rPr>
                <w:sz w:val="18"/>
                <w:szCs w:val="18"/>
                <w:lang w:val="en-GB"/>
              </w:rPr>
              <w:t xml:space="preserve">(hereafter called LDARs) </w:t>
            </w:r>
            <w:r w:rsidRPr="00FC4A1B">
              <w:rPr>
                <w:sz w:val="18"/>
                <w:szCs w:val="18"/>
                <w:lang w:val="en-GB"/>
              </w:rPr>
              <w:t>with the primary objective of mitigation, and as such could have been covered in the next chapter.</w:t>
            </w:r>
            <w:r w:rsidR="002A168F">
              <w:rPr>
                <w:rStyle w:val="FootnoteReference"/>
                <w:sz w:val="18"/>
                <w:szCs w:val="18"/>
                <w:lang w:val="en-GB"/>
              </w:rPr>
              <w:t xml:space="preserve"> </w:t>
            </w:r>
            <w:r w:rsidR="002A168F">
              <w:rPr>
                <w:rStyle w:val="FootnoteReference"/>
                <w:sz w:val="18"/>
                <w:szCs w:val="18"/>
                <w:lang w:val="en-GB"/>
              </w:rPr>
              <w:footnoteReference w:id="84"/>
            </w:r>
            <w:r w:rsidRPr="00FC4A1B">
              <w:rPr>
                <w:sz w:val="18"/>
                <w:szCs w:val="18"/>
                <w:lang w:val="en-GB"/>
              </w:rPr>
              <w:t xml:space="preserve"> However, LDARs also serve important MRV purposes. They are typically performed on a regular basis with each new campaign allowing for identification of new emission sources that have appeared since the last inspection. Increasing the frequency of LDAR has a positive impact on the overall emission as new emission sources are detected and fixed earlier. On the other hand, increasing the frequency increases the costs, which in turn impacts the cost effectiveness of LDAR surveys. Past studies have showed that the abatement costs (USD spent per ton of emission reduced) increases with increased frequency</w:t>
            </w:r>
            <w:r w:rsidR="002A168F">
              <w:rPr>
                <w:sz w:val="18"/>
                <w:szCs w:val="18"/>
                <w:lang w:val="en-GB"/>
              </w:rPr>
              <w:t>.</w:t>
            </w:r>
            <w:r w:rsidRPr="00FC4A1B">
              <w:rPr>
                <w:rStyle w:val="FootnoteReference"/>
                <w:sz w:val="18"/>
                <w:szCs w:val="18"/>
                <w:lang w:val="en-GB"/>
              </w:rPr>
              <w:footnoteReference w:id="85"/>
            </w:r>
            <w:r w:rsidRPr="00FC4A1B">
              <w:rPr>
                <w:sz w:val="18"/>
                <w:szCs w:val="18"/>
                <w:lang w:val="en-GB"/>
              </w:rPr>
              <w:t xml:space="preserve">  In addition, given the variable nature of many of the emission sources, repeat surveys decreases the uncertainty in the emissions estimate. A minimum LDAR frequency is imposed in some jurisdictions. For other countries, the relevant frequency can be determined on a case by case basis. The most relevant inspection frequency depends on: </w:t>
            </w:r>
          </w:p>
          <w:p w14:paraId="062D52C1" w14:textId="77777777" w:rsidR="00FC4A1B" w:rsidRPr="00FC4A1B" w:rsidRDefault="00FC4A1B" w:rsidP="005D2939">
            <w:pPr>
              <w:pStyle w:val="ListParagraph"/>
              <w:numPr>
                <w:ilvl w:val="0"/>
                <w:numId w:val="5"/>
              </w:numPr>
              <w:spacing w:before="120" w:after="0" w:line="276" w:lineRule="auto"/>
              <w:contextualSpacing w:val="0"/>
              <w:rPr>
                <w:sz w:val="18"/>
                <w:szCs w:val="18"/>
                <w:lang w:val="en-GB"/>
              </w:rPr>
            </w:pPr>
            <w:r w:rsidRPr="00FC4A1B">
              <w:rPr>
                <w:sz w:val="18"/>
                <w:szCs w:val="18"/>
                <w:u w:val="single"/>
                <w:lang w:val="en-GB"/>
              </w:rPr>
              <w:t>The facility size/type:</w:t>
            </w:r>
            <w:r w:rsidRPr="00FC4A1B">
              <w:rPr>
                <w:sz w:val="18"/>
                <w:szCs w:val="18"/>
                <w:lang w:val="en-GB"/>
              </w:rPr>
              <w:t xml:space="preserve"> It is cost efficient to inspect a large facility more regularly than small dispersed production sites. </w:t>
            </w:r>
          </w:p>
          <w:p w14:paraId="13CC6BB1" w14:textId="77777777" w:rsidR="00FC4A1B" w:rsidRPr="00FC4A1B" w:rsidRDefault="00FC4A1B" w:rsidP="005D2939">
            <w:pPr>
              <w:pStyle w:val="ListParagraph"/>
              <w:numPr>
                <w:ilvl w:val="0"/>
                <w:numId w:val="5"/>
              </w:numPr>
              <w:spacing w:before="120" w:after="0" w:line="276" w:lineRule="auto"/>
              <w:contextualSpacing w:val="0"/>
              <w:rPr>
                <w:sz w:val="18"/>
                <w:szCs w:val="18"/>
                <w:lang w:val="en-GB"/>
              </w:rPr>
            </w:pPr>
            <w:r w:rsidRPr="00FC4A1B">
              <w:rPr>
                <w:sz w:val="18"/>
                <w:szCs w:val="18"/>
                <w:u w:val="single"/>
                <w:lang w:val="en-GB"/>
              </w:rPr>
              <w:t>Other maintenance practices</w:t>
            </w:r>
            <w:r w:rsidRPr="00FC4A1B">
              <w:rPr>
                <w:b/>
                <w:sz w:val="18"/>
                <w:szCs w:val="18"/>
                <w:lang w:val="en-GB"/>
              </w:rPr>
              <w:t>:</w:t>
            </w:r>
            <w:r w:rsidRPr="00FC4A1B">
              <w:rPr>
                <w:sz w:val="18"/>
                <w:szCs w:val="18"/>
                <w:lang w:val="en-GB"/>
              </w:rPr>
              <w:t xml:space="preserve"> Regular maintenance and component replacement/repair have a bearing on the magnitude of emissions and thus LDAR practices. It may be interesting to plan a LDAR just before a large maintenance to identify additional repair which can be performed, and just after the maintenance to check the tightness of the repairs. </w:t>
            </w:r>
          </w:p>
          <w:p w14:paraId="244C13E8" w14:textId="5357ECE4" w:rsidR="00FC4A1B" w:rsidRPr="00FC4A1B" w:rsidRDefault="00FC4A1B" w:rsidP="005D2939">
            <w:pPr>
              <w:pStyle w:val="ListParagraph"/>
              <w:numPr>
                <w:ilvl w:val="0"/>
                <w:numId w:val="5"/>
              </w:numPr>
              <w:spacing w:before="120" w:after="0" w:line="276" w:lineRule="auto"/>
              <w:contextualSpacing w:val="0"/>
              <w:rPr>
                <w:sz w:val="18"/>
                <w:szCs w:val="18"/>
                <w:lang w:val="en-GB"/>
              </w:rPr>
            </w:pPr>
            <w:r w:rsidRPr="00FC4A1B">
              <w:rPr>
                <w:sz w:val="18"/>
                <w:szCs w:val="18"/>
                <w:u w:val="single"/>
                <w:lang w:val="en-GB"/>
              </w:rPr>
              <w:t>Results of past inspections:</w:t>
            </w:r>
            <w:r w:rsidRPr="00FC4A1B">
              <w:rPr>
                <w:sz w:val="18"/>
                <w:szCs w:val="18"/>
                <w:lang w:val="en-GB"/>
              </w:rPr>
              <w:t xml:space="preserve"> Results of past inspections provide valuable information on the past sources of emissions</w:t>
            </w:r>
            <w:r w:rsidR="002A168F">
              <w:rPr>
                <w:sz w:val="18"/>
                <w:szCs w:val="18"/>
                <w:lang w:val="en-GB"/>
              </w:rPr>
              <w:t>.</w:t>
            </w:r>
            <w:r w:rsidRPr="00FC4A1B">
              <w:rPr>
                <w:rStyle w:val="FootnoteReference"/>
                <w:sz w:val="18"/>
                <w:szCs w:val="18"/>
                <w:lang w:val="en-GB"/>
              </w:rPr>
              <w:footnoteReference w:id="86"/>
            </w:r>
            <w:r w:rsidRPr="00FC4A1B">
              <w:rPr>
                <w:sz w:val="18"/>
                <w:szCs w:val="18"/>
                <w:lang w:val="en-GB"/>
              </w:rPr>
              <w:t xml:space="preserve"> It is important to note that leaks can develop even in a facility which has demonstrated very limited emissions in past inspections. </w:t>
            </w:r>
          </w:p>
          <w:p w14:paraId="15A48460" w14:textId="77777777" w:rsidR="00FC4A1B" w:rsidRPr="00FC4A1B" w:rsidRDefault="00FC4A1B" w:rsidP="00403BCA">
            <w:pPr>
              <w:spacing w:before="120" w:after="0" w:line="276" w:lineRule="auto"/>
              <w:rPr>
                <w:sz w:val="18"/>
                <w:szCs w:val="18"/>
                <w:lang w:val="en-GB"/>
              </w:rPr>
            </w:pPr>
            <w:r w:rsidRPr="00FC4A1B">
              <w:rPr>
                <w:sz w:val="18"/>
                <w:szCs w:val="18"/>
                <w:lang w:val="en-GB"/>
              </w:rPr>
              <w:t xml:space="preserve">Finally, continuous monitoring can also be considered, for example through the deployment of fixed IR camera. This type of approach allows detection of new emission sources (and in particular new super-emitters) early. A maintenance crew is then sent on-site to identify the specific emissions source (depending on the continuous monitoring approach) and to fix it.   </w:t>
            </w:r>
          </w:p>
          <w:p w14:paraId="68A9D24E" w14:textId="1AF2B30C" w:rsidR="00FC4A1B" w:rsidRPr="00FC4A1B" w:rsidRDefault="00FC4A1B" w:rsidP="00403BCA">
            <w:pPr>
              <w:spacing w:before="120" w:after="0" w:line="276" w:lineRule="auto"/>
              <w:rPr>
                <w:sz w:val="18"/>
                <w:szCs w:val="18"/>
                <w:lang w:val="en-GB"/>
              </w:rPr>
            </w:pPr>
            <w:r w:rsidRPr="00FC4A1B">
              <w:rPr>
                <w:sz w:val="18"/>
                <w:szCs w:val="18"/>
                <w:lang w:val="en-GB"/>
              </w:rPr>
              <w:t>Existing document, notably those prepared by the US EPA summarizes elements of best practices for LDARs.</w:t>
            </w:r>
            <w:r w:rsidR="002A168F" w:rsidRPr="00FC4A1B">
              <w:rPr>
                <w:rStyle w:val="FootnoteReference"/>
                <w:sz w:val="18"/>
                <w:szCs w:val="18"/>
                <w:lang w:val="en-GB"/>
              </w:rPr>
              <w:footnoteReference w:id="87"/>
            </w:r>
            <w:r w:rsidRPr="00FC4A1B">
              <w:rPr>
                <w:sz w:val="18"/>
                <w:szCs w:val="18"/>
                <w:lang w:val="en-GB"/>
              </w:rPr>
              <w:t xml:space="preserve"> They typically include: </w:t>
            </w:r>
          </w:p>
          <w:p w14:paraId="55F5EB2D" w14:textId="4C7F4C2F" w:rsidR="00FC4A1B" w:rsidRPr="00FC4A1B" w:rsidRDefault="00FC4A1B" w:rsidP="005D2939">
            <w:pPr>
              <w:pStyle w:val="ListParagraph"/>
              <w:numPr>
                <w:ilvl w:val="0"/>
                <w:numId w:val="22"/>
              </w:numPr>
              <w:spacing w:before="120" w:after="0" w:line="276" w:lineRule="auto"/>
              <w:contextualSpacing w:val="0"/>
              <w:rPr>
                <w:sz w:val="18"/>
                <w:szCs w:val="18"/>
                <w:lang w:val="en-GB"/>
              </w:rPr>
            </w:pPr>
            <w:r w:rsidRPr="00FC4A1B">
              <w:rPr>
                <w:sz w:val="18"/>
                <w:szCs w:val="18"/>
                <w:u w:val="single"/>
                <w:lang w:val="en-GB"/>
              </w:rPr>
              <w:t>Written program</w:t>
            </w:r>
            <w:r w:rsidRPr="00FC4A1B">
              <w:rPr>
                <w:sz w:val="18"/>
                <w:szCs w:val="18"/>
                <w:lang w:val="en-GB"/>
              </w:rPr>
              <w:t xml:space="preserve"> that includes a (measurable) objective for the program, procedures for leak identification and quantification, procedures for repairing and keeping track of leaking equipment, role and responsibilities of personnel involved.</w:t>
            </w:r>
            <w:r w:rsidR="002A168F" w:rsidRPr="00FC4A1B">
              <w:rPr>
                <w:rStyle w:val="FootnoteReference"/>
                <w:sz w:val="18"/>
                <w:szCs w:val="18"/>
                <w:lang w:val="en-GB"/>
              </w:rPr>
              <w:footnoteReference w:id="88"/>
            </w:r>
          </w:p>
          <w:p w14:paraId="564C0C51" w14:textId="77777777" w:rsidR="00FC4A1B" w:rsidRPr="00FC4A1B" w:rsidRDefault="00FC4A1B" w:rsidP="005D2939">
            <w:pPr>
              <w:pStyle w:val="ListParagraph"/>
              <w:numPr>
                <w:ilvl w:val="0"/>
                <w:numId w:val="22"/>
              </w:numPr>
              <w:spacing w:before="120" w:after="0" w:line="276" w:lineRule="auto"/>
              <w:contextualSpacing w:val="0"/>
              <w:rPr>
                <w:sz w:val="18"/>
                <w:szCs w:val="18"/>
                <w:lang w:val="en-GB"/>
              </w:rPr>
            </w:pPr>
            <w:r w:rsidRPr="00FC4A1B">
              <w:rPr>
                <w:sz w:val="18"/>
                <w:szCs w:val="18"/>
                <w:u w:val="single"/>
                <w:lang w:val="en-GB"/>
              </w:rPr>
              <w:t>Training</w:t>
            </w:r>
            <w:r w:rsidRPr="00FC4A1B">
              <w:rPr>
                <w:sz w:val="18"/>
                <w:szCs w:val="18"/>
                <w:lang w:val="en-GB"/>
              </w:rPr>
              <w:t xml:space="preserve"> for personnel involved in the program, and awareness rising for relevant operators. </w:t>
            </w:r>
          </w:p>
          <w:p w14:paraId="3E8159A4" w14:textId="77777777" w:rsidR="00FC4A1B" w:rsidRPr="00FC4A1B" w:rsidRDefault="00FC4A1B" w:rsidP="005D2939">
            <w:pPr>
              <w:pStyle w:val="ListParagraph"/>
              <w:numPr>
                <w:ilvl w:val="0"/>
                <w:numId w:val="23"/>
              </w:numPr>
              <w:spacing w:before="120" w:after="0" w:line="276" w:lineRule="auto"/>
              <w:contextualSpacing w:val="0"/>
              <w:rPr>
                <w:sz w:val="18"/>
                <w:szCs w:val="18"/>
                <w:lang w:val="en-GB"/>
              </w:rPr>
            </w:pPr>
            <w:r w:rsidRPr="00FC4A1B">
              <w:rPr>
                <w:bCs/>
                <w:sz w:val="18"/>
                <w:szCs w:val="18"/>
                <w:u w:val="single"/>
                <w:lang w:val="en-GB"/>
              </w:rPr>
              <w:t>Repair and follow-up programs</w:t>
            </w:r>
            <w:r w:rsidRPr="00FC4A1B">
              <w:rPr>
                <w:sz w:val="18"/>
                <w:szCs w:val="18"/>
                <w:lang w:val="en-GB"/>
              </w:rPr>
              <w:t xml:space="preserve"> for the emissions sources identified. (only for LDAR program).</w:t>
            </w:r>
          </w:p>
          <w:p w14:paraId="0358B6BB" w14:textId="77777777" w:rsidR="00FC4A1B" w:rsidRPr="00FC4A1B" w:rsidRDefault="00FC4A1B" w:rsidP="005D2939">
            <w:pPr>
              <w:pStyle w:val="ListParagraph"/>
              <w:numPr>
                <w:ilvl w:val="0"/>
                <w:numId w:val="24"/>
              </w:numPr>
              <w:spacing w:before="120" w:after="0" w:line="276" w:lineRule="auto"/>
              <w:contextualSpacing w:val="0"/>
              <w:rPr>
                <w:sz w:val="18"/>
                <w:szCs w:val="18"/>
                <w:lang w:val="en-GB"/>
              </w:rPr>
            </w:pPr>
            <w:r w:rsidRPr="00FC4A1B">
              <w:rPr>
                <w:sz w:val="18"/>
                <w:szCs w:val="18"/>
                <w:u w:val="single"/>
                <w:lang w:val="en-GB"/>
              </w:rPr>
              <w:t>Quality assurance and control procedures</w:t>
            </w:r>
            <w:r w:rsidRPr="00FC4A1B">
              <w:rPr>
                <w:sz w:val="18"/>
                <w:szCs w:val="18"/>
                <w:lang w:val="en-GB"/>
              </w:rPr>
              <w:t xml:space="preserve"> including calibrations protocols. </w:t>
            </w:r>
          </w:p>
          <w:p w14:paraId="7D66E8B7" w14:textId="77777777" w:rsidR="00FC4A1B" w:rsidRPr="00FC4A1B" w:rsidRDefault="00FC4A1B" w:rsidP="005D2939">
            <w:pPr>
              <w:pStyle w:val="ListParagraph"/>
              <w:numPr>
                <w:ilvl w:val="0"/>
                <w:numId w:val="25"/>
              </w:numPr>
              <w:spacing w:before="120" w:after="0" w:line="276" w:lineRule="auto"/>
              <w:contextualSpacing w:val="0"/>
              <w:rPr>
                <w:sz w:val="18"/>
                <w:szCs w:val="18"/>
                <w:lang w:val="en-GB"/>
              </w:rPr>
            </w:pPr>
            <w:r w:rsidRPr="00FC4A1B">
              <w:rPr>
                <w:sz w:val="18"/>
                <w:szCs w:val="18"/>
                <w:u w:val="single"/>
                <w:lang w:val="en-GB"/>
              </w:rPr>
              <w:t>Internal and third-party audits</w:t>
            </w:r>
            <w:r w:rsidRPr="00FC4A1B">
              <w:rPr>
                <w:sz w:val="18"/>
                <w:szCs w:val="18"/>
                <w:lang w:val="en-GB"/>
              </w:rPr>
              <w:t xml:space="preserve"> of the program to ensure the program is correctly conducted and that issues are identified and corrected.</w:t>
            </w:r>
          </w:p>
          <w:p w14:paraId="6FFAAAF1" w14:textId="77777777" w:rsidR="00FC4A1B" w:rsidRPr="00B67CD3" w:rsidRDefault="00FC4A1B" w:rsidP="005D2939">
            <w:pPr>
              <w:pStyle w:val="ListParagraph"/>
              <w:numPr>
                <w:ilvl w:val="0"/>
                <w:numId w:val="25"/>
              </w:numPr>
              <w:spacing w:before="120"/>
            </w:pPr>
            <w:r w:rsidRPr="00B67CD3">
              <w:rPr>
                <w:sz w:val="18"/>
                <w:szCs w:val="18"/>
                <w:u w:val="single"/>
                <w:lang w:val="en-GB"/>
              </w:rPr>
              <w:t>Database and software</w:t>
            </w:r>
            <w:r w:rsidRPr="00B67CD3">
              <w:rPr>
                <w:sz w:val="18"/>
                <w:szCs w:val="18"/>
                <w:lang w:val="en-GB"/>
              </w:rPr>
              <w:t xml:space="preserve"> to store the monitored data</w:t>
            </w:r>
            <w:r w:rsidR="00B67CD3" w:rsidRPr="00B67CD3">
              <w:rPr>
                <w:sz w:val="18"/>
                <w:szCs w:val="18"/>
                <w:lang w:val="en-GB"/>
              </w:rPr>
              <w:t>.</w:t>
            </w:r>
          </w:p>
        </w:tc>
      </w:tr>
      <w:tr w:rsidR="004173F0" w:rsidRPr="00104E87" w14:paraId="11819F00" w14:textId="77777777" w:rsidTr="004173F0">
        <w:trPr>
          <w:trHeight w:hRule="exact" w:val="144"/>
        </w:trPr>
        <w:tc>
          <w:tcPr>
            <w:tcW w:w="9089" w:type="dxa"/>
            <w:tcBorders>
              <w:left w:val="nil"/>
              <w:right w:val="nil"/>
            </w:tcBorders>
            <w:shd w:val="clear" w:color="auto" w:fill="FFFFFF" w:themeFill="background1"/>
          </w:tcPr>
          <w:p w14:paraId="1BD690E7" w14:textId="77777777" w:rsidR="004173F0" w:rsidRPr="00FC4A1B" w:rsidRDefault="004173F0" w:rsidP="00FC4A1B">
            <w:pPr>
              <w:spacing w:before="120"/>
              <w:rPr>
                <w:b/>
                <w:lang w:val="en-US"/>
              </w:rPr>
            </w:pPr>
          </w:p>
        </w:tc>
      </w:tr>
      <w:tr w:rsidR="004A786A" w:rsidRPr="00104E87" w14:paraId="2C5C56ED" w14:textId="77777777" w:rsidTr="00A1239B">
        <w:tc>
          <w:tcPr>
            <w:tcW w:w="9089" w:type="dxa"/>
            <w:shd w:val="clear" w:color="auto" w:fill="F2F2F2" w:themeFill="background1" w:themeFillShade="F2"/>
          </w:tcPr>
          <w:p w14:paraId="175D56A5" w14:textId="77777777" w:rsidR="004A786A" w:rsidRPr="000941A9" w:rsidRDefault="004A786A" w:rsidP="00DD5FB6">
            <w:pPr>
              <w:spacing w:before="120"/>
              <w:rPr>
                <w:b/>
                <w:lang w:val="fr-FR"/>
              </w:rPr>
            </w:pPr>
            <w:r w:rsidRPr="000941A9">
              <w:rPr>
                <w:b/>
                <w:lang w:val="fr-FR"/>
              </w:rPr>
              <w:t>Box 4-</w:t>
            </w:r>
            <w:r w:rsidR="00FC4A1B" w:rsidRPr="000941A9">
              <w:rPr>
                <w:b/>
                <w:lang w:val="fr-FR"/>
              </w:rPr>
              <w:t>2</w:t>
            </w:r>
            <w:r w:rsidRPr="000941A9">
              <w:rPr>
                <w:b/>
                <w:lang w:val="fr-FR"/>
              </w:rPr>
              <w:t xml:space="preserve"> </w:t>
            </w:r>
            <w:r w:rsidR="00DE1FBB" w:rsidRPr="000941A9">
              <w:rPr>
                <w:b/>
                <w:lang w:val="fr-FR"/>
              </w:rPr>
              <w:t xml:space="preserve">Focus on large </w:t>
            </w:r>
            <w:proofErr w:type="spellStart"/>
            <w:r w:rsidR="00DE1FBB" w:rsidRPr="000941A9">
              <w:rPr>
                <w:b/>
                <w:lang w:val="fr-FR"/>
              </w:rPr>
              <w:t>emission</w:t>
            </w:r>
            <w:proofErr w:type="spellEnd"/>
            <w:r w:rsidR="00DE1FBB" w:rsidRPr="000941A9">
              <w:rPr>
                <w:b/>
                <w:lang w:val="fr-FR"/>
              </w:rPr>
              <w:t xml:space="preserve"> sources</w:t>
            </w:r>
          </w:p>
          <w:p w14:paraId="72D1B3BB" w14:textId="1F286A45" w:rsidR="004A786A" w:rsidRPr="00CC5BE1" w:rsidRDefault="004A786A" w:rsidP="00225A04">
            <w:pPr>
              <w:tabs>
                <w:tab w:val="left" w:pos="8865"/>
              </w:tabs>
              <w:rPr>
                <w:sz w:val="18"/>
                <w:szCs w:val="18"/>
                <w:lang w:val="en-GB"/>
              </w:rPr>
            </w:pPr>
            <w:r w:rsidRPr="00CC5BE1">
              <w:rPr>
                <w:sz w:val="18"/>
                <w:szCs w:val="18"/>
                <w:lang w:val="en-GB"/>
              </w:rPr>
              <w:t>Recent research has documented that a small number of sites and components are the major sources of methane emissions</w:t>
            </w:r>
            <w:r w:rsidR="00E57D23">
              <w:rPr>
                <w:sz w:val="18"/>
                <w:szCs w:val="18"/>
                <w:lang w:val="en-GB"/>
              </w:rPr>
              <w:t>.</w:t>
            </w:r>
            <w:r w:rsidR="00067976">
              <w:rPr>
                <w:rStyle w:val="FootnoteReference"/>
                <w:sz w:val="18"/>
                <w:szCs w:val="18"/>
                <w:lang w:val="en-GB"/>
              </w:rPr>
              <w:footnoteReference w:id="89"/>
            </w:r>
            <w:r w:rsidRPr="00CC5BE1">
              <w:rPr>
                <w:sz w:val="18"/>
                <w:szCs w:val="18"/>
                <w:lang w:val="en-GB"/>
              </w:rPr>
              <w:t xml:space="preserve"> </w:t>
            </w:r>
            <w:r>
              <w:rPr>
                <w:sz w:val="18"/>
                <w:szCs w:val="18"/>
                <w:lang w:val="en-US"/>
              </w:rPr>
              <w:t xml:space="preserve">The figure below, taken from </w:t>
            </w:r>
            <w:r w:rsidRPr="00CC5BE1">
              <w:rPr>
                <w:sz w:val="18"/>
                <w:szCs w:val="18"/>
                <w:lang w:val="en-GB"/>
              </w:rPr>
              <w:t xml:space="preserve">from a large research effort in the </w:t>
            </w:r>
            <w:r w:rsidR="004B6D6A">
              <w:rPr>
                <w:sz w:val="18"/>
                <w:szCs w:val="18"/>
                <w:lang w:val="en-GB"/>
              </w:rPr>
              <w:t xml:space="preserve">Barnett Shale in the </w:t>
            </w:r>
            <w:r w:rsidRPr="00CC5BE1">
              <w:rPr>
                <w:sz w:val="18"/>
                <w:szCs w:val="18"/>
                <w:lang w:val="en-GB"/>
              </w:rPr>
              <w:t xml:space="preserve">USA, illustrates the impact of high emitting sites and the shape of the distribution curve of emissions: </w:t>
            </w:r>
          </w:p>
          <w:p w14:paraId="71E90B2F" w14:textId="56A9E152" w:rsidR="004A786A" w:rsidRPr="00CC5BE1" w:rsidRDefault="004A786A" w:rsidP="00225A04">
            <w:pPr>
              <w:ind w:left="510" w:right="1246"/>
              <w:rPr>
                <w:sz w:val="18"/>
                <w:szCs w:val="18"/>
                <w:lang w:val="en-GB"/>
              </w:rPr>
            </w:pPr>
            <w:r w:rsidRPr="00CC5BE1">
              <w:rPr>
                <w:sz w:val="18"/>
                <w:szCs w:val="18"/>
                <w:lang w:val="en-GB"/>
              </w:rPr>
              <w:t>«The cumulative percent of CH</w:t>
            </w:r>
            <w:r w:rsidRPr="00CC5BE1">
              <w:rPr>
                <w:sz w:val="18"/>
                <w:szCs w:val="18"/>
                <w:vertAlign w:val="subscript"/>
                <w:lang w:val="en-GB"/>
              </w:rPr>
              <w:t>4</w:t>
            </w:r>
            <w:r w:rsidRPr="00CC5BE1">
              <w:rPr>
                <w:sz w:val="18"/>
                <w:szCs w:val="18"/>
                <w:lang w:val="en-GB"/>
              </w:rPr>
              <w:t xml:space="preserve"> emissions (blue curve) as a function of the cumulative percent of sites, which are plotted in rank order of increasing emissions. The secondary y-axis (red curve, log scale) shows the corresponding absolute CH4 emission rate. Roughly 30% of sites had emissions below the method’s detection limit. (...) [While] the 5% of sites with the highest emission rates (...) are responsible for 60% of the emissions».</w:t>
            </w:r>
            <w:r w:rsidR="00067976">
              <w:rPr>
                <w:rStyle w:val="FootnoteReference"/>
                <w:sz w:val="18"/>
                <w:szCs w:val="18"/>
                <w:lang w:val="en-GB"/>
              </w:rPr>
              <w:footnoteReference w:id="90"/>
            </w:r>
          </w:p>
          <w:p w14:paraId="145F0CD4" w14:textId="6D9C076B" w:rsidR="004A786A" w:rsidRDefault="004A786A" w:rsidP="00DD5FB6">
            <w:pPr>
              <w:pStyle w:val="Caption"/>
              <w:rPr>
                <w:lang w:val="en-GB"/>
              </w:rPr>
            </w:pPr>
            <w:r>
              <w:rPr>
                <w:lang w:val="en-GB"/>
              </w:rPr>
              <w:t>Distribution of measurement of CH</w:t>
            </w:r>
            <w:r w:rsidRPr="00422A31">
              <w:rPr>
                <w:lang w:val="en-GB"/>
              </w:rPr>
              <w:t>4</w:t>
            </w:r>
            <w:r>
              <w:rPr>
                <w:lang w:val="en-GB"/>
              </w:rPr>
              <w:t xml:space="preserve"> emissions from natural gas production sites in the Barnett Shale region</w:t>
            </w:r>
            <w:r w:rsidR="00067976">
              <w:rPr>
                <w:rStyle w:val="FootnoteReference"/>
                <w:lang w:val="en-GB"/>
              </w:rPr>
              <w:footnoteReference w:id="91"/>
            </w:r>
          </w:p>
          <w:p w14:paraId="13B05CB9" w14:textId="6FE1D383" w:rsidR="00225A04" w:rsidRDefault="004A786A" w:rsidP="00225A04">
            <w:pPr>
              <w:rPr>
                <w:highlight w:val="yellow"/>
                <w:lang w:val="en-GB"/>
              </w:rPr>
            </w:pPr>
            <w:r w:rsidRPr="00196978">
              <w:rPr>
                <w:noProof/>
                <w:lang w:eastAsia="nb-NO"/>
              </w:rPr>
              <w:drawing>
                <wp:inline distT="0" distB="0" distL="0" distR="0" wp14:anchorId="28E15FC5" wp14:editId="6923DE22">
                  <wp:extent cx="2923258" cy="19465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90" cy="1947184"/>
                          </a:xfrm>
                          <a:prstGeom prst="rect">
                            <a:avLst/>
                          </a:prstGeom>
                          <a:noFill/>
                          <a:ln>
                            <a:noFill/>
                          </a:ln>
                        </pic:spPr>
                      </pic:pic>
                    </a:graphicData>
                  </a:graphic>
                </wp:inline>
              </w:drawing>
            </w:r>
          </w:p>
          <w:p w14:paraId="325FF9C6" w14:textId="4550D881" w:rsidR="004A786A" w:rsidRPr="00CD018C" w:rsidRDefault="004A786A" w:rsidP="00DD5FB6">
            <w:pPr>
              <w:rPr>
                <w:sz w:val="18"/>
                <w:szCs w:val="18"/>
                <w:lang w:val="en-GB"/>
              </w:rPr>
            </w:pPr>
            <w:r w:rsidRPr="00CD018C">
              <w:rPr>
                <w:sz w:val="18"/>
                <w:szCs w:val="18"/>
                <w:lang w:val="en-GB"/>
              </w:rPr>
              <w:t xml:space="preserve">There is currently limited published scientific literature on the main causes </w:t>
            </w:r>
            <w:r>
              <w:rPr>
                <w:sz w:val="18"/>
                <w:szCs w:val="18"/>
                <w:lang w:val="en-GB"/>
              </w:rPr>
              <w:t xml:space="preserve">for the existent of these sources of emissions there are clear indications that </w:t>
            </w:r>
            <w:r w:rsidRPr="00CD018C">
              <w:rPr>
                <w:sz w:val="18"/>
                <w:szCs w:val="18"/>
                <w:lang w:val="en-GB"/>
              </w:rPr>
              <w:t xml:space="preserve">equipment age, gas composition, and maintenance practices play a key role. </w:t>
            </w:r>
            <w:r w:rsidRPr="00CD018C">
              <w:rPr>
                <w:sz w:val="18"/>
                <w:szCs w:val="18"/>
                <w:lang w:val="en-US"/>
              </w:rPr>
              <w:t>Super-emitters can occur along the entire value chain of oil and gas from upstream production to downstream transmission and distribution. Certain</w:t>
            </w:r>
            <w:r>
              <w:rPr>
                <w:lang w:val="en-US"/>
              </w:rPr>
              <w:t xml:space="preserve"> </w:t>
            </w:r>
            <w:r w:rsidRPr="00CD018C">
              <w:rPr>
                <w:sz w:val="18"/>
                <w:szCs w:val="18"/>
                <w:lang w:val="en-GB"/>
              </w:rPr>
              <w:t>components are more likely to become large emitters</w:t>
            </w:r>
            <w:r>
              <w:rPr>
                <w:sz w:val="18"/>
                <w:szCs w:val="18"/>
                <w:lang w:val="en-GB"/>
              </w:rPr>
              <w:t xml:space="preserve"> than others (e.g.</w:t>
            </w:r>
            <w:r w:rsidR="004F0417">
              <w:rPr>
                <w:sz w:val="18"/>
                <w:szCs w:val="18"/>
                <w:lang w:val="en-GB"/>
              </w:rPr>
              <w:t xml:space="preserve"> </w:t>
            </w:r>
            <w:r w:rsidRPr="00CD018C">
              <w:rPr>
                <w:sz w:val="18"/>
                <w:szCs w:val="18"/>
                <w:lang w:val="en-US"/>
              </w:rPr>
              <w:t>faulty devices such as stuck open valves or continuously emitting intermittent controller)</w:t>
            </w:r>
            <w:r>
              <w:rPr>
                <w:sz w:val="18"/>
                <w:szCs w:val="18"/>
                <w:lang w:val="en-GB"/>
              </w:rPr>
              <w:t>, though</w:t>
            </w:r>
            <w:r w:rsidRPr="00CD018C">
              <w:rPr>
                <w:sz w:val="18"/>
                <w:szCs w:val="18"/>
                <w:lang w:val="en-GB"/>
              </w:rPr>
              <w:t xml:space="preserve"> large emitters can be found in all types of facilities and for all types of components</w:t>
            </w:r>
            <w:r>
              <w:rPr>
                <w:sz w:val="18"/>
                <w:szCs w:val="18"/>
                <w:lang w:val="en-GB"/>
              </w:rPr>
              <w:t>.</w:t>
            </w:r>
            <w:r w:rsidR="00067976">
              <w:rPr>
                <w:rStyle w:val="FootnoteReference"/>
                <w:sz w:val="18"/>
                <w:szCs w:val="18"/>
                <w:lang w:val="en-GB"/>
              </w:rPr>
              <w:footnoteReference w:id="92"/>
            </w:r>
            <w:r>
              <w:rPr>
                <w:sz w:val="18"/>
                <w:szCs w:val="18"/>
                <w:lang w:val="en-GB"/>
              </w:rPr>
              <w:t xml:space="preserve"> </w:t>
            </w:r>
            <w:r w:rsidRPr="00CD018C">
              <w:rPr>
                <w:sz w:val="18"/>
                <w:szCs w:val="18"/>
                <w:lang w:val="en-US"/>
              </w:rPr>
              <w:t>Typical examples may include faulty devices (such as stuck open valves or continuously emitting intermittent controller)</w:t>
            </w:r>
            <w:r>
              <w:rPr>
                <w:sz w:val="18"/>
                <w:szCs w:val="18"/>
                <w:lang w:val="en-US"/>
              </w:rPr>
              <w:t>. H</w:t>
            </w:r>
            <w:r w:rsidRPr="00CD018C">
              <w:rPr>
                <w:sz w:val="18"/>
                <w:szCs w:val="18"/>
                <w:lang w:val="en-US"/>
              </w:rPr>
              <w:t>uman errors</w:t>
            </w:r>
            <w:r>
              <w:rPr>
                <w:sz w:val="18"/>
                <w:szCs w:val="18"/>
                <w:lang w:val="en-US"/>
              </w:rPr>
              <w:t xml:space="preserve"> probably also play an important role</w:t>
            </w:r>
            <w:r w:rsidRPr="00CD018C">
              <w:rPr>
                <w:sz w:val="18"/>
                <w:szCs w:val="18"/>
                <w:lang w:val="en-US"/>
              </w:rPr>
              <w:t xml:space="preserve">. </w:t>
            </w:r>
          </w:p>
          <w:p w14:paraId="26FDF7C6" w14:textId="4E742693" w:rsidR="004A786A" w:rsidRPr="00067976" w:rsidRDefault="004A786A" w:rsidP="00DD5FB6">
            <w:pPr>
              <w:rPr>
                <w:sz w:val="18"/>
                <w:szCs w:val="18"/>
                <w:lang w:val="en-GB"/>
              </w:rPr>
            </w:pPr>
            <w:r w:rsidRPr="00CD018C">
              <w:rPr>
                <w:sz w:val="18"/>
                <w:szCs w:val="18"/>
                <w:lang w:val="en-GB"/>
              </w:rPr>
              <w:t>The characteristic distribution of the emissions (so-called “fat-tailed” distribution) has an important impact on the abatement strategy for methane emissions. This means that addressing the larger emitters is not only very efficient from a climate mitigation perspective, but it is also often (but not always) cost-effective (i.e., the savings from the gas recovered are significant)</w:t>
            </w:r>
            <w:r w:rsidR="00067976">
              <w:rPr>
                <w:sz w:val="18"/>
                <w:szCs w:val="18"/>
                <w:lang w:val="en-GB"/>
              </w:rPr>
              <w:t>.</w:t>
            </w:r>
            <w:r w:rsidR="00067976">
              <w:rPr>
                <w:rStyle w:val="FootnoteReference"/>
                <w:sz w:val="18"/>
                <w:szCs w:val="18"/>
                <w:lang w:val="en-GB"/>
              </w:rPr>
              <w:footnoteReference w:id="93"/>
            </w:r>
          </w:p>
          <w:p w14:paraId="78172E68" w14:textId="1F7AF5B0" w:rsidR="004A786A" w:rsidRPr="00CC5BE1" w:rsidRDefault="004A786A" w:rsidP="00DD5FB6">
            <w:pPr>
              <w:rPr>
                <w:lang w:val="en-US"/>
              </w:rPr>
            </w:pPr>
            <w:r w:rsidRPr="00CD018C">
              <w:rPr>
                <w:sz w:val="18"/>
                <w:szCs w:val="18"/>
                <w:lang w:val="en-US"/>
              </w:rPr>
              <w:t xml:space="preserve">Super-emitters tend to also be transient both in time and in location, making them relatively unpredictable when it comes to locating these exceptionally large sources of leaks and vents. </w:t>
            </w:r>
            <w:r w:rsidR="00225A04" w:rsidRPr="00CD018C">
              <w:rPr>
                <w:sz w:val="18"/>
                <w:szCs w:val="18"/>
                <w:lang w:val="en-GB"/>
              </w:rPr>
              <w:t>Systematic</w:t>
            </w:r>
            <w:r w:rsidRPr="00CD018C">
              <w:rPr>
                <w:sz w:val="18"/>
                <w:szCs w:val="18"/>
                <w:lang w:val="en-GB"/>
              </w:rPr>
              <w:t xml:space="preserve"> and frequent (or continuous) surveys allow identifying and addressing these sources of emissions as soon as possible. </w:t>
            </w:r>
            <w:r w:rsidRPr="00CD018C">
              <w:rPr>
                <w:sz w:val="18"/>
                <w:szCs w:val="18"/>
                <w:lang w:val="en-US"/>
              </w:rPr>
              <w:t xml:space="preserve">Given the magnitude of the super emitters, less-sensitive and cheaper detection technologies can be used for this emission source category. </w:t>
            </w:r>
          </w:p>
        </w:tc>
      </w:tr>
    </w:tbl>
    <w:p w14:paraId="6D7F8169" w14:textId="77777777" w:rsidR="00630236" w:rsidRPr="005F0AF3" w:rsidRDefault="00630236" w:rsidP="00630236">
      <w:pPr>
        <w:spacing w:before="120"/>
        <w:rPr>
          <w:lang w:val="en-US"/>
        </w:rPr>
      </w:pPr>
    </w:p>
    <w:p w14:paraId="62C7DF82" w14:textId="77777777" w:rsidR="004A786A" w:rsidRDefault="004A786A" w:rsidP="005D2939">
      <w:pPr>
        <w:pStyle w:val="Heading3"/>
        <w:numPr>
          <w:ilvl w:val="0"/>
          <w:numId w:val="19"/>
        </w:numPr>
        <w:spacing w:before="120"/>
        <w:rPr>
          <w:lang w:val="en-US"/>
        </w:rPr>
      </w:pPr>
      <w:bookmarkStart w:id="98" w:name="_Toc531691002"/>
      <w:r>
        <w:rPr>
          <w:lang w:val="en-US"/>
        </w:rPr>
        <w:t>Execute abatement projects</w:t>
      </w:r>
      <w:bookmarkEnd w:id="98"/>
    </w:p>
    <w:p w14:paraId="28D65D03" w14:textId="77777777" w:rsidR="004A786A" w:rsidRDefault="004A786A" w:rsidP="004A786A">
      <w:pPr>
        <w:spacing w:before="120"/>
        <w:rPr>
          <w:lang w:val="en-US"/>
        </w:rPr>
      </w:pPr>
      <w:r>
        <w:rPr>
          <w:lang w:val="en-US"/>
        </w:rPr>
        <w:t xml:space="preserve">Once an abatement project has been selected, the project execution phase can then start. Companies have internal processes and decision gates which typically include project development (including feasibility), project implementation and project monitoring stages. The focus of this paragraph will be to describe only the specific elements related to methane emission mitigation projects:  </w:t>
      </w:r>
    </w:p>
    <w:p w14:paraId="42BB0D50" w14:textId="77777777" w:rsidR="004A786A" w:rsidRPr="0093199C" w:rsidRDefault="004A786A" w:rsidP="005D2939">
      <w:pPr>
        <w:pStyle w:val="ListParagraph"/>
        <w:numPr>
          <w:ilvl w:val="0"/>
          <w:numId w:val="15"/>
        </w:numPr>
        <w:spacing w:before="120" w:after="120" w:line="276" w:lineRule="auto"/>
        <w:contextualSpacing w:val="0"/>
      </w:pPr>
      <w:r w:rsidRPr="0072175A">
        <w:rPr>
          <w:u w:val="single"/>
        </w:rPr>
        <w:t>Organizational considerations:</w:t>
      </w:r>
      <w:r w:rsidRPr="0093199C">
        <w:t xml:space="preserve"> </w:t>
      </w:r>
      <w:r w:rsidRPr="0093199C">
        <w:rPr>
          <w:rFonts w:cstheme="minorHAnsi"/>
          <w:lang w:val="en-GB"/>
        </w:rPr>
        <w:t xml:space="preserve">Implementing emission reduction </w:t>
      </w:r>
      <w:r>
        <w:rPr>
          <w:rFonts w:cstheme="minorHAnsi"/>
          <w:lang w:val="en-GB"/>
        </w:rPr>
        <w:t>program</w:t>
      </w:r>
      <w:r w:rsidRPr="0093199C">
        <w:rPr>
          <w:rFonts w:cstheme="minorHAnsi"/>
          <w:lang w:val="en-GB"/>
        </w:rPr>
        <w:t xml:space="preserve"> are at times perceived as complex due to the large number of actors involved</w:t>
      </w:r>
      <w:r>
        <w:rPr>
          <w:rFonts w:cstheme="minorHAnsi"/>
          <w:lang w:val="en-GB"/>
        </w:rPr>
        <w:t xml:space="preserve"> (for example, installing VRU </w:t>
      </w:r>
      <w:r>
        <w:rPr>
          <w:rFonts w:cstheme="minorHAnsi"/>
          <w:lang w:val="en-GB"/>
        </w:rPr>
        <w:lastRenderedPageBreak/>
        <w:t>on all un-stabilised liquid storage tanks involve the coordination with a number of operational teams)</w:t>
      </w:r>
      <w:r w:rsidRPr="0093199C">
        <w:rPr>
          <w:rFonts w:cstheme="minorHAnsi"/>
          <w:lang w:val="en-GB"/>
        </w:rPr>
        <w:t>. Decisions and project implementation involve a number of departments and actors (due to the number of sources) including subcontractors and often overseas internal stakeholders</w:t>
      </w:r>
      <w:r>
        <w:rPr>
          <w:rFonts w:cstheme="minorHAnsi"/>
          <w:lang w:val="en-GB"/>
        </w:rPr>
        <w:t xml:space="preserve">/subcontractors. Local operations always have a key role in ensuring the success of the projects. </w:t>
      </w:r>
    </w:p>
    <w:p w14:paraId="1CFA8C02" w14:textId="77777777" w:rsidR="004A786A" w:rsidRPr="0093199C" w:rsidRDefault="004A786A" w:rsidP="005D2939">
      <w:pPr>
        <w:pStyle w:val="ListParagraph"/>
        <w:numPr>
          <w:ilvl w:val="0"/>
          <w:numId w:val="15"/>
        </w:numPr>
        <w:spacing w:before="120" w:after="120" w:line="276" w:lineRule="auto"/>
        <w:contextualSpacing w:val="0"/>
      </w:pPr>
      <w:r w:rsidRPr="0072175A">
        <w:rPr>
          <w:u w:val="single"/>
        </w:rPr>
        <w:t>Coordination with other maintenance operations:</w:t>
      </w:r>
      <w:r w:rsidRPr="0093199C">
        <w:t xml:space="preserve"> </w:t>
      </w:r>
      <w:r>
        <w:t xml:space="preserve">While many emissions points can be fixed </w:t>
      </w:r>
      <w:r w:rsidRPr="00C976E9">
        <w:t>outside of</w:t>
      </w:r>
      <w:r>
        <w:t xml:space="preserve"> scheduled facility turnarounds, a</w:t>
      </w:r>
      <w:r w:rsidRPr="0093199C">
        <w:rPr>
          <w:rFonts w:cstheme="minorHAnsi"/>
          <w:lang w:val="en-GB"/>
        </w:rPr>
        <w:t xml:space="preserve"> number of emission reduction measures need to be implemented during planned maintenance and thus need to be planned well in advance</w:t>
      </w:r>
      <w:r>
        <w:rPr>
          <w:rFonts w:cstheme="minorHAnsi"/>
          <w:lang w:val="en-GB"/>
        </w:rPr>
        <w:t xml:space="preserve"> and coordinated/integrated in the maintenance plan. In addition, LDAR surveys could, for example, be run in parallel to other environmental surveys to reduce costs.  </w:t>
      </w:r>
    </w:p>
    <w:p w14:paraId="52D9E950" w14:textId="6A2B108C" w:rsidR="004A786A" w:rsidRDefault="004A786A" w:rsidP="005D2939">
      <w:pPr>
        <w:pStyle w:val="ListParagraph"/>
        <w:numPr>
          <w:ilvl w:val="0"/>
          <w:numId w:val="15"/>
        </w:numPr>
        <w:spacing w:before="120" w:after="120" w:line="276" w:lineRule="auto"/>
        <w:contextualSpacing w:val="0"/>
      </w:pPr>
      <w:r w:rsidRPr="0072175A">
        <w:rPr>
          <w:u w:val="single"/>
        </w:rPr>
        <w:t>The importance of monitoring:</w:t>
      </w:r>
      <w:r>
        <w:t xml:space="preserve"> Experience (for example with VRU or low bleed controllers) has demonstrated that emission reduction needs to be verified after the project implementation to evaluate the project’s success over time or to identify and fix implementation issues</w:t>
      </w:r>
      <w:r w:rsidR="00067976">
        <w:t>.</w:t>
      </w:r>
      <w:r>
        <w:rPr>
          <w:rStyle w:val="FootnoteReference"/>
        </w:rPr>
        <w:footnoteReference w:id="94"/>
      </w:r>
      <w:r>
        <w:t xml:space="preserve">  </w:t>
      </w:r>
    </w:p>
    <w:p w14:paraId="0CD891EF" w14:textId="4372AF12" w:rsidR="004A786A" w:rsidRDefault="004A786A" w:rsidP="005D2939">
      <w:pPr>
        <w:pStyle w:val="ListParagraph"/>
        <w:numPr>
          <w:ilvl w:val="0"/>
          <w:numId w:val="15"/>
        </w:numPr>
        <w:spacing w:before="120" w:after="120" w:line="276" w:lineRule="auto"/>
        <w:contextualSpacing w:val="0"/>
        <w:rPr>
          <w:rFonts w:cstheme="minorHAnsi"/>
          <w:lang w:val="en-GB"/>
        </w:rPr>
      </w:pPr>
      <w:r w:rsidRPr="0072175A">
        <w:rPr>
          <w:rFonts w:cstheme="minorHAnsi"/>
          <w:u w:val="single"/>
          <w:lang w:val="en-GB"/>
        </w:rPr>
        <w:t>Greenfield/new infrastructure project:</w:t>
      </w:r>
      <w:r>
        <w:rPr>
          <w:rFonts w:cstheme="minorHAnsi"/>
          <w:lang w:val="en-GB"/>
        </w:rPr>
        <w:t xml:space="preserve"> Implementing </w:t>
      </w:r>
      <w:r w:rsidRPr="0093199C">
        <w:rPr>
          <w:rFonts w:cstheme="minorHAnsi"/>
          <w:lang w:val="en-GB"/>
        </w:rPr>
        <w:t>methane emissions management best practices</w:t>
      </w:r>
      <w:r>
        <w:rPr>
          <w:rFonts w:cstheme="minorHAnsi"/>
          <w:lang w:val="en-GB"/>
        </w:rPr>
        <w:t xml:space="preserve"> during the early stages of a project design can significantly decrease the abatement costs compared to retrofit projects. </w:t>
      </w:r>
    </w:p>
    <w:p w14:paraId="21B31A6F" w14:textId="77777777" w:rsidR="00D86914" w:rsidRPr="00D86914" w:rsidRDefault="00D86914" w:rsidP="00D86914">
      <w:pPr>
        <w:spacing w:before="120"/>
        <w:rPr>
          <w:rFonts w:cstheme="minorHAnsi"/>
          <w:lang w:val="en-GB"/>
        </w:rPr>
      </w:pPr>
    </w:p>
    <w:p w14:paraId="6B633891" w14:textId="77777777" w:rsidR="004A786A" w:rsidRPr="00F74EC9" w:rsidRDefault="004A786A" w:rsidP="005D2939">
      <w:pPr>
        <w:pStyle w:val="Heading2"/>
        <w:numPr>
          <w:ilvl w:val="1"/>
          <w:numId w:val="32"/>
        </w:numPr>
        <w:rPr>
          <w:lang w:val="en-GB"/>
        </w:rPr>
      </w:pPr>
      <w:bookmarkStart w:id="99" w:name="_Toc3473007"/>
      <w:bookmarkStart w:id="100" w:name="_Toc531691003"/>
      <w:bookmarkStart w:id="101" w:name="_Toc531691041"/>
      <w:bookmarkEnd w:id="88"/>
      <w:r w:rsidRPr="00F74EC9">
        <w:rPr>
          <w:lang w:val="en-GB"/>
        </w:rPr>
        <w:t xml:space="preserve">National policies and </w:t>
      </w:r>
      <w:r>
        <w:rPr>
          <w:lang w:val="en-GB"/>
        </w:rPr>
        <w:t>regulations</w:t>
      </w:r>
      <w:bookmarkEnd w:id="99"/>
      <w:r>
        <w:rPr>
          <w:lang w:val="en-GB"/>
        </w:rPr>
        <w:t xml:space="preserve"> </w:t>
      </w:r>
      <w:bookmarkEnd w:id="100"/>
      <w:bookmarkEnd w:id="101"/>
      <w:r w:rsidRPr="00F74EC9">
        <w:rPr>
          <w:lang w:val="en-GB"/>
        </w:rPr>
        <w:t xml:space="preserve"> </w:t>
      </w:r>
      <w:bookmarkStart w:id="102" w:name="_Toc374470371"/>
      <w:bookmarkStart w:id="103" w:name="_Toc378594149"/>
    </w:p>
    <w:p w14:paraId="587DFC19" w14:textId="77777777" w:rsidR="004A786A" w:rsidRDefault="004A786A" w:rsidP="00B67CD3">
      <w:pPr>
        <w:pStyle w:val="Heading3"/>
        <w:spacing w:before="120" w:after="0"/>
        <w:rPr>
          <w:b w:val="0"/>
          <w:lang w:val="en-US"/>
        </w:rPr>
      </w:pPr>
      <w:bookmarkStart w:id="104" w:name="_Toc531691004"/>
      <w:r w:rsidRPr="009A2746">
        <w:rPr>
          <w:b w:val="0"/>
          <w:lang w:val="en-US"/>
        </w:rPr>
        <w:t>National authorities have several options for imposing policies and regulations to reduce oil and gas sector methane emissions. In this section we distinguish between three categories</w:t>
      </w:r>
      <w:r>
        <w:rPr>
          <w:b w:val="0"/>
          <w:lang w:val="en-US"/>
        </w:rPr>
        <w:t xml:space="preserve">: </w:t>
      </w:r>
    </w:p>
    <w:p w14:paraId="743D3ACC" w14:textId="54BC9D86" w:rsidR="004A786A" w:rsidRPr="000D05F7" w:rsidRDefault="004A786A" w:rsidP="005D2939">
      <w:pPr>
        <w:pStyle w:val="ListParagraph"/>
        <w:numPr>
          <w:ilvl w:val="0"/>
          <w:numId w:val="17"/>
        </w:numPr>
        <w:spacing w:before="120" w:after="0" w:line="276" w:lineRule="auto"/>
        <w:contextualSpacing w:val="0"/>
      </w:pPr>
      <w:r w:rsidRPr="00E17CED">
        <w:rPr>
          <w:b/>
          <w:u w:val="single"/>
        </w:rPr>
        <w:t>Standards</w:t>
      </w:r>
      <w:r w:rsidRPr="00383E2F">
        <w:t xml:space="preserve"> include requirements for use of specific technologies and/or operational practices, and quantifiable emission limits. As standalone tools</w:t>
      </w:r>
      <w:r>
        <w:t>,</w:t>
      </w:r>
      <w:r w:rsidRPr="00383E2F">
        <w:t xml:space="preserve"> technical standards are most common (often denoted</w:t>
      </w:r>
      <w:r>
        <w:t xml:space="preserve"> as</w:t>
      </w:r>
      <w:r w:rsidRPr="00383E2F">
        <w:t xml:space="preserve"> BAT). Emission limits are often used in conjunction with technical standards (e.g. to determine the BAT) or combined with economic instruments (e.g</w:t>
      </w:r>
      <w:r w:rsidR="004F0417">
        <w:t>.</w:t>
      </w:r>
      <w:r w:rsidRPr="00383E2F">
        <w:t xml:space="preserve"> emission charges or fines).  </w:t>
      </w:r>
      <w:r>
        <w:t xml:space="preserve">Requirements for regular leak detection and </w:t>
      </w:r>
      <w:r w:rsidRPr="000D05F7">
        <w:t xml:space="preserve">repair (LDAR) programs are also part </w:t>
      </w:r>
      <w:r>
        <w:t>of</w:t>
      </w:r>
      <w:r w:rsidRPr="000D05F7">
        <w:t xml:space="preserve"> </w:t>
      </w:r>
      <w:r>
        <w:t>t</w:t>
      </w:r>
      <w:r w:rsidRPr="000D05F7">
        <w:t>his category.</w:t>
      </w:r>
    </w:p>
    <w:p w14:paraId="6C059DA4" w14:textId="77777777" w:rsidR="00B67CD3" w:rsidRDefault="004A786A" w:rsidP="005D2939">
      <w:pPr>
        <w:pStyle w:val="ListParagraph"/>
        <w:numPr>
          <w:ilvl w:val="0"/>
          <w:numId w:val="17"/>
        </w:numPr>
        <w:spacing w:before="120" w:after="0" w:line="276" w:lineRule="auto"/>
        <w:contextualSpacing w:val="0"/>
      </w:pPr>
      <w:r w:rsidRPr="00B67CD3">
        <w:rPr>
          <w:b/>
          <w:u w:val="single"/>
        </w:rPr>
        <w:t>Economic instruments</w:t>
      </w:r>
      <w:r w:rsidRPr="00383E2F">
        <w:t xml:space="preserve"> cover emission charges and emission fines (for emissions above a permitted level), emission trading systems and so-called offset credit scheme, and tax rebates and financial grants for specific emission reduction investments. Tax rebates and grants normally do not require quantification of emissions and therefore have lower administrative costs than the other economic instruments.</w:t>
      </w:r>
      <w:r>
        <w:t xml:space="preserve"> Gas price and gas price reforms can also be considered as part of this category.</w:t>
      </w:r>
    </w:p>
    <w:p w14:paraId="2E7D8E65" w14:textId="77777777" w:rsidR="004A786A" w:rsidRPr="00B67CD3" w:rsidRDefault="004A786A" w:rsidP="005D2939">
      <w:pPr>
        <w:pStyle w:val="ListParagraph"/>
        <w:numPr>
          <w:ilvl w:val="0"/>
          <w:numId w:val="17"/>
        </w:numPr>
        <w:spacing w:before="120" w:after="0" w:line="276" w:lineRule="auto"/>
        <w:contextualSpacing w:val="0"/>
      </w:pPr>
      <w:r w:rsidRPr="00B67CD3">
        <w:rPr>
          <w:b/>
          <w:u w:val="single"/>
        </w:rPr>
        <w:t>Public-private partnerships and negotiated agreements</w:t>
      </w:r>
      <w:r w:rsidRPr="00B67CD3">
        <w:t xml:space="preserve"> between the industry and political authorities or the regulator, can take different forms, from loosely defined partnership with noncommittal targets to formalized agreements with threat of subsequent mandatory regulations of specific quantitative targets are not met. Negotiated agreements may include: </w:t>
      </w:r>
      <w:proofErr w:type="spellStart"/>
      <w:r w:rsidRPr="00B67CD3">
        <w:t>i</w:t>
      </w:r>
      <w:proofErr w:type="spellEnd"/>
      <w:r w:rsidRPr="00B67CD3">
        <w:t xml:space="preserve">) emission reduction targets negotiated and agreed between the regulator/political authorities and companies, ii) an institution with the mandate to manage and coordinate emission reduction measures to be implemented by companies, and iii) procedures for monitoring, reporting and verification of compliance and eventual enforcement measures. </w:t>
      </w:r>
    </w:p>
    <w:p w14:paraId="21CC8F3C" w14:textId="367864D4" w:rsidR="004A786A" w:rsidRDefault="004A786A" w:rsidP="004A786A">
      <w:pPr>
        <w:pStyle w:val="Heading3"/>
        <w:rPr>
          <w:lang w:val="en-US"/>
        </w:rPr>
      </w:pPr>
      <w:r w:rsidRPr="00E17CED">
        <w:rPr>
          <w:b w:val="0"/>
          <w:lang w:val="en-US"/>
        </w:rPr>
        <w:lastRenderedPageBreak/>
        <w:t>Even if there has been little of active policies and regulations for methane across most countries, all the three categories are in use, see Box 4-</w:t>
      </w:r>
      <w:r w:rsidR="00FC4A1B">
        <w:rPr>
          <w:b w:val="0"/>
          <w:lang w:val="en-US"/>
        </w:rPr>
        <w:t>3</w:t>
      </w:r>
      <w:r w:rsidRPr="00E17CED">
        <w:rPr>
          <w:b w:val="0"/>
          <w:lang w:val="en-US"/>
        </w:rPr>
        <w:t>.</w:t>
      </w:r>
      <w:r w:rsidRPr="00E17CED">
        <w:rPr>
          <w:lang w:val="en-US"/>
        </w:rPr>
        <w:t xml:space="preserve"> </w:t>
      </w:r>
    </w:p>
    <w:p w14:paraId="43C0FA59" w14:textId="77777777" w:rsidR="00A1239B" w:rsidRPr="00A1239B" w:rsidRDefault="00A1239B" w:rsidP="00A1239B">
      <w:pPr>
        <w:rPr>
          <w:lang w:val="en-US"/>
        </w:rPr>
      </w:pPr>
    </w:p>
    <w:tbl>
      <w:tblPr>
        <w:tblStyle w:val="TableGrid"/>
        <w:tblW w:w="0" w:type="auto"/>
        <w:shd w:val="clear" w:color="auto" w:fill="F2F2F2" w:themeFill="background1" w:themeFillShade="F2"/>
        <w:tblLook w:val="04A0" w:firstRow="1" w:lastRow="0" w:firstColumn="1" w:lastColumn="0" w:noHBand="0" w:noVBand="1"/>
      </w:tblPr>
      <w:tblGrid>
        <w:gridCol w:w="9089"/>
      </w:tblGrid>
      <w:tr w:rsidR="004A786A" w:rsidRPr="00104E87" w14:paraId="08F2D0BC" w14:textId="77777777" w:rsidTr="00DD5FB6">
        <w:tc>
          <w:tcPr>
            <w:tcW w:w="9239" w:type="dxa"/>
            <w:shd w:val="clear" w:color="auto" w:fill="F2F2F2" w:themeFill="background1" w:themeFillShade="F2"/>
          </w:tcPr>
          <w:p w14:paraId="3F9FC2C5" w14:textId="77777777" w:rsidR="004A786A" w:rsidRPr="0009249B" w:rsidRDefault="004A786A" w:rsidP="00DD5FB6">
            <w:pPr>
              <w:spacing w:before="120" w:after="0"/>
              <w:rPr>
                <w:b/>
                <w:lang w:val="en-US"/>
              </w:rPr>
            </w:pPr>
            <w:r>
              <w:rPr>
                <w:lang w:val="en-US"/>
              </w:rPr>
              <w:br w:type="column"/>
            </w:r>
            <w:bookmarkEnd w:id="104"/>
            <w:r w:rsidRPr="0009249B">
              <w:rPr>
                <w:b/>
                <w:lang w:val="en-US"/>
              </w:rPr>
              <w:t>Box 4-</w:t>
            </w:r>
            <w:r w:rsidR="00FC4A1B">
              <w:rPr>
                <w:b/>
                <w:lang w:val="en-US"/>
              </w:rPr>
              <w:t>3</w:t>
            </w:r>
            <w:r w:rsidRPr="0009249B">
              <w:rPr>
                <w:b/>
                <w:lang w:val="en-US"/>
              </w:rPr>
              <w:t xml:space="preserve"> Examples of national policies and </w:t>
            </w:r>
            <w:r>
              <w:rPr>
                <w:b/>
                <w:lang w:val="en-US"/>
              </w:rPr>
              <w:t xml:space="preserve">regulations </w:t>
            </w:r>
          </w:p>
          <w:p w14:paraId="6EFFCE77" w14:textId="55A10D54" w:rsidR="004A786A" w:rsidRPr="003A0BFF" w:rsidRDefault="004A786A" w:rsidP="00DD5FB6">
            <w:pPr>
              <w:spacing w:before="120" w:after="0" w:line="276" w:lineRule="auto"/>
              <w:rPr>
                <w:sz w:val="18"/>
                <w:szCs w:val="18"/>
                <w:lang w:val="en-US"/>
              </w:rPr>
            </w:pPr>
            <w:r w:rsidRPr="00F35B26">
              <w:rPr>
                <w:b/>
                <w:sz w:val="18"/>
                <w:szCs w:val="18"/>
                <w:lang w:val="en-US"/>
              </w:rPr>
              <w:t xml:space="preserve">Standards </w:t>
            </w:r>
            <w:r w:rsidRPr="00E17CED">
              <w:rPr>
                <w:sz w:val="18"/>
                <w:szCs w:val="18"/>
                <w:lang w:val="en-US"/>
              </w:rPr>
              <w:t>for practices (e.g. LDARs) and equipment (e.g. green completion) are currently perhaps the most important measures implemented, primarily in North America.</w:t>
            </w:r>
            <w:r>
              <w:rPr>
                <w:sz w:val="18"/>
                <w:szCs w:val="18"/>
                <w:lang w:val="en-US"/>
              </w:rPr>
              <w:t xml:space="preserve">  For example, Canada has as part of ambitious methane </w:t>
            </w:r>
            <w:r w:rsidRPr="00F35B26">
              <w:rPr>
                <w:sz w:val="18"/>
                <w:szCs w:val="18"/>
                <w:lang w:val="en-US"/>
              </w:rPr>
              <w:t>emission reduction targets (40 to 45% from 2012 levels by 2025</w:t>
            </w:r>
            <w:r>
              <w:rPr>
                <w:sz w:val="18"/>
                <w:szCs w:val="18"/>
                <w:lang w:val="en-US"/>
              </w:rPr>
              <w:t xml:space="preserve">) imposed </w:t>
            </w:r>
            <w:r w:rsidRPr="003A0BFF">
              <w:rPr>
                <w:sz w:val="18"/>
                <w:szCs w:val="18"/>
                <w:lang w:val="en-US"/>
              </w:rPr>
              <w:t>stringent performance standards on compressors and pneumatic devices</w:t>
            </w:r>
            <w:r>
              <w:rPr>
                <w:sz w:val="18"/>
                <w:szCs w:val="18"/>
                <w:lang w:val="en-US"/>
              </w:rPr>
              <w:t xml:space="preserve"> (e.g. </w:t>
            </w:r>
            <w:r w:rsidRPr="003A0BFF">
              <w:rPr>
                <w:sz w:val="18"/>
                <w:szCs w:val="18"/>
                <w:lang w:val="en-US"/>
              </w:rPr>
              <w:t>new pneumatic controllers and pumps they should have low/no bleed devices by 2020 and high bleed controllers need to be replaced by 2023</w:t>
            </w:r>
            <w:r>
              <w:rPr>
                <w:sz w:val="18"/>
                <w:szCs w:val="18"/>
                <w:lang w:val="en-US"/>
              </w:rPr>
              <w:t>)</w:t>
            </w:r>
            <w:r w:rsidRPr="003A0BFF">
              <w:rPr>
                <w:sz w:val="18"/>
                <w:szCs w:val="18"/>
                <w:lang w:val="en-US"/>
              </w:rPr>
              <w:t>.</w:t>
            </w:r>
            <w:r w:rsidR="00067976" w:rsidRPr="00D40C21">
              <w:rPr>
                <w:sz w:val="18"/>
                <w:szCs w:val="18"/>
                <w:vertAlign w:val="superscript"/>
                <w:lang w:val="en-US"/>
              </w:rPr>
              <w:footnoteReference w:id="95"/>
            </w:r>
            <w:r w:rsidRPr="003A0BFF">
              <w:rPr>
                <w:sz w:val="18"/>
                <w:szCs w:val="18"/>
                <w:lang w:val="en-US"/>
              </w:rPr>
              <w:t xml:space="preserve"> There are also at the provincial level requirement for periodic inspection of leaks and leak detection and repair (LDAR) programs, and offset schemes. </w:t>
            </w:r>
          </w:p>
          <w:p w14:paraId="66A08F55" w14:textId="77777777" w:rsidR="004A786A" w:rsidRPr="00D40C21" w:rsidRDefault="004A786A" w:rsidP="00DD5FB6">
            <w:pPr>
              <w:spacing w:before="120" w:after="0" w:line="276" w:lineRule="auto"/>
              <w:rPr>
                <w:sz w:val="18"/>
                <w:szCs w:val="18"/>
                <w:lang w:val="en-US"/>
              </w:rPr>
            </w:pPr>
            <w:r>
              <w:rPr>
                <w:sz w:val="18"/>
                <w:szCs w:val="18"/>
                <w:lang w:val="en-US"/>
              </w:rPr>
              <w:t>In many ECE member states</w:t>
            </w:r>
            <w:r w:rsidR="00E57D23" w:rsidRPr="003A0BFF">
              <w:rPr>
                <w:sz w:val="18"/>
                <w:szCs w:val="18"/>
                <w:lang w:val="en-US"/>
              </w:rPr>
              <w:t xml:space="preserve"> </w:t>
            </w:r>
            <w:bookmarkStart w:id="105" w:name="_Hlk3297195"/>
            <w:r w:rsidR="00E57D23" w:rsidRPr="00EE401F">
              <w:rPr>
                <w:b/>
                <w:sz w:val="18"/>
                <w:szCs w:val="18"/>
                <w:lang w:val="en-US"/>
              </w:rPr>
              <w:t>Best Available Techniques</w:t>
            </w:r>
            <w:r w:rsidRPr="00EE401F">
              <w:rPr>
                <w:b/>
                <w:sz w:val="18"/>
                <w:szCs w:val="18"/>
                <w:lang w:val="en-US"/>
              </w:rPr>
              <w:t xml:space="preserve"> </w:t>
            </w:r>
            <w:bookmarkEnd w:id="105"/>
            <w:r w:rsidR="00E57D23" w:rsidRPr="00EE401F">
              <w:rPr>
                <w:b/>
                <w:sz w:val="18"/>
                <w:szCs w:val="18"/>
                <w:lang w:val="en-US"/>
              </w:rPr>
              <w:t>(</w:t>
            </w:r>
            <w:r w:rsidRPr="00D40C21">
              <w:rPr>
                <w:b/>
                <w:sz w:val="18"/>
                <w:szCs w:val="18"/>
                <w:lang w:val="en-US"/>
              </w:rPr>
              <w:t>BAT</w:t>
            </w:r>
            <w:r w:rsidR="00E57D23">
              <w:rPr>
                <w:b/>
                <w:sz w:val="18"/>
                <w:szCs w:val="18"/>
                <w:lang w:val="en-US"/>
              </w:rPr>
              <w:t>)</w:t>
            </w:r>
            <w:r w:rsidRPr="00D40C21">
              <w:rPr>
                <w:b/>
                <w:sz w:val="18"/>
                <w:szCs w:val="18"/>
                <w:lang w:val="en-US"/>
              </w:rPr>
              <w:t xml:space="preserve"> standards</w:t>
            </w:r>
            <w:r w:rsidRPr="003A0BFF">
              <w:rPr>
                <w:sz w:val="18"/>
                <w:szCs w:val="18"/>
                <w:lang w:val="en-US"/>
              </w:rPr>
              <w:t xml:space="preserve"> </w:t>
            </w:r>
            <w:r>
              <w:rPr>
                <w:sz w:val="18"/>
                <w:szCs w:val="18"/>
                <w:lang w:val="en-US"/>
              </w:rPr>
              <w:t>i</w:t>
            </w:r>
            <w:r w:rsidRPr="003A0BFF">
              <w:rPr>
                <w:sz w:val="18"/>
                <w:szCs w:val="18"/>
                <w:lang w:val="en-US"/>
              </w:rPr>
              <w:t xml:space="preserve">ncreasingly make reference to </w:t>
            </w:r>
            <w:r>
              <w:rPr>
                <w:sz w:val="18"/>
                <w:szCs w:val="18"/>
                <w:lang w:val="en-US"/>
              </w:rPr>
              <w:t>methane emissions.</w:t>
            </w:r>
            <w:r w:rsidRPr="003A0BFF">
              <w:rPr>
                <w:sz w:val="18"/>
                <w:szCs w:val="18"/>
                <w:lang w:val="en-US"/>
              </w:rPr>
              <w:t xml:space="preserve"> Russia</w:t>
            </w:r>
            <w:r>
              <w:rPr>
                <w:sz w:val="18"/>
                <w:szCs w:val="18"/>
                <w:lang w:val="en-US"/>
              </w:rPr>
              <w:t>, f</w:t>
            </w:r>
            <w:r w:rsidRPr="003A0BFF">
              <w:rPr>
                <w:sz w:val="18"/>
                <w:szCs w:val="18"/>
                <w:lang w:val="en-US"/>
              </w:rPr>
              <w:t xml:space="preserve">or example, is planning a pilot transition </w:t>
            </w:r>
            <w:r w:rsidR="00E57D23">
              <w:rPr>
                <w:sz w:val="18"/>
                <w:szCs w:val="18"/>
                <w:lang w:val="en-US"/>
              </w:rPr>
              <w:t>BAT</w:t>
            </w:r>
            <w:r w:rsidRPr="003A0BFF">
              <w:rPr>
                <w:sz w:val="18"/>
                <w:szCs w:val="18"/>
                <w:lang w:val="en-US"/>
              </w:rPr>
              <w:t xml:space="preserve"> for 300 companies from 2019, which will help reduce emissions from the oil and gas sector. A number of BAT covering methane emissions are included in the sector guidance documents – vapor recovery from </w:t>
            </w:r>
            <w:r>
              <w:rPr>
                <w:sz w:val="18"/>
                <w:szCs w:val="18"/>
                <w:lang w:val="en-US"/>
              </w:rPr>
              <w:t>storage tank farms,</w:t>
            </w:r>
            <w:r w:rsidRPr="003A0BFF">
              <w:rPr>
                <w:sz w:val="18"/>
                <w:szCs w:val="18"/>
                <w:lang w:val="en-US"/>
              </w:rPr>
              <w:t xml:space="preserve"> increased durability of pipelines, compressor station optimization</w:t>
            </w:r>
            <w:r>
              <w:rPr>
                <w:sz w:val="18"/>
                <w:szCs w:val="18"/>
                <w:lang w:val="en-US"/>
              </w:rPr>
              <w:t>.</w:t>
            </w:r>
            <w:r>
              <w:rPr>
                <w:lang w:val="en-US"/>
              </w:rPr>
              <w:t xml:space="preserve"> </w:t>
            </w:r>
            <w:r w:rsidRPr="00D40C21">
              <w:rPr>
                <w:sz w:val="18"/>
                <w:szCs w:val="18"/>
                <w:lang w:val="en-US"/>
              </w:rPr>
              <w:t>Another example is the European Commission which in September 2018 a draft document (“Best Available Techniques Guidance Document on upstream hydrocarbon exploration and production), where BAT for onshore flaring and venting, and management of fugitive emissions are presented.</w:t>
            </w:r>
          </w:p>
          <w:p w14:paraId="38A7A37E" w14:textId="47637B00" w:rsidR="004A786A" w:rsidRPr="00E80484" w:rsidRDefault="004A786A" w:rsidP="00DD5FB6">
            <w:pPr>
              <w:pStyle w:val="ListParagraph"/>
              <w:spacing w:before="120" w:after="0" w:line="276" w:lineRule="auto"/>
              <w:contextualSpacing w:val="0"/>
              <w:rPr>
                <w:sz w:val="18"/>
                <w:szCs w:val="18"/>
                <w:lang w:val="en-GB"/>
              </w:rPr>
            </w:pPr>
            <w:r w:rsidRPr="00D40C21">
              <w:rPr>
                <w:b/>
                <w:sz w:val="18"/>
                <w:szCs w:val="18"/>
              </w:rPr>
              <w:t>Economic instruments</w:t>
            </w:r>
            <w:r w:rsidRPr="00E17CED">
              <w:rPr>
                <w:sz w:val="18"/>
                <w:szCs w:val="18"/>
              </w:rPr>
              <w:t xml:space="preserve"> </w:t>
            </w:r>
            <w:r>
              <w:rPr>
                <w:sz w:val="18"/>
                <w:szCs w:val="18"/>
              </w:rPr>
              <w:t xml:space="preserve">have not been much in use. Methane emission sources rarely covered by emissions trading schemes and other type of “carbon pricing” largely due to MRV difficulties. This is however in the process of changing with offset schemes for methane now in place on several provinces in Canada, with MRV protocol to take care of accounting issues, see Table 3-1 above. </w:t>
            </w:r>
            <w:r w:rsidRPr="00A50161">
              <w:rPr>
                <w:sz w:val="18"/>
                <w:szCs w:val="18"/>
              </w:rPr>
              <w:t xml:space="preserve">Russia and other republics of the </w:t>
            </w:r>
            <w:bookmarkStart w:id="106" w:name="_Hlk3297220"/>
            <w:r w:rsidRPr="00A50161">
              <w:rPr>
                <w:sz w:val="18"/>
                <w:szCs w:val="18"/>
              </w:rPr>
              <w:t xml:space="preserve">Commonwealth of Independent States </w:t>
            </w:r>
            <w:bookmarkEnd w:id="106"/>
            <w:r w:rsidRPr="00A50161">
              <w:rPr>
                <w:sz w:val="18"/>
                <w:szCs w:val="18"/>
              </w:rPr>
              <w:t>(CIS)</w:t>
            </w:r>
            <w:r w:rsidRPr="0009249B">
              <w:rPr>
                <w:b/>
                <w:sz w:val="18"/>
                <w:szCs w:val="18"/>
              </w:rPr>
              <w:t xml:space="preserve"> </w:t>
            </w:r>
            <w:r w:rsidRPr="0009249B">
              <w:rPr>
                <w:sz w:val="18"/>
                <w:szCs w:val="18"/>
              </w:rPr>
              <w:t xml:space="preserve">have for a long time regulated methane as </w:t>
            </w:r>
            <w:r w:rsidRPr="0009249B">
              <w:rPr>
                <w:sz w:val="18"/>
                <w:szCs w:val="18"/>
                <w:lang w:val="en-GB"/>
              </w:rPr>
              <w:t xml:space="preserve">a hazardous pollutant, from a health and safety perspective. Emission limits are set and penalties apply for volumes exceeding the limits. Emission charges are set according to emissions quantification methodologies which will vary and only in some cases be adjusted to local circumstances and may therefore have weak incentives to improve performances. </w:t>
            </w:r>
            <w:r w:rsidRPr="00E80484">
              <w:rPr>
                <w:sz w:val="18"/>
                <w:szCs w:val="18"/>
                <w:lang w:val="en-GB"/>
              </w:rPr>
              <w:t xml:space="preserve">Still, two specific developments in Russia are interesting: </w:t>
            </w:r>
            <w:proofErr w:type="spellStart"/>
            <w:r w:rsidRPr="00E80484">
              <w:rPr>
                <w:sz w:val="18"/>
                <w:szCs w:val="18"/>
                <w:lang w:val="en-GB"/>
              </w:rPr>
              <w:t>i</w:t>
            </w:r>
            <w:proofErr w:type="spellEnd"/>
            <w:r w:rsidRPr="00E80484">
              <w:rPr>
                <w:sz w:val="18"/>
                <w:szCs w:val="18"/>
                <w:lang w:val="en-GB"/>
              </w:rPr>
              <w:t>) steps are taken to improve methodologies for quantification of GHG emissions by enterprises</w:t>
            </w:r>
            <w:r w:rsidR="00067976">
              <w:rPr>
                <w:sz w:val="18"/>
                <w:szCs w:val="18"/>
                <w:lang w:val="en-GB"/>
              </w:rPr>
              <w:t xml:space="preserve"> </w:t>
            </w:r>
            <w:r w:rsidRPr="00E80484">
              <w:rPr>
                <w:sz w:val="18"/>
                <w:szCs w:val="18"/>
                <w:lang w:val="en-GB"/>
              </w:rPr>
              <w:t>ii) emissions charges for air pollutants are used as a powerful policy measure to curb emissions from associated gas</w:t>
            </w:r>
            <w:r w:rsidR="00067976" w:rsidRPr="00E80484">
              <w:rPr>
                <w:sz w:val="18"/>
                <w:szCs w:val="18"/>
                <w:vertAlign w:val="superscript"/>
              </w:rPr>
              <w:footnoteReference w:id="96"/>
            </w:r>
            <w:r w:rsidR="00067976">
              <w:rPr>
                <w:sz w:val="18"/>
                <w:szCs w:val="18"/>
                <w:vertAlign w:val="superscript"/>
                <w:lang w:val="en-GB"/>
              </w:rPr>
              <w:t>,</w:t>
            </w:r>
            <w:r w:rsidR="00067976" w:rsidRPr="00E80484">
              <w:rPr>
                <w:sz w:val="18"/>
                <w:szCs w:val="18"/>
                <w:vertAlign w:val="superscript"/>
                <w:lang w:val="en-GB"/>
              </w:rPr>
              <w:t xml:space="preserve"> </w:t>
            </w:r>
            <w:r w:rsidRPr="00E80484">
              <w:rPr>
                <w:sz w:val="18"/>
                <w:szCs w:val="18"/>
                <w:vertAlign w:val="superscript"/>
                <w:lang w:val="en-GB"/>
              </w:rPr>
              <w:footnoteReference w:id="97"/>
            </w:r>
            <w:r w:rsidRPr="00E80484">
              <w:rPr>
                <w:sz w:val="18"/>
                <w:szCs w:val="18"/>
                <w:vertAlign w:val="superscript"/>
                <w:lang w:val="en-GB"/>
              </w:rPr>
              <w:t xml:space="preserve"> </w:t>
            </w:r>
          </w:p>
          <w:p w14:paraId="1237FD08" w14:textId="1D17B956" w:rsidR="004A786A" w:rsidRDefault="004A786A" w:rsidP="00DD5FB6">
            <w:pPr>
              <w:pStyle w:val="ListParagraph"/>
              <w:spacing w:before="120" w:after="0" w:line="276" w:lineRule="auto"/>
              <w:contextualSpacing w:val="0"/>
            </w:pPr>
            <w:r w:rsidRPr="00A50161">
              <w:rPr>
                <w:b/>
                <w:sz w:val="18"/>
                <w:szCs w:val="18"/>
              </w:rPr>
              <w:t>Agreements and public-private partnership</w:t>
            </w:r>
            <w:r w:rsidRPr="00A50161">
              <w:rPr>
                <w:sz w:val="18"/>
                <w:szCs w:val="18"/>
              </w:rPr>
              <w:t xml:space="preserve"> </w:t>
            </w:r>
            <w:r>
              <w:rPr>
                <w:sz w:val="18"/>
                <w:szCs w:val="18"/>
              </w:rPr>
              <w:t xml:space="preserve">have been important in coordinated measures to reduce methane emissions. </w:t>
            </w:r>
            <w:r w:rsidRPr="00A50161">
              <w:rPr>
                <w:sz w:val="18"/>
                <w:szCs w:val="18"/>
                <w:lang w:val="en-GB"/>
              </w:rPr>
              <w:t xml:space="preserve">A pioneer scheme in this regard is the Natural Gas STAR Program, a voluntary partnership </w:t>
            </w:r>
            <w:r>
              <w:rPr>
                <w:sz w:val="18"/>
                <w:szCs w:val="18"/>
                <w:lang w:val="en-GB"/>
              </w:rPr>
              <w:t xml:space="preserve">with </w:t>
            </w:r>
            <w:r w:rsidRPr="00A50161">
              <w:rPr>
                <w:sz w:val="18"/>
                <w:szCs w:val="18"/>
                <w:lang w:val="en-GB"/>
              </w:rPr>
              <w:t xml:space="preserve">oil and natural gas companies </w:t>
            </w:r>
            <w:r>
              <w:rPr>
                <w:sz w:val="18"/>
                <w:szCs w:val="18"/>
                <w:lang w:val="en-GB"/>
              </w:rPr>
              <w:t>l</w:t>
            </w:r>
            <w:r w:rsidRPr="00A50161">
              <w:rPr>
                <w:sz w:val="18"/>
                <w:szCs w:val="18"/>
                <w:lang w:val="en-GB"/>
              </w:rPr>
              <w:t>aunched by the U.S EPA in 1993</w:t>
            </w:r>
            <w:r w:rsidR="00E57D23">
              <w:rPr>
                <w:sz w:val="18"/>
                <w:szCs w:val="18"/>
                <w:lang w:val="en-GB"/>
              </w:rPr>
              <w:t xml:space="preserve"> and recently updated with a “Methane Challenge” component in 2018</w:t>
            </w:r>
            <w:r w:rsidRPr="00A50161">
              <w:rPr>
                <w:sz w:val="18"/>
                <w:szCs w:val="18"/>
                <w:lang w:val="en-GB"/>
              </w:rPr>
              <w:t>. It has been estimated that the program from its inception until 2016 resulted in cumulative methane emissions reductions in the United States of over 39 billion cubic meters</w:t>
            </w:r>
            <w:r w:rsidR="00067976">
              <w:rPr>
                <w:sz w:val="18"/>
                <w:szCs w:val="18"/>
                <w:lang w:val="en-GB"/>
              </w:rPr>
              <w:t>.</w:t>
            </w:r>
            <w:r w:rsidRPr="00D32CB1">
              <w:rPr>
                <w:sz w:val="18"/>
                <w:szCs w:val="18"/>
                <w:vertAlign w:val="superscript"/>
                <w:lang w:val="en-GB"/>
              </w:rPr>
              <w:footnoteReference w:id="98"/>
            </w:r>
            <w:r w:rsidRPr="00A50161">
              <w:rPr>
                <w:sz w:val="18"/>
                <w:szCs w:val="18"/>
                <w:lang w:val="en-GB"/>
              </w:rPr>
              <w:t xml:space="preserve"> </w:t>
            </w:r>
            <w:r>
              <w:rPr>
                <w:sz w:val="18"/>
                <w:szCs w:val="18"/>
                <w:lang w:val="en-GB"/>
              </w:rPr>
              <w:t xml:space="preserve"> </w:t>
            </w:r>
            <w:r w:rsidRPr="00A50161">
              <w:rPr>
                <w:sz w:val="18"/>
                <w:szCs w:val="18"/>
                <w:lang w:val="en-GB"/>
              </w:rPr>
              <w:t>Canada also has a long tradition in fostering agreements with the oil and gas industry on environmental matters, for the major part through initiatives taken by provincial regulatory authorities</w:t>
            </w:r>
            <w:r w:rsidRPr="00D32CB1">
              <w:rPr>
                <w:sz w:val="18"/>
                <w:szCs w:val="18"/>
                <w:vertAlign w:val="superscript"/>
                <w:lang w:val="en-GB"/>
              </w:rPr>
              <w:footnoteReference w:id="99"/>
            </w:r>
            <w:r w:rsidRPr="00A50161">
              <w:rPr>
                <w:sz w:val="18"/>
                <w:szCs w:val="18"/>
                <w:lang w:val="en-GB"/>
              </w:rPr>
              <w:t>.</w:t>
            </w:r>
            <w:r>
              <w:rPr>
                <w:sz w:val="18"/>
                <w:szCs w:val="18"/>
                <w:lang w:val="en-GB"/>
              </w:rPr>
              <w:t xml:space="preserve"> Since 2016 </w:t>
            </w:r>
            <w:r w:rsidRPr="00A50161">
              <w:rPr>
                <w:sz w:val="18"/>
                <w:szCs w:val="18"/>
                <w:lang w:val="en-GB"/>
              </w:rPr>
              <w:t>Norway</w:t>
            </w:r>
            <w:r>
              <w:rPr>
                <w:sz w:val="18"/>
                <w:szCs w:val="18"/>
                <w:lang w:val="en-GB"/>
              </w:rPr>
              <w:t xml:space="preserve"> has had a close collaboration between regulatory authorities and most oil and gas operators to identify and develop measures to reduce emissions, see Box 3-2.</w:t>
            </w:r>
            <w:r>
              <w:t xml:space="preserve"> </w:t>
            </w:r>
          </w:p>
        </w:tc>
      </w:tr>
    </w:tbl>
    <w:p w14:paraId="663E71F2" w14:textId="489EC0B4" w:rsidR="004A786A" w:rsidRPr="005912BC" w:rsidRDefault="004A786A" w:rsidP="004A786A">
      <w:pPr>
        <w:pStyle w:val="Heading3"/>
        <w:rPr>
          <w:b w:val="0"/>
          <w:lang w:val="en-US"/>
        </w:rPr>
      </w:pPr>
      <w:r>
        <w:rPr>
          <w:b w:val="0"/>
          <w:lang w:val="en-US"/>
        </w:rPr>
        <w:lastRenderedPageBreak/>
        <w:t>O</w:t>
      </w:r>
      <w:r w:rsidRPr="007C1AF6">
        <w:rPr>
          <w:b w:val="0"/>
          <w:lang w:val="en-US"/>
        </w:rPr>
        <w:t>il and gas sector policies and regulations</w:t>
      </w:r>
      <w:r>
        <w:rPr>
          <w:b w:val="0"/>
          <w:lang w:val="en-US"/>
        </w:rPr>
        <w:t xml:space="preserve"> for </w:t>
      </w:r>
      <w:r w:rsidRPr="007C1AF6">
        <w:rPr>
          <w:b w:val="0"/>
          <w:lang w:val="en-US"/>
        </w:rPr>
        <w:t>methane emissions</w:t>
      </w:r>
      <w:r>
        <w:rPr>
          <w:b w:val="0"/>
          <w:lang w:val="en-US"/>
        </w:rPr>
        <w:t xml:space="preserve">, to the extent that they exist, vary across </w:t>
      </w:r>
      <w:r w:rsidRPr="007C1AF6">
        <w:rPr>
          <w:b w:val="0"/>
          <w:lang w:val="en-US"/>
        </w:rPr>
        <w:t>countries</w:t>
      </w:r>
      <w:r>
        <w:rPr>
          <w:b w:val="0"/>
          <w:lang w:val="en-US"/>
        </w:rPr>
        <w:t xml:space="preserve"> as do other part of oil and gas sector policies and regulations</w:t>
      </w:r>
      <w:r w:rsidRPr="007C1AF6">
        <w:rPr>
          <w:b w:val="0"/>
          <w:lang w:val="en-US"/>
        </w:rPr>
        <w:t>. They are typically part of broader national legal and regulatory structures, and they are rooted in distinct institutional traditions and capabilities</w:t>
      </w:r>
      <w:r>
        <w:rPr>
          <w:b w:val="0"/>
          <w:lang w:val="en-US"/>
        </w:rPr>
        <w:t xml:space="preserve">. For this </w:t>
      </w:r>
      <w:r w:rsidR="004F0417">
        <w:rPr>
          <w:b w:val="0"/>
          <w:lang w:val="en-US"/>
        </w:rPr>
        <w:t>reason,</w:t>
      </w:r>
      <w:r>
        <w:rPr>
          <w:b w:val="0"/>
          <w:lang w:val="en-US"/>
        </w:rPr>
        <w:t xml:space="preserve"> one </w:t>
      </w:r>
      <w:r w:rsidRPr="005912BC">
        <w:rPr>
          <w:b w:val="0"/>
          <w:lang w:val="en-US"/>
        </w:rPr>
        <w:t xml:space="preserve">“best practice regulation” </w:t>
      </w:r>
      <w:r>
        <w:rPr>
          <w:b w:val="0"/>
          <w:lang w:val="en-US"/>
        </w:rPr>
        <w:t xml:space="preserve">or </w:t>
      </w:r>
      <w:r w:rsidRPr="005912BC">
        <w:rPr>
          <w:b w:val="0"/>
          <w:lang w:val="en-US"/>
        </w:rPr>
        <w:t>blueprint for regulation of methane emissions</w:t>
      </w:r>
      <w:r>
        <w:rPr>
          <w:b w:val="0"/>
          <w:lang w:val="en-US"/>
        </w:rPr>
        <w:t xml:space="preserve"> does not exist. </w:t>
      </w:r>
      <w:r w:rsidRPr="005912BC">
        <w:rPr>
          <w:b w:val="0"/>
          <w:lang w:val="en-US"/>
        </w:rPr>
        <w:t xml:space="preserve"> </w:t>
      </w:r>
    </w:p>
    <w:p w14:paraId="04A62CDB" w14:textId="77777777" w:rsidR="004A786A" w:rsidRDefault="004A786A" w:rsidP="004A786A">
      <w:pPr>
        <w:spacing w:before="120" w:after="0"/>
        <w:rPr>
          <w:lang w:val="en-GB"/>
        </w:rPr>
      </w:pPr>
      <w:r w:rsidRPr="00CC1FAE">
        <w:rPr>
          <w:lang w:val="en-GB"/>
        </w:rPr>
        <w:t xml:space="preserve">Nevertheless, emissions of methane have some typical features </w:t>
      </w:r>
      <w:r>
        <w:rPr>
          <w:lang w:val="en-GB"/>
        </w:rPr>
        <w:t>that</w:t>
      </w:r>
      <w:r w:rsidRPr="00CC1FAE">
        <w:rPr>
          <w:lang w:val="en-GB"/>
        </w:rPr>
        <w:t xml:space="preserve"> </w:t>
      </w:r>
      <w:r>
        <w:rPr>
          <w:lang w:val="en-GB"/>
        </w:rPr>
        <w:t>are important when considering the suitability of different approaches. These are discussed here, making reference to three main assessment criteria:</w:t>
      </w:r>
    </w:p>
    <w:p w14:paraId="76137C29" w14:textId="77777777" w:rsidR="004A786A" w:rsidRPr="00FE623F" w:rsidRDefault="004A786A" w:rsidP="005D2939">
      <w:pPr>
        <w:pStyle w:val="ListParagraph"/>
        <w:numPr>
          <w:ilvl w:val="0"/>
          <w:numId w:val="16"/>
        </w:numPr>
        <w:spacing w:before="120" w:after="0" w:line="276" w:lineRule="auto"/>
        <w:rPr>
          <w:lang w:val="en-GB"/>
        </w:rPr>
      </w:pPr>
      <w:r w:rsidRPr="00B67CD3">
        <w:rPr>
          <w:b/>
          <w:u w:val="single"/>
        </w:rPr>
        <w:t>Cost-efficiency</w:t>
      </w:r>
      <w:r w:rsidRPr="0072175A">
        <w:rPr>
          <w:u w:val="single"/>
        </w:rPr>
        <w:t>.</w:t>
      </w:r>
      <w:r w:rsidRPr="00FE623F">
        <w:rPr>
          <w:b/>
        </w:rPr>
        <w:t xml:space="preserve"> </w:t>
      </w:r>
      <w:r w:rsidRPr="000D05F7">
        <w:t>Meas</w:t>
      </w:r>
      <w:r w:rsidRPr="00FE623F">
        <w:t xml:space="preserve">ures </w:t>
      </w:r>
      <w:r>
        <w:t xml:space="preserve">with low abatement costs </w:t>
      </w:r>
      <w:r w:rsidRPr="00FE623F">
        <w:t>should be implemented before measures with higher costs. Due to the sensitivity of emission reduction (abatement) costs to site specific conditions there are considerable practical challenges with ensuring cost-efficiency. Perhaps the most difficult part is to acquire adequate and unbiased information</w:t>
      </w:r>
      <w:r>
        <w:t xml:space="preserve"> on emissions and cost of mitigation</w:t>
      </w:r>
      <w:r w:rsidRPr="00FE623F">
        <w:t>. The administrative costs of compliance and enforcement, both those covered by the companies and the regulatory agencies, can be significant (particularly monitoring and verification costs) and must be taken into account when cost-efficiency considerations are made.</w:t>
      </w:r>
      <w:r>
        <w:t xml:space="preserve"> It should be noted, however, that compliance and enforcement costs can be significantly reduced with new emerging monitoring technology. </w:t>
      </w:r>
    </w:p>
    <w:p w14:paraId="648F3058" w14:textId="77777777" w:rsidR="004A786A" w:rsidRPr="00FE623F" w:rsidRDefault="004A786A" w:rsidP="005D2939">
      <w:pPr>
        <w:pStyle w:val="ListParagraph"/>
        <w:numPr>
          <w:ilvl w:val="0"/>
          <w:numId w:val="16"/>
        </w:numPr>
        <w:spacing w:before="120" w:after="0" w:line="276" w:lineRule="auto"/>
        <w:contextualSpacing w:val="0"/>
        <w:rPr>
          <w:lang w:val="en-GB"/>
        </w:rPr>
      </w:pPr>
      <w:r w:rsidRPr="00B67CD3">
        <w:rPr>
          <w:b/>
          <w:u w:val="single"/>
        </w:rPr>
        <w:t>Clarity and transparency</w:t>
      </w:r>
      <w:r w:rsidRPr="0072175A">
        <w:rPr>
          <w:u w:val="single"/>
        </w:rPr>
        <w:t>.</w:t>
      </w:r>
      <w:r w:rsidRPr="00FE623F">
        <w:rPr>
          <w:b/>
        </w:rPr>
        <w:t xml:space="preserve"> </w:t>
      </w:r>
      <w:r w:rsidRPr="00FE623F">
        <w:t>Rules and procedures for approval of emission limits</w:t>
      </w:r>
      <w:r>
        <w:t>,</w:t>
      </w:r>
      <w:r w:rsidRPr="00FE623F">
        <w:t xml:space="preserve"> technolog</w:t>
      </w:r>
      <w:r>
        <w:t xml:space="preserve">y standards and other regulatory measures </w:t>
      </w:r>
      <w:r w:rsidRPr="00FE623F">
        <w:t>should be clear and transparent, and the same goes for compliance and enforcement mechanisms. Predictability in the use of regulatory tools and enforcement is also important, not the least for the purpose of reducing the risk associated with investments in new and efficient technologies.</w:t>
      </w:r>
    </w:p>
    <w:p w14:paraId="643E9F1F" w14:textId="77777777" w:rsidR="004A786A" w:rsidRPr="00FE623F" w:rsidRDefault="004A786A" w:rsidP="005D2939">
      <w:pPr>
        <w:pStyle w:val="ListParagraph"/>
        <w:numPr>
          <w:ilvl w:val="0"/>
          <w:numId w:val="16"/>
        </w:numPr>
        <w:spacing w:before="120" w:after="0" w:line="276" w:lineRule="auto"/>
        <w:contextualSpacing w:val="0"/>
        <w:rPr>
          <w:lang w:val="en-GB"/>
        </w:rPr>
      </w:pPr>
      <w:r w:rsidRPr="00B67CD3">
        <w:rPr>
          <w:b/>
          <w:u w:val="single"/>
        </w:rPr>
        <w:t>Institutional capability</w:t>
      </w:r>
      <w:r w:rsidRPr="00FE623F">
        <w:rPr>
          <w:b/>
        </w:rPr>
        <w:t>.</w:t>
      </w:r>
      <w:r>
        <w:rPr>
          <w:b/>
        </w:rPr>
        <w:t xml:space="preserve"> </w:t>
      </w:r>
      <w:r w:rsidRPr="00FE623F">
        <w:t>Regulatory ambitions must be attuned to the capacity and capability of regulatory institutions. Again</w:t>
      </w:r>
      <w:r>
        <w:t>,</w:t>
      </w:r>
      <w:r w:rsidRPr="00FE623F">
        <w:t xml:space="preserve"> the complexity of oil and gas sector operations and emissions is a challenge. Regulatory institutions must have staff with adequate sector specific competence, otherwise the principles of cost-efficiency and clarity/transparency will be undermined. More fundamentally, regulatory staff must act impartially and without risk of corruption/mismanagement. Regulatory requirements, data reporting and enforcement procedures </w:t>
      </w:r>
      <w:r>
        <w:t>that</w:t>
      </w:r>
      <w:r w:rsidRPr="00FE623F">
        <w:t xml:space="preserve"> are flexible (e.g. for the sake of cost-efficiency) will generally be more susceptible to corruption than rigid and simple rules. So again, there </w:t>
      </w:r>
      <w:r>
        <w:t xml:space="preserve">is a </w:t>
      </w:r>
      <w:r w:rsidRPr="00FE623F">
        <w:t>difficult trade-off between cost-efficiency and clarity/transparency. Finally, regulatory institutions should have clear and not overlapping functions. This may also have its practical challenges in the case of methane and b</w:t>
      </w:r>
      <w:r>
        <w:t>l</w:t>
      </w:r>
      <w:r w:rsidRPr="00FE623F">
        <w:t xml:space="preserve">ack carbon emissions since </w:t>
      </w:r>
      <w:r>
        <w:t xml:space="preserve">these </w:t>
      </w:r>
      <w:r w:rsidRPr="00FE623F">
        <w:t>emissions cause concern for climate change, local environmental damages, safety and health as well as resource conservation. All these issues are rarely handled by one regulatory institution or by one set of coordinated regulatory measures</w:t>
      </w:r>
    </w:p>
    <w:p w14:paraId="516B4B77" w14:textId="77777777" w:rsidR="004A786A" w:rsidRDefault="004A786A" w:rsidP="004A786A">
      <w:pPr>
        <w:spacing w:before="120" w:after="0"/>
        <w:rPr>
          <w:lang w:val="en-US"/>
        </w:rPr>
      </w:pPr>
      <w:r w:rsidRPr="00255366">
        <w:rPr>
          <w:lang w:val="en-GB"/>
        </w:rPr>
        <w:t>It can be misleading to give regulat</w:t>
      </w:r>
      <w:r>
        <w:rPr>
          <w:lang w:val="en-GB"/>
        </w:rPr>
        <w:t xml:space="preserve">ions </w:t>
      </w:r>
      <w:r w:rsidRPr="00255366">
        <w:rPr>
          <w:lang w:val="en-GB"/>
        </w:rPr>
        <w:t xml:space="preserve">a score according to the three criteria, </w:t>
      </w:r>
      <w:r>
        <w:rPr>
          <w:lang w:val="en-GB"/>
        </w:rPr>
        <w:t xml:space="preserve">for example by giving </w:t>
      </w:r>
      <w:r w:rsidRPr="00255366">
        <w:rPr>
          <w:lang w:val="en-GB"/>
        </w:rPr>
        <w:t>technical standards a low score on cost-efficiency and a high score on clarity and transparency. Some of the regulatory approaches will by design “pick” the emission reduction with the lowest abatement cost first (e.g. economic instruments such as emissions trading and offset schemes and emission charges) while cost efficiency for others will depend on the specificities of the regulation.</w:t>
      </w:r>
    </w:p>
    <w:bookmarkEnd w:id="102"/>
    <w:bookmarkEnd w:id="103"/>
    <w:p w14:paraId="1C3B00F4" w14:textId="77777777" w:rsidR="004A786A" w:rsidRPr="00255366" w:rsidRDefault="004A786A" w:rsidP="004A786A">
      <w:pPr>
        <w:spacing w:before="120"/>
        <w:rPr>
          <w:lang w:val="en-GB"/>
        </w:rPr>
      </w:pPr>
      <w:r w:rsidRPr="00255366">
        <w:rPr>
          <w:lang w:val="en-GB"/>
        </w:rPr>
        <w:t>Another complication with a comparative analysis is that the approaches/tools often will be used in combination, and the fact that regulations serve different and sometime conflicting targets (e.g. local versus global environmental concerns, environment versus economic returns). In the practical design and implementation of regulations there are therefore difficult trade-offs to be made, and for this reason it is also difficult to make specific recommendations for regulatory measures here.</w:t>
      </w:r>
    </w:p>
    <w:p w14:paraId="1EA059A0" w14:textId="6C2D690B" w:rsidR="004A786A" w:rsidRDefault="004A786A" w:rsidP="004A786A">
      <w:pPr>
        <w:spacing w:before="120"/>
        <w:rPr>
          <w:lang w:val="en-GB"/>
        </w:rPr>
      </w:pPr>
      <w:r>
        <w:rPr>
          <w:lang w:val="en-GB"/>
        </w:rPr>
        <w:t>D</w:t>
      </w:r>
      <w:r w:rsidRPr="00383E2F">
        <w:rPr>
          <w:lang w:val="en-GB"/>
        </w:rPr>
        <w:t>espite these caveats</w:t>
      </w:r>
      <w:r>
        <w:rPr>
          <w:lang w:val="en-GB"/>
        </w:rPr>
        <w:t xml:space="preserve"> we list in Figure 4.4 </w:t>
      </w:r>
      <w:r w:rsidRPr="00383E2F">
        <w:rPr>
          <w:lang w:val="en-GB"/>
        </w:rPr>
        <w:t>a schematic overview of th</w:t>
      </w:r>
      <w:r>
        <w:rPr>
          <w:lang w:val="en-GB"/>
        </w:rPr>
        <w:t>ree broad categories of regulations with an indicative assessment of how these categories score against the listed criteria above.</w:t>
      </w:r>
    </w:p>
    <w:p w14:paraId="2523B506" w14:textId="77777777" w:rsidR="00D86914" w:rsidRDefault="00D86914" w:rsidP="004A786A">
      <w:pPr>
        <w:spacing w:before="120"/>
        <w:rPr>
          <w:lang w:val="en-GB"/>
        </w:rPr>
      </w:pPr>
    </w:p>
    <w:p w14:paraId="089AFF75" w14:textId="77777777" w:rsidR="004A786A" w:rsidRPr="001825D4" w:rsidRDefault="004A786A" w:rsidP="004A786A">
      <w:pPr>
        <w:pStyle w:val="Caption"/>
        <w:rPr>
          <w:lang w:val="en-US"/>
        </w:rPr>
      </w:pPr>
      <w:r w:rsidRPr="001825D4">
        <w:rPr>
          <w:lang w:val="en-US"/>
        </w:rPr>
        <w:lastRenderedPageBreak/>
        <w:t xml:space="preserve">Figure </w:t>
      </w:r>
      <w:r>
        <w:rPr>
          <w:lang w:val="en-US"/>
        </w:rPr>
        <w:t>4.4</w:t>
      </w:r>
      <w:r w:rsidRPr="001825D4">
        <w:rPr>
          <w:lang w:val="en-US"/>
        </w:rPr>
        <w:t>: Illustrative assessment of regulatory tools</w:t>
      </w:r>
    </w:p>
    <w:p w14:paraId="3D46E50D" w14:textId="77777777" w:rsidR="004A786A" w:rsidRDefault="004A786A" w:rsidP="004A786A">
      <w:pPr>
        <w:rPr>
          <w:lang w:val="en-GB"/>
        </w:rPr>
      </w:pPr>
      <w:r w:rsidRPr="00556439">
        <w:rPr>
          <w:noProof/>
          <w:lang w:eastAsia="nb-NO"/>
        </w:rPr>
        <w:drawing>
          <wp:inline distT="0" distB="0" distL="0" distR="0" wp14:anchorId="200DA8D4" wp14:editId="471284C3">
            <wp:extent cx="5755317" cy="237918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5747" cy="2387635"/>
                    </a:xfrm>
                    <a:prstGeom prst="rect">
                      <a:avLst/>
                    </a:prstGeom>
                    <a:noFill/>
                  </pic:spPr>
                </pic:pic>
              </a:graphicData>
            </a:graphic>
          </wp:inline>
        </w:drawing>
      </w:r>
    </w:p>
    <w:p w14:paraId="63CDEA61" w14:textId="77777777" w:rsidR="004A786A" w:rsidRDefault="004A786A" w:rsidP="004A786A">
      <w:pPr>
        <w:rPr>
          <w:lang w:val="en-GB"/>
        </w:rPr>
      </w:pPr>
    </w:p>
    <w:p w14:paraId="6DA57017" w14:textId="0D53A238" w:rsidR="004A786A" w:rsidRDefault="004A786A" w:rsidP="004A786A">
      <w:pPr>
        <w:rPr>
          <w:lang w:val="en-GB"/>
        </w:rPr>
      </w:pPr>
      <w:r w:rsidRPr="00A37153">
        <w:rPr>
          <w:lang w:val="en-GB"/>
        </w:rPr>
        <w:t>Some further considerations are summarized below:</w:t>
      </w:r>
      <w:r>
        <w:rPr>
          <w:lang w:val="en-GB"/>
        </w:rPr>
        <w:t xml:space="preserve"> </w:t>
      </w:r>
    </w:p>
    <w:p w14:paraId="5C82F63D" w14:textId="77777777" w:rsidR="004F0417" w:rsidRDefault="004F0417" w:rsidP="004A786A">
      <w:pPr>
        <w:rPr>
          <w:lang w:val="en-GB"/>
        </w:rPr>
      </w:pPr>
    </w:p>
    <w:p w14:paraId="7ECA0EEC" w14:textId="77777777" w:rsidR="004A786A" w:rsidRPr="00292CD7" w:rsidRDefault="004A786A" w:rsidP="004A786A">
      <w:pPr>
        <w:pStyle w:val="Heading4"/>
        <w:numPr>
          <w:ilvl w:val="0"/>
          <w:numId w:val="0"/>
        </w:numPr>
        <w:rPr>
          <w:rStyle w:val="SubtleEmphasis"/>
          <w:b/>
          <w:i/>
          <w:iCs/>
          <w:color w:val="2BB673" w:themeColor="accent1"/>
          <w:lang w:val="en-GB"/>
        </w:rPr>
      </w:pPr>
      <w:r w:rsidRPr="00292CD7">
        <w:rPr>
          <w:rStyle w:val="SubtleEmphasis"/>
          <w:b/>
          <w:i/>
          <w:iCs/>
          <w:color w:val="2BB673" w:themeColor="accent1"/>
          <w:lang w:val="en-GB"/>
        </w:rPr>
        <w:t xml:space="preserve">Technical standards and emission limits </w:t>
      </w:r>
    </w:p>
    <w:p w14:paraId="28AB7B95" w14:textId="322DE605" w:rsidR="004A786A" w:rsidRDefault="004A786A" w:rsidP="004A786A">
      <w:pPr>
        <w:rPr>
          <w:lang w:val="en-US"/>
        </w:rPr>
      </w:pPr>
      <w:r w:rsidRPr="00BE6B05">
        <w:rPr>
          <w:lang w:val="en-US"/>
        </w:rPr>
        <w:t xml:space="preserve">Technical standards offer a transparent and simple mechanism to reduce emission; in particular </w:t>
      </w:r>
      <w:r>
        <w:rPr>
          <w:lang w:val="en-US"/>
        </w:rPr>
        <w:t xml:space="preserve">since </w:t>
      </w:r>
      <w:r w:rsidRPr="00BE6B05">
        <w:rPr>
          <w:lang w:val="en-US"/>
        </w:rPr>
        <w:t xml:space="preserve">this option </w:t>
      </w:r>
      <w:r>
        <w:rPr>
          <w:lang w:val="en-US"/>
        </w:rPr>
        <w:t xml:space="preserve">in most cases </w:t>
      </w:r>
      <w:r w:rsidRPr="00BE6B05">
        <w:rPr>
          <w:lang w:val="en-US"/>
        </w:rPr>
        <w:t>does not involve the need for cumbersome monitoring. However</w:t>
      </w:r>
      <w:r>
        <w:rPr>
          <w:lang w:val="en-US"/>
        </w:rPr>
        <w:t>,</w:t>
      </w:r>
      <w:r w:rsidRPr="00BE6B05">
        <w:rPr>
          <w:lang w:val="en-US"/>
        </w:rPr>
        <w:t xml:space="preserve"> to be cost-effective, the technical standards must be based on a detailed understanding of the variety of specific conditions in the oil and gas sector. </w:t>
      </w:r>
      <w:r w:rsidR="004F0417">
        <w:rPr>
          <w:lang w:val="en-US"/>
        </w:rPr>
        <w:t>T</w:t>
      </w:r>
      <w:r w:rsidR="004F0417" w:rsidRPr="00BE6B05">
        <w:rPr>
          <w:lang w:val="en-US"/>
        </w:rPr>
        <w:t>herefore,</w:t>
      </w:r>
      <w:r w:rsidRPr="00BE6B05">
        <w:rPr>
          <w:lang w:val="en-US"/>
        </w:rPr>
        <w:t xml:space="preserve"> </w:t>
      </w:r>
      <w:r>
        <w:rPr>
          <w:lang w:val="en-US"/>
        </w:rPr>
        <w:t xml:space="preserve">it </w:t>
      </w:r>
      <w:r w:rsidRPr="00BE6B05">
        <w:rPr>
          <w:lang w:val="en-US"/>
        </w:rPr>
        <w:t>represents a considerable burden on the regulator for the design, the update and the enforcement of the regulation. Leak detection and repair programs can be considered as standards, and empirical studies suggest that they can be cost</w:t>
      </w:r>
      <w:r>
        <w:rPr>
          <w:lang w:val="en-US"/>
        </w:rPr>
        <w:t>-</w:t>
      </w:r>
      <w:r w:rsidRPr="00BE6B05">
        <w:rPr>
          <w:lang w:val="en-US"/>
        </w:rPr>
        <w:t>efficient. However, empirical analysis of emission sources and survey &amp; repair costs should be conducted before such programs are designed and operationalized</w:t>
      </w:r>
      <w:r>
        <w:rPr>
          <w:lang w:val="en-US"/>
        </w:rPr>
        <w:t xml:space="preserve"> to determine amongst other the relevant monitoring frequency</w:t>
      </w:r>
      <w:r w:rsidRPr="00BE6B05">
        <w:rPr>
          <w:lang w:val="en-US"/>
        </w:rPr>
        <w:t>.</w:t>
      </w:r>
      <w:r>
        <w:rPr>
          <w:lang w:val="en-US"/>
        </w:rPr>
        <w:t xml:space="preserve"> This was done in the United States and Canada before standards were imposed.</w:t>
      </w:r>
      <w:r w:rsidRPr="00BE6B05">
        <w:rPr>
          <w:lang w:val="en-US"/>
        </w:rPr>
        <w:t xml:space="preserve">  </w:t>
      </w:r>
    </w:p>
    <w:p w14:paraId="1514DC4F" w14:textId="5E7E070A" w:rsidR="004F0417" w:rsidRDefault="004A786A" w:rsidP="004A786A">
      <w:pPr>
        <w:rPr>
          <w:lang w:val="en-US"/>
        </w:rPr>
      </w:pPr>
      <w:r>
        <w:rPr>
          <w:lang w:val="en-US"/>
        </w:rPr>
        <w:t xml:space="preserve">The increased focus on methane emissions in many locations also means that there is considerable focus on research and development of progressive technologies. Inter alia, this will improve the opportunities for effective and cost-efficient monitoring of regulatory compliance. </w:t>
      </w:r>
    </w:p>
    <w:p w14:paraId="23E0FFAC" w14:textId="77777777" w:rsidR="00067976" w:rsidRDefault="00067976" w:rsidP="004A786A">
      <w:pPr>
        <w:rPr>
          <w:lang w:val="en-US"/>
        </w:rPr>
      </w:pPr>
    </w:p>
    <w:p w14:paraId="792BD507" w14:textId="77777777" w:rsidR="004A786A" w:rsidRPr="00292CD7" w:rsidRDefault="004A786A" w:rsidP="004A786A">
      <w:pPr>
        <w:pStyle w:val="Heading4"/>
        <w:numPr>
          <w:ilvl w:val="0"/>
          <w:numId w:val="0"/>
        </w:numPr>
        <w:rPr>
          <w:rStyle w:val="SubtleEmphasis"/>
          <w:b/>
          <w:i/>
          <w:iCs/>
          <w:color w:val="2BB673" w:themeColor="accent1"/>
          <w:lang w:val="en-GB"/>
        </w:rPr>
      </w:pPr>
      <w:r w:rsidRPr="00292CD7">
        <w:rPr>
          <w:rStyle w:val="SubtleEmphasis"/>
          <w:b/>
          <w:i/>
          <w:iCs/>
          <w:color w:val="2BB673" w:themeColor="accent1"/>
          <w:lang w:val="en-GB"/>
        </w:rPr>
        <w:t xml:space="preserve">Economic instruments </w:t>
      </w:r>
    </w:p>
    <w:p w14:paraId="21985DDD" w14:textId="77777777" w:rsidR="004A786A" w:rsidRDefault="004A786A" w:rsidP="004A786A">
      <w:pPr>
        <w:rPr>
          <w:lang w:val="en-US"/>
        </w:rPr>
      </w:pPr>
      <w:r>
        <w:rPr>
          <w:lang w:val="en-US"/>
        </w:rPr>
        <w:t>The most obvious and cost-efficient measure under this category is gas price reform so that prices reflect actual costs and market conditions. In some countries, prices are set through political interventions and kept at an artificially low level. Reform of these interventions would help to make gas capture more economical.</w:t>
      </w:r>
    </w:p>
    <w:p w14:paraId="6D55A58C" w14:textId="77777777" w:rsidR="004A786A" w:rsidRDefault="004A786A" w:rsidP="004A786A">
      <w:pPr>
        <w:rPr>
          <w:lang w:val="en-GB"/>
        </w:rPr>
      </w:pPr>
      <w:r>
        <w:rPr>
          <w:lang w:val="en-US"/>
        </w:rPr>
        <w:t xml:space="preserve">In the context of climate policy, carbon pricing is receiving increased attention. It is also interesting to note that some oil and gas companies are increasingly applying carbon pricing in their investment analysis and decision processes, i.e., a cost is attached to every </w:t>
      </w:r>
      <w:proofErr w:type="spellStart"/>
      <w:r>
        <w:rPr>
          <w:lang w:val="en-US"/>
        </w:rPr>
        <w:t>tonne</w:t>
      </w:r>
      <w:proofErr w:type="spellEnd"/>
      <w:r>
        <w:rPr>
          <w:lang w:val="en-US"/>
        </w:rPr>
        <w:t xml:space="preserve"> of GHG emissions and investments which reduce emissions will be rewarded according to the cost reductions they create. As policy measures, the suitability and effectiveness of economic instruments depend critically on the ability to </w:t>
      </w:r>
      <w:r w:rsidRPr="00BE6B05">
        <w:rPr>
          <w:lang w:val="en-US"/>
        </w:rPr>
        <w:t>monito</w:t>
      </w:r>
      <w:r>
        <w:rPr>
          <w:lang w:val="en-US"/>
        </w:rPr>
        <w:t xml:space="preserve">r and verify emissions. As we know this can be complicated and expensive for methane emissions. Costs and accuracy of emissions quantification must therefore be carefully considered in order to determine whether economic instruments should be applied and how it might be </w:t>
      </w:r>
      <w:r w:rsidRPr="00BE6B05">
        <w:rPr>
          <w:lang w:val="en-US"/>
        </w:rPr>
        <w:t>designed. Emissions trading system or emission charges for all methane emissions are difficult due to the large number and great variety of emission sources</w:t>
      </w:r>
      <w:r w:rsidR="00E3134E">
        <w:rPr>
          <w:lang w:val="en-US"/>
        </w:rPr>
        <w:t xml:space="preserve">, which make monitoring, reporting and verification </w:t>
      </w:r>
      <w:r w:rsidR="00AC73ED">
        <w:rPr>
          <w:lang w:val="en-US"/>
        </w:rPr>
        <w:t xml:space="preserve">difficult. The cost-efficiency often attributed to economic instruments may therefore be </w:t>
      </w:r>
      <w:r w:rsidR="00AC73ED">
        <w:rPr>
          <w:lang w:val="en-US"/>
        </w:rPr>
        <w:lastRenderedPageBreak/>
        <w:t>undermined by MRV costs. T</w:t>
      </w:r>
      <w:r>
        <w:rPr>
          <w:lang w:val="en-GB"/>
        </w:rPr>
        <w:t xml:space="preserve">he most important emissions trading scheme, </w:t>
      </w:r>
      <w:bookmarkStart w:id="107" w:name="_Hlk3297285"/>
      <w:r>
        <w:rPr>
          <w:lang w:val="en-GB"/>
        </w:rPr>
        <w:t>EU ETS</w:t>
      </w:r>
      <w:bookmarkEnd w:id="107"/>
      <w:r>
        <w:rPr>
          <w:lang w:val="en-GB"/>
        </w:rPr>
        <w:t xml:space="preserve">, has been in operations since 2005 and has on a few occasions increased the sectoral scope, but methane emissions are still not included. </w:t>
      </w:r>
    </w:p>
    <w:p w14:paraId="09BCE9E4" w14:textId="13A79FB1" w:rsidR="004A786A" w:rsidRDefault="004A786A" w:rsidP="004A786A">
      <w:pPr>
        <w:rPr>
          <w:lang w:val="en-GB"/>
        </w:rPr>
      </w:pPr>
      <w:r>
        <w:rPr>
          <w:lang w:val="en-GB"/>
        </w:rPr>
        <w:t>However, methane emissions are part of the project-based emissions trading mechanisms (see Section 4.5 below) and these emission reductions can, under certain conditions be used as “offsets” into ETS’s, or methane offsets can in other ways be used as compliance tools under regulatory GHG emissions commitments as already being implemented in Canada. Developing an offset scheme for methane in conjunction with emissions trading has also been considered for implementation in Kazakhstan</w:t>
      </w:r>
      <w:r w:rsidR="00F253DD">
        <w:rPr>
          <w:lang w:val="en-GB"/>
        </w:rPr>
        <w:t>.</w:t>
      </w:r>
      <w:r>
        <w:rPr>
          <w:rStyle w:val="FootnoteReference"/>
          <w:lang w:val="en-GB"/>
        </w:rPr>
        <w:footnoteReference w:id="100"/>
      </w:r>
      <w:r>
        <w:rPr>
          <w:lang w:val="en-GB"/>
        </w:rPr>
        <w:t xml:space="preserve"> </w:t>
      </w:r>
    </w:p>
    <w:p w14:paraId="2F659763" w14:textId="708CE76D" w:rsidR="004A786A" w:rsidRDefault="004A786A" w:rsidP="004A786A">
      <w:pPr>
        <w:rPr>
          <w:lang w:val="en-GB"/>
        </w:rPr>
      </w:pPr>
      <w:r>
        <w:rPr>
          <w:lang w:val="en-GB"/>
        </w:rPr>
        <w:t xml:space="preserve">Further development of such </w:t>
      </w:r>
      <w:r w:rsidRPr="000570C1">
        <w:rPr>
          <w:lang w:val="en-GB"/>
        </w:rPr>
        <w:t>offset scheme</w:t>
      </w:r>
      <w:r>
        <w:rPr>
          <w:lang w:val="en-GB"/>
        </w:rPr>
        <w:t>s</w:t>
      </w:r>
      <w:r w:rsidRPr="000570C1">
        <w:rPr>
          <w:lang w:val="en-GB"/>
        </w:rPr>
        <w:t xml:space="preserve"> can give important incentives for emission reductions</w:t>
      </w:r>
      <w:r>
        <w:rPr>
          <w:lang w:val="en-GB"/>
        </w:rPr>
        <w:t>, both in a national/region context, and through international emissions trading related to the UNFCCC (see Section 4.4). M</w:t>
      </w:r>
      <w:r w:rsidRPr="000570C1">
        <w:rPr>
          <w:lang w:val="en-GB"/>
        </w:rPr>
        <w:t xml:space="preserve">onitoring, reporting and verification issues required for a credible offset scheme will give insight of great value for regulation of oil and gas sector methane emissions.  </w:t>
      </w:r>
    </w:p>
    <w:p w14:paraId="6897340F" w14:textId="77777777" w:rsidR="00067976" w:rsidRDefault="00067976" w:rsidP="004A786A">
      <w:pPr>
        <w:rPr>
          <w:lang w:val="en-US"/>
        </w:rPr>
      </w:pPr>
    </w:p>
    <w:p w14:paraId="676D7659" w14:textId="77777777" w:rsidR="004A786A" w:rsidRPr="00292CD7" w:rsidRDefault="004A786A" w:rsidP="004A786A">
      <w:pPr>
        <w:pStyle w:val="Heading4"/>
        <w:numPr>
          <w:ilvl w:val="0"/>
          <w:numId w:val="0"/>
        </w:numPr>
        <w:rPr>
          <w:rStyle w:val="SubtleEmphasis"/>
          <w:b/>
          <w:i/>
          <w:iCs/>
          <w:color w:val="2BB673" w:themeColor="accent1"/>
          <w:lang w:val="en-GB"/>
        </w:rPr>
      </w:pPr>
      <w:r w:rsidRPr="00292CD7">
        <w:rPr>
          <w:rStyle w:val="SubtleEmphasis"/>
          <w:b/>
          <w:i/>
          <w:iCs/>
          <w:color w:val="2BB673" w:themeColor="accent1"/>
          <w:lang w:val="en-GB"/>
        </w:rPr>
        <w:t>Negotiated agreements</w:t>
      </w:r>
    </w:p>
    <w:p w14:paraId="6D6215D0" w14:textId="77777777" w:rsidR="004A786A" w:rsidRPr="00BE6B05" w:rsidRDefault="004A786A" w:rsidP="004A786A">
      <w:pPr>
        <w:spacing w:before="120" w:after="0"/>
        <w:rPr>
          <w:lang w:val="en-US"/>
        </w:rPr>
      </w:pPr>
      <w:r>
        <w:rPr>
          <w:lang w:val="en-US"/>
        </w:rPr>
        <w:t xml:space="preserve">Public-private partnerships have been successfully been applied in North America and Europe, see Box 3-2 and 4-1. Such partnerships may include negotiated agreements between companies and political authorities/regulators. Agreements are </w:t>
      </w:r>
      <w:r w:rsidRPr="00BE6B05">
        <w:rPr>
          <w:lang w:val="en-US"/>
        </w:rPr>
        <w:t>interesting approaches with the promise of being effective and cost efficient</w:t>
      </w:r>
      <w:r>
        <w:rPr>
          <w:lang w:val="en-US"/>
        </w:rPr>
        <w:t xml:space="preserve">, but some </w:t>
      </w:r>
      <w:r w:rsidRPr="00BE6B05">
        <w:rPr>
          <w:lang w:val="en-US"/>
        </w:rPr>
        <w:t>conditions</w:t>
      </w:r>
      <w:r>
        <w:rPr>
          <w:lang w:val="en-US"/>
        </w:rPr>
        <w:t xml:space="preserve"> are important</w:t>
      </w:r>
      <w:r w:rsidRPr="00BE6B05">
        <w:rPr>
          <w:lang w:val="en-US"/>
        </w:rPr>
        <w:t xml:space="preserve">: </w:t>
      </w:r>
      <w:proofErr w:type="spellStart"/>
      <w:r w:rsidRPr="00BE6B05">
        <w:rPr>
          <w:lang w:val="en-US"/>
        </w:rPr>
        <w:t>i</w:t>
      </w:r>
      <w:proofErr w:type="spellEnd"/>
      <w:r w:rsidRPr="00BE6B05">
        <w:rPr>
          <w:lang w:val="en-US"/>
        </w:rPr>
        <w:t>) there must be strong institutions both on the industry and regulatory/political side who are capable and willing to communicate and agree on practical solutions</w:t>
      </w:r>
      <w:r>
        <w:rPr>
          <w:lang w:val="en-US"/>
        </w:rPr>
        <w:t xml:space="preserve"> and</w:t>
      </w:r>
      <w:r w:rsidRPr="00BE6B05">
        <w:rPr>
          <w:lang w:val="en-US"/>
        </w:rPr>
        <w:t xml:space="preserve"> ii) the scope of the agreement(s) must be carefully delineated so that results can realistically be reported and verified.</w:t>
      </w:r>
    </w:p>
    <w:p w14:paraId="66EBB277" w14:textId="77777777" w:rsidR="004A786A" w:rsidRPr="00BE6B05" w:rsidRDefault="004A786A" w:rsidP="004A786A">
      <w:pPr>
        <w:spacing w:before="120" w:after="0"/>
        <w:rPr>
          <w:lang w:val="en-US"/>
        </w:rPr>
      </w:pPr>
      <w:r w:rsidRPr="00BE6B05">
        <w:rPr>
          <w:lang w:val="en-US"/>
        </w:rPr>
        <w:t xml:space="preserve">The regulator, companies and their industry associations can jointly develop a report which summarizes common knowledge of emission sources and level (including relevant emission factors and uncertainty levels) drawing both on available company data, national statistics and international data sources. Relevant research institutions etc. may also be involved in this work. </w:t>
      </w:r>
    </w:p>
    <w:p w14:paraId="7B2A5A44" w14:textId="0BB52035" w:rsidR="004A786A" w:rsidRDefault="004A786A" w:rsidP="004A786A">
      <w:pPr>
        <w:spacing w:before="120" w:after="0"/>
        <w:rPr>
          <w:rStyle w:val="Strong"/>
          <w:lang w:val="en-US"/>
        </w:rPr>
      </w:pPr>
      <w:r w:rsidRPr="00BE7844">
        <w:rPr>
          <w:lang w:val="en-US"/>
        </w:rPr>
        <w:t>Public private partnerships are potentially a cost efficient measure and there are a number of active national and international partnerships. They are clearly important and effective in creating knowledge and awareness and it remains to be seen what their role can have to spur action.</w:t>
      </w:r>
      <w:r>
        <w:rPr>
          <w:rStyle w:val="Strong"/>
          <w:lang w:val="en-US"/>
        </w:rPr>
        <w:t xml:space="preserve"> </w:t>
      </w:r>
    </w:p>
    <w:p w14:paraId="3EA1554A" w14:textId="457C2C2B" w:rsidR="00067976" w:rsidRDefault="00067976" w:rsidP="004A786A">
      <w:pPr>
        <w:spacing w:before="120" w:after="0"/>
        <w:rPr>
          <w:rStyle w:val="Strong"/>
          <w:lang w:val="en-US"/>
        </w:rPr>
      </w:pPr>
    </w:p>
    <w:p w14:paraId="47B756E5" w14:textId="77777777" w:rsidR="00225A04" w:rsidRDefault="00225A04" w:rsidP="004A786A">
      <w:pPr>
        <w:spacing w:before="120" w:after="0"/>
        <w:rPr>
          <w:rStyle w:val="Strong"/>
          <w:lang w:val="en-US"/>
        </w:rPr>
      </w:pPr>
    </w:p>
    <w:p w14:paraId="22D5D725" w14:textId="77777777" w:rsidR="004A786A" w:rsidRPr="00732B54" w:rsidRDefault="004A786A" w:rsidP="00732B54">
      <w:pPr>
        <w:pStyle w:val="Heading2"/>
        <w:numPr>
          <w:ilvl w:val="0"/>
          <w:numId w:val="0"/>
        </w:numPr>
        <w:ind w:left="426"/>
        <w:rPr>
          <w:lang w:val="en-GB"/>
        </w:rPr>
      </w:pPr>
      <w:bookmarkStart w:id="108" w:name="_Toc3473008"/>
      <w:bookmarkStart w:id="109" w:name="_Toc531691006"/>
      <w:bookmarkStart w:id="110" w:name="_Toc531691042"/>
      <w:r w:rsidRPr="00732B54">
        <w:rPr>
          <w:lang w:val="en-GB"/>
        </w:rPr>
        <w:t>4.</w:t>
      </w:r>
      <w:r w:rsidR="003A34D6">
        <w:rPr>
          <w:lang w:val="en-GB"/>
        </w:rPr>
        <w:t>4</w:t>
      </w:r>
      <w:r w:rsidRPr="00732B54">
        <w:rPr>
          <w:lang w:val="en-GB"/>
        </w:rPr>
        <w:t xml:space="preserve"> International initiatives and climate policies</w:t>
      </w:r>
      <w:bookmarkEnd w:id="108"/>
      <w:r w:rsidRPr="00732B54">
        <w:rPr>
          <w:lang w:val="en-GB"/>
        </w:rPr>
        <w:t xml:space="preserve"> </w:t>
      </w:r>
      <w:bookmarkEnd w:id="109"/>
      <w:bookmarkEnd w:id="110"/>
    </w:p>
    <w:p w14:paraId="00AB6469" w14:textId="3D21C065" w:rsidR="004A786A" w:rsidRDefault="004A786A" w:rsidP="004A786A">
      <w:pPr>
        <w:spacing w:before="120" w:after="0"/>
        <w:rPr>
          <w:iCs/>
          <w:lang w:val="en-US"/>
        </w:rPr>
      </w:pPr>
      <w:r>
        <w:rPr>
          <w:iCs/>
          <w:lang w:val="en-US"/>
        </w:rPr>
        <w:t xml:space="preserve">In addition to national policies and regulations, various international initiatives can make an important contribution to methane mitigation. As noted earlier, there at international public-private partnerships and industry initiatives which are already making a notable impact. Some of them are surveyed in Box 3-1 and there are </w:t>
      </w:r>
      <w:proofErr w:type="gramStart"/>
      <w:r>
        <w:rPr>
          <w:iCs/>
          <w:lang w:val="en-US"/>
        </w:rPr>
        <w:t>a number of</w:t>
      </w:r>
      <w:proofErr w:type="gramEnd"/>
      <w:r>
        <w:rPr>
          <w:iCs/>
          <w:lang w:val="en-US"/>
        </w:rPr>
        <w:t xml:space="preserve"> others which may become significant in creating awareness and spur action, see Box 4-3. </w:t>
      </w:r>
    </w:p>
    <w:p w14:paraId="52DEBF3A" w14:textId="77777777" w:rsidR="00A1239B" w:rsidRDefault="00A1239B" w:rsidP="004A786A">
      <w:pPr>
        <w:spacing w:before="120" w:after="0"/>
        <w:rPr>
          <w:iCs/>
          <w:lang w:val="en-US"/>
        </w:rPr>
      </w:pPr>
    </w:p>
    <w:tbl>
      <w:tblPr>
        <w:tblStyle w:val="TableGrid"/>
        <w:tblW w:w="0" w:type="auto"/>
        <w:tblLook w:val="04A0" w:firstRow="1" w:lastRow="0" w:firstColumn="1" w:lastColumn="0" w:noHBand="0" w:noVBand="1"/>
      </w:tblPr>
      <w:tblGrid>
        <w:gridCol w:w="9089"/>
      </w:tblGrid>
      <w:tr w:rsidR="004A786A" w:rsidRPr="00104E87" w14:paraId="79F3D86C" w14:textId="77777777" w:rsidTr="00DD5FB6">
        <w:tc>
          <w:tcPr>
            <w:tcW w:w="9239" w:type="dxa"/>
          </w:tcPr>
          <w:p w14:paraId="4A37CBF0" w14:textId="77777777" w:rsidR="004A786A" w:rsidRPr="003A5241" w:rsidRDefault="004A786A" w:rsidP="00DD5FB6">
            <w:pPr>
              <w:spacing w:before="120" w:after="0"/>
              <w:rPr>
                <w:b/>
                <w:iCs/>
                <w:sz w:val="18"/>
                <w:szCs w:val="18"/>
                <w:lang w:val="en-US"/>
              </w:rPr>
            </w:pPr>
            <w:r w:rsidRPr="003A5241">
              <w:rPr>
                <w:b/>
                <w:iCs/>
                <w:sz w:val="18"/>
                <w:szCs w:val="18"/>
                <w:lang w:val="en-US"/>
              </w:rPr>
              <w:t>Box 4-</w:t>
            </w:r>
            <w:r>
              <w:rPr>
                <w:b/>
                <w:iCs/>
                <w:sz w:val="18"/>
                <w:szCs w:val="18"/>
                <w:lang w:val="en-US"/>
              </w:rPr>
              <w:t>3</w:t>
            </w:r>
            <w:r w:rsidRPr="003A5241">
              <w:rPr>
                <w:b/>
                <w:iCs/>
                <w:sz w:val="18"/>
                <w:szCs w:val="18"/>
                <w:lang w:val="en-US"/>
              </w:rPr>
              <w:t xml:space="preserve"> Overview of international partnerships on oil and gas methane management </w:t>
            </w:r>
          </w:p>
          <w:p w14:paraId="59978E14" w14:textId="77777777" w:rsidR="004A786A" w:rsidRPr="003A5241" w:rsidRDefault="004A786A" w:rsidP="00DD5FB6">
            <w:pPr>
              <w:spacing w:before="120" w:after="0"/>
              <w:rPr>
                <w:iCs/>
                <w:sz w:val="18"/>
                <w:szCs w:val="18"/>
                <w:lang w:val="en-US"/>
              </w:rPr>
            </w:pPr>
            <w:r w:rsidRPr="006F5505">
              <w:rPr>
                <w:iCs/>
                <w:sz w:val="18"/>
                <w:szCs w:val="18"/>
                <w:highlight w:val="yellow"/>
                <w:lang w:val="en-US"/>
              </w:rPr>
              <w:t>To be completed based on survey to be published by IPIECA</w:t>
            </w:r>
            <w:r w:rsidRPr="003A5241">
              <w:rPr>
                <w:iCs/>
                <w:sz w:val="18"/>
                <w:szCs w:val="18"/>
                <w:lang w:val="en-US"/>
              </w:rPr>
              <w:t xml:space="preserve"> </w:t>
            </w:r>
          </w:p>
          <w:p w14:paraId="26327D0B" w14:textId="77777777" w:rsidR="004A786A" w:rsidRDefault="004A786A" w:rsidP="00DD5FB6">
            <w:pPr>
              <w:spacing w:before="120" w:after="0"/>
              <w:rPr>
                <w:iCs/>
                <w:lang w:val="en-US"/>
              </w:rPr>
            </w:pPr>
          </w:p>
        </w:tc>
      </w:tr>
    </w:tbl>
    <w:p w14:paraId="1AC2A7BD" w14:textId="77777777" w:rsidR="004A786A" w:rsidRDefault="004A786A" w:rsidP="004A786A">
      <w:pPr>
        <w:spacing w:before="120" w:after="0"/>
        <w:rPr>
          <w:iCs/>
          <w:lang w:val="en-US"/>
        </w:rPr>
      </w:pPr>
    </w:p>
    <w:p w14:paraId="38A9C4EB" w14:textId="77777777" w:rsidR="004A786A" w:rsidRDefault="004A786A" w:rsidP="004A786A">
      <w:pPr>
        <w:spacing w:before="120" w:after="0"/>
        <w:rPr>
          <w:iCs/>
          <w:lang w:val="en-US"/>
        </w:rPr>
      </w:pPr>
      <w:r>
        <w:rPr>
          <w:iCs/>
          <w:lang w:val="en-US"/>
        </w:rPr>
        <w:t xml:space="preserve">With the Paris Agreement soon entering its operational phase, and with major part if the Paris Agreement “Rulebook” now adopted by parties to the Agreement (see section 3.3 above), international </w:t>
      </w:r>
      <w:r>
        <w:rPr>
          <w:iCs/>
          <w:lang w:val="en-US"/>
        </w:rPr>
        <w:lastRenderedPageBreak/>
        <w:t>climate policies can set important framework conditions for mitigation actions by national authorities and the corporate sector. Two aspects of the Paris Agreement are further discussed here:</w:t>
      </w:r>
    </w:p>
    <w:p w14:paraId="63F43B3E" w14:textId="77777777" w:rsidR="004A786A" w:rsidRDefault="004A786A" w:rsidP="005D2939">
      <w:pPr>
        <w:pStyle w:val="ListParagraph"/>
        <w:numPr>
          <w:ilvl w:val="0"/>
          <w:numId w:val="18"/>
        </w:numPr>
        <w:spacing w:before="120" w:after="0" w:line="276" w:lineRule="auto"/>
        <w:contextualSpacing w:val="0"/>
        <w:rPr>
          <w:iCs/>
        </w:rPr>
      </w:pPr>
      <w:r>
        <w:rPr>
          <w:iCs/>
        </w:rPr>
        <w:t>Emission reductions targets and related plans for policies and measures to be submitted by national governments as part of the Nationally Determined Contribution (NDC) documents.</w:t>
      </w:r>
    </w:p>
    <w:p w14:paraId="2B91AB7E" w14:textId="77777777" w:rsidR="004A786A" w:rsidRPr="00E040CC" w:rsidRDefault="004A786A" w:rsidP="005D2939">
      <w:pPr>
        <w:pStyle w:val="ListParagraph"/>
        <w:numPr>
          <w:ilvl w:val="0"/>
          <w:numId w:val="18"/>
        </w:numPr>
        <w:spacing w:before="120" w:after="0" w:line="276" w:lineRule="auto"/>
        <w:contextualSpacing w:val="0"/>
        <w:rPr>
          <w:iCs/>
        </w:rPr>
      </w:pPr>
      <w:r>
        <w:rPr>
          <w:iCs/>
        </w:rPr>
        <w:t>Carbon and climate finance mechanisms, which can help remove barriers and accelerate mitigation efforts.</w:t>
      </w:r>
    </w:p>
    <w:p w14:paraId="0E6CBED1" w14:textId="77777777" w:rsidR="004A786A" w:rsidRPr="00292CD7" w:rsidRDefault="004A786A" w:rsidP="004A786A">
      <w:pPr>
        <w:pStyle w:val="Heading3"/>
        <w:rPr>
          <w:lang w:val="en-GB"/>
        </w:rPr>
      </w:pPr>
      <w:bookmarkStart w:id="111" w:name="_Toc531691007"/>
      <w:r w:rsidRPr="00292CD7">
        <w:rPr>
          <w:lang w:val="en-GB"/>
        </w:rPr>
        <w:t>NDC</w:t>
      </w:r>
      <w:r>
        <w:rPr>
          <w:lang w:val="en-GB"/>
        </w:rPr>
        <w:t>s and the Paris Agreement “Rulebook”</w:t>
      </w:r>
      <w:bookmarkEnd w:id="111"/>
    </w:p>
    <w:p w14:paraId="3FA474A6" w14:textId="77777777" w:rsidR="001239C3" w:rsidRDefault="001239C3" w:rsidP="001239C3">
      <w:pPr>
        <w:spacing w:before="120" w:after="0"/>
        <w:rPr>
          <w:iCs/>
          <w:lang w:val="en-US"/>
        </w:rPr>
      </w:pPr>
      <w:r>
        <w:rPr>
          <w:iCs/>
          <w:lang w:val="en-US"/>
        </w:rPr>
        <w:t xml:space="preserve">Parties to the Paris Agreement are obliged to submit on a regular basis their NDCs. Intended Nationally Determined </w:t>
      </w:r>
      <w:proofErr w:type="spellStart"/>
      <w:r>
        <w:rPr>
          <w:iCs/>
          <w:lang w:val="en-US"/>
        </w:rPr>
        <w:t>Contrinutions</w:t>
      </w:r>
      <w:proofErr w:type="spellEnd"/>
      <w:r>
        <w:rPr>
          <w:iCs/>
          <w:lang w:val="en-US"/>
        </w:rPr>
        <w:t xml:space="preserve"> (INDCs), were already submitted just prior to or after the Paris COP21 meeting in 2015; these were converted into Nationally Determined Contributions as each Party joined the Paris Agreement unless a revised NDC was submitted. Each Party is next required to recommunicate or update its NDC by 2020. </w:t>
      </w:r>
    </w:p>
    <w:p w14:paraId="231BCCD6" w14:textId="0868707B" w:rsidR="001239C3" w:rsidRPr="00100A3A" w:rsidRDefault="001239C3" w:rsidP="001239C3">
      <w:pPr>
        <w:spacing w:before="120" w:after="0"/>
        <w:rPr>
          <w:i/>
          <w:iCs/>
          <w:lang w:val="en-US"/>
        </w:rPr>
      </w:pPr>
      <w:r>
        <w:rPr>
          <w:iCs/>
          <w:lang w:val="en-US"/>
        </w:rPr>
        <w:t>Most NDCs are brief and include little information on planned policies and measures. Many contain little information on sectoral contributions. Of the ECE member states only the submission from Azerbaijan includes details on oil and gas methane emissions reductions</w:t>
      </w:r>
      <w:r>
        <w:rPr>
          <w:rStyle w:val="FootnoteReference"/>
          <w:iCs/>
        </w:rPr>
        <w:footnoteReference w:id="101"/>
      </w:r>
      <w:r>
        <w:rPr>
          <w:iCs/>
          <w:lang w:val="en-US"/>
        </w:rPr>
        <w:t xml:space="preserve">. </w:t>
      </w:r>
    </w:p>
    <w:p w14:paraId="7C8E00FC" w14:textId="77777777" w:rsidR="001239C3" w:rsidRDefault="001239C3" w:rsidP="001239C3">
      <w:pPr>
        <w:spacing w:before="120" w:after="0"/>
        <w:rPr>
          <w:iCs/>
          <w:lang w:val="en-US"/>
        </w:rPr>
      </w:pPr>
      <w:r>
        <w:rPr>
          <w:iCs/>
          <w:lang w:val="en-US"/>
        </w:rPr>
        <w:t>The Paris Agreement Rulebook contains guidance for the information that should accompany an NDC for clarity, transparency, and understanding, as well as guidance on accounting for NDCs. Both sets of guidance must be applied to the second and subsequent NDCs (starting in 2030 for most Parties), but are encouraged to be applied to the first NDCs. These guidelines</w:t>
      </w:r>
      <w:r>
        <w:rPr>
          <w:rStyle w:val="FootnoteReference"/>
          <w:iCs/>
        </w:rPr>
        <w:footnoteReference w:id="102"/>
      </w:r>
      <w:r>
        <w:rPr>
          <w:iCs/>
          <w:lang w:val="en-US"/>
        </w:rPr>
        <w:t xml:space="preserve"> represent an important step towards developing a common and clear basis for measuring and communicating plans for emission reduction and reporting of progress. Guidance on </w:t>
      </w:r>
      <w:proofErr w:type="spellStart"/>
      <w:r>
        <w:rPr>
          <w:iCs/>
          <w:lang w:val="en-US"/>
        </w:rPr>
        <w:t>on</w:t>
      </w:r>
      <w:proofErr w:type="spellEnd"/>
      <w:r>
        <w:rPr>
          <w:iCs/>
          <w:lang w:val="en-US"/>
        </w:rPr>
        <w:t xml:space="preserve"> accounting includes the use of common metrics (100-year GWP from AR5) and the use of the IPCC 2006 Guidelines, a quantified reference point, time frames for implementation and scope and coverage of the NDC target. As with the MPGs for the Transparency Framework (see section 3.3), there are no differentiation between developed and developing countries, although it is states that capacity building support will be granted to developing countries. </w:t>
      </w:r>
    </w:p>
    <w:p w14:paraId="159584E4" w14:textId="70924893" w:rsidR="001239C3" w:rsidRDefault="004A786A" w:rsidP="001239C3">
      <w:pPr>
        <w:spacing w:before="120" w:after="0"/>
        <w:rPr>
          <w:iCs/>
          <w:lang w:val="en-US"/>
        </w:rPr>
      </w:pPr>
      <w:r>
        <w:rPr>
          <w:iCs/>
          <w:lang w:val="en-US"/>
        </w:rPr>
        <w:t xml:space="preserve"> </w:t>
      </w:r>
      <w:r w:rsidR="001239C3">
        <w:rPr>
          <w:iCs/>
          <w:lang w:val="en-US"/>
        </w:rPr>
        <w:t xml:space="preserve">An important issue is the scope and coverage of sectors and emission sources in the NDCs that each Party selects as part of its target. On the one hand there are currently large shortcomings with accounting for methane emissions for many countries, as explained throughout this document, and hence major challenges with target setting and credible methods and procedures for monitored for progress. On the other hand, methane emission reductions are in many ECE member states among the most cost-efficient mitigation opportunities (see section 4.1 above), and many countries may wish to include this mitigation in its NDC. </w:t>
      </w:r>
    </w:p>
    <w:p w14:paraId="41DD4125" w14:textId="77777777" w:rsidR="001239C3" w:rsidRDefault="001239C3" w:rsidP="001239C3">
      <w:pPr>
        <w:spacing w:before="120" w:after="0"/>
        <w:rPr>
          <w:iCs/>
          <w:lang w:val="en-US"/>
        </w:rPr>
      </w:pPr>
      <w:r>
        <w:rPr>
          <w:iCs/>
          <w:lang w:val="en-US"/>
        </w:rPr>
        <w:t xml:space="preserve">Quantitative coverage of emissions in NDCs is also a condition for any emission reductions, including for methane, being eligible under cooperative approaches involving the international transfer of mitigation outcomes under the Paris Agreement (Article 6) and other schemes for emissions trading. Without solid accounting of emissions and emission reductions such trading will lack credibility and support (due to a risk of double counting of emission reductions). </w:t>
      </w:r>
    </w:p>
    <w:p w14:paraId="601900EE" w14:textId="44AE5F7E" w:rsidR="001239C3" w:rsidRDefault="001239C3" w:rsidP="001239C3">
      <w:pPr>
        <w:spacing w:before="120" w:after="0"/>
        <w:rPr>
          <w:iCs/>
          <w:lang w:val="en-US"/>
        </w:rPr>
      </w:pPr>
      <w:r w:rsidRPr="00CA3DF1">
        <w:rPr>
          <w:lang w:val="en-US"/>
        </w:rPr>
        <w:t>Countries wishing to improve their reporting on</w:t>
      </w:r>
      <w:r>
        <w:rPr>
          <w:lang w:val="en-US"/>
        </w:rPr>
        <w:t xml:space="preserve"> </w:t>
      </w:r>
      <w:r w:rsidRPr="00CA3DF1">
        <w:rPr>
          <w:lang w:val="en-US"/>
        </w:rPr>
        <w:t>methane emissions, and to implement policies and measures reducing these emissions, may benefit from a range of financial and technical support.</w:t>
      </w:r>
      <w:r>
        <w:rPr>
          <w:iCs/>
          <w:lang w:val="en-US"/>
        </w:rPr>
        <w:t xml:space="preserve"> An overview of international schemes for financial support suitable for methane emission reduction projects and </w:t>
      </w:r>
      <w:proofErr w:type="spellStart"/>
      <w:r>
        <w:rPr>
          <w:iCs/>
          <w:lang w:val="en-US"/>
        </w:rPr>
        <w:t>programmes</w:t>
      </w:r>
      <w:proofErr w:type="spellEnd"/>
      <w:r>
        <w:rPr>
          <w:iCs/>
          <w:lang w:val="en-US"/>
        </w:rPr>
        <w:t xml:space="preserve"> are summarized in the next section</w:t>
      </w:r>
    </w:p>
    <w:p w14:paraId="13944248" w14:textId="65E8D035" w:rsidR="004A786A" w:rsidRPr="00292CD7" w:rsidRDefault="00B543EE" w:rsidP="004A786A">
      <w:pPr>
        <w:pStyle w:val="Heading3"/>
        <w:rPr>
          <w:lang w:val="en-GB"/>
        </w:rPr>
      </w:pPr>
      <w:bookmarkStart w:id="112" w:name="_Toc531691008"/>
      <w:r>
        <w:rPr>
          <w:lang w:val="en-GB"/>
        </w:rPr>
        <w:lastRenderedPageBreak/>
        <w:t>C</w:t>
      </w:r>
      <w:r w:rsidR="004A786A" w:rsidRPr="00292CD7">
        <w:rPr>
          <w:lang w:val="en-GB"/>
        </w:rPr>
        <w:t>limate finance</w:t>
      </w:r>
      <w:bookmarkEnd w:id="112"/>
      <w:r w:rsidR="004A786A" w:rsidRPr="00292CD7">
        <w:rPr>
          <w:lang w:val="en-GB"/>
        </w:rPr>
        <w:t xml:space="preserve"> </w:t>
      </w:r>
      <w:r>
        <w:rPr>
          <w:lang w:val="en-GB"/>
        </w:rPr>
        <w:t>and carbon market mechanisms</w:t>
      </w:r>
    </w:p>
    <w:p w14:paraId="39BF7636" w14:textId="77777777" w:rsidR="004A786A" w:rsidRPr="00743E8A" w:rsidRDefault="004A786A" w:rsidP="004A786A">
      <w:pPr>
        <w:spacing w:before="120" w:after="0"/>
        <w:rPr>
          <w:i/>
          <w:iCs/>
          <w:lang w:val="en-US"/>
        </w:rPr>
      </w:pPr>
      <w:r>
        <w:rPr>
          <w:iCs/>
          <w:lang w:val="en-US"/>
        </w:rPr>
        <w:t>A distinction is made here between two broader categories of financing schemes to reward environmental benefits:</w:t>
      </w:r>
    </w:p>
    <w:p w14:paraId="0C9B0C33" w14:textId="77777777" w:rsidR="00B543EE" w:rsidRDefault="00B543EE" w:rsidP="005003CD">
      <w:pPr>
        <w:pStyle w:val="ListParagraph"/>
        <w:numPr>
          <w:ilvl w:val="0"/>
          <w:numId w:val="66"/>
        </w:numPr>
        <w:spacing w:before="120" w:after="0"/>
        <w:rPr>
          <w:i/>
          <w:iCs/>
        </w:rPr>
      </w:pPr>
      <w:r w:rsidRPr="00555117">
        <w:rPr>
          <w:i/>
          <w:iCs/>
          <w:u w:val="single"/>
        </w:rPr>
        <w:t>Climate finance</w:t>
      </w:r>
      <w:r w:rsidRPr="00555117">
        <w:rPr>
          <w:i/>
          <w:iCs/>
        </w:rPr>
        <w:t xml:space="preserve"> refers to local, national or transnational financing—drawn from public, private and alternative sources of financing—that seeks to support mitigation and adaptation actions that will address climate change.</w:t>
      </w:r>
      <w:r>
        <w:rPr>
          <w:rStyle w:val="FootnoteReference"/>
          <w:i/>
          <w:iCs/>
        </w:rPr>
        <w:footnoteReference w:id="103"/>
      </w:r>
    </w:p>
    <w:p w14:paraId="332FA9BD" w14:textId="77777777" w:rsidR="00B543EE" w:rsidRPr="00555117" w:rsidRDefault="00B543EE" w:rsidP="005003CD">
      <w:pPr>
        <w:pStyle w:val="ListParagraph"/>
        <w:numPr>
          <w:ilvl w:val="0"/>
          <w:numId w:val="66"/>
        </w:numPr>
        <w:spacing w:before="120" w:after="0"/>
        <w:rPr>
          <w:i/>
          <w:iCs/>
        </w:rPr>
      </w:pPr>
      <w:r w:rsidRPr="00555117">
        <w:rPr>
          <w:i/>
          <w:iCs/>
          <w:u w:val="single"/>
        </w:rPr>
        <w:t>Carbon market mechanisms</w:t>
      </w:r>
      <w:r>
        <w:rPr>
          <w:i/>
          <w:iCs/>
        </w:rPr>
        <w:t xml:space="preserve">, also sometimes referred to as “carbon finance,” </w:t>
      </w:r>
      <w:r w:rsidRPr="00743E8A">
        <w:rPr>
          <w:i/>
          <w:iCs/>
        </w:rPr>
        <w:t xml:space="preserve">which </w:t>
      </w:r>
      <w:r>
        <w:rPr>
          <w:i/>
          <w:iCs/>
        </w:rPr>
        <w:t>involve</w:t>
      </w:r>
      <w:r w:rsidRPr="00743E8A">
        <w:rPr>
          <w:i/>
          <w:iCs/>
        </w:rPr>
        <w:t xml:space="preserve">s trade </w:t>
      </w:r>
      <w:r>
        <w:rPr>
          <w:i/>
          <w:iCs/>
        </w:rPr>
        <w:t xml:space="preserve">in </w:t>
      </w:r>
      <w:r w:rsidRPr="00743E8A">
        <w:rPr>
          <w:i/>
          <w:iCs/>
        </w:rPr>
        <w:t>verified emission reduction (carbon credits)</w:t>
      </w:r>
    </w:p>
    <w:p w14:paraId="0C3DF3A4" w14:textId="68B864CC" w:rsidR="00B543EE" w:rsidRDefault="00B543EE" w:rsidP="00B543EE">
      <w:pPr>
        <w:spacing w:before="120" w:after="0"/>
        <w:rPr>
          <w:lang w:val="en-US"/>
        </w:rPr>
      </w:pPr>
      <w:r>
        <w:rPr>
          <w:lang w:val="en-US"/>
        </w:rPr>
        <w:t xml:space="preserve">Although many methane mitigation options appear to be financially viable, there exist economic barriers which hinder implementation. Climate finance can be a means to overcome economic barriers (see section 4.1 above) that may hinder implementation of methane mitigation projects, particularly in cases where small projects can be bundled into large </w:t>
      </w:r>
      <w:proofErr w:type="spellStart"/>
      <w:r>
        <w:rPr>
          <w:lang w:val="en-US"/>
        </w:rPr>
        <w:t>programmes</w:t>
      </w:r>
      <w:proofErr w:type="spellEnd"/>
      <w:r>
        <w:rPr>
          <w:lang w:val="en-US"/>
        </w:rPr>
        <w:t xml:space="preserve"> with significant GHG emission reduction impacts. The financing can in the form of commercial “green financing/bonds”, or financing on concessional terms. The latter is part of the transfers to developing countries which is an important part of climate change policies addressed under the UNFCCC. Climate finance is seen by developing countries as an important means to reach (conditional) targets set in the NDCs.  </w:t>
      </w:r>
    </w:p>
    <w:p w14:paraId="3A529E09" w14:textId="472EB0D9" w:rsidR="00B543EE" w:rsidRDefault="00B543EE" w:rsidP="00B543EE">
      <w:pPr>
        <w:spacing w:before="120" w:after="0"/>
        <w:rPr>
          <w:iCs/>
          <w:lang w:val="en-US"/>
        </w:rPr>
      </w:pPr>
      <w:r>
        <w:rPr>
          <w:iCs/>
          <w:lang w:val="en-US"/>
        </w:rPr>
        <w:t>C</w:t>
      </w:r>
      <w:r w:rsidRPr="00101E7D">
        <w:rPr>
          <w:iCs/>
          <w:lang w:val="en-US"/>
        </w:rPr>
        <w:t xml:space="preserve">arbon </w:t>
      </w:r>
      <w:r>
        <w:rPr>
          <w:iCs/>
          <w:lang w:val="en-US"/>
        </w:rPr>
        <w:t>market mechanisms offer payment for emission reduction units</w:t>
      </w:r>
      <w:r w:rsidRPr="003F2F80">
        <w:rPr>
          <w:iCs/>
          <w:lang w:val="en-US"/>
        </w:rPr>
        <w:t xml:space="preserve"> </w:t>
      </w:r>
      <w:r>
        <w:rPr>
          <w:iCs/>
          <w:lang w:val="en-US"/>
        </w:rPr>
        <w:t>as a commodity</w:t>
      </w:r>
      <w:r w:rsidR="005003CD">
        <w:rPr>
          <w:iCs/>
          <w:lang w:val="en-US"/>
        </w:rPr>
        <w:t>,</w:t>
      </w:r>
      <w:r>
        <w:rPr>
          <w:iCs/>
          <w:lang w:val="en-US"/>
        </w:rPr>
        <w:t xml:space="preserve"> and as such is part of a carbon pricing scheme. Some of these mechanisms are discussed further below.</w:t>
      </w:r>
    </w:p>
    <w:p w14:paraId="0FBC8F33" w14:textId="5D51004C" w:rsidR="00B543EE" w:rsidRDefault="00B543EE" w:rsidP="00B543EE">
      <w:pPr>
        <w:spacing w:before="120" w:after="0"/>
        <w:rPr>
          <w:iCs/>
          <w:lang w:val="en-US"/>
        </w:rPr>
      </w:pPr>
      <w:r>
        <w:rPr>
          <w:iCs/>
          <w:lang w:val="en-US"/>
        </w:rPr>
        <w:t xml:space="preserve">There are </w:t>
      </w:r>
      <w:proofErr w:type="gramStart"/>
      <w:r>
        <w:rPr>
          <w:iCs/>
          <w:lang w:val="en-US"/>
        </w:rPr>
        <w:t>a large number of</w:t>
      </w:r>
      <w:proofErr w:type="gramEnd"/>
      <w:r>
        <w:rPr>
          <w:iCs/>
          <w:lang w:val="en-US"/>
        </w:rPr>
        <w:t xml:space="preserve"> financing sources and schemes, with a summary of some of the main categories illustrated in Figure 4.5. </w:t>
      </w:r>
    </w:p>
    <w:p w14:paraId="078546E5" w14:textId="77777777" w:rsidR="00A1239B" w:rsidRDefault="00A1239B" w:rsidP="00B543EE">
      <w:pPr>
        <w:spacing w:before="120" w:after="0"/>
        <w:rPr>
          <w:iCs/>
          <w:lang w:val="en-US"/>
        </w:rPr>
      </w:pPr>
    </w:p>
    <w:p w14:paraId="003D2DEB" w14:textId="203AF36D" w:rsidR="004A786A" w:rsidRPr="00F55667" w:rsidRDefault="004A786A" w:rsidP="004A786A">
      <w:pPr>
        <w:pStyle w:val="Caption"/>
        <w:rPr>
          <w:lang w:val="en-US"/>
        </w:rPr>
      </w:pPr>
      <w:r w:rsidRPr="00F55667">
        <w:rPr>
          <w:bCs w:val="0"/>
          <w:iCs/>
          <w:lang w:val="en-US"/>
        </w:rPr>
        <w:t xml:space="preserve">Figure 4.5: Overview of carbon </w:t>
      </w:r>
      <w:r w:rsidR="00B543EE">
        <w:rPr>
          <w:bCs w:val="0"/>
          <w:iCs/>
          <w:lang w:val="en-US"/>
        </w:rPr>
        <w:t xml:space="preserve">market mechanisms </w:t>
      </w:r>
      <w:r w:rsidRPr="00F55667">
        <w:rPr>
          <w:bCs w:val="0"/>
          <w:iCs/>
          <w:lang w:val="en-US"/>
        </w:rPr>
        <w:t>and climate finance sources</w:t>
      </w:r>
    </w:p>
    <w:p w14:paraId="46173769" w14:textId="568C0D4C" w:rsidR="004A786A" w:rsidRPr="00D66609" w:rsidRDefault="00197034" w:rsidP="004A786A">
      <w:pPr>
        <w:spacing w:before="120"/>
        <w:rPr>
          <w:i/>
          <w:iCs/>
          <w:noProof/>
          <w:lang w:val="en-US" w:eastAsia="nb-NO"/>
        </w:rPr>
      </w:pPr>
      <w:r>
        <w:rPr>
          <w:i/>
          <w:iCs/>
          <w:noProof/>
          <w:lang w:eastAsia="nb-NO"/>
        </w:rPr>
        <w:drawing>
          <wp:inline distT="0" distB="0" distL="0" distR="0" wp14:anchorId="6FD8185D" wp14:editId="05548AD7">
            <wp:extent cx="4998720" cy="1911129"/>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2800" cy="1912689"/>
                    </a:xfrm>
                    <a:prstGeom prst="rect">
                      <a:avLst/>
                    </a:prstGeom>
                    <a:noFill/>
                  </pic:spPr>
                </pic:pic>
              </a:graphicData>
            </a:graphic>
          </wp:inline>
        </w:drawing>
      </w:r>
    </w:p>
    <w:p w14:paraId="5829FC59" w14:textId="1EFD6628" w:rsidR="004A786A" w:rsidRPr="00292CD7" w:rsidRDefault="004A786A" w:rsidP="004A786A">
      <w:pPr>
        <w:pStyle w:val="Heading4"/>
        <w:numPr>
          <w:ilvl w:val="0"/>
          <w:numId w:val="0"/>
        </w:numPr>
        <w:rPr>
          <w:lang w:val="en-GB"/>
        </w:rPr>
      </w:pPr>
      <w:bookmarkStart w:id="113" w:name="_Toc472238385"/>
      <w:bookmarkStart w:id="114" w:name="_Toc492217625"/>
      <w:r w:rsidRPr="00292CD7">
        <w:rPr>
          <w:lang w:val="en-GB"/>
        </w:rPr>
        <w:t xml:space="preserve">Carbon </w:t>
      </w:r>
      <w:bookmarkEnd w:id="113"/>
      <w:bookmarkEnd w:id="114"/>
      <w:r w:rsidR="00B543EE">
        <w:rPr>
          <w:lang w:val="en-GB"/>
        </w:rPr>
        <w:t>market mechanisms</w:t>
      </w:r>
    </w:p>
    <w:p w14:paraId="5DC2C59C" w14:textId="77777777" w:rsidR="004A786A" w:rsidRDefault="004A786A" w:rsidP="004A786A">
      <w:pPr>
        <w:rPr>
          <w:lang w:val="en-US"/>
        </w:rPr>
      </w:pPr>
      <w:r w:rsidRPr="00AC2018">
        <w:rPr>
          <w:b/>
          <w:lang w:val="en-GB"/>
        </w:rPr>
        <w:t>Article 6 of the Paris Agreement</w:t>
      </w:r>
      <w:r>
        <w:rPr>
          <w:lang w:val="en-GB"/>
        </w:rPr>
        <w:t xml:space="preserve"> has as its objective to achieve higher ambitions in mitigation through voluntary cooperation. </w:t>
      </w:r>
      <w:r w:rsidRPr="00AC2018">
        <w:rPr>
          <w:lang w:val="en-US"/>
        </w:rPr>
        <w:t>Article 6.2</w:t>
      </w:r>
      <w:r w:rsidRPr="00D729C0">
        <w:rPr>
          <w:lang w:val="en-US"/>
        </w:rPr>
        <w:t xml:space="preserve"> introduces the concept </w:t>
      </w:r>
      <w:r>
        <w:rPr>
          <w:lang w:val="en-US"/>
        </w:rPr>
        <w:t>“</w:t>
      </w:r>
      <w:bookmarkStart w:id="115" w:name="_Hlk3369243"/>
      <w:r>
        <w:rPr>
          <w:lang w:val="en-US"/>
        </w:rPr>
        <w:t>I</w:t>
      </w:r>
      <w:r w:rsidRPr="00D729C0">
        <w:rPr>
          <w:lang w:val="en-US"/>
        </w:rPr>
        <w:t xml:space="preserve">nternationally </w:t>
      </w:r>
      <w:r>
        <w:rPr>
          <w:lang w:val="en-US"/>
        </w:rPr>
        <w:t>T</w:t>
      </w:r>
      <w:r w:rsidRPr="00D729C0">
        <w:rPr>
          <w:lang w:val="en-US"/>
        </w:rPr>
        <w:t xml:space="preserve">ransferable </w:t>
      </w:r>
      <w:r>
        <w:rPr>
          <w:lang w:val="en-US"/>
        </w:rPr>
        <w:t>M</w:t>
      </w:r>
      <w:r w:rsidRPr="00D729C0">
        <w:rPr>
          <w:lang w:val="en-US"/>
        </w:rPr>
        <w:t xml:space="preserve">itigation </w:t>
      </w:r>
      <w:r>
        <w:rPr>
          <w:lang w:val="en-US"/>
        </w:rPr>
        <w:t>O</w:t>
      </w:r>
      <w:r w:rsidRPr="00D729C0">
        <w:rPr>
          <w:lang w:val="en-US"/>
        </w:rPr>
        <w:t xml:space="preserve">utcomes </w:t>
      </w:r>
      <w:bookmarkEnd w:id="115"/>
      <w:r w:rsidRPr="00D729C0">
        <w:rPr>
          <w:lang w:val="en-US"/>
        </w:rPr>
        <w:t>(”</w:t>
      </w:r>
      <w:bookmarkStart w:id="116" w:name="_Hlk3369229"/>
      <w:r w:rsidRPr="00D729C0">
        <w:rPr>
          <w:lang w:val="en-US"/>
        </w:rPr>
        <w:t>ITMOs</w:t>
      </w:r>
      <w:bookmarkEnd w:id="116"/>
      <w:r w:rsidRPr="00D729C0">
        <w:rPr>
          <w:lang w:val="en-US"/>
        </w:rPr>
        <w:t>”) which means that Parties to the Agreement can, through cooperative approaches, transfer mitigation outcomes across borders and account for those transfers towards their respective NDCs.</w:t>
      </w:r>
      <w:r>
        <w:rPr>
          <w:lang w:val="en-US"/>
        </w:rPr>
        <w:t xml:space="preserve"> </w:t>
      </w:r>
      <w:r w:rsidRPr="00D729C0">
        <w:rPr>
          <w:lang w:val="en-US"/>
        </w:rPr>
        <w:t xml:space="preserve">This implies that countries must make a strategic decision about whether to use emission reductions from mitigation activities to reach their own NDC goals, or to sell these emission reduction commitments. In other words, there is an “opportunity cost” to selling emission reductions.  To ensure that emission reductions are only used for one purpose, the decision on Article 6.2 calls for “corresponding adjustments” when emission reduction units are transferred (i.e. adding back these emissions to the host country’s GHG inventory or decreasing their allowable emissions budget).  </w:t>
      </w:r>
      <w:r w:rsidRPr="00AC2018">
        <w:rPr>
          <w:lang w:val="en-US"/>
        </w:rPr>
        <w:t>Article 6.4</w:t>
      </w:r>
      <w:r w:rsidRPr="00E76B03">
        <w:rPr>
          <w:b/>
          <w:lang w:val="en-US"/>
        </w:rPr>
        <w:t xml:space="preserve"> </w:t>
      </w:r>
      <w:r w:rsidRPr="00E76B03">
        <w:rPr>
          <w:lang w:val="en-US"/>
        </w:rPr>
        <w:t xml:space="preserve">introduces a new international mechanism </w:t>
      </w:r>
      <w:r>
        <w:rPr>
          <w:lang w:val="en-US"/>
        </w:rPr>
        <w:t>which will have similarities with the CDM</w:t>
      </w:r>
      <w:r w:rsidRPr="00E76B03">
        <w:rPr>
          <w:lang w:val="en-US"/>
        </w:rPr>
        <w:t xml:space="preserve"> </w:t>
      </w:r>
      <w:r>
        <w:rPr>
          <w:lang w:val="en-US"/>
        </w:rPr>
        <w:t xml:space="preserve">of </w:t>
      </w:r>
      <w:r w:rsidRPr="00E76B03">
        <w:rPr>
          <w:lang w:val="en-US"/>
        </w:rPr>
        <w:t xml:space="preserve">the </w:t>
      </w:r>
      <w:r w:rsidRPr="00E76B03">
        <w:rPr>
          <w:lang w:val="en-US"/>
        </w:rPr>
        <w:lastRenderedPageBreak/>
        <w:t>Kyoto Protocol, with transfer of GHG emission reduction units. There seems to be a common view, however, that the Article 6.4 mechanism must be simpler to operate than the CDM, which has been plagued with onerous rules and procedures.</w:t>
      </w:r>
      <w:r>
        <w:rPr>
          <w:lang w:val="en-US"/>
        </w:rPr>
        <w:t xml:space="preserve"> Negotiations on rules and procedures for Article 6 were not concluded and having the schemes operational is therefore delayed. Nevertheless, a number of countries have started “pilot projects” to test bilateral ITMO schemes. </w:t>
      </w:r>
    </w:p>
    <w:p w14:paraId="1423E55D" w14:textId="77777777" w:rsidR="004A786A" w:rsidRDefault="004A786A" w:rsidP="004A786A">
      <w:pPr>
        <w:rPr>
          <w:lang w:val="en-GB"/>
        </w:rPr>
      </w:pPr>
      <w:r w:rsidRPr="00343713">
        <w:rPr>
          <w:lang w:val="en-GB"/>
        </w:rPr>
        <w:t xml:space="preserve">Linked to processes under the Convention, the UN special agency </w:t>
      </w:r>
      <w:bookmarkStart w:id="117" w:name="_Hlk3369264"/>
      <w:r w:rsidRPr="00AB26EB">
        <w:rPr>
          <w:b/>
          <w:lang w:val="en-GB"/>
        </w:rPr>
        <w:t xml:space="preserve">ICAO </w:t>
      </w:r>
      <w:bookmarkEnd w:id="117"/>
      <w:r w:rsidRPr="00AB26EB">
        <w:rPr>
          <w:b/>
          <w:lang w:val="en-GB"/>
        </w:rPr>
        <w:t>(International Civil Aviation</w:t>
      </w:r>
      <w:r w:rsidRPr="00343713">
        <w:rPr>
          <w:lang w:val="en-GB"/>
        </w:rPr>
        <w:t xml:space="preserve"> </w:t>
      </w:r>
      <w:r w:rsidRPr="00AC2018">
        <w:rPr>
          <w:b/>
          <w:lang w:val="en-GB"/>
        </w:rPr>
        <w:t>Organization)</w:t>
      </w:r>
      <w:r w:rsidRPr="00343713">
        <w:rPr>
          <w:lang w:val="en-GB"/>
        </w:rPr>
        <w:t xml:space="preserve"> </w:t>
      </w:r>
      <w:r>
        <w:rPr>
          <w:lang w:val="en-GB"/>
        </w:rPr>
        <w:t xml:space="preserve">has agreed with the </w:t>
      </w:r>
      <w:r w:rsidRPr="00343713">
        <w:rPr>
          <w:lang w:val="en-GB"/>
        </w:rPr>
        <w:t xml:space="preserve">international aviation industry to achieve zero growth in GHG emissions from 2020. A principal means to achieve it is through purchase of carbon credits/offsets through the </w:t>
      </w:r>
      <w:bookmarkStart w:id="118" w:name="_Hlk3369290"/>
      <w:r w:rsidRPr="00343713">
        <w:rPr>
          <w:lang w:val="en-GB"/>
        </w:rPr>
        <w:t xml:space="preserve">CORSIA </w:t>
      </w:r>
      <w:bookmarkEnd w:id="118"/>
      <w:r w:rsidRPr="00343713">
        <w:rPr>
          <w:lang w:val="en-GB"/>
        </w:rPr>
        <w:t>(Carbon Offsetting and Reduction Scheme for International Aviation</w:t>
      </w:r>
      <w:r>
        <w:rPr>
          <w:lang w:val="en-GB"/>
        </w:rPr>
        <w:t xml:space="preserve">) scheme. Rules and procedures are still under development, but the scheme </w:t>
      </w:r>
      <w:r w:rsidRPr="00B13DB5">
        <w:rPr>
          <w:lang w:val="en-GB"/>
        </w:rPr>
        <w:t xml:space="preserve">should be operational by 2020. </w:t>
      </w:r>
      <w:r>
        <w:rPr>
          <w:lang w:val="en-GB"/>
        </w:rPr>
        <w:t>A first period from 2020 is voluntary for industry and may create a demand of</w:t>
      </w:r>
      <w:r w:rsidRPr="00B13DB5">
        <w:rPr>
          <w:lang w:val="en-GB"/>
        </w:rPr>
        <w:t xml:space="preserve"> 300-400 mill tons CO</w:t>
      </w:r>
      <w:r>
        <w:rPr>
          <w:vertAlign w:val="subscript"/>
          <w:lang w:val="en-GB"/>
        </w:rPr>
        <w:t xml:space="preserve">2 </w:t>
      </w:r>
      <w:r>
        <w:rPr>
          <w:lang w:val="en-GB"/>
        </w:rPr>
        <w:t xml:space="preserve">eq. From 2026 and onwards demand is expected to be considerably higher, but is yet not clear what sources supply that will be allowed. Reducing emissions from deforestation and forest degradation (REDD) may become a significant source of supply, but there should also be opportunities for methane emission reduction from oil and gas and other sectors.  </w:t>
      </w:r>
    </w:p>
    <w:p w14:paraId="4022E5A5" w14:textId="77777777" w:rsidR="004A786A" w:rsidRDefault="004A786A" w:rsidP="004A786A">
      <w:pPr>
        <w:rPr>
          <w:highlight w:val="yellow"/>
          <w:lang w:val="en-GB"/>
        </w:rPr>
      </w:pPr>
      <w:r w:rsidRPr="00715374">
        <w:rPr>
          <w:lang w:val="en-GB"/>
        </w:rPr>
        <w:t>A</w:t>
      </w:r>
      <w:r>
        <w:rPr>
          <w:lang w:val="en-GB"/>
        </w:rPr>
        <w:t>nother</w:t>
      </w:r>
      <w:r w:rsidRPr="00715374">
        <w:rPr>
          <w:lang w:val="en-GB"/>
        </w:rPr>
        <w:t xml:space="preserve"> scheme, outside the </w:t>
      </w:r>
      <w:r>
        <w:rPr>
          <w:lang w:val="en-GB"/>
        </w:rPr>
        <w:t xml:space="preserve">Convention and the </w:t>
      </w:r>
      <w:r w:rsidRPr="00715374">
        <w:rPr>
          <w:lang w:val="en-GB"/>
        </w:rPr>
        <w:t xml:space="preserve">Paris Agreement, is the </w:t>
      </w:r>
      <w:bookmarkStart w:id="119" w:name="_Hlk3369325"/>
      <w:r w:rsidRPr="00AC2018">
        <w:rPr>
          <w:b/>
          <w:lang w:val="en-GB"/>
        </w:rPr>
        <w:t xml:space="preserve">Fuel Quality Directive </w:t>
      </w:r>
      <w:bookmarkEnd w:id="119"/>
      <w:r w:rsidRPr="00AC2018">
        <w:rPr>
          <w:b/>
          <w:lang w:val="en-GB"/>
        </w:rPr>
        <w:t>(FQD)</w:t>
      </w:r>
      <w:r w:rsidRPr="004A786A">
        <w:rPr>
          <w:rStyle w:val="FootnoteReference"/>
          <w:lang w:val="en-US"/>
        </w:rPr>
        <w:t xml:space="preserve"> </w:t>
      </w:r>
      <w:r w:rsidRPr="00715374">
        <w:rPr>
          <w:rStyle w:val="FootnoteReference"/>
        </w:rPr>
        <w:footnoteReference w:id="104"/>
      </w:r>
      <w:r w:rsidRPr="00715374">
        <w:rPr>
          <w:lang w:val="en-GB"/>
        </w:rPr>
        <w:t xml:space="preserve"> offsets introduced by the European Union (EU) as a mechanism with which transport fuel suppliers in the EU can meet part of their obligations to reduce the GHG intensities of supply by 6% from 2010 to 2020. Co-financing GHG emission reductions from upstream oil and gas sector activities is offered as an alternative or complementary measure to the blending of biofuels. For example, fuel suppliers could co-finance methane emission reduction projects in Azerbaijan in exchange for using verified emission reductions.</w:t>
      </w:r>
      <w:r>
        <w:rPr>
          <w:lang w:val="en-GB"/>
        </w:rPr>
        <w:t xml:space="preserve"> FQD is now being transposed into national law of all EU countries and will be operational from 2020, albeit as it seems now only for the year 2020, with the exception of Germany where the scheme is expected to last until 2030.</w:t>
      </w:r>
    </w:p>
    <w:p w14:paraId="15D0C203" w14:textId="65E45B8D" w:rsidR="004A786A" w:rsidRDefault="004A786A" w:rsidP="004A786A">
      <w:pPr>
        <w:rPr>
          <w:lang w:val="en-GB"/>
        </w:rPr>
      </w:pPr>
      <w:r w:rsidRPr="004F3DDA">
        <w:rPr>
          <w:lang w:val="en-GB"/>
        </w:rPr>
        <w:t xml:space="preserve">Then there are so-called </w:t>
      </w:r>
      <w:r w:rsidRPr="00AC2018">
        <w:rPr>
          <w:b/>
          <w:lang w:val="en-GB"/>
        </w:rPr>
        <w:t>voluntary carbon market schemes</w:t>
      </w:r>
      <w:r w:rsidRPr="004F3DDA">
        <w:rPr>
          <w:lang w:val="en-GB"/>
        </w:rPr>
        <w:t>. This covers primarily sales of emission reductions to entities that voluntarily chose to reduce emissions using offsets. Projects and emission reductions are validated and verified according to voluntary standards, often by the same verification companies that are engaged in other carbon financing schemes.  Oil and gas sector emission reductions has only to a very limited degree been channelled to voluntary carbon markets</w:t>
      </w:r>
    </w:p>
    <w:p w14:paraId="4149F764" w14:textId="7D08D1A8" w:rsidR="004A786A" w:rsidRDefault="00713A3F" w:rsidP="00C3032E">
      <w:pPr>
        <w:rPr>
          <w:lang w:val="en-US"/>
        </w:rPr>
      </w:pPr>
      <w:r w:rsidRPr="00CA4B8B">
        <w:rPr>
          <w:lang w:val="en-US"/>
        </w:rPr>
        <w:t>This section has highlighter the important role the Paris Agreement</w:t>
      </w:r>
      <w:r w:rsidR="00741DE8">
        <w:rPr>
          <w:lang w:val="en-US"/>
        </w:rPr>
        <w:t xml:space="preserve"> </w:t>
      </w:r>
      <w:r w:rsidR="00741DE8" w:rsidRPr="00CA4B8B">
        <w:rPr>
          <w:lang w:val="en-US"/>
        </w:rPr>
        <w:t>can play in promoting methane mitigation action</w:t>
      </w:r>
      <w:r w:rsidRPr="00CA4B8B">
        <w:rPr>
          <w:lang w:val="en-US"/>
        </w:rPr>
        <w:t>, particularly the NDCs and the international cooperation mechanism (Article 6)</w:t>
      </w:r>
      <w:r w:rsidR="00741DE8">
        <w:rPr>
          <w:lang w:val="en-US"/>
        </w:rPr>
        <w:t>. In many countries</w:t>
      </w:r>
      <w:r w:rsidR="00315A85">
        <w:rPr>
          <w:lang w:val="en-US"/>
        </w:rPr>
        <w:t>,</w:t>
      </w:r>
      <w:r w:rsidR="00741DE8">
        <w:rPr>
          <w:lang w:val="en-US"/>
        </w:rPr>
        <w:t xml:space="preserve"> methane emissions hold a large potential for costs efficient mitigation options and can therefore be important</w:t>
      </w:r>
      <w:r w:rsidR="00CC1468">
        <w:rPr>
          <w:lang w:val="en-US"/>
        </w:rPr>
        <w:t xml:space="preserve">. Article 6 of the </w:t>
      </w:r>
      <w:r w:rsidR="00741DE8" w:rsidRPr="0033008B">
        <w:rPr>
          <w:lang w:val="en-US"/>
        </w:rPr>
        <w:t xml:space="preserve">Paris Agreement </w:t>
      </w:r>
      <w:r w:rsidR="005503D7" w:rsidRPr="0033008B">
        <w:rPr>
          <w:lang w:val="en-US"/>
        </w:rPr>
        <w:t>was established to “allow for higher ambitions in mitigation”</w:t>
      </w:r>
      <w:r w:rsidR="00315A85">
        <w:rPr>
          <w:lang w:val="en-US"/>
        </w:rPr>
        <w:t>.</w:t>
      </w:r>
      <w:r w:rsidR="005503D7" w:rsidRPr="0033008B">
        <w:rPr>
          <w:rStyle w:val="FootnoteReference"/>
          <w:lang w:val="en-US"/>
        </w:rPr>
        <w:footnoteReference w:id="105"/>
      </w:r>
      <w:r w:rsidR="005503D7" w:rsidRPr="0033008B">
        <w:rPr>
          <w:lang w:val="en-US"/>
        </w:rPr>
        <w:t xml:space="preserve"> This is directly related to implementation of the NDCs</w:t>
      </w:r>
      <w:r w:rsidR="0033008B" w:rsidRPr="0033008B">
        <w:rPr>
          <w:lang w:val="en-US"/>
        </w:rPr>
        <w:t xml:space="preserve"> and </w:t>
      </w:r>
      <w:r w:rsidR="005503D7" w:rsidRPr="0033008B">
        <w:rPr>
          <w:lang w:val="en-US"/>
        </w:rPr>
        <w:t xml:space="preserve">accounting </w:t>
      </w:r>
      <w:r w:rsidR="0033008B" w:rsidRPr="0033008B">
        <w:rPr>
          <w:lang w:val="en-US"/>
        </w:rPr>
        <w:t>procedures and guidelines in the Paris Agreement “Rulebook”. In the context of international cooperation on methane emissions reductions MRV requirements and mitigation are therefore interrelated.</w:t>
      </w:r>
      <w:r w:rsidR="004A1C4F">
        <w:rPr>
          <w:lang w:val="en-US"/>
        </w:rPr>
        <w:t xml:space="preserve"> </w:t>
      </w:r>
    </w:p>
    <w:p w14:paraId="3EC94021" w14:textId="77777777" w:rsidR="00A0524C" w:rsidRDefault="00E40C66" w:rsidP="005D2939">
      <w:pPr>
        <w:pStyle w:val="Heading1"/>
        <w:numPr>
          <w:ilvl w:val="0"/>
          <w:numId w:val="50"/>
        </w:numPr>
        <w:rPr>
          <w:lang w:val="en-US"/>
        </w:rPr>
      </w:pPr>
      <w:r>
        <w:rPr>
          <w:lang w:val="en-US"/>
        </w:rPr>
        <w:br w:type="column"/>
      </w:r>
      <w:bookmarkStart w:id="120" w:name="_Toc531691009"/>
      <w:bookmarkStart w:id="121" w:name="_Toc531691043"/>
      <w:bookmarkStart w:id="122" w:name="_Toc3473009"/>
      <w:bookmarkStart w:id="123" w:name="_Toc531691010"/>
      <w:bookmarkStart w:id="124" w:name="_Toc531691044"/>
      <w:bookmarkStart w:id="125" w:name="_Toc531691011"/>
      <w:bookmarkStart w:id="126" w:name="_Toc531691045"/>
      <w:r w:rsidR="00A0524C" w:rsidRPr="0078068D">
        <w:rPr>
          <w:lang w:val="en-US"/>
        </w:rPr>
        <w:lastRenderedPageBreak/>
        <w:t>Conclusions and summary for policy makers</w:t>
      </w:r>
      <w:bookmarkEnd w:id="120"/>
      <w:bookmarkEnd w:id="121"/>
      <w:bookmarkEnd w:id="122"/>
      <w:r w:rsidR="00A0524C" w:rsidRPr="0078068D">
        <w:rPr>
          <w:lang w:val="en-US"/>
        </w:rPr>
        <w:t xml:space="preserve"> </w:t>
      </w:r>
    </w:p>
    <w:p w14:paraId="49ADFAF8" w14:textId="77777777" w:rsidR="005C3F55" w:rsidRDefault="005C3F55" w:rsidP="005C3F55">
      <w:pPr>
        <w:spacing w:before="120" w:after="0"/>
        <w:rPr>
          <w:lang w:val="en-US"/>
        </w:rPr>
      </w:pPr>
      <w:r w:rsidRPr="00281521">
        <w:rPr>
          <w:lang w:val="en-US"/>
        </w:rPr>
        <w:t xml:space="preserve">Oil and gas supplies will continue to play a key role in a future sustainable energy system to </w:t>
      </w:r>
      <w:r>
        <w:rPr>
          <w:lang w:val="en-US"/>
        </w:rPr>
        <w:t>support</w:t>
      </w:r>
      <w:r w:rsidRPr="00281521">
        <w:rPr>
          <w:lang w:val="en-US"/>
        </w:rPr>
        <w:t xml:space="preserve"> economic growth and social progress, </w:t>
      </w:r>
      <w:r>
        <w:rPr>
          <w:lang w:val="en-US"/>
        </w:rPr>
        <w:t xml:space="preserve">even under a scenario in which </w:t>
      </w:r>
      <w:r w:rsidRPr="00281521">
        <w:rPr>
          <w:lang w:val="en-US"/>
        </w:rPr>
        <w:t xml:space="preserve">stringent climate policies and measures </w:t>
      </w:r>
      <w:r>
        <w:rPr>
          <w:lang w:val="en-US"/>
        </w:rPr>
        <w:t>are</w:t>
      </w:r>
      <w:r w:rsidRPr="00281521">
        <w:rPr>
          <w:lang w:val="en-US"/>
        </w:rPr>
        <w:t xml:space="preserve"> implemented</w:t>
      </w:r>
      <w:r>
        <w:rPr>
          <w:lang w:val="en-US"/>
        </w:rPr>
        <w:t>.</w:t>
      </w:r>
      <w:r w:rsidRPr="00281521">
        <w:rPr>
          <w:lang w:val="en-US"/>
        </w:rPr>
        <w:t xml:space="preserve"> In the end, the </w:t>
      </w:r>
      <w:r>
        <w:rPr>
          <w:lang w:val="en-US"/>
        </w:rPr>
        <w:t xml:space="preserve">world’s energy </w:t>
      </w:r>
      <w:r w:rsidRPr="00281521">
        <w:rPr>
          <w:lang w:val="en-US"/>
        </w:rPr>
        <w:t xml:space="preserve">supply mix will be determined by implemented policies and measures </w:t>
      </w:r>
      <w:r>
        <w:rPr>
          <w:lang w:val="en-US"/>
        </w:rPr>
        <w:t xml:space="preserve">and by </w:t>
      </w:r>
      <w:r w:rsidRPr="00281521">
        <w:rPr>
          <w:lang w:val="en-US"/>
        </w:rPr>
        <w:t>market competition where</w:t>
      </w:r>
      <w:r>
        <w:rPr>
          <w:lang w:val="en-US"/>
        </w:rPr>
        <w:t>in</w:t>
      </w:r>
      <w:r w:rsidRPr="00281521">
        <w:rPr>
          <w:lang w:val="en-US"/>
        </w:rPr>
        <w:t xml:space="preserve"> </w:t>
      </w:r>
      <w:r>
        <w:rPr>
          <w:lang w:val="en-US"/>
        </w:rPr>
        <w:t xml:space="preserve">the </w:t>
      </w:r>
      <w:r w:rsidRPr="00281521">
        <w:rPr>
          <w:lang w:val="en-US"/>
        </w:rPr>
        <w:t>costs and sustainability attributes of energy alternatives are decisive factors</w:t>
      </w:r>
      <w:r>
        <w:rPr>
          <w:lang w:val="en-US"/>
        </w:rPr>
        <w:t>.</w:t>
      </w:r>
      <w:r w:rsidRPr="00A13F94">
        <w:rPr>
          <w:lang w:val="en-US"/>
        </w:rPr>
        <w:t xml:space="preserve"> Th</w:t>
      </w:r>
      <w:r>
        <w:rPr>
          <w:lang w:val="en-US"/>
        </w:rPr>
        <w:t xml:space="preserve">e enduring role of oil and gas obliges </w:t>
      </w:r>
      <w:r w:rsidRPr="00A13F94">
        <w:rPr>
          <w:lang w:val="en-US"/>
        </w:rPr>
        <w:t xml:space="preserve">increased attention on </w:t>
      </w:r>
      <w:r w:rsidRPr="00281521">
        <w:rPr>
          <w:lang w:val="en-US"/>
        </w:rPr>
        <w:t xml:space="preserve">methane emissions from </w:t>
      </w:r>
      <w:r w:rsidRPr="00A13F94">
        <w:rPr>
          <w:lang w:val="en-US"/>
        </w:rPr>
        <w:t xml:space="preserve">the entire oil and gas value chain from </w:t>
      </w:r>
      <w:r w:rsidRPr="00067B3E">
        <w:rPr>
          <w:lang w:val="en-US"/>
        </w:rPr>
        <w:t>exploration and extraction to end use</w:t>
      </w:r>
      <w:r w:rsidRPr="00281521">
        <w:rPr>
          <w:lang w:val="en-US"/>
        </w:rPr>
        <w:t xml:space="preserve">. </w:t>
      </w:r>
    </w:p>
    <w:p w14:paraId="3281D2C9" w14:textId="27C14F11" w:rsidR="005C3F55" w:rsidRDefault="005C3F55" w:rsidP="005C3F55">
      <w:pPr>
        <w:spacing w:before="120" w:after="0"/>
        <w:rPr>
          <w:lang w:val="en-US"/>
        </w:rPr>
      </w:pPr>
      <w:r>
        <w:rPr>
          <w:lang w:val="en-US"/>
        </w:rPr>
        <w:t>The current level of methane emissions from oil and gas sector installations represents a significant resource waste and causes environmental damages</w:t>
      </w:r>
      <w:r w:rsidR="000747F1">
        <w:rPr>
          <w:lang w:val="en-US"/>
        </w:rPr>
        <w:t>.</w:t>
      </w:r>
      <w:r>
        <w:rPr>
          <w:lang w:val="en-US"/>
        </w:rPr>
        <w:t xml:space="preserve"> </w:t>
      </w:r>
      <w:r w:rsidRPr="006F6315">
        <w:rPr>
          <w:lang w:val="en-US"/>
        </w:rPr>
        <w:t xml:space="preserve">Recent research shows that methane emissions </w:t>
      </w:r>
      <w:r>
        <w:rPr>
          <w:lang w:val="en-US"/>
        </w:rPr>
        <w:t>are responsible for about one fourth</w:t>
      </w:r>
      <w:r w:rsidRPr="006F6315">
        <w:rPr>
          <w:lang w:val="en-US"/>
        </w:rPr>
        <w:t xml:space="preserve"> of </w:t>
      </w:r>
      <w:r>
        <w:rPr>
          <w:lang w:val="en-US"/>
        </w:rPr>
        <w:t xml:space="preserve">manmade </w:t>
      </w:r>
      <w:r w:rsidRPr="006F6315">
        <w:rPr>
          <w:lang w:val="en-US"/>
        </w:rPr>
        <w:t>global warming</w:t>
      </w:r>
      <w:r>
        <w:rPr>
          <w:lang w:val="en-US"/>
        </w:rPr>
        <w:t xml:space="preserve">. Oil and gas sector operations account for one fourth of current global anthropogenic methane emissions, and there are several projections indicating that emissions could increase significantly. </w:t>
      </w:r>
    </w:p>
    <w:p w14:paraId="398048EE" w14:textId="3E030D40" w:rsidR="005C3F55" w:rsidRDefault="005C3F55" w:rsidP="005C3F55">
      <w:pPr>
        <w:spacing w:before="120" w:after="0"/>
        <w:rPr>
          <w:lang w:val="en-US"/>
        </w:rPr>
      </w:pPr>
      <w:r>
        <w:rPr>
          <w:lang w:val="en-US"/>
        </w:rPr>
        <w:t xml:space="preserve">A major part of oil and gas methane emissions is </w:t>
      </w:r>
      <w:r w:rsidRPr="004A6D6C">
        <w:rPr>
          <w:lang w:val="en-US"/>
        </w:rPr>
        <w:t>technically feasible to eliminate</w:t>
      </w:r>
      <w:r w:rsidR="00C437A6">
        <w:rPr>
          <w:lang w:val="en-US"/>
        </w:rPr>
        <w:t>. E</w:t>
      </w:r>
      <w:r>
        <w:rPr>
          <w:lang w:val="en-US"/>
        </w:rPr>
        <w:t xml:space="preserve">mpirical studies suggest that </w:t>
      </w:r>
      <w:r w:rsidRPr="004A6D6C">
        <w:rPr>
          <w:lang w:val="en-US"/>
        </w:rPr>
        <w:t>almost 50% can be reduced with no net costs</w:t>
      </w:r>
      <w:r>
        <w:rPr>
          <w:lang w:val="en-US"/>
        </w:rPr>
        <w:t xml:space="preserve">. A number of barriers, including lack of awareness and knowledge, have hinder exploitation of this potential.  This document provides </w:t>
      </w:r>
      <w:r w:rsidRPr="00BD3EE5">
        <w:rPr>
          <w:lang w:val="en-US"/>
        </w:rPr>
        <w:t>guidance</w:t>
      </w:r>
      <w:r w:rsidRPr="00E21C85">
        <w:rPr>
          <w:lang w:val="en-US"/>
        </w:rPr>
        <w:t xml:space="preserve"> </w:t>
      </w:r>
      <w:r>
        <w:rPr>
          <w:lang w:val="en-US"/>
        </w:rPr>
        <w:t>for</w:t>
      </w:r>
      <w:r w:rsidRPr="00E21C85">
        <w:rPr>
          <w:lang w:val="en-US"/>
        </w:rPr>
        <w:t xml:space="preserve"> develo</w:t>
      </w:r>
      <w:r>
        <w:rPr>
          <w:lang w:val="en-US"/>
        </w:rPr>
        <w:t>pin</w:t>
      </w:r>
      <w:r w:rsidRPr="00E21C85">
        <w:rPr>
          <w:lang w:val="en-US"/>
        </w:rPr>
        <w:t>g and implement</w:t>
      </w:r>
      <w:r>
        <w:rPr>
          <w:lang w:val="en-US"/>
        </w:rPr>
        <w:t>ing</w:t>
      </w:r>
      <w:r w:rsidRPr="00E21C85">
        <w:rPr>
          <w:lang w:val="en-US"/>
        </w:rPr>
        <w:t xml:space="preserve"> effective monitoring, reporting and verification practices</w:t>
      </w:r>
      <w:r>
        <w:rPr>
          <w:lang w:val="en-US"/>
        </w:rPr>
        <w:t xml:space="preserve"> MRV)</w:t>
      </w:r>
      <w:r w:rsidRPr="00E21C85">
        <w:rPr>
          <w:lang w:val="en-US"/>
        </w:rPr>
        <w:t xml:space="preserve">, as well as </w:t>
      </w:r>
      <w:r>
        <w:rPr>
          <w:lang w:val="en-US"/>
        </w:rPr>
        <w:t xml:space="preserve">mitigating methane </w:t>
      </w:r>
      <w:r w:rsidRPr="006F6315">
        <w:rPr>
          <w:lang w:val="en-US"/>
        </w:rPr>
        <w:t>emissions</w:t>
      </w:r>
      <w:r>
        <w:rPr>
          <w:lang w:val="en-US"/>
        </w:rPr>
        <w:t xml:space="preserve">.  </w:t>
      </w:r>
      <w:r w:rsidRPr="00C5222C">
        <w:rPr>
          <w:lang w:val="en-US"/>
        </w:rPr>
        <w:t xml:space="preserve">The term MRV covers three categories of activities: </w:t>
      </w:r>
      <w:proofErr w:type="spellStart"/>
      <w:r w:rsidRPr="00C5222C">
        <w:rPr>
          <w:lang w:val="en-US"/>
        </w:rPr>
        <w:t>i</w:t>
      </w:r>
      <w:proofErr w:type="spellEnd"/>
      <w:r w:rsidRPr="00C5222C">
        <w:rPr>
          <w:lang w:val="en-US"/>
        </w:rPr>
        <w:t>) encompass direct measurements and other methods for quantifying emissions; ii) reporting of estimated emissions in specific formats; and iii) verification of emissions and/or emission reductions</w:t>
      </w:r>
      <w:r>
        <w:rPr>
          <w:lang w:val="en-US"/>
        </w:rPr>
        <w:t xml:space="preserve">. </w:t>
      </w:r>
    </w:p>
    <w:p w14:paraId="097A991F" w14:textId="22D90995" w:rsidR="005C3F55" w:rsidRDefault="005C3F55" w:rsidP="005C3F55">
      <w:pPr>
        <w:spacing w:before="120" w:after="0"/>
        <w:rPr>
          <w:lang w:val="en-US"/>
        </w:rPr>
      </w:pPr>
      <w:r>
        <w:rPr>
          <w:lang w:val="en-US"/>
        </w:rPr>
        <w:t xml:space="preserve">While MRV and mitigation are distinct activities, they are also strongly related. Mitigation can be most effective and cost-efficient when based on sound MRV practices. Further, MRV </w:t>
      </w:r>
      <w:r w:rsidRPr="006F6315">
        <w:rPr>
          <w:lang w:val="en-US"/>
        </w:rPr>
        <w:t xml:space="preserve">and mitigation practices </w:t>
      </w:r>
      <w:r>
        <w:rPr>
          <w:lang w:val="en-US"/>
        </w:rPr>
        <w:t xml:space="preserve">conducted at </w:t>
      </w:r>
      <w:r w:rsidRPr="006F6315">
        <w:rPr>
          <w:lang w:val="en-US"/>
        </w:rPr>
        <w:t>the facility and company</w:t>
      </w:r>
      <w:r w:rsidR="00C437A6">
        <w:rPr>
          <w:lang w:val="en-US"/>
        </w:rPr>
        <w:t xml:space="preserve"> level </w:t>
      </w:r>
      <w:r w:rsidRPr="006F6315">
        <w:rPr>
          <w:lang w:val="en-US"/>
        </w:rPr>
        <w:t xml:space="preserve"> are </w:t>
      </w:r>
      <w:r>
        <w:rPr>
          <w:lang w:val="en-US"/>
        </w:rPr>
        <w:t>often</w:t>
      </w:r>
      <w:r w:rsidRPr="006F6315">
        <w:rPr>
          <w:lang w:val="en-US"/>
        </w:rPr>
        <w:t xml:space="preserve"> interrelated with those developed at national level</w:t>
      </w:r>
      <w:r>
        <w:rPr>
          <w:lang w:val="en-US"/>
        </w:rPr>
        <w:t xml:space="preserve">, and they are </w:t>
      </w:r>
      <w:r w:rsidR="00C437A6">
        <w:rPr>
          <w:lang w:val="en-US"/>
        </w:rPr>
        <w:t xml:space="preserve">again </w:t>
      </w:r>
      <w:r w:rsidRPr="006F6315">
        <w:rPr>
          <w:lang w:val="en-US"/>
        </w:rPr>
        <w:t>influence</w:t>
      </w:r>
      <w:r>
        <w:rPr>
          <w:lang w:val="en-US"/>
        </w:rPr>
        <w:t>d</w:t>
      </w:r>
      <w:r w:rsidRPr="006F6315">
        <w:rPr>
          <w:lang w:val="en-US"/>
        </w:rPr>
        <w:t xml:space="preserve"> by international guidelines and commitments, particularly those established under the </w:t>
      </w:r>
      <w:r>
        <w:rPr>
          <w:lang w:val="en-US"/>
        </w:rPr>
        <w:t xml:space="preserve">Intergovernmental Panel on Climate Change (IPCC) and the </w:t>
      </w:r>
      <w:r w:rsidRPr="006F6315">
        <w:rPr>
          <w:lang w:val="en-US"/>
        </w:rPr>
        <w:t xml:space="preserve">United Nations Framework Convention on Climate Change (UNFCCC). </w:t>
      </w:r>
    </w:p>
    <w:p w14:paraId="3F50F8C1" w14:textId="7A72F6C7" w:rsidR="005C3F55" w:rsidRDefault="005C3F55" w:rsidP="005C3F55">
      <w:pPr>
        <w:spacing w:before="120" w:after="0"/>
        <w:rPr>
          <w:lang w:val="en-US"/>
        </w:rPr>
      </w:pPr>
      <w:r>
        <w:rPr>
          <w:lang w:val="en-US"/>
        </w:rPr>
        <w:t>Th</w:t>
      </w:r>
      <w:r w:rsidR="00C437A6">
        <w:rPr>
          <w:lang w:val="en-US"/>
        </w:rPr>
        <w:t>is</w:t>
      </w:r>
      <w:r>
        <w:rPr>
          <w:lang w:val="en-US"/>
        </w:rPr>
        <w:t xml:space="preserve"> document is meant to serve as a resource for a broad audience, including owners and operators of oil and gas facilities and policymakers at all levels of government, with the purpose of contribution to sound MRV practices and effective and cost-efficient mitigation. It</w:t>
      </w:r>
      <w:r w:rsidRPr="00EB7A1E">
        <w:rPr>
          <w:lang w:val="en-US"/>
        </w:rPr>
        <w:t xml:space="preserve"> is intentionally “principles-based”</w:t>
      </w:r>
      <w:r>
        <w:rPr>
          <w:lang w:val="en-US"/>
        </w:rPr>
        <w:t xml:space="preserve">, recognizing </w:t>
      </w:r>
      <w:r w:rsidRPr="00EB7A1E">
        <w:rPr>
          <w:lang w:val="en-US"/>
        </w:rPr>
        <w:t>that conditions vary greatly across oil and gas facilities, and that legal, political and institutional aspects differ by jurisdictions</w:t>
      </w:r>
      <w:r>
        <w:rPr>
          <w:lang w:val="en-US"/>
        </w:rPr>
        <w:t xml:space="preserve">. </w:t>
      </w:r>
    </w:p>
    <w:p w14:paraId="2063CA53" w14:textId="77777777" w:rsidR="005C3F55" w:rsidRDefault="005C3F55" w:rsidP="005C3F55">
      <w:pPr>
        <w:spacing w:before="120" w:after="0"/>
        <w:rPr>
          <w:lang w:val="en-US"/>
        </w:rPr>
      </w:pPr>
      <w:r>
        <w:rPr>
          <w:lang w:val="en-US"/>
        </w:rPr>
        <w:t xml:space="preserve">The key conclusions and principles from this document are as follows: </w:t>
      </w:r>
    </w:p>
    <w:p w14:paraId="2F558D32" w14:textId="4ABC8D6B" w:rsidR="005C3F55" w:rsidRDefault="005C3F55" w:rsidP="005D2939">
      <w:pPr>
        <w:pStyle w:val="ListParagraph"/>
        <w:numPr>
          <w:ilvl w:val="0"/>
          <w:numId w:val="64"/>
        </w:numPr>
        <w:spacing w:before="120" w:after="0" w:line="276" w:lineRule="auto"/>
        <w:contextualSpacing w:val="0"/>
      </w:pPr>
      <w:r w:rsidRPr="00F71149">
        <w:rPr>
          <w:b/>
        </w:rPr>
        <w:t>There is considerable uncertainty about the level of methane emissions from oil and gas operations</w:t>
      </w:r>
      <w:r>
        <w:t xml:space="preserve">. </w:t>
      </w:r>
      <w:r w:rsidR="002B5816">
        <w:t xml:space="preserve">Data reported to the UNFCCC is the </w:t>
      </w:r>
      <w:r>
        <w:t xml:space="preserve">main source of global and country estimates of emissions </w:t>
      </w:r>
      <w:r w:rsidR="002B5816">
        <w:t>of GHGs, including methane</w:t>
      </w:r>
      <w:r>
        <w:t xml:space="preserve">.  The quality of methods and </w:t>
      </w:r>
      <w:r w:rsidR="002B5816">
        <w:t xml:space="preserve">primary </w:t>
      </w:r>
      <w:r>
        <w:t xml:space="preserve">data used for these estimates vary significantly by country. </w:t>
      </w:r>
      <w:r w:rsidR="002B5816">
        <w:t>There are other (</w:t>
      </w:r>
      <w:r>
        <w:t>independent</w:t>
      </w:r>
      <w:r w:rsidR="002B5816">
        <w:t>)</w:t>
      </w:r>
      <w:r>
        <w:t xml:space="preserve"> estimates of global, regional and country emissions.</w:t>
      </w:r>
      <w:r w:rsidR="002B5816">
        <w:t xml:space="preserve"> Estimated emission levels from the independent sources typically </w:t>
      </w:r>
      <w:r>
        <w:t xml:space="preserve">diverge, and countries </w:t>
      </w:r>
      <w:r w:rsidR="002B5816">
        <w:t xml:space="preserve">and sector </w:t>
      </w:r>
      <w:r>
        <w:t>estimate</w:t>
      </w:r>
      <w:r w:rsidR="002B5816">
        <w:t xml:space="preserve">s can be </w:t>
      </w:r>
      <w:r>
        <w:t>twice or half the level of the official UNFCCC reports. Improving the practices for estimating national methane emissions data is an essential for enhanced methane emissions management.</w:t>
      </w:r>
    </w:p>
    <w:p w14:paraId="0016961A" w14:textId="113D6F80" w:rsidR="005C3F55" w:rsidRDefault="005C3F55" w:rsidP="005D2939">
      <w:pPr>
        <w:pStyle w:val="ListParagraph"/>
        <w:numPr>
          <w:ilvl w:val="0"/>
          <w:numId w:val="64"/>
        </w:numPr>
        <w:spacing w:before="120" w:after="0" w:line="276" w:lineRule="auto"/>
        <w:contextualSpacing w:val="0"/>
      </w:pPr>
      <w:r w:rsidRPr="003B405D">
        <w:rPr>
          <w:b/>
        </w:rPr>
        <w:t>Quantification of methane emissions is difficult</w:t>
      </w:r>
      <w:r>
        <w:t>.  Unlike CO</w:t>
      </w:r>
      <w:r>
        <w:rPr>
          <w:vertAlign w:val="subscript"/>
        </w:rPr>
        <w:t xml:space="preserve">2 </w:t>
      </w:r>
      <w:r>
        <w:t>emissions</w:t>
      </w:r>
      <w:r w:rsidR="00C437A6">
        <w:t>,</w:t>
      </w:r>
      <w:r>
        <w:t xml:space="preserve"> methane emissions typically comes from very large number of dispersed emission sources, which often are difficult to detect</w:t>
      </w:r>
      <w:r w:rsidR="00C437A6">
        <w:t xml:space="preserve"> and measure</w:t>
      </w:r>
      <w:r>
        <w:t>. Quantification cannot be based purely on continuous monitoring. Procedures should be in place to combine measurements with calculations based methods. Technologies to assist in methane detection and measurement are emerging and should by adopted by companies and authorities in their MRV activities.</w:t>
      </w:r>
    </w:p>
    <w:p w14:paraId="7D891C3D" w14:textId="423EF492" w:rsidR="005C3F55" w:rsidRDefault="009B06D9" w:rsidP="005D2939">
      <w:pPr>
        <w:pStyle w:val="ListParagraph"/>
        <w:numPr>
          <w:ilvl w:val="0"/>
          <w:numId w:val="64"/>
        </w:numPr>
        <w:spacing w:before="120" w:after="0" w:line="276" w:lineRule="auto"/>
        <w:contextualSpacing w:val="0"/>
      </w:pPr>
      <w:r>
        <w:rPr>
          <w:b/>
        </w:rPr>
        <w:t xml:space="preserve">Oil and gas companies are making </w:t>
      </w:r>
      <w:r w:rsidR="00741DE8">
        <w:rPr>
          <w:b/>
        </w:rPr>
        <w:t xml:space="preserve">progress in quantifying </w:t>
      </w:r>
      <w:r>
        <w:rPr>
          <w:b/>
        </w:rPr>
        <w:t xml:space="preserve">and </w:t>
      </w:r>
      <w:r w:rsidR="008C4BE1">
        <w:rPr>
          <w:b/>
        </w:rPr>
        <w:t xml:space="preserve">mitigating </w:t>
      </w:r>
      <w:r>
        <w:rPr>
          <w:b/>
        </w:rPr>
        <w:t xml:space="preserve">emissions. </w:t>
      </w:r>
      <w:r>
        <w:t xml:space="preserve">Increase recognition of methane management </w:t>
      </w:r>
      <w:r w:rsidR="00C437A6">
        <w:t xml:space="preserve">as important for resource efficiency and environmental protection </w:t>
      </w:r>
      <w:r>
        <w:t xml:space="preserve">has led a number </w:t>
      </w:r>
      <w:r w:rsidR="00BD40D2">
        <w:t xml:space="preserve">of large companies to </w:t>
      </w:r>
      <w:r>
        <w:t>take action unilaterally and</w:t>
      </w:r>
      <w:r w:rsidR="00BD40D2">
        <w:t>/or</w:t>
      </w:r>
      <w:r>
        <w:t xml:space="preserve"> </w:t>
      </w:r>
      <w:r>
        <w:lastRenderedPageBreak/>
        <w:t xml:space="preserve">through industry associations and public private partnerships. Knowledge and best practices are being shared </w:t>
      </w:r>
      <w:r w:rsidR="00745364">
        <w:t xml:space="preserve">and results are gradually emerging. Still, many factors continue to hinder action in large parts of the industry. </w:t>
      </w:r>
      <w:r w:rsidR="00880AD1">
        <w:t>L</w:t>
      </w:r>
      <w:r w:rsidR="00745364">
        <w:t>ack of awareness and knowledge,</w:t>
      </w:r>
      <w:r w:rsidR="00880AD1">
        <w:t xml:space="preserve"> as well as economic and regulatory barriers prevail and need to be addressed.</w:t>
      </w:r>
      <w:r w:rsidR="005C3F55">
        <w:t xml:space="preserve"> </w:t>
      </w:r>
    </w:p>
    <w:p w14:paraId="100D443B" w14:textId="71C8421A" w:rsidR="005C3F55" w:rsidRDefault="00D72D4E" w:rsidP="005D2939">
      <w:pPr>
        <w:pStyle w:val="ListParagraph"/>
        <w:numPr>
          <w:ilvl w:val="0"/>
          <w:numId w:val="64"/>
        </w:numPr>
        <w:spacing w:before="120" w:after="0" w:line="276" w:lineRule="auto"/>
        <w:contextualSpacing w:val="0"/>
      </w:pPr>
      <w:r>
        <w:rPr>
          <w:b/>
        </w:rPr>
        <w:t xml:space="preserve">The Paris Agreement “Rulebook” </w:t>
      </w:r>
      <w:r w:rsidR="00077F82">
        <w:rPr>
          <w:b/>
        </w:rPr>
        <w:t>calls for scale up of national MRV effort</w:t>
      </w:r>
      <w:r w:rsidR="00BD40D2">
        <w:rPr>
          <w:b/>
        </w:rPr>
        <w:t xml:space="preserve">. </w:t>
      </w:r>
      <w:r w:rsidR="00BD40D2" w:rsidRPr="00BD40D2">
        <w:t xml:space="preserve">This </w:t>
      </w:r>
      <w:r w:rsidR="00077F82" w:rsidRPr="00BD40D2">
        <w:t>should improve</w:t>
      </w:r>
      <w:r w:rsidR="00880AD1" w:rsidRPr="00BD40D2">
        <w:t xml:space="preserve"> knowledge about the scale and nature of methane emissions and the benefits of mitigation</w:t>
      </w:r>
      <w:r w:rsidR="00BD40D2">
        <w:t>, but m</w:t>
      </w:r>
      <w:r w:rsidR="00077F82" w:rsidRPr="00077F82">
        <w:t xml:space="preserve">any countries </w:t>
      </w:r>
      <w:r w:rsidR="003646FD">
        <w:t>may</w:t>
      </w:r>
      <w:r w:rsidR="003646FD" w:rsidRPr="00077F82">
        <w:t xml:space="preserve"> </w:t>
      </w:r>
      <w:r w:rsidR="00077F82" w:rsidRPr="00077F82">
        <w:t xml:space="preserve">find it </w:t>
      </w:r>
      <w:r w:rsidR="003646FD">
        <w:t>difficult</w:t>
      </w:r>
      <w:r w:rsidR="003646FD" w:rsidRPr="00077F82">
        <w:t xml:space="preserve"> </w:t>
      </w:r>
      <w:r w:rsidR="00077F82" w:rsidRPr="00077F82">
        <w:t>to adapt to new accounting and reporting requiremen</w:t>
      </w:r>
      <w:r w:rsidR="00BD40D2">
        <w:t>ts</w:t>
      </w:r>
      <w:r w:rsidR="008C4BE1">
        <w:t xml:space="preserve"> set in the Paris Agreement “Rulebook”</w:t>
      </w:r>
      <w:r w:rsidR="00BD40D2">
        <w:t>. C</w:t>
      </w:r>
      <w:r w:rsidR="00077F82" w:rsidRPr="00077F82">
        <w:t xml:space="preserve">onsiderable support </w:t>
      </w:r>
      <w:r w:rsidR="00BD40D2">
        <w:t xml:space="preserve">is </w:t>
      </w:r>
      <w:r w:rsidR="003646FD">
        <w:t>to build</w:t>
      </w:r>
      <w:r w:rsidR="00077F82" w:rsidRPr="00077F82">
        <w:t xml:space="preserve"> the </w:t>
      </w:r>
      <w:r w:rsidR="003646FD">
        <w:t xml:space="preserve">institutional and technical </w:t>
      </w:r>
      <w:r w:rsidR="00077F82" w:rsidRPr="00077F82">
        <w:t xml:space="preserve">capacity </w:t>
      </w:r>
      <w:r w:rsidR="00BD40D2">
        <w:t xml:space="preserve">required for </w:t>
      </w:r>
      <w:r w:rsidR="00077F82" w:rsidRPr="00077F82">
        <w:t>report</w:t>
      </w:r>
      <w:r w:rsidR="00BD40D2">
        <w:t xml:space="preserve">ing </w:t>
      </w:r>
      <w:r w:rsidR="00077F82" w:rsidRPr="00077F82">
        <w:t>biennially on emissions and on progress in mitigation efforts.</w:t>
      </w:r>
      <w:r w:rsidR="003B30E4">
        <w:t xml:space="preserve"> Sharing of knowledge and best practice experiences, nationally between public institutions and companies</w:t>
      </w:r>
      <w:r w:rsidR="00BD40D2">
        <w:t>,</w:t>
      </w:r>
      <w:r w:rsidR="003B30E4">
        <w:t xml:space="preserve"> and internationally between </w:t>
      </w:r>
      <w:r w:rsidR="00BD40D2">
        <w:t xml:space="preserve">a broad set of </w:t>
      </w:r>
      <w:r w:rsidR="003B30E4">
        <w:t>institutions, will be essential.</w:t>
      </w:r>
      <w:r w:rsidR="00077F82">
        <w:rPr>
          <w:b/>
        </w:rPr>
        <w:t xml:space="preserve"> </w:t>
      </w:r>
    </w:p>
    <w:p w14:paraId="447F54F0" w14:textId="21BC9169" w:rsidR="005C3F55" w:rsidRPr="003831F5" w:rsidRDefault="003B30E4" w:rsidP="003831F5">
      <w:pPr>
        <w:pStyle w:val="ListParagraph"/>
        <w:numPr>
          <w:ilvl w:val="0"/>
          <w:numId w:val="64"/>
        </w:numPr>
        <w:spacing w:before="120" w:after="0" w:line="276" w:lineRule="auto"/>
        <w:ind w:left="357" w:hanging="357"/>
        <w:contextualSpacing w:val="0"/>
      </w:pPr>
      <w:r w:rsidRPr="003831F5">
        <w:rPr>
          <w:b/>
        </w:rPr>
        <w:t xml:space="preserve">Regulatory standards, economic instruments and agreements between the industry and national authorities </w:t>
      </w:r>
      <w:r w:rsidR="00BD40D2" w:rsidRPr="003831F5">
        <w:rPr>
          <w:b/>
        </w:rPr>
        <w:t xml:space="preserve">can all be part of effective and cost-efficient policies to address oil and gas methane emissions. </w:t>
      </w:r>
      <w:r w:rsidR="00BD40D2" w:rsidRPr="00BD40D2">
        <w:t>Current policies and regulations vary across coun</w:t>
      </w:r>
      <w:r w:rsidR="00BD40D2">
        <w:t xml:space="preserve">tries </w:t>
      </w:r>
      <w:r w:rsidR="00030D30">
        <w:t xml:space="preserve">as do other parts of oil and gas sector policies and regulations. </w:t>
      </w:r>
      <w:r w:rsidR="00030D30" w:rsidRPr="003831F5">
        <w:t>They are typically part of broader national legal and regulatory structures, and they are rooted in distinct institutional traditions and capabilities. For this reason, one “best practice regulation” or blueprint for regulation of methane emissions does not exist.</w:t>
      </w:r>
      <w:r w:rsidR="00030D30">
        <w:t xml:space="preserve"> The</w:t>
      </w:r>
      <w:r w:rsidR="00030D30" w:rsidRPr="003831F5">
        <w:rPr>
          <w:lang w:val="en-GB"/>
        </w:rPr>
        <w:t xml:space="preserve"> suitability of different approaches must be considered in light of national circumstances, including the nature of emissions and related infrastructure. Technological developments </w:t>
      </w:r>
      <w:r w:rsidR="003831F5" w:rsidRPr="003831F5">
        <w:rPr>
          <w:lang w:val="en-GB"/>
        </w:rPr>
        <w:t xml:space="preserve">and improvement in MRV practises can open up new approaches in use of all the three categories of policy instruments mentioned here. </w:t>
      </w:r>
    </w:p>
    <w:p w14:paraId="32F8F898" w14:textId="2BB55A00" w:rsidR="005C3F55" w:rsidRPr="0060031B" w:rsidRDefault="001013F9" w:rsidP="00F2509A">
      <w:pPr>
        <w:pStyle w:val="ListParagraph"/>
        <w:numPr>
          <w:ilvl w:val="0"/>
          <w:numId w:val="64"/>
        </w:numPr>
        <w:spacing w:before="120" w:after="0" w:line="276" w:lineRule="auto"/>
        <w:contextualSpacing w:val="0"/>
        <w:rPr>
          <w:b/>
          <w:lang w:val="en-GB"/>
        </w:rPr>
      </w:pPr>
      <w:r w:rsidRPr="001013F9">
        <w:rPr>
          <w:b/>
        </w:rPr>
        <w:t>Enhanced methane emission reductions efforts can result from the Paris Agreement becoming operational</w:t>
      </w:r>
      <w:r>
        <w:t xml:space="preserve">. The significant, near term and cost-efficient mitigation impacts of methane emission reductions call for these being explicitly and quantitatively covered in the Nationally Determined Contributions </w:t>
      </w:r>
      <w:r w:rsidR="00F2509A">
        <w:t>(NDCs)</w:t>
      </w:r>
      <w:r>
        <w:t xml:space="preserve">. </w:t>
      </w:r>
      <w:r w:rsidR="00F2509A">
        <w:t xml:space="preserve">This </w:t>
      </w:r>
      <w:r w:rsidR="009A4996">
        <w:t xml:space="preserve">requires careful planning and implementation of policies and measures, supported by sound MRV practices. Several of the countries with large methane emission potentials </w:t>
      </w:r>
      <w:r w:rsidR="008C4BE1">
        <w:t xml:space="preserve">will </w:t>
      </w:r>
      <w:r w:rsidR="009A4996">
        <w:t xml:space="preserve">need support </w:t>
      </w:r>
      <w:r w:rsidR="00F2509A">
        <w:t xml:space="preserve">in order to </w:t>
      </w:r>
      <w:r w:rsidR="009A4996">
        <w:t xml:space="preserve">establish the capabilities and capacity the required </w:t>
      </w:r>
      <w:r w:rsidR="00F2509A">
        <w:t xml:space="preserve">for </w:t>
      </w:r>
      <w:r w:rsidR="009A4996">
        <w:t xml:space="preserve">MRV and mitigation planning activities. Further, for some countries </w:t>
      </w:r>
      <w:r w:rsidR="00F2509A">
        <w:t>will a</w:t>
      </w:r>
      <w:r w:rsidR="009A4996">
        <w:t>lso be able to achieve more ambitious reduction through investment support</w:t>
      </w:r>
      <w:r w:rsidR="00F2509A">
        <w:t xml:space="preserve">.  </w:t>
      </w:r>
      <w:r w:rsidR="008C4BE1">
        <w:t>Investment s</w:t>
      </w:r>
      <w:r w:rsidR="00F2509A">
        <w:t>upport would typically be granted based on documented results based on sound MRV methods and practices.</w:t>
      </w:r>
      <w:r w:rsidR="005C3F55" w:rsidRPr="007857E3">
        <w:t xml:space="preserve"> </w:t>
      </w:r>
    </w:p>
    <w:p w14:paraId="1465AA13" w14:textId="77777777" w:rsidR="00A0524C" w:rsidRDefault="00A0524C" w:rsidP="005D2939">
      <w:pPr>
        <w:pStyle w:val="Heading1"/>
        <w:numPr>
          <w:ilvl w:val="0"/>
          <w:numId w:val="50"/>
        </w:numPr>
        <w:rPr>
          <w:lang w:val="en-US"/>
        </w:rPr>
      </w:pPr>
      <w:r>
        <w:rPr>
          <w:lang w:val="en-US"/>
        </w:rPr>
        <w:br w:type="column"/>
      </w:r>
      <w:bookmarkStart w:id="127" w:name="_Toc3473010"/>
      <w:r>
        <w:rPr>
          <w:lang w:val="en-US"/>
        </w:rPr>
        <w:lastRenderedPageBreak/>
        <w:t>C</w:t>
      </w:r>
      <w:r w:rsidRPr="0078068D">
        <w:rPr>
          <w:lang w:val="en-US"/>
        </w:rPr>
        <w:t>ase studies</w:t>
      </w:r>
      <w:bookmarkEnd w:id="123"/>
      <w:bookmarkEnd w:id="124"/>
      <w:bookmarkEnd w:id="127"/>
      <w:r w:rsidRPr="0078068D">
        <w:rPr>
          <w:lang w:val="en-US"/>
        </w:rPr>
        <w:t xml:space="preserve"> </w:t>
      </w:r>
    </w:p>
    <w:p w14:paraId="1B3A5FFD" w14:textId="77777777" w:rsidR="00A0524C" w:rsidRPr="00197034" w:rsidRDefault="00A0524C" w:rsidP="00197034">
      <w:pPr>
        <w:pStyle w:val="Heading3"/>
        <w:rPr>
          <w:lang w:val="en-GB"/>
        </w:rPr>
      </w:pPr>
      <w:bookmarkStart w:id="128" w:name="_Toc3375885"/>
      <w:r w:rsidRPr="00197034">
        <w:rPr>
          <w:lang w:val="en-GB"/>
        </w:rPr>
        <w:t>Case study 1: Public private partnership to improvement knowledge about methane emissions and mitigation options – Norway</w:t>
      </w:r>
      <w:bookmarkEnd w:id="128"/>
      <w:r w:rsidRPr="00197034">
        <w:rPr>
          <w:lang w:val="en-GB"/>
        </w:rPr>
        <w:t xml:space="preserve">  </w:t>
      </w:r>
    </w:p>
    <w:p w14:paraId="4188C589" w14:textId="2E30C474" w:rsidR="002144C4" w:rsidRPr="002144C4" w:rsidRDefault="002144C4" w:rsidP="00A0524C">
      <w:pPr>
        <w:ind w:left="360"/>
        <w:rPr>
          <w:lang w:val="en-GB"/>
        </w:rPr>
      </w:pPr>
      <w:r w:rsidRPr="002144C4">
        <w:rPr>
          <w:highlight w:val="yellow"/>
          <w:lang w:val="en-GB"/>
        </w:rPr>
        <w:t xml:space="preserve">[this </w:t>
      </w:r>
      <w:r>
        <w:rPr>
          <w:highlight w:val="yellow"/>
          <w:lang w:val="en-GB"/>
        </w:rPr>
        <w:t xml:space="preserve">is </w:t>
      </w:r>
      <w:r w:rsidRPr="002144C4">
        <w:rPr>
          <w:highlight w:val="yellow"/>
          <w:lang w:val="en-GB"/>
        </w:rPr>
        <w:t>a sample to show suggested format and content of case studies, text to this case study may be extended and modified for the public version of this document]</w:t>
      </w:r>
    </w:p>
    <w:p w14:paraId="29813285" w14:textId="77777777" w:rsidR="00A0524C" w:rsidRPr="00A0524C" w:rsidRDefault="00A0524C" w:rsidP="00A0524C">
      <w:pPr>
        <w:ind w:left="360"/>
        <w:rPr>
          <w:b/>
          <w:lang w:val="en-GB"/>
        </w:rPr>
      </w:pPr>
      <w:r w:rsidRPr="00A0524C">
        <w:rPr>
          <w:b/>
          <w:lang w:val="en-GB"/>
        </w:rPr>
        <w:t xml:space="preserve">Initial condition:  </w:t>
      </w:r>
    </w:p>
    <w:p w14:paraId="74316FA0" w14:textId="0C203144" w:rsidR="00B53CAA" w:rsidRPr="000747F1" w:rsidRDefault="00F91E93" w:rsidP="002144C4">
      <w:pPr>
        <w:spacing w:before="120" w:after="0"/>
        <w:ind w:left="357"/>
        <w:rPr>
          <w:szCs w:val="20"/>
          <w:lang w:val="en-GB"/>
        </w:rPr>
      </w:pPr>
      <w:r>
        <w:rPr>
          <w:szCs w:val="20"/>
          <w:lang w:val="en-GB"/>
        </w:rPr>
        <w:t>The m</w:t>
      </w:r>
      <w:r w:rsidR="000747F1" w:rsidRPr="000747F1">
        <w:rPr>
          <w:szCs w:val="20"/>
          <w:lang w:val="en-GB"/>
        </w:rPr>
        <w:t xml:space="preserve">ethodologies </w:t>
      </w:r>
      <w:r>
        <w:rPr>
          <w:szCs w:val="20"/>
          <w:lang w:val="en-GB"/>
        </w:rPr>
        <w:t xml:space="preserve">and practises </w:t>
      </w:r>
      <w:r w:rsidR="000747F1" w:rsidRPr="000747F1">
        <w:rPr>
          <w:szCs w:val="20"/>
          <w:lang w:val="en-GB"/>
        </w:rPr>
        <w:t xml:space="preserve">for quantification of methane emissions from </w:t>
      </w:r>
      <w:r>
        <w:rPr>
          <w:szCs w:val="20"/>
          <w:lang w:val="en-GB"/>
        </w:rPr>
        <w:t>off</w:t>
      </w:r>
      <w:r w:rsidR="002144C4">
        <w:rPr>
          <w:szCs w:val="20"/>
          <w:lang w:val="en-GB"/>
        </w:rPr>
        <w:t>s</w:t>
      </w:r>
      <w:r>
        <w:rPr>
          <w:szCs w:val="20"/>
          <w:lang w:val="en-GB"/>
        </w:rPr>
        <w:t xml:space="preserve">hore </w:t>
      </w:r>
      <w:r w:rsidR="000747F1" w:rsidRPr="000747F1">
        <w:rPr>
          <w:szCs w:val="20"/>
          <w:lang w:val="en-GB"/>
        </w:rPr>
        <w:t>oil and gas installations</w:t>
      </w:r>
      <w:r>
        <w:rPr>
          <w:szCs w:val="20"/>
          <w:lang w:val="en-GB"/>
        </w:rPr>
        <w:t xml:space="preserve"> on the Norwegian Continental Shelf has been in use for use for 20 years and were perceived to be incomplete and inaccurate. Moreover, with increased political attention given to GHG emissions from the oil and gas industry there was a need to identify new cost- efficient measures to reduce emissions from oil and gas operations on the Norwegian Continental Shelf.   </w:t>
      </w:r>
      <w:r w:rsidR="000747F1">
        <w:rPr>
          <w:szCs w:val="20"/>
          <w:lang w:val="en-GB"/>
        </w:rPr>
        <w:t xml:space="preserve"> </w:t>
      </w:r>
      <w:r w:rsidR="000747F1" w:rsidRPr="000747F1">
        <w:rPr>
          <w:szCs w:val="20"/>
          <w:lang w:val="en-GB"/>
        </w:rPr>
        <w:t xml:space="preserve"> </w:t>
      </w:r>
    </w:p>
    <w:p w14:paraId="188D2B26" w14:textId="77777777" w:rsidR="00A0524C" w:rsidRPr="00A0524C" w:rsidRDefault="00A0524C" w:rsidP="002144C4">
      <w:pPr>
        <w:spacing w:before="120" w:after="0"/>
        <w:ind w:left="357"/>
        <w:rPr>
          <w:b/>
          <w:lang w:val="en-GB"/>
        </w:rPr>
      </w:pPr>
      <w:r w:rsidRPr="00A0524C">
        <w:rPr>
          <w:b/>
          <w:lang w:val="en-GB"/>
        </w:rPr>
        <w:t xml:space="preserve">Process:  </w:t>
      </w:r>
    </w:p>
    <w:p w14:paraId="147E73B5" w14:textId="4FDA4C2E" w:rsidR="00443667" w:rsidRPr="00A0524C" w:rsidRDefault="00A0524C" w:rsidP="002144C4">
      <w:pPr>
        <w:spacing w:before="120" w:after="0"/>
        <w:ind w:left="357"/>
        <w:rPr>
          <w:szCs w:val="20"/>
          <w:lang w:val="en-GB"/>
        </w:rPr>
      </w:pPr>
      <w:r w:rsidRPr="00A0524C">
        <w:rPr>
          <w:szCs w:val="20"/>
          <w:lang w:val="en-GB"/>
        </w:rPr>
        <w:t>A two years study</w:t>
      </w:r>
      <w:r w:rsidR="00315A85">
        <w:rPr>
          <w:szCs w:val="20"/>
          <w:lang w:val="en-GB"/>
        </w:rPr>
        <w:t xml:space="preserve"> </w:t>
      </w:r>
      <w:r w:rsidRPr="00A0524C">
        <w:rPr>
          <w:szCs w:val="20"/>
          <w:lang w:val="en-GB"/>
        </w:rPr>
        <w:t>was initiated by the Norwegian Environmental Agency to survey methane emission sources at offshore installations.</w:t>
      </w:r>
      <w:r w:rsidR="00315A85" w:rsidRPr="00FA2F8B">
        <w:rPr>
          <w:rStyle w:val="FootnoteReference"/>
          <w:szCs w:val="20"/>
          <w:lang w:val="en-GB"/>
        </w:rPr>
        <w:footnoteReference w:id="106"/>
      </w:r>
      <w:r w:rsidRPr="00A0524C">
        <w:rPr>
          <w:szCs w:val="20"/>
          <w:lang w:val="en-GB"/>
        </w:rPr>
        <w:t xml:space="preserve"> </w:t>
      </w:r>
      <w:r w:rsidR="00F91E93">
        <w:rPr>
          <w:szCs w:val="20"/>
          <w:lang w:val="en-GB"/>
        </w:rPr>
        <w:t>The study aimed to identify and cate</w:t>
      </w:r>
      <w:r w:rsidR="00443667">
        <w:rPr>
          <w:szCs w:val="20"/>
          <w:lang w:val="en-GB"/>
        </w:rPr>
        <w:t xml:space="preserve">gorize emission sources, quantify </w:t>
      </w:r>
      <w:r w:rsidRPr="00A0524C">
        <w:rPr>
          <w:szCs w:val="20"/>
          <w:lang w:val="en-GB"/>
        </w:rPr>
        <w:t>emissions, improve the methodology for quantification</w:t>
      </w:r>
      <w:r w:rsidR="00443667">
        <w:rPr>
          <w:szCs w:val="20"/>
          <w:lang w:val="en-GB"/>
        </w:rPr>
        <w:t>,</w:t>
      </w:r>
      <w:r w:rsidRPr="00A0524C">
        <w:rPr>
          <w:szCs w:val="20"/>
          <w:lang w:val="en-GB"/>
        </w:rPr>
        <w:t xml:space="preserve"> and </w:t>
      </w:r>
      <w:r w:rsidR="00443667">
        <w:rPr>
          <w:szCs w:val="20"/>
          <w:lang w:val="en-GB"/>
        </w:rPr>
        <w:t xml:space="preserve">make recommendations for possible mitigation measures, including implementation of new </w:t>
      </w:r>
      <w:r w:rsidRPr="00A0524C">
        <w:rPr>
          <w:szCs w:val="20"/>
          <w:lang w:val="en-GB"/>
        </w:rPr>
        <w:t xml:space="preserve">BAT </w:t>
      </w:r>
      <w:r w:rsidR="00443667">
        <w:rPr>
          <w:szCs w:val="20"/>
          <w:lang w:val="en-GB"/>
        </w:rPr>
        <w:t>standards</w:t>
      </w:r>
      <w:r w:rsidRPr="00A0524C">
        <w:rPr>
          <w:szCs w:val="20"/>
          <w:lang w:val="en-GB"/>
        </w:rPr>
        <w:t xml:space="preserve">. The detailed analysis was conducted by a consultant but with participation (and data inputs) from operating companies on the Norwegian Continental Shelf, as well as the oil industry association and </w:t>
      </w:r>
      <w:r w:rsidR="00443667">
        <w:rPr>
          <w:szCs w:val="20"/>
          <w:lang w:val="en-GB"/>
        </w:rPr>
        <w:t>the Norwegian Petroleum Directorate and the Petroleum Safety Authority.</w:t>
      </w:r>
      <w:r w:rsidR="00B42E2A">
        <w:rPr>
          <w:szCs w:val="20"/>
          <w:lang w:val="en-GB"/>
        </w:rPr>
        <w:t xml:space="preserve"> Operators contributed significantly to practical work and management of the study. </w:t>
      </w:r>
      <w:r w:rsidR="00443667">
        <w:rPr>
          <w:szCs w:val="20"/>
          <w:lang w:val="en-GB"/>
        </w:rPr>
        <w:t xml:space="preserve"> </w:t>
      </w:r>
    </w:p>
    <w:p w14:paraId="34A4E417" w14:textId="77777777" w:rsidR="00A0524C" w:rsidRPr="00A0524C" w:rsidRDefault="00A0524C" w:rsidP="002144C4">
      <w:pPr>
        <w:spacing w:before="120" w:after="0"/>
        <w:ind w:left="357"/>
        <w:rPr>
          <w:b/>
          <w:lang w:val="en-GB"/>
        </w:rPr>
      </w:pPr>
      <w:r w:rsidRPr="00A0524C">
        <w:rPr>
          <w:b/>
          <w:lang w:val="en-GB"/>
        </w:rPr>
        <w:t xml:space="preserve">Results </w:t>
      </w:r>
    </w:p>
    <w:p w14:paraId="670D3424" w14:textId="77777777" w:rsidR="00B42E2A" w:rsidRDefault="00443667" w:rsidP="002144C4">
      <w:pPr>
        <w:spacing w:before="120" w:after="0"/>
        <w:ind w:left="357"/>
        <w:rPr>
          <w:szCs w:val="20"/>
          <w:lang w:val="en-GB"/>
        </w:rPr>
      </w:pPr>
      <w:r>
        <w:rPr>
          <w:szCs w:val="20"/>
          <w:lang w:val="en-GB"/>
        </w:rPr>
        <w:t>The study confirmed that quantification according to existing methodologies and practises were incomp</w:t>
      </w:r>
      <w:r w:rsidR="002144C4">
        <w:rPr>
          <w:szCs w:val="20"/>
          <w:lang w:val="en-GB"/>
        </w:rPr>
        <w:t>lete and inaccurate from some sources. Nevertheless the overall revised estimates were found to be lower than previously calculated. Significant variations between sources were found</w:t>
      </w:r>
      <w:r w:rsidR="00B42E2A">
        <w:rPr>
          <w:szCs w:val="20"/>
          <w:lang w:val="en-GB"/>
        </w:rPr>
        <w:t xml:space="preserve">, with several new sources identified. It was recognized that significant uncertainties are associated with the new estimates. The uncertainty is particularly high for gas leaks. Still it is considered a sound assumption that the total share of leaks is relatively low at 10% of total methane emissions. </w:t>
      </w:r>
    </w:p>
    <w:p w14:paraId="04A96472" w14:textId="77777777" w:rsidR="002507A6" w:rsidRDefault="00B42E2A" w:rsidP="002144C4">
      <w:pPr>
        <w:spacing w:before="120" w:after="0"/>
        <w:ind w:left="357"/>
        <w:rPr>
          <w:szCs w:val="20"/>
          <w:lang w:val="en-GB"/>
        </w:rPr>
      </w:pPr>
      <w:r>
        <w:rPr>
          <w:szCs w:val="20"/>
          <w:lang w:val="en-GB"/>
        </w:rPr>
        <w:t xml:space="preserve">Based on the outcome of the study new approaches for methane quantification have been proposed. Specific methods are recommended for individual emission sources and </w:t>
      </w:r>
      <w:r w:rsidR="002507A6">
        <w:rPr>
          <w:szCs w:val="20"/>
          <w:lang w:val="en-GB"/>
        </w:rPr>
        <w:t xml:space="preserve">sub-sources. In some cases installation specific methods are recommended. </w:t>
      </w:r>
    </w:p>
    <w:p w14:paraId="5DB36716" w14:textId="116CD27B" w:rsidR="00443667" w:rsidRDefault="002507A6" w:rsidP="002144C4">
      <w:pPr>
        <w:spacing w:before="120" w:after="0"/>
        <w:ind w:left="357"/>
        <w:rPr>
          <w:szCs w:val="20"/>
          <w:lang w:val="en-GB"/>
        </w:rPr>
      </w:pPr>
      <w:r>
        <w:rPr>
          <w:szCs w:val="20"/>
          <w:lang w:val="en-GB"/>
        </w:rPr>
        <w:t xml:space="preserve">BAT waste gas recovery standards were recommended for new installations and number of proposal were made for technical modifications to processing units at existing installations. </w:t>
      </w:r>
    </w:p>
    <w:p w14:paraId="2FBEC213" w14:textId="1176D14D" w:rsidR="005003CD" w:rsidRDefault="00A0524C" w:rsidP="00582094">
      <w:pPr>
        <w:spacing w:before="120" w:after="0"/>
        <w:ind w:left="360"/>
        <w:rPr>
          <w:sz w:val="22"/>
          <w:lang w:val="en-GB"/>
        </w:rPr>
      </w:pPr>
      <w:r w:rsidRPr="00A0524C">
        <w:rPr>
          <w:szCs w:val="20"/>
          <w:lang w:val="en-GB"/>
        </w:rPr>
        <w:t>The emission abatement potential was found to be modest</w:t>
      </w:r>
      <w:r w:rsidR="002507A6">
        <w:rPr>
          <w:szCs w:val="20"/>
          <w:lang w:val="en-GB"/>
        </w:rPr>
        <w:t xml:space="preserve"> at </w:t>
      </w:r>
      <w:r w:rsidRPr="00A0524C">
        <w:rPr>
          <w:szCs w:val="20"/>
          <w:lang w:val="en-GB"/>
        </w:rPr>
        <w:t>around 10%.</w:t>
      </w:r>
      <w:bookmarkStart w:id="129" w:name="_Toc3375886"/>
    </w:p>
    <w:p w14:paraId="54E611DA" w14:textId="6C275776" w:rsidR="002507A6" w:rsidRDefault="00A0524C" w:rsidP="00197034">
      <w:pPr>
        <w:pStyle w:val="Heading3"/>
        <w:rPr>
          <w:szCs w:val="26"/>
          <w:lang w:val="en-GB"/>
        </w:rPr>
      </w:pPr>
      <w:r w:rsidRPr="003C6641">
        <w:rPr>
          <w:lang w:val="en-GB"/>
        </w:rPr>
        <w:t xml:space="preserve">Case study </w:t>
      </w:r>
      <w:r w:rsidR="005C3F55" w:rsidRPr="003C6641">
        <w:rPr>
          <w:lang w:val="en-GB"/>
        </w:rPr>
        <w:t>2</w:t>
      </w:r>
      <w:r w:rsidRPr="003C6641">
        <w:rPr>
          <w:lang w:val="en-GB"/>
        </w:rPr>
        <w:t>:</w:t>
      </w:r>
      <w:r w:rsidR="0067053E" w:rsidRPr="003C6641">
        <w:rPr>
          <w:lang w:val="en-GB"/>
        </w:rPr>
        <w:t xml:space="preserve"> Process to establish an inventory for methane emissions at a large state</w:t>
      </w:r>
      <w:r w:rsidR="005003CD">
        <w:rPr>
          <w:lang w:val="en-GB"/>
        </w:rPr>
        <w:t>-</w:t>
      </w:r>
      <w:r w:rsidR="0067053E" w:rsidRPr="003C6641">
        <w:rPr>
          <w:lang w:val="en-GB"/>
        </w:rPr>
        <w:t>owned oil company – country in Eurasia</w:t>
      </w:r>
      <w:r w:rsidRPr="00A0524C">
        <w:rPr>
          <w:szCs w:val="26"/>
          <w:lang w:val="en-GB"/>
        </w:rPr>
        <w:t xml:space="preserve"> </w:t>
      </w:r>
    </w:p>
    <w:p w14:paraId="70E73986" w14:textId="1A9F1924" w:rsidR="002507A6" w:rsidRPr="00A0524C" w:rsidRDefault="005003CD" w:rsidP="00582094">
      <w:pPr>
        <w:ind w:left="360"/>
        <w:rPr>
          <w:b/>
          <w:lang w:val="en-GB"/>
        </w:rPr>
      </w:pPr>
      <w:r w:rsidRPr="002144C4">
        <w:rPr>
          <w:highlight w:val="yellow"/>
          <w:lang w:val="en-GB"/>
        </w:rPr>
        <w:t>[</w:t>
      </w:r>
      <w:r w:rsidR="00582094">
        <w:rPr>
          <w:highlight w:val="yellow"/>
          <w:lang w:val="en-GB"/>
        </w:rPr>
        <w:t>will be added together with 5-6 other cases]</w:t>
      </w:r>
      <w:r w:rsidR="002507A6" w:rsidRPr="00A0524C">
        <w:rPr>
          <w:b/>
          <w:lang w:val="en-GB"/>
        </w:rPr>
        <w:t xml:space="preserve"> </w:t>
      </w:r>
    </w:p>
    <w:p w14:paraId="461C35F7" w14:textId="5F8D70E5" w:rsidR="00A0524C" w:rsidRDefault="00A0524C" w:rsidP="00582094">
      <w:pPr>
        <w:pStyle w:val="Heading1"/>
        <w:numPr>
          <w:ilvl w:val="0"/>
          <w:numId w:val="0"/>
        </w:numPr>
        <w:rPr>
          <w:lang w:val="en-GB"/>
        </w:rPr>
      </w:pPr>
      <w:r>
        <w:rPr>
          <w:lang w:val="en-US"/>
        </w:rPr>
        <w:br w:type="column"/>
      </w:r>
      <w:bookmarkStart w:id="130" w:name="_Toc3473011"/>
      <w:r w:rsidRPr="00582094">
        <w:rPr>
          <w:lang w:val="en-GB"/>
        </w:rPr>
        <w:lastRenderedPageBreak/>
        <w:t>Annex 1 Emission source categories along the value chain</w:t>
      </w:r>
      <w:bookmarkEnd w:id="125"/>
      <w:bookmarkEnd w:id="126"/>
      <w:bookmarkEnd w:id="129"/>
      <w:bookmarkEnd w:id="130"/>
      <w:r w:rsidRPr="00582094">
        <w:rPr>
          <w:lang w:val="en-GB"/>
        </w:rPr>
        <w:t xml:space="preserve"> </w:t>
      </w:r>
    </w:p>
    <w:p w14:paraId="5030FC00" w14:textId="77777777" w:rsidR="00225A04" w:rsidRPr="00225A04" w:rsidRDefault="00225A04" w:rsidP="00225A04">
      <w:pPr>
        <w:rPr>
          <w:lang w:val="en-GB"/>
        </w:rPr>
      </w:pPr>
    </w:p>
    <w:p w14:paraId="434F0F6F" w14:textId="1482E1E5" w:rsidR="00A0524C" w:rsidRPr="005C6123" w:rsidRDefault="00A0524C" w:rsidP="00A0524C">
      <w:pPr>
        <w:spacing w:before="120"/>
        <w:rPr>
          <w:szCs w:val="20"/>
          <w:lang w:val="en-US"/>
        </w:rPr>
      </w:pPr>
      <w:r w:rsidRPr="005C6123">
        <w:rPr>
          <w:szCs w:val="20"/>
          <w:lang w:val="en-US"/>
        </w:rPr>
        <w:t>The following table lists 12 important sources of methane emissions along the oil and gas value chain.</w:t>
      </w:r>
      <w:r w:rsidR="00315A85" w:rsidRPr="005C6123">
        <w:rPr>
          <w:rStyle w:val="FootnoteReference"/>
        </w:rPr>
        <w:footnoteReference w:id="107"/>
      </w:r>
      <w:r w:rsidR="00315A85">
        <w:rPr>
          <w:szCs w:val="20"/>
          <w:lang w:val="en-US"/>
        </w:rPr>
        <w:t xml:space="preserve"> </w:t>
      </w:r>
      <w:r w:rsidRPr="005C6123">
        <w:rPr>
          <w:szCs w:val="20"/>
          <w:lang w:val="en-US"/>
        </w:rPr>
        <w:t xml:space="preserve">For each emission sources, the following information are presented: </w:t>
      </w:r>
    </w:p>
    <w:p w14:paraId="4B0FF2D6" w14:textId="77777777" w:rsidR="00A0524C" w:rsidRPr="005C6123" w:rsidRDefault="00A0524C" w:rsidP="005D2939">
      <w:pPr>
        <w:pStyle w:val="ListParagraph"/>
        <w:numPr>
          <w:ilvl w:val="0"/>
          <w:numId w:val="47"/>
        </w:numPr>
        <w:spacing w:before="120" w:after="120" w:line="276" w:lineRule="auto"/>
        <w:rPr>
          <w:szCs w:val="20"/>
        </w:rPr>
      </w:pPr>
      <w:r w:rsidRPr="005C6123">
        <w:rPr>
          <w:szCs w:val="20"/>
        </w:rPr>
        <w:t>A brief description of the emission sources</w:t>
      </w:r>
    </w:p>
    <w:p w14:paraId="3DE3C998" w14:textId="77777777" w:rsidR="00A0524C" w:rsidRPr="005C6123" w:rsidRDefault="00A0524C" w:rsidP="005D2939">
      <w:pPr>
        <w:pStyle w:val="ListParagraph"/>
        <w:numPr>
          <w:ilvl w:val="0"/>
          <w:numId w:val="47"/>
        </w:numPr>
        <w:spacing w:before="120" w:after="120" w:line="276" w:lineRule="auto"/>
        <w:rPr>
          <w:szCs w:val="20"/>
        </w:rPr>
      </w:pPr>
      <w:r w:rsidRPr="005C6123">
        <w:rPr>
          <w:szCs w:val="20"/>
        </w:rPr>
        <w:t>A list of typical mitigation techniques. It is important to highlight that site specific considerations needs to be taken into account when selecting a mitigation technique</w:t>
      </w:r>
    </w:p>
    <w:p w14:paraId="66B99B7E" w14:textId="77777777" w:rsidR="00A0524C" w:rsidRPr="005C6123" w:rsidRDefault="00A0524C" w:rsidP="005D2939">
      <w:pPr>
        <w:pStyle w:val="ListParagraph"/>
        <w:numPr>
          <w:ilvl w:val="0"/>
          <w:numId w:val="47"/>
        </w:numPr>
        <w:spacing w:before="120" w:after="120" w:line="276" w:lineRule="auto"/>
        <w:rPr>
          <w:szCs w:val="20"/>
        </w:rPr>
      </w:pPr>
      <w:r w:rsidRPr="005C6123">
        <w:rPr>
          <w:szCs w:val="20"/>
        </w:rPr>
        <w:t xml:space="preserve">A non-exhaustive list of links to further information (including ion the footnotes) </w:t>
      </w:r>
    </w:p>
    <w:p w14:paraId="798F115A" w14:textId="77777777" w:rsidR="00A0524C" w:rsidRPr="005C6123" w:rsidRDefault="00A0524C" w:rsidP="005D2939">
      <w:pPr>
        <w:pStyle w:val="ListParagraph"/>
        <w:numPr>
          <w:ilvl w:val="0"/>
          <w:numId w:val="47"/>
        </w:numPr>
        <w:spacing w:before="120" w:after="120" w:line="276" w:lineRule="auto"/>
        <w:rPr>
          <w:szCs w:val="20"/>
        </w:rPr>
      </w:pPr>
      <w:r w:rsidRPr="005C6123">
        <w:rPr>
          <w:szCs w:val="20"/>
        </w:rPr>
        <w:t xml:space="preserve">Applicable emission detection and quantification equipment: In many instances, these were based on the CCAC OGMP document “Conducting emission detection and quantification equipment”. Other detection and quantification equipment, including emerging technologies (see Annex 3 below) may be used in addition to those listed. </w:t>
      </w:r>
    </w:p>
    <w:p w14:paraId="0099AF12" w14:textId="6910A107" w:rsidR="00A0524C" w:rsidRPr="005C6123" w:rsidRDefault="00A0524C" w:rsidP="005D2939">
      <w:pPr>
        <w:pStyle w:val="ListParagraph"/>
        <w:numPr>
          <w:ilvl w:val="0"/>
          <w:numId w:val="47"/>
        </w:numPr>
        <w:spacing w:before="120" w:after="120" w:line="276" w:lineRule="auto"/>
        <w:rPr>
          <w:szCs w:val="20"/>
        </w:rPr>
      </w:pPr>
      <w:r w:rsidRPr="005C6123">
        <w:rPr>
          <w:szCs w:val="20"/>
        </w:rPr>
        <w:t>Finally typical quantification Methodologies are presented based on existing inventories methodologies.</w:t>
      </w:r>
      <w:r w:rsidR="00315A85" w:rsidRPr="005C6123">
        <w:rPr>
          <w:rStyle w:val="FootnoteReference"/>
        </w:rPr>
        <w:footnoteReference w:id="108"/>
      </w:r>
      <w:r w:rsidRPr="005C6123">
        <w:rPr>
          <w:szCs w:val="20"/>
        </w:rPr>
        <w:t xml:space="preserve"> The resulting uncertainty varies significantly depending on the approach selected.  </w:t>
      </w:r>
    </w:p>
    <w:p w14:paraId="22DE054E" w14:textId="77777777" w:rsidR="00A0524C" w:rsidRPr="005C6123" w:rsidRDefault="00A0524C" w:rsidP="00A0524C">
      <w:pPr>
        <w:spacing w:before="120"/>
        <w:rPr>
          <w:szCs w:val="20"/>
          <w:lang w:val="en-US"/>
        </w:rPr>
      </w:pPr>
    </w:p>
    <w:tbl>
      <w:tblPr>
        <w:tblW w:w="9370" w:type="dxa"/>
        <w:jc w:val="center"/>
        <w:tblBorders>
          <w:top w:val="single" w:sz="4" w:space="0" w:color="208855"/>
          <w:left w:val="single" w:sz="4" w:space="0" w:color="208855"/>
          <w:bottom w:val="single" w:sz="4" w:space="0" w:color="208855"/>
          <w:right w:val="single" w:sz="4" w:space="0" w:color="208855"/>
          <w:insideH w:val="single" w:sz="4" w:space="0" w:color="208855"/>
          <w:insideV w:val="single" w:sz="4" w:space="0" w:color="208855"/>
        </w:tblBorders>
        <w:tblLayout w:type="fixed"/>
        <w:tblLook w:val="04A0" w:firstRow="1" w:lastRow="0" w:firstColumn="1" w:lastColumn="0" w:noHBand="0" w:noVBand="1"/>
      </w:tblPr>
      <w:tblGrid>
        <w:gridCol w:w="2103"/>
        <w:gridCol w:w="7"/>
        <w:gridCol w:w="15"/>
        <w:gridCol w:w="37"/>
        <w:gridCol w:w="76"/>
        <w:gridCol w:w="2104"/>
        <w:gridCol w:w="13"/>
        <w:gridCol w:w="13"/>
        <w:gridCol w:w="43"/>
        <w:gridCol w:w="83"/>
        <w:gridCol w:w="2122"/>
        <w:gridCol w:w="646"/>
        <w:gridCol w:w="41"/>
        <w:gridCol w:w="9"/>
        <w:gridCol w:w="47"/>
        <w:gridCol w:w="45"/>
        <w:gridCol w:w="536"/>
        <w:gridCol w:w="48"/>
        <w:gridCol w:w="20"/>
        <w:gridCol w:w="42"/>
        <w:gridCol w:w="615"/>
        <w:gridCol w:w="7"/>
        <w:gridCol w:w="24"/>
        <w:gridCol w:w="665"/>
        <w:gridCol w:w="9"/>
      </w:tblGrid>
      <w:tr w:rsidR="00A0524C" w:rsidRPr="005C6123" w14:paraId="114CDE15" w14:textId="77777777" w:rsidTr="0059177F">
        <w:trPr>
          <w:trHeight w:val="375"/>
          <w:jc w:val="center"/>
        </w:trPr>
        <w:tc>
          <w:tcPr>
            <w:tcW w:w="6616" w:type="dxa"/>
            <w:gridSpan w:val="11"/>
            <w:tcBorders>
              <w:top w:val="single" w:sz="2" w:space="0" w:color="208855" w:themeColor="accent1" w:themeShade="BF"/>
              <w:left w:val="single" w:sz="2" w:space="0" w:color="208855" w:themeColor="accent1" w:themeShade="BF"/>
              <w:bottom w:val="single" w:sz="8" w:space="0" w:color="52D696"/>
              <w:right w:val="single" w:sz="2" w:space="0" w:color="208855" w:themeColor="accent1" w:themeShade="BF"/>
            </w:tcBorders>
            <w:shd w:val="clear" w:color="auto" w:fill="155B39" w:themeFill="accent6"/>
            <w:vAlign w:val="center"/>
          </w:tcPr>
          <w:p w14:paraId="3A7E4AEB" w14:textId="77777777" w:rsidR="00A0524C" w:rsidRPr="000941A9" w:rsidRDefault="00A0524C" w:rsidP="005D2939">
            <w:pPr>
              <w:pStyle w:val="ListParagraph"/>
              <w:numPr>
                <w:ilvl w:val="0"/>
                <w:numId w:val="36"/>
              </w:numPr>
              <w:spacing w:after="120" w:line="276" w:lineRule="auto"/>
              <w:ind w:left="0"/>
              <w:rPr>
                <w:b/>
                <w:bCs/>
                <w:color w:val="FFFFFF"/>
                <w:sz w:val="16"/>
                <w:szCs w:val="16"/>
              </w:rPr>
            </w:pPr>
            <w:bookmarkStart w:id="131" w:name="_Hlk531619229"/>
            <w:bookmarkStart w:id="132" w:name="_Hlk531597163"/>
            <w:r w:rsidRPr="000941A9">
              <w:rPr>
                <w:b/>
                <w:bCs/>
                <w:color w:val="FFFFFF"/>
              </w:rPr>
              <w:t>Emission source categories along the value chain</w:t>
            </w:r>
          </w:p>
        </w:tc>
        <w:tc>
          <w:tcPr>
            <w:tcW w:w="743" w:type="dxa"/>
            <w:gridSpan w:val="4"/>
            <w:tcBorders>
              <w:top w:val="single" w:sz="2" w:space="0" w:color="208855" w:themeColor="accent1" w:themeShade="BF"/>
              <w:left w:val="single" w:sz="2" w:space="0" w:color="208855" w:themeColor="accent1" w:themeShade="BF"/>
              <w:bottom w:val="single" w:sz="8" w:space="0" w:color="52D696"/>
              <w:right w:val="single" w:sz="2" w:space="0" w:color="208855" w:themeColor="accent1" w:themeShade="BF"/>
            </w:tcBorders>
            <w:shd w:val="clear" w:color="auto" w:fill="155B39" w:themeFill="accent6"/>
            <w:vAlign w:val="center"/>
          </w:tcPr>
          <w:p w14:paraId="1A0CE696" w14:textId="77777777" w:rsidR="00A0524C" w:rsidRPr="005C6123" w:rsidDel="00190365" w:rsidRDefault="00A0524C" w:rsidP="00A0524C">
            <w:pPr>
              <w:pStyle w:val="ListParagraph"/>
              <w:spacing w:after="0" w:line="276" w:lineRule="auto"/>
              <w:ind w:left="113" w:right="113"/>
              <w:rPr>
                <w:b/>
                <w:bCs/>
                <w:color w:val="FFFFFF"/>
                <w:sz w:val="14"/>
                <w:szCs w:val="16"/>
                <w:highlight w:val="darkGreen"/>
              </w:rPr>
            </w:pPr>
            <w:r w:rsidRPr="005C6123">
              <w:rPr>
                <w:b/>
                <w:bCs/>
                <w:color w:val="FFFFFF"/>
                <w:sz w:val="14"/>
                <w:szCs w:val="14"/>
                <w:lang w:val="nb-NO"/>
              </w:rPr>
              <w:t>P</w:t>
            </w:r>
          </w:p>
        </w:tc>
        <w:tc>
          <w:tcPr>
            <w:tcW w:w="649" w:type="dxa"/>
            <w:gridSpan w:val="4"/>
            <w:tcBorders>
              <w:top w:val="single" w:sz="2" w:space="0" w:color="208855" w:themeColor="accent1" w:themeShade="BF"/>
              <w:left w:val="single" w:sz="2" w:space="0" w:color="208855" w:themeColor="accent1" w:themeShade="BF"/>
              <w:bottom w:val="single" w:sz="8" w:space="0" w:color="52D696"/>
              <w:right w:val="single" w:sz="2" w:space="0" w:color="208855" w:themeColor="accent1" w:themeShade="BF"/>
            </w:tcBorders>
            <w:shd w:val="clear" w:color="auto" w:fill="155B39" w:themeFill="accent6"/>
            <w:vAlign w:val="center"/>
          </w:tcPr>
          <w:p w14:paraId="7BF6D61D" w14:textId="77777777" w:rsidR="00A0524C" w:rsidRPr="005C6123" w:rsidRDefault="00A0524C" w:rsidP="00A0524C">
            <w:pPr>
              <w:spacing w:after="0"/>
              <w:ind w:right="113"/>
              <w:rPr>
                <w:b/>
                <w:bCs/>
                <w:color w:val="FFFFFF"/>
                <w:sz w:val="14"/>
                <w:szCs w:val="16"/>
              </w:rPr>
            </w:pPr>
            <w:r w:rsidRPr="005C6123">
              <w:rPr>
                <w:b/>
                <w:bCs/>
                <w:color w:val="FFFFFF"/>
                <w:sz w:val="14"/>
                <w:szCs w:val="14"/>
              </w:rPr>
              <w:t>G&amp;P</w:t>
            </w:r>
          </w:p>
        </w:tc>
        <w:tc>
          <w:tcPr>
            <w:tcW w:w="664" w:type="dxa"/>
            <w:gridSpan w:val="3"/>
            <w:tcBorders>
              <w:top w:val="single" w:sz="2" w:space="0" w:color="208855" w:themeColor="accent1" w:themeShade="BF"/>
              <w:left w:val="single" w:sz="2" w:space="0" w:color="208855" w:themeColor="accent1" w:themeShade="BF"/>
              <w:bottom w:val="single" w:sz="8" w:space="0" w:color="52D696"/>
              <w:right w:val="single" w:sz="2" w:space="0" w:color="208855" w:themeColor="accent1" w:themeShade="BF"/>
            </w:tcBorders>
            <w:shd w:val="clear" w:color="auto" w:fill="155B39" w:themeFill="accent6"/>
            <w:vAlign w:val="center"/>
          </w:tcPr>
          <w:p w14:paraId="47811DA1" w14:textId="77777777" w:rsidR="00A0524C" w:rsidRPr="005C6123" w:rsidRDefault="00A0524C" w:rsidP="00A0524C">
            <w:pPr>
              <w:spacing w:after="0"/>
              <w:ind w:right="113"/>
              <w:rPr>
                <w:b/>
                <w:bCs/>
                <w:color w:val="FFFFFF"/>
                <w:sz w:val="14"/>
                <w:szCs w:val="16"/>
              </w:rPr>
            </w:pPr>
            <w:r w:rsidRPr="005C6123">
              <w:rPr>
                <w:b/>
                <w:bCs/>
                <w:color w:val="FFFFFF"/>
                <w:sz w:val="14"/>
                <w:szCs w:val="14"/>
              </w:rPr>
              <w:t>T&amp;S</w:t>
            </w:r>
          </w:p>
        </w:tc>
        <w:tc>
          <w:tcPr>
            <w:tcW w:w="698" w:type="dxa"/>
            <w:gridSpan w:val="3"/>
            <w:tcBorders>
              <w:top w:val="single" w:sz="2" w:space="0" w:color="208855" w:themeColor="accent1" w:themeShade="BF"/>
              <w:left w:val="single" w:sz="2" w:space="0" w:color="208855" w:themeColor="accent1" w:themeShade="BF"/>
              <w:bottom w:val="single" w:sz="8" w:space="0" w:color="52D696"/>
              <w:right w:val="single" w:sz="2" w:space="0" w:color="208855" w:themeColor="accent1" w:themeShade="BF"/>
            </w:tcBorders>
            <w:shd w:val="clear" w:color="auto" w:fill="155B39" w:themeFill="accent6"/>
            <w:vAlign w:val="center"/>
          </w:tcPr>
          <w:p w14:paraId="3F5A9682" w14:textId="77777777" w:rsidR="00A0524C" w:rsidRPr="005C6123" w:rsidRDefault="00A0524C" w:rsidP="00A0524C">
            <w:pPr>
              <w:pStyle w:val="ListParagraph"/>
              <w:spacing w:after="0" w:line="276" w:lineRule="auto"/>
              <w:ind w:left="113" w:right="113"/>
              <w:rPr>
                <w:b/>
                <w:bCs/>
                <w:color w:val="FFFFFF"/>
                <w:sz w:val="14"/>
                <w:szCs w:val="16"/>
              </w:rPr>
            </w:pPr>
            <w:r w:rsidRPr="005C6123">
              <w:rPr>
                <w:b/>
                <w:bCs/>
                <w:color w:val="FFFFFF"/>
                <w:sz w:val="14"/>
                <w:szCs w:val="14"/>
                <w:lang w:val="nb-NO"/>
              </w:rPr>
              <w:t>D</w:t>
            </w:r>
          </w:p>
        </w:tc>
      </w:tr>
      <w:tr w:rsidR="00A0524C" w:rsidRPr="00104E87" w14:paraId="4417A026" w14:textId="77777777" w:rsidTr="00A2317D">
        <w:trPr>
          <w:trHeight w:val="266"/>
          <w:jc w:val="center"/>
        </w:trPr>
        <w:tc>
          <w:tcPr>
            <w:tcW w:w="9370" w:type="dxa"/>
            <w:gridSpan w:val="25"/>
            <w:tcBorders>
              <w:top w:val="single" w:sz="8" w:space="0" w:color="52D696"/>
              <w:left w:val="nil"/>
              <w:bottom w:val="nil"/>
              <w:right w:val="nil"/>
            </w:tcBorders>
            <w:shd w:val="clear" w:color="auto" w:fill="auto"/>
          </w:tcPr>
          <w:p w14:paraId="4CF091D6" w14:textId="77777777" w:rsidR="00A0524C" w:rsidRPr="005C6123" w:rsidRDefault="00A0524C" w:rsidP="005D2939">
            <w:pPr>
              <w:pStyle w:val="ListParagraph"/>
              <w:numPr>
                <w:ilvl w:val="0"/>
                <w:numId w:val="36"/>
              </w:numPr>
              <w:spacing w:before="20" w:after="0" w:line="276" w:lineRule="auto"/>
              <w:ind w:left="0" w:right="113" w:hanging="357"/>
              <w:rPr>
                <w:b/>
                <w:bCs/>
                <w:color w:val="FFFFFF"/>
                <w:sz w:val="14"/>
                <w:szCs w:val="14"/>
              </w:rPr>
            </w:pPr>
            <w:r w:rsidRPr="005C6123">
              <w:rPr>
                <w:b/>
                <w:bCs/>
                <w:sz w:val="14"/>
                <w:szCs w:val="14"/>
              </w:rPr>
              <w:t>P: Production, G&amp;P: Gathering and Processing, T&amp;S: Transmission and Storage, D: Distribution</w:t>
            </w:r>
          </w:p>
        </w:tc>
      </w:tr>
      <w:bookmarkEnd w:id="132"/>
      <w:tr w:rsidR="00A0524C" w:rsidRPr="005C6123" w14:paraId="7CF93849" w14:textId="77777777" w:rsidTr="0059177F">
        <w:trPr>
          <w:trHeight w:val="535"/>
          <w:jc w:val="center"/>
        </w:trPr>
        <w:tc>
          <w:tcPr>
            <w:tcW w:w="6616" w:type="dxa"/>
            <w:gridSpan w:val="11"/>
            <w:tcBorders>
              <w:top w:val="nil"/>
              <w:left w:val="nil"/>
              <w:bottom w:val="nil"/>
            </w:tcBorders>
            <w:shd w:val="clear" w:color="auto" w:fill="208855" w:themeFill="accent1" w:themeFillShade="BF"/>
            <w:vAlign w:val="center"/>
          </w:tcPr>
          <w:p w14:paraId="5967B0BD" w14:textId="77777777" w:rsidR="00A0524C" w:rsidRPr="005C6123" w:rsidRDefault="00A0524C" w:rsidP="005D2939">
            <w:pPr>
              <w:pStyle w:val="ListParagraph"/>
              <w:numPr>
                <w:ilvl w:val="0"/>
                <w:numId w:val="36"/>
              </w:numPr>
              <w:spacing w:before="100" w:beforeAutospacing="1" w:after="100" w:afterAutospacing="1"/>
              <w:ind w:left="0" w:hanging="357"/>
              <w:rPr>
                <w:b/>
                <w:bCs/>
                <w:color w:val="FFFFFF"/>
              </w:rPr>
            </w:pPr>
            <w:r w:rsidRPr="00FB48A1">
              <w:rPr>
                <w:b/>
                <w:bCs/>
                <w:color w:val="FFFFFF"/>
              </w:rPr>
              <w:t>1. Hydraulic fracturing &amp; well completion</w:t>
            </w:r>
          </w:p>
        </w:tc>
        <w:tc>
          <w:tcPr>
            <w:tcW w:w="743" w:type="dxa"/>
            <w:gridSpan w:val="4"/>
            <w:tcBorders>
              <w:top w:val="nil"/>
              <w:bottom w:val="nil"/>
            </w:tcBorders>
            <w:shd w:val="clear" w:color="auto" w:fill="155B39" w:themeFill="accent6"/>
            <w:vAlign w:val="center"/>
          </w:tcPr>
          <w:p w14:paraId="79F421D1" w14:textId="77777777" w:rsidR="00A0524C" w:rsidRPr="005C6123" w:rsidDel="00994E71" w:rsidRDefault="00A0524C" w:rsidP="00A0524C">
            <w:pPr>
              <w:pStyle w:val="ListParagraph"/>
              <w:spacing w:before="120" w:line="276" w:lineRule="auto"/>
              <w:jc w:val="center"/>
              <w:rPr>
                <w:color w:val="FFFFFF"/>
                <w:sz w:val="24"/>
                <w:szCs w:val="24"/>
              </w:rPr>
            </w:pPr>
            <w:r w:rsidRPr="005C6123">
              <w:rPr>
                <w:color w:val="FFFFFF"/>
                <w:sz w:val="24"/>
                <w:szCs w:val="24"/>
              </w:rPr>
              <w:sym w:font="Symbol" w:char="F0B7"/>
            </w:r>
          </w:p>
        </w:tc>
        <w:tc>
          <w:tcPr>
            <w:tcW w:w="649" w:type="dxa"/>
            <w:gridSpan w:val="4"/>
            <w:tcBorders>
              <w:top w:val="nil"/>
              <w:bottom w:val="nil"/>
            </w:tcBorders>
            <w:shd w:val="clear" w:color="auto" w:fill="155B39" w:themeFill="accent6"/>
          </w:tcPr>
          <w:p w14:paraId="25C242FE" w14:textId="77777777" w:rsidR="00A0524C" w:rsidRPr="005C6123" w:rsidDel="00994E71" w:rsidRDefault="00A0524C" w:rsidP="005D2939">
            <w:pPr>
              <w:pStyle w:val="ListParagraph"/>
              <w:numPr>
                <w:ilvl w:val="0"/>
                <w:numId w:val="36"/>
              </w:numPr>
              <w:spacing w:before="120" w:line="276" w:lineRule="auto"/>
              <w:ind w:left="0"/>
              <w:rPr>
                <w:color w:val="FFFFFF"/>
              </w:rPr>
            </w:pPr>
          </w:p>
        </w:tc>
        <w:tc>
          <w:tcPr>
            <w:tcW w:w="664" w:type="dxa"/>
            <w:gridSpan w:val="3"/>
            <w:tcBorders>
              <w:top w:val="nil"/>
              <w:bottom w:val="nil"/>
            </w:tcBorders>
            <w:shd w:val="clear" w:color="auto" w:fill="155B39" w:themeFill="accent6"/>
          </w:tcPr>
          <w:p w14:paraId="2890CBB0" w14:textId="77777777" w:rsidR="00A0524C" w:rsidRPr="005C6123" w:rsidDel="00994E71" w:rsidRDefault="00A0524C" w:rsidP="005D2939">
            <w:pPr>
              <w:pStyle w:val="ListParagraph"/>
              <w:numPr>
                <w:ilvl w:val="0"/>
                <w:numId w:val="36"/>
              </w:numPr>
              <w:spacing w:before="120" w:line="276" w:lineRule="auto"/>
              <w:ind w:left="0"/>
              <w:rPr>
                <w:color w:val="FFFFFF"/>
              </w:rPr>
            </w:pPr>
          </w:p>
        </w:tc>
        <w:tc>
          <w:tcPr>
            <w:tcW w:w="698" w:type="dxa"/>
            <w:gridSpan w:val="3"/>
            <w:tcBorders>
              <w:top w:val="nil"/>
              <w:bottom w:val="nil"/>
              <w:right w:val="nil"/>
            </w:tcBorders>
            <w:shd w:val="clear" w:color="auto" w:fill="155B39" w:themeFill="accent6"/>
          </w:tcPr>
          <w:p w14:paraId="55E2E85E" w14:textId="77777777" w:rsidR="00A0524C" w:rsidRPr="005C6123" w:rsidDel="00994E71" w:rsidRDefault="00A0524C" w:rsidP="005D2939">
            <w:pPr>
              <w:pStyle w:val="ListParagraph"/>
              <w:numPr>
                <w:ilvl w:val="0"/>
                <w:numId w:val="36"/>
              </w:numPr>
              <w:spacing w:before="120" w:line="276" w:lineRule="auto"/>
              <w:ind w:left="0"/>
              <w:rPr>
                <w:color w:val="FFFFFF"/>
              </w:rPr>
            </w:pPr>
          </w:p>
        </w:tc>
      </w:tr>
      <w:tr w:rsidR="00A0524C" w:rsidRPr="00104E87" w14:paraId="0CF90F84" w14:textId="77777777" w:rsidTr="0059177F">
        <w:trPr>
          <w:trHeight w:val="2099"/>
          <w:jc w:val="center"/>
        </w:trPr>
        <w:tc>
          <w:tcPr>
            <w:tcW w:w="6616" w:type="dxa"/>
            <w:gridSpan w:val="11"/>
            <w:tcBorders>
              <w:top w:val="nil"/>
              <w:left w:val="single" w:sz="4" w:space="0" w:color="208855" w:themeColor="accent1" w:themeShade="BF"/>
              <w:bottom w:val="nil"/>
            </w:tcBorders>
            <w:shd w:val="clear" w:color="auto" w:fill="D0F4E3" w:themeFill="accent1" w:themeFillTint="33"/>
          </w:tcPr>
          <w:p w14:paraId="7FF13610" w14:textId="77777777" w:rsidR="00A0524C" w:rsidRPr="005C6123" w:rsidRDefault="00A0524C" w:rsidP="005D2939">
            <w:pPr>
              <w:pStyle w:val="ListParagraph"/>
              <w:numPr>
                <w:ilvl w:val="0"/>
                <w:numId w:val="36"/>
              </w:numPr>
              <w:ind w:left="0"/>
              <w:rPr>
                <w:bCs/>
                <w:sz w:val="16"/>
                <w:szCs w:val="16"/>
              </w:rPr>
            </w:pPr>
          </w:p>
          <w:p w14:paraId="63B3F33B" w14:textId="77777777" w:rsidR="00A0524C" w:rsidRPr="005C6123" w:rsidRDefault="00A0524C" w:rsidP="005D2939">
            <w:pPr>
              <w:pStyle w:val="ListParagraph"/>
              <w:numPr>
                <w:ilvl w:val="0"/>
                <w:numId w:val="36"/>
              </w:numPr>
              <w:spacing w:before="60" w:after="60"/>
              <w:ind w:left="0" w:hanging="357"/>
              <w:contextualSpacing w:val="0"/>
              <w:rPr>
                <w:b/>
                <w:bCs/>
                <w:sz w:val="16"/>
                <w:szCs w:val="16"/>
              </w:rPr>
            </w:pPr>
            <w:r w:rsidRPr="005C6123">
              <w:rPr>
                <w:bCs/>
                <w:sz w:val="16"/>
                <w:szCs w:val="16"/>
              </w:rPr>
              <w:t>Hydraulic fracturing is undertaken in hydrocarbon bearing sources to create pathways for hydrocarbons and water to flow into a wellbore. During this process gas may be entrained with water and hydrocarbon liquids from the wellbore during the flowback phase as well as during production. The result is that significant volumes of gas can be vented into the atmosphere if no equipment is in place to separate the gas from the liquids &amp; solids and subsequently capture it. In addition, gas can seep to the surface in other locations than the wellbore when the hydrocarbon bearing reservoir is “fracked”.</w:t>
            </w:r>
          </w:p>
        </w:tc>
        <w:tc>
          <w:tcPr>
            <w:tcW w:w="2754" w:type="dxa"/>
            <w:gridSpan w:val="14"/>
            <w:tcBorders>
              <w:top w:val="nil"/>
              <w:bottom w:val="nil"/>
              <w:right w:val="single" w:sz="4" w:space="0" w:color="208855" w:themeColor="accent1" w:themeShade="BF"/>
            </w:tcBorders>
            <w:shd w:val="clear" w:color="auto" w:fill="D0F4E3" w:themeFill="accent1" w:themeFillTint="33"/>
          </w:tcPr>
          <w:p w14:paraId="0986FC2C"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1A84E061" w14:textId="77777777" w:rsidR="00A0524C" w:rsidRPr="005C6123" w:rsidRDefault="00A0524C" w:rsidP="005D2939">
            <w:pPr>
              <w:pStyle w:val="ListParagraph"/>
              <w:numPr>
                <w:ilvl w:val="0"/>
                <w:numId w:val="36"/>
              </w:numPr>
              <w:spacing w:before="100" w:beforeAutospacing="1" w:after="100" w:afterAutospacing="1" w:line="276" w:lineRule="auto"/>
              <w:ind w:left="0"/>
              <w:rPr>
                <w:b/>
                <w:bCs/>
                <w:sz w:val="16"/>
                <w:szCs w:val="16"/>
                <w:u w:val="single"/>
              </w:rPr>
            </w:pPr>
            <w:r>
              <w:rPr>
                <w:b/>
                <w:noProof/>
                <w:sz w:val="16"/>
                <w:szCs w:val="16"/>
                <w:lang w:val="nb-NO" w:eastAsia="nb-NO"/>
              </w:rPr>
              <w:drawing>
                <wp:inline distT="0" distB="0" distL="0" distR="0" wp14:anchorId="32425752" wp14:editId="361CBD5B">
                  <wp:extent cx="1447800" cy="977900"/>
                  <wp:effectExtent l="0" t="0" r="0" b="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977900"/>
                          </a:xfrm>
                          <a:prstGeom prst="rect">
                            <a:avLst/>
                          </a:prstGeom>
                          <a:noFill/>
                          <a:ln>
                            <a:noFill/>
                          </a:ln>
                        </pic:spPr>
                      </pic:pic>
                    </a:graphicData>
                  </a:graphic>
                </wp:inline>
              </w:drawing>
            </w:r>
          </w:p>
          <w:p w14:paraId="76A0AC25" w14:textId="77777777" w:rsidR="00A0524C" w:rsidRPr="005C6123" w:rsidRDefault="00A0524C" w:rsidP="005D2939">
            <w:pPr>
              <w:pStyle w:val="ListParagraph"/>
              <w:keepNext/>
              <w:numPr>
                <w:ilvl w:val="0"/>
                <w:numId w:val="36"/>
              </w:numPr>
              <w:spacing w:after="0" w:line="276" w:lineRule="auto"/>
              <w:ind w:left="0" w:hanging="357"/>
              <w:contextualSpacing w:val="0"/>
              <w:rPr>
                <w:color w:val="000000"/>
                <w:sz w:val="10"/>
                <w:szCs w:val="10"/>
                <w:lang w:val="fr-FR"/>
              </w:rPr>
            </w:pPr>
            <w:r w:rsidRPr="005C6123">
              <w:rPr>
                <w:color w:val="000000"/>
                <w:sz w:val="10"/>
                <w:szCs w:val="10"/>
                <w:lang w:val="fr-FR"/>
              </w:rPr>
              <w:t>Image Source: http://www.USGS.gov</w:t>
            </w:r>
          </w:p>
        </w:tc>
      </w:tr>
      <w:tr w:rsidR="00A0524C" w:rsidRPr="00104E87" w14:paraId="0A9CA5F0" w14:textId="77777777" w:rsidTr="0059177F">
        <w:trPr>
          <w:trHeight w:val="1135"/>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49D4E909" w14:textId="77777777" w:rsidR="00A0524C" w:rsidRPr="005C6123" w:rsidRDefault="00A0524C" w:rsidP="005D2939">
            <w:pPr>
              <w:pStyle w:val="ListParagraph"/>
              <w:numPr>
                <w:ilvl w:val="0"/>
                <w:numId w:val="36"/>
              </w:numPr>
              <w:spacing w:before="60" w:after="60" w:line="276" w:lineRule="auto"/>
              <w:ind w:left="0" w:hanging="357"/>
              <w:contextualSpacing w:val="0"/>
              <w:rPr>
                <w:b/>
                <w:bCs/>
                <w:sz w:val="16"/>
                <w:szCs w:val="16"/>
              </w:rPr>
            </w:pPr>
            <w:r w:rsidRPr="005C6123">
              <w:rPr>
                <w:b/>
                <w:bCs/>
                <w:sz w:val="16"/>
                <w:szCs w:val="16"/>
              </w:rPr>
              <w:t>Mitigation Techniques:</w:t>
            </w:r>
          </w:p>
          <w:p w14:paraId="07FCCCF3" w14:textId="77777777" w:rsidR="00A0524C" w:rsidRPr="005C6123" w:rsidDel="00F662EB" w:rsidRDefault="00A0524C" w:rsidP="005D2939">
            <w:pPr>
              <w:pStyle w:val="ListParagraph"/>
              <w:numPr>
                <w:ilvl w:val="0"/>
                <w:numId w:val="51"/>
              </w:numPr>
              <w:spacing w:after="0" w:line="240" w:lineRule="auto"/>
              <w:ind w:left="179" w:hanging="179"/>
              <w:rPr>
                <w:sz w:val="16"/>
                <w:szCs w:val="16"/>
              </w:rPr>
            </w:pPr>
            <w:r w:rsidRPr="00FB48A1">
              <w:rPr>
                <w:sz w:val="16"/>
                <w:szCs w:val="16"/>
                <w:shd w:val="clear" w:color="auto" w:fill="FFFFFF"/>
              </w:rPr>
              <w:t xml:space="preserve">Adopting "green completion" practices to capture gas at the wellhead during well completion and </w:t>
            </w:r>
            <w:r w:rsidRPr="00FB48A1">
              <w:rPr>
                <w:sz w:val="16"/>
                <w:szCs w:val="16"/>
              </w:rPr>
              <w:t>route flowback gas to fuel gas, sales gas or flare rather than vent</w:t>
            </w:r>
            <w:r w:rsidRPr="00FB48A1">
              <w:rPr>
                <w:sz w:val="16"/>
                <w:szCs w:val="16"/>
                <w:shd w:val="clear" w:color="auto" w:fill="FFFFFF"/>
              </w:rPr>
              <w:t>, up to 95% emission reductions achievable.</w:t>
            </w:r>
          </w:p>
        </w:tc>
        <w:tc>
          <w:tcPr>
            <w:tcW w:w="2754" w:type="dxa"/>
            <w:gridSpan w:val="14"/>
            <w:tcBorders>
              <w:top w:val="nil"/>
              <w:bottom w:val="single" w:sz="4" w:space="0" w:color="208855" w:themeColor="accent1" w:themeShade="BF"/>
              <w:right w:val="single" w:sz="4" w:space="0" w:color="208855" w:themeColor="accent1" w:themeShade="BF"/>
            </w:tcBorders>
            <w:shd w:val="clear" w:color="auto" w:fill="auto"/>
          </w:tcPr>
          <w:p w14:paraId="084F2F1E"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60CF4526" w14:textId="77777777" w:rsidR="00A0524C" w:rsidRPr="005C6123" w:rsidRDefault="000941A9" w:rsidP="00A0524C">
            <w:pPr>
              <w:spacing w:after="60" w:line="240" w:lineRule="auto"/>
              <w:rPr>
                <w:sz w:val="14"/>
                <w:szCs w:val="14"/>
                <w:lang w:val="en-US"/>
              </w:rPr>
            </w:pPr>
            <w:hyperlink r:id="rId27" w:history="1">
              <w:r w:rsidR="00A0524C" w:rsidRPr="005C6123">
                <w:rPr>
                  <w:rStyle w:val="Hyperlink"/>
                  <w:sz w:val="14"/>
                  <w:szCs w:val="14"/>
                  <w:lang w:val="en-US"/>
                </w:rPr>
                <w:t>http://www.ccacoalition.org/en/resources/technical-guidance-document-number-8-well-ventingflaring-during-well-completion</w:t>
              </w:r>
            </w:hyperlink>
          </w:p>
        </w:tc>
      </w:tr>
      <w:tr w:rsidR="00A0524C" w:rsidRPr="005C6123" w14:paraId="623EE629" w14:textId="77777777" w:rsidTr="0059177F">
        <w:trPr>
          <w:trHeight w:val="188"/>
          <w:jc w:val="center"/>
        </w:trPr>
        <w:tc>
          <w:tcPr>
            <w:tcW w:w="2238" w:type="dxa"/>
            <w:gridSpan w:val="5"/>
            <w:tcBorders>
              <w:top w:val="single" w:sz="4" w:space="0" w:color="208855" w:themeColor="accent1" w:themeShade="BF"/>
              <w:bottom w:val="single" w:sz="4" w:space="0" w:color="2BB673" w:themeColor="accent1"/>
              <w:right w:val="single" w:sz="4" w:space="0" w:color="208855" w:themeColor="accent1" w:themeShade="BF"/>
            </w:tcBorders>
            <w:shd w:val="clear" w:color="auto" w:fill="D0F4E3" w:themeFill="accent1" w:themeFillTint="33"/>
          </w:tcPr>
          <w:p w14:paraId="3696A794"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09"/>
            </w:r>
          </w:p>
        </w:tc>
        <w:tc>
          <w:tcPr>
            <w:tcW w:w="2256" w:type="dxa"/>
            <w:gridSpan w:val="5"/>
            <w:tcBorders>
              <w:top w:val="single" w:sz="4" w:space="0" w:color="208855" w:themeColor="accent1" w:themeShade="BF"/>
              <w:left w:val="single" w:sz="4" w:space="0" w:color="208855" w:themeColor="accent1" w:themeShade="BF"/>
              <w:bottom w:val="single" w:sz="4" w:space="0" w:color="2BB673" w:themeColor="accent1"/>
              <w:right w:val="single" w:sz="4" w:space="0" w:color="208855" w:themeColor="accent1" w:themeShade="BF"/>
            </w:tcBorders>
            <w:shd w:val="clear" w:color="auto" w:fill="D0F4E3" w:themeFill="accent1" w:themeFillTint="33"/>
          </w:tcPr>
          <w:p w14:paraId="4CA7A5DE"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Applicable</w:t>
            </w:r>
            <w:r w:rsidRPr="005C6123">
              <w:rPr>
                <w:sz w:val="15"/>
                <w:szCs w:val="15"/>
              </w:rPr>
              <w:t xml:space="preserve"> </w:t>
            </w:r>
            <w:r w:rsidRPr="005C6123">
              <w:rPr>
                <w:b/>
                <w:sz w:val="15"/>
                <w:szCs w:val="15"/>
              </w:rPr>
              <w:t>Emission Quantification equipment</w:t>
            </w:r>
            <w:r w:rsidRPr="005C6123">
              <w:rPr>
                <w:rStyle w:val="FootnoteReference"/>
                <w:b/>
                <w:sz w:val="15"/>
                <w:szCs w:val="15"/>
              </w:rPr>
              <w:footnoteReference w:id="110"/>
            </w:r>
          </w:p>
        </w:tc>
        <w:tc>
          <w:tcPr>
            <w:tcW w:w="4876" w:type="dxa"/>
            <w:gridSpan w:val="15"/>
            <w:tcBorders>
              <w:top w:val="single" w:sz="4" w:space="0" w:color="208855" w:themeColor="accent1" w:themeShade="BF"/>
              <w:left w:val="single" w:sz="4" w:space="0" w:color="208855" w:themeColor="accent1" w:themeShade="BF"/>
              <w:bottom w:val="single" w:sz="4" w:space="0" w:color="2BB673" w:themeColor="accent1"/>
            </w:tcBorders>
            <w:shd w:val="clear" w:color="auto" w:fill="D0F4E3" w:themeFill="accent1" w:themeFillTint="33"/>
          </w:tcPr>
          <w:p w14:paraId="56930BF7"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Typical quantification Methodologies</w:t>
            </w:r>
          </w:p>
        </w:tc>
      </w:tr>
      <w:tr w:rsidR="00A0524C" w:rsidRPr="00104E87" w14:paraId="29706626" w14:textId="77777777" w:rsidTr="0059177F">
        <w:trPr>
          <w:trHeight w:val="1029"/>
          <w:jc w:val="center"/>
        </w:trPr>
        <w:tc>
          <w:tcPr>
            <w:tcW w:w="2238" w:type="dxa"/>
            <w:gridSpan w:val="5"/>
            <w:tcBorders>
              <w:top w:val="single" w:sz="4" w:space="0" w:color="2BB673" w:themeColor="accent1"/>
              <w:left w:val="single" w:sz="4" w:space="0" w:color="2BB673" w:themeColor="accent1"/>
              <w:bottom w:val="single" w:sz="4" w:space="0" w:color="2BB673" w:themeColor="accent1"/>
              <w:right w:val="single" w:sz="4" w:space="0" w:color="2BB673" w:themeColor="accent1"/>
            </w:tcBorders>
            <w:shd w:val="clear" w:color="auto" w:fill="auto"/>
          </w:tcPr>
          <w:p w14:paraId="22108E29" w14:textId="77777777" w:rsidR="00A0524C" w:rsidRPr="005C6123" w:rsidRDefault="00A0524C" w:rsidP="005D2939">
            <w:pPr>
              <w:pStyle w:val="ListParagraph"/>
              <w:numPr>
                <w:ilvl w:val="0"/>
                <w:numId w:val="43"/>
              </w:numPr>
              <w:spacing w:before="40" w:after="40" w:line="276" w:lineRule="auto"/>
              <w:ind w:left="179" w:hanging="179"/>
              <w:contextualSpacing w:val="0"/>
              <w:rPr>
                <w:rFonts w:eastAsia="Times New Roman"/>
                <w:bCs/>
                <w:color w:val="000000"/>
                <w:sz w:val="15"/>
                <w:szCs w:val="15"/>
              </w:rPr>
            </w:pPr>
            <w:r w:rsidRPr="005C6123">
              <w:rPr>
                <w:rFonts w:eastAsia="Times New Roman"/>
                <w:bCs/>
                <w:color w:val="000000"/>
                <w:sz w:val="15"/>
                <w:szCs w:val="15"/>
              </w:rPr>
              <w:t xml:space="preserve">Optical Gas Imaging </w:t>
            </w:r>
          </w:p>
        </w:tc>
        <w:tc>
          <w:tcPr>
            <w:tcW w:w="2256" w:type="dxa"/>
            <w:gridSpan w:val="5"/>
            <w:tcBorders>
              <w:top w:val="single" w:sz="4" w:space="0" w:color="2BB673" w:themeColor="accent1"/>
              <w:left w:val="single" w:sz="4" w:space="0" w:color="2BB673" w:themeColor="accent1"/>
              <w:bottom w:val="single" w:sz="4" w:space="0" w:color="2BB673" w:themeColor="accent1"/>
              <w:right w:val="single" w:sz="4" w:space="0" w:color="2BB673" w:themeColor="accent1"/>
            </w:tcBorders>
            <w:shd w:val="clear" w:color="auto" w:fill="auto"/>
          </w:tcPr>
          <w:p w14:paraId="702A7782" w14:textId="77777777" w:rsidR="00A0524C" w:rsidRPr="005C6123" w:rsidRDefault="00A0524C" w:rsidP="005D2939">
            <w:pPr>
              <w:pStyle w:val="ListParagraph"/>
              <w:numPr>
                <w:ilvl w:val="0"/>
                <w:numId w:val="40"/>
              </w:numPr>
              <w:spacing w:before="40" w:after="40" w:line="240" w:lineRule="auto"/>
              <w:ind w:left="334" w:hanging="357"/>
              <w:contextualSpacing w:val="0"/>
              <w:rPr>
                <w:color w:val="000000"/>
                <w:sz w:val="15"/>
                <w:szCs w:val="15"/>
              </w:rPr>
            </w:pPr>
            <w:r w:rsidRPr="005C6123">
              <w:rPr>
                <w:color w:val="000000"/>
                <w:sz w:val="15"/>
                <w:szCs w:val="15"/>
              </w:rPr>
              <w:t>Turbine Meter</w:t>
            </w:r>
          </w:p>
          <w:p w14:paraId="2837B468" w14:textId="77777777" w:rsidR="00A0524C" w:rsidRPr="005C6123" w:rsidRDefault="00A0524C" w:rsidP="005D2939">
            <w:pPr>
              <w:pStyle w:val="ListParagraph"/>
              <w:numPr>
                <w:ilvl w:val="0"/>
                <w:numId w:val="40"/>
              </w:numPr>
              <w:spacing w:before="40" w:after="40" w:line="240" w:lineRule="auto"/>
              <w:ind w:left="334" w:hanging="357"/>
              <w:contextualSpacing w:val="0"/>
              <w:rPr>
                <w:color w:val="000000"/>
                <w:sz w:val="15"/>
                <w:szCs w:val="15"/>
              </w:rPr>
            </w:pPr>
            <w:r w:rsidRPr="005C6123">
              <w:rPr>
                <w:rFonts w:eastAsia="Times New Roman"/>
                <w:color w:val="000000"/>
                <w:sz w:val="15"/>
                <w:szCs w:val="15"/>
              </w:rPr>
              <w:t>Hotwire anemometer</w:t>
            </w:r>
          </w:p>
          <w:p w14:paraId="7C10CF1F" w14:textId="77777777" w:rsidR="00A0524C" w:rsidRPr="005C6123" w:rsidRDefault="00A0524C" w:rsidP="005D2939">
            <w:pPr>
              <w:pStyle w:val="ListParagraph"/>
              <w:numPr>
                <w:ilvl w:val="0"/>
                <w:numId w:val="40"/>
              </w:numPr>
              <w:spacing w:before="40" w:after="40" w:line="240" w:lineRule="auto"/>
              <w:ind w:left="334" w:hanging="357"/>
              <w:contextualSpacing w:val="0"/>
              <w:rPr>
                <w:color w:val="000000"/>
                <w:sz w:val="15"/>
                <w:szCs w:val="15"/>
              </w:rPr>
            </w:pPr>
            <w:r w:rsidRPr="005C6123">
              <w:rPr>
                <w:rFonts w:eastAsia="Times New Roman"/>
                <w:color w:val="000000"/>
                <w:sz w:val="15"/>
                <w:szCs w:val="15"/>
              </w:rPr>
              <w:t>Vane anemometer</w:t>
            </w:r>
          </w:p>
          <w:p w14:paraId="2BE6D432" w14:textId="77777777" w:rsidR="00A0524C" w:rsidRPr="005C6123" w:rsidRDefault="00A0524C" w:rsidP="005D2939">
            <w:pPr>
              <w:pStyle w:val="ListParagraph"/>
              <w:numPr>
                <w:ilvl w:val="0"/>
                <w:numId w:val="40"/>
              </w:numPr>
              <w:spacing w:before="40" w:after="40" w:line="240" w:lineRule="auto"/>
              <w:ind w:left="334" w:hanging="357"/>
              <w:contextualSpacing w:val="0"/>
              <w:rPr>
                <w:sz w:val="15"/>
                <w:szCs w:val="15"/>
                <w:u w:val="single"/>
              </w:rPr>
            </w:pPr>
            <w:r w:rsidRPr="005C6123">
              <w:rPr>
                <w:rFonts w:eastAsia="Times New Roman"/>
                <w:color w:val="000000"/>
                <w:sz w:val="15"/>
                <w:szCs w:val="15"/>
              </w:rPr>
              <w:t>Orifice meter</w:t>
            </w:r>
          </w:p>
        </w:tc>
        <w:tc>
          <w:tcPr>
            <w:tcW w:w="4876" w:type="dxa"/>
            <w:gridSpan w:val="15"/>
            <w:tcBorders>
              <w:top w:val="single" w:sz="4" w:space="0" w:color="2BB673" w:themeColor="accent1"/>
              <w:left w:val="single" w:sz="4" w:space="0" w:color="2BB673" w:themeColor="accent1"/>
              <w:bottom w:val="single" w:sz="4" w:space="0" w:color="2BB673" w:themeColor="accent1"/>
              <w:right w:val="single" w:sz="4" w:space="0" w:color="2BB673" w:themeColor="accent1"/>
            </w:tcBorders>
            <w:shd w:val="clear" w:color="auto" w:fill="auto"/>
          </w:tcPr>
          <w:p w14:paraId="5167466C" w14:textId="77777777" w:rsidR="00A0524C" w:rsidRPr="005C6123" w:rsidRDefault="00A0524C" w:rsidP="005D2939">
            <w:pPr>
              <w:pStyle w:val="ListParagraph"/>
              <w:numPr>
                <w:ilvl w:val="0"/>
                <w:numId w:val="39"/>
              </w:numPr>
              <w:spacing w:before="40" w:after="40" w:line="240" w:lineRule="auto"/>
              <w:ind w:left="168" w:hanging="168"/>
              <w:contextualSpacing w:val="0"/>
              <w:rPr>
                <w:sz w:val="15"/>
                <w:szCs w:val="15"/>
              </w:rPr>
            </w:pPr>
            <w:r w:rsidRPr="005C6123">
              <w:rPr>
                <w:sz w:val="15"/>
                <w:szCs w:val="15"/>
              </w:rPr>
              <w:t>Direct measurement and calculation methodology</w:t>
            </w:r>
            <w:r w:rsidRPr="005C6123">
              <w:rPr>
                <w:rStyle w:val="FootnoteReference"/>
                <w:sz w:val="15"/>
                <w:szCs w:val="15"/>
              </w:rPr>
              <w:footnoteReference w:id="111"/>
            </w:r>
          </w:p>
          <w:p w14:paraId="02058949" w14:textId="77777777" w:rsidR="00A0524C" w:rsidRPr="005C6123" w:rsidRDefault="00A0524C" w:rsidP="005D2939">
            <w:pPr>
              <w:pStyle w:val="ListParagraph"/>
              <w:numPr>
                <w:ilvl w:val="0"/>
                <w:numId w:val="39"/>
              </w:numPr>
              <w:spacing w:before="40" w:after="40" w:line="240" w:lineRule="auto"/>
              <w:ind w:left="168" w:hanging="168"/>
              <w:contextualSpacing w:val="0"/>
              <w:rPr>
                <w:sz w:val="15"/>
                <w:szCs w:val="15"/>
              </w:rPr>
            </w:pPr>
            <w:r w:rsidRPr="005C6123">
              <w:rPr>
                <w:sz w:val="15"/>
                <w:szCs w:val="15"/>
              </w:rPr>
              <w:t>Default emission factors (Sm</w:t>
            </w:r>
            <w:r w:rsidRPr="005C6123">
              <w:rPr>
                <w:sz w:val="15"/>
                <w:szCs w:val="15"/>
                <w:vertAlign w:val="superscript"/>
              </w:rPr>
              <w:t>3</w:t>
            </w:r>
            <w:r w:rsidRPr="005C6123">
              <w:rPr>
                <w:sz w:val="15"/>
                <w:szCs w:val="15"/>
              </w:rPr>
              <w:t>/completion/year)</w:t>
            </w:r>
          </w:p>
        </w:tc>
      </w:tr>
      <w:tr w:rsidR="00225A04" w:rsidRPr="00104E87" w14:paraId="484B51AE" w14:textId="77777777" w:rsidTr="0059177F">
        <w:trPr>
          <w:trHeight w:val="1029"/>
          <w:jc w:val="center"/>
        </w:trPr>
        <w:tc>
          <w:tcPr>
            <w:tcW w:w="2238" w:type="dxa"/>
            <w:gridSpan w:val="5"/>
            <w:tcBorders>
              <w:top w:val="single" w:sz="4" w:space="0" w:color="2BB673" w:themeColor="accent1"/>
              <w:left w:val="nil"/>
              <w:bottom w:val="nil"/>
              <w:right w:val="nil"/>
            </w:tcBorders>
            <w:shd w:val="clear" w:color="auto" w:fill="auto"/>
          </w:tcPr>
          <w:p w14:paraId="49C999AA" w14:textId="77777777" w:rsidR="00225A04" w:rsidRPr="005C6123" w:rsidRDefault="00225A04" w:rsidP="00225A04">
            <w:pPr>
              <w:pStyle w:val="ListParagraph"/>
              <w:spacing w:before="40" w:after="40" w:line="276" w:lineRule="auto"/>
              <w:ind w:left="179"/>
              <w:contextualSpacing w:val="0"/>
              <w:rPr>
                <w:rFonts w:eastAsia="Times New Roman"/>
                <w:bCs/>
                <w:color w:val="000000"/>
                <w:sz w:val="15"/>
                <w:szCs w:val="15"/>
              </w:rPr>
            </w:pPr>
          </w:p>
        </w:tc>
        <w:tc>
          <w:tcPr>
            <w:tcW w:w="2256" w:type="dxa"/>
            <w:gridSpan w:val="5"/>
            <w:tcBorders>
              <w:top w:val="single" w:sz="4" w:space="0" w:color="2BB673" w:themeColor="accent1"/>
              <w:left w:val="nil"/>
              <w:bottom w:val="nil"/>
              <w:right w:val="nil"/>
            </w:tcBorders>
            <w:shd w:val="clear" w:color="auto" w:fill="auto"/>
          </w:tcPr>
          <w:p w14:paraId="5618F269" w14:textId="77777777" w:rsidR="00225A04" w:rsidRPr="005C6123" w:rsidRDefault="00225A04" w:rsidP="00225A04">
            <w:pPr>
              <w:pStyle w:val="ListParagraph"/>
              <w:spacing w:before="40" w:after="40" w:line="240" w:lineRule="auto"/>
              <w:ind w:left="334"/>
              <w:contextualSpacing w:val="0"/>
              <w:rPr>
                <w:color w:val="000000"/>
                <w:sz w:val="15"/>
                <w:szCs w:val="15"/>
              </w:rPr>
            </w:pPr>
          </w:p>
        </w:tc>
        <w:tc>
          <w:tcPr>
            <w:tcW w:w="4876" w:type="dxa"/>
            <w:gridSpan w:val="15"/>
            <w:tcBorders>
              <w:top w:val="single" w:sz="4" w:space="0" w:color="2BB673" w:themeColor="accent1"/>
              <w:left w:val="nil"/>
              <w:bottom w:val="nil"/>
              <w:right w:val="nil"/>
            </w:tcBorders>
            <w:shd w:val="clear" w:color="auto" w:fill="auto"/>
          </w:tcPr>
          <w:p w14:paraId="16189651" w14:textId="77777777" w:rsidR="00225A04" w:rsidRPr="005C6123" w:rsidRDefault="00225A04" w:rsidP="00225A04">
            <w:pPr>
              <w:pStyle w:val="ListParagraph"/>
              <w:spacing w:before="40" w:after="40" w:line="240" w:lineRule="auto"/>
              <w:ind w:left="168"/>
              <w:contextualSpacing w:val="0"/>
              <w:rPr>
                <w:sz w:val="15"/>
                <w:szCs w:val="15"/>
              </w:rPr>
            </w:pPr>
          </w:p>
        </w:tc>
      </w:tr>
      <w:tr w:rsidR="00A2317D" w:rsidRPr="005C6123" w:rsidDel="00994E71" w14:paraId="77B77EC6" w14:textId="77777777" w:rsidTr="0059177F">
        <w:trPr>
          <w:gridAfter w:val="1"/>
          <w:wAfter w:w="9" w:type="dxa"/>
          <w:trHeight w:val="168"/>
          <w:jc w:val="center"/>
        </w:trPr>
        <w:tc>
          <w:tcPr>
            <w:tcW w:w="6616" w:type="dxa"/>
            <w:gridSpan w:val="11"/>
            <w:tcBorders>
              <w:top w:val="single" w:sz="4" w:space="0" w:color="2BB673" w:themeColor="accent1"/>
              <w:left w:val="single" w:sz="4" w:space="0" w:color="2BB673" w:themeColor="accent1"/>
              <w:bottom w:val="single" w:sz="4" w:space="0" w:color="2BB673" w:themeColor="accent1"/>
            </w:tcBorders>
            <w:shd w:val="clear" w:color="auto" w:fill="208855" w:themeFill="accent1" w:themeFillShade="BF"/>
            <w:vAlign w:val="center"/>
          </w:tcPr>
          <w:p w14:paraId="25C9D961" w14:textId="7D4C89A0" w:rsidR="00A2317D" w:rsidRPr="00FB48A1" w:rsidRDefault="00A2317D" w:rsidP="00A2317D">
            <w:pPr>
              <w:pStyle w:val="ListParagraph"/>
              <w:numPr>
                <w:ilvl w:val="0"/>
                <w:numId w:val="36"/>
              </w:numPr>
              <w:spacing w:before="60" w:after="60"/>
              <w:ind w:left="0" w:hanging="357"/>
              <w:contextualSpacing w:val="0"/>
              <w:rPr>
                <w:b/>
                <w:bCs/>
                <w:color w:val="FFFFFF"/>
              </w:rPr>
            </w:pPr>
            <w:r w:rsidRPr="000941A9">
              <w:rPr>
                <w:b/>
                <w:bCs/>
                <w:color w:val="FFFFFF"/>
              </w:rPr>
              <w:t>Emission source categories along the value chain</w:t>
            </w:r>
          </w:p>
        </w:tc>
        <w:tc>
          <w:tcPr>
            <w:tcW w:w="788" w:type="dxa"/>
            <w:gridSpan w:val="5"/>
            <w:tcBorders>
              <w:top w:val="single" w:sz="4" w:space="0" w:color="2BB673" w:themeColor="accent1"/>
              <w:bottom w:val="single" w:sz="4" w:space="0" w:color="2BB673" w:themeColor="accent1"/>
            </w:tcBorders>
            <w:shd w:val="clear" w:color="auto" w:fill="155B39" w:themeFill="accent6"/>
            <w:vAlign w:val="center"/>
          </w:tcPr>
          <w:p w14:paraId="4BA51755" w14:textId="7C48B489" w:rsidR="00A2317D" w:rsidRPr="005C6123" w:rsidRDefault="00A2317D" w:rsidP="00A2317D">
            <w:pPr>
              <w:pStyle w:val="ListParagraph"/>
              <w:spacing w:before="120" w:line="276" w:lineRule="auto"/>
              <w:ind w:hanging="120"/>
              <w:jc w:val="center"/>
              <w:rPr>
                <w:color w:val="FFFFFF"/>
                <w:sz w:val="24"/>
                <w:szCs w:val="24"/>
              </w:rPr>
            </w:pPr>
            <w:r w:rsidRPr="005C6123">
              <w:rPr>
                <w:b/>
                <w:bCs/>
                <w:color w:val="FFFFFF"/>
                <w:sz w:val="14"/>
                <w:szCs w:val="14"/>
                <w:lang w:val="nb-NO"/>
              </w:rPr>
              <w:t>P</w:t>
            </w:r>
          </w:p>
        </w:tc>
        <w:tc>
          <w:tcPr>
            <w:tcW w:w="646" w:type="dxa"/>
            <w:gridSpan w:val="4"/>
            <w:tcBorders>
              <w:top w:val="single" w:sz="4" w:space="0" w:color="2BB673" w:themeColor="accent1"/>
              <w:bottom w:val="single" w:sz="4" w:space="0" w:color="2BB673" w:themeColor="accent1"/>
            </w:tcBorders>
            <w:shd w:val="clear" w:color="auto" w:fill="155B39" w:themeFill="accent6"/>
            <w:vAlign w:val="center"/>
          </w:tcPr>
          <w:p w14:paraId="177D0175" w14:textId="0C42DDE4" w:rsidR="00A2317D" w:rsidRPr="005C6123" w:rsidDel="00994E71" w:rsidRDefault="00A2317D" w:rsidP="00A2317D">
            <w:pPr>
              <w:pStyle w:val="ListParagraph"/>
              <w:numPr>
                <w:ilvl w:val="0"/>
                <w:numId w:val="36"/>
              </w:numPr>
              <w:spacing w:before="120" w:line="276" w:lineRule="auto"/>
              <w:ind w:left="0"/>
              <w:rPr>
                <w:color w:val="FFFFFF"/>
              </w:rPr>
            </w:pPr>
            <w:r w:rsidRPr="005C6123">
              <w:rPr>
                <w:b/>
                <w:bCs/>
                <w:color w:val="FFFFFF"/>
                <w:sz w:val="14"/>
                <w:szCs w:val="14"/>
              </w:rPr>
              <w:t>G&amp;P</w:t>
            </w:r>
          </w:p>
        </w:tc>
        <w:tc>
          <w:tcPr>
            <w:tcW w:w="646" w:type="dxa"/>
            <w:gridSpan w:val="3"/>
            <w:tcBorders>
              <w:top w:val="single" w:sz="4" w:space="0" w:color="2BB673" w:themeColor="accent1"/>
              <w:bottom w:val="single" w:sz="4" w:space="0" w:color="2BB673" w:themeColor="accent1"/>
            </w:tcBorders>
            <w:shd w:val="clear" w:color="auto" w:fill="155B39" w:themeFill="accent6"/>
            <w:vAlign w:val="center"/>
          </w:tcPr>
          <w:p w14:paraId="31AD965C" w14:textId="7C471984" w:rsidR="00A2317D" w:rsidRPr="005C6123" w:rsidDel="00994E71" w:rsidRDefault="00A2317D" w:rsidP="00A2317D">
            <w:pPr>
              <w:pStyle w:val="ListParagraph"/>
              <w:numPr>
                <w:ilvl w:val="0"/>
                <w:numId w:val="36"/>
              </w:numPr>
              <w:spacing w:before="120" w:line="276" w:lineRule="auto"/>
              <w:ind w:left="0"/>
              <w:rPr>
                <w:color w:val="FFFFFF"/>
              </w:rPr>
            </w:pPr>
            <w:r w:rsidRPr="005C6123">
              <w:rPr>
                <w:b/>
                <w:bCs/>
                <w:color w:val="FFFFFF"/>
                <w:sz w:val="14"/>
                <w:szCs w:val="14"/>
              </w:rPr>
              <w:t>T&amp;S</w:t>
            </w:r>
          </w:p>
        </w:tc>
        <w:tc>
          <w:tcPr>
            <w:tcW w:w="665" w:type="dxa"/>
            <w:tcBorders>
              <w:top w:val="single" w:sz="4" w:space="0" w:color="2BB673" w:themeColor="accent1"/>
              <w:bottom w:val="single" w:sz="4" w:space="0" w:color="2BB673" w:themeColor="accent1"/>
              <w:right w:val="single" w:sz="4" w:space="0" w:color="2BB673" w:themeColor="accent1"/>
            </w:tcBorders>
            <w:shd w:val="clear" w:color="auto" w:fill="155B39" w:themeFill="accent6"/>
            <w:vAlign w:val="center"/>
          </w:tcPr>
          <w:p w14:paraId="6B6E0B61" w14:textId="4EAAC4CE" w:rsidR="00A2317D" w:rsidRPr="005C6123" w:rsidDel="00994E71" w:rsidRDefault="00A2317D" w:rsidP="00257CC2">
            <w:pPr>
              <w:pStyle w:val="ListParagraph"/>
              <w:spacing w:before="120" w:after="0" w:line="276" w:lineRule="auto"/>
              <w:jc w:val="center"/>
              <w:rPr>
                <w:szCs w:val="20"/>
              </w:rPr>
            </w:pPr>
            <w:r w:rsidRPr="00A2317D">
              <w:rPr>
                <w:b/>
                <w:bCs/>
                <w:color w:val="FFFFFF"/>
                <w:sz w:val="14"/>
                <w:szCs w:val="14"/>
              </w:rPr>
              <w:t>D</w:t>
            </w:r>
          </w:p>
        </w:tc>
      </w:tr>
      <w:tr w:rsidR="00A0524C" w:rsidRPr="005C6123" w:rsidDel="00994E71" w14:paraId="7B6539A2" w14:textId="77777777" w:rsidTr="0059177F">
        <w:trPr>
          <w:gridAfter w:val="1"/>
          <w:wAfter w:w="9" w:type="dxa"/>
          <w:trHeight w:val="461"/>
          <w:jc w:val="center"/>
        </w:trPr>
        <w:tc>
          <w:tcPr>
            <w:tcW w:w="6616" w:type="dxa"/>
            <w:gridSpan w:val="11"/>
            <w:tcBorders>
              <w:top w:val="single" w:sz="4" w:space="0" w:color="2BB673" w:themeColor="accent1"/>
              <w:left w:val="single" w:sz="4" w:space="0" w:color="2BB673" w:themeColor="accent1"/>
              <w:bottom w:val="single" w:sz="4" w:space="0" w:color="2BB673" w:themeColor="accent1"/>
            </w:tcBorders>
            <w:shd w:val="clear" w:color="auto" w:fill="208855" w:themeFill="accent1" w:themeFillShade="BF"/>
            <w:vAlign w:val="center"/>
          </w:tcPr>
          <w:p w14:paraId="580B9539" w14:textId="77777777" w:rsidR="00A0524C" w:rsidRPr="005C6123" w:rsidRDefault="00A0524C" w:rsidP="005D2939">
            <w:pPr>
              <w:pStyle w:val="ListParagraph"/>
              <w:numPr>
                <w:ilvl w:val="0"/>
                <w:numId w:val="36"/>
              </w:numPr>
              <w:spacing w:before="60" w:after="60"/>
              <w:ind w:left="0" w:hanging="357"/>
              <w:contextualSpacing w:val="0"/>
              <w:rPr>
                <w:b/>
                <w:bCs/>
                <w:color w:val="FFFFFF"/>
              </w:rPr>
            </w:pPr>
            <w:r w:rsidRPr="00FB48A1">
              <w:rPr>
                <w:b/>
                <w:bCs/>
                <w:color w:val="FFFFFF"/>
              </w:rPr>
              <w:t>2. Casinghead venting from oil wells</w:t>
            </w:r>
          </w:p>
        </w:tc>
        <w:tc>
          <w:tcPr>
            <w:tcW w:w="788" w:type="dxa"/>
            <w:gridSpan w:val="5"/>
            <w:tcBorders>
              <w:top w:val="single" w:sz="4" w:space="0" w:color="2BB673" w:themeColor="accent1"/>
              <w:bottom w:val="single" w:sz="4" w:space="0" w:color="2BB673" w:themeColor="accent1"/>
            </w:tcBorders>
            <w:shd w:val="clear" w:color="auto" w:fill="155B39" w:themeFill="accent6"/>
            <w:vAlign w:val="center"/>
          </w:tcPr>
          <w:p w14:paraId="4F689F3F" w14:textId="77777777" w:rsidR="00A0524C" w:rsidRPr="005C6123" w:rsidDel="00994E71" w:rsidRDefault="00A0524C" w:rsidP="00A0524C">
            <w:pPr>
              <w:pStyle w:val="ListParagraph"/>
              <w:spacing w:before="120" w:line="276" w:lineRule="auto"/>
              <w:ind w:hanging="120"/>
              <w:jc w:val="center"/>
              <w:rPr>
                <w:color w:val="FFFFFF"/>
                <w:sz w:val="24"/>
                <w:szCs w:val="24"/>
              </w:rPr>
            </w:pPr>
            <w:r w:rsidRPr="005C6123">
              <w:rPr>
                <w:color w:val="FFFFFF"/>
                <w:sz w:val="24"/>
                <w:szCs w:val="24"/>
              </w:rPr>
              <w:sym w:font="Symbol" w:char="F0B7"/>
            </w:r>
          </w:p>
        </w:tc>
        <w:tc>
          <w:tcPr>
            <w:tcW w:w="646" w:type="dxa"/>
            <w:gridSpan w:val="4"/>
            <w:tcBorders>
              <w:top w:val="single" w:sz="4" w:space="0" w:color="2BB673" w:themeColor="accent1"/>
              <w:bottom w:val="single" w:sz="4" w:space="0" w:color="2BB673" w:themeColor="accent1"/>
            </w:tcBorders>
            <w:shd w:val="clear" w:color="auto" w:fill="155B39" w:themeFill="accent6"/>
          </w:tcPr>
          <w:p w14:paraId="7BB2112B" w14:textId="77777777" w:rsidR="00A0524C" w:rsidRPr="005C6123" w:rsidDel="00994E71" w:rsidRDefault="00A0524C" w:rsidP="005D2939">
            <w:pPr>
              <w:pStyle w:val="ListParagraph"/>
              <w:numPr>
                <w:ilvl w:val="0"/>
                <w:numId w:val="36"/>
              </w:numPr>
              <w:spacing w:before="120" w:line="276" w:lineRule="auto"/>
              <w:ind w:left="0"/>
              <w:rPr>
                <w:color w:val="FFFFFF"/>
              </w:rPr>
            </w:pPr>
          </w:p>
        </w:tc>
        <w:tc>
          <w:tcPr>
            <w:tcW w:w="646" w:type="dxa"/>
            <w:gridSpan w:val="3"/>
            <w:tcBorders>
              <w:top w:val="single" w:sz="4" w:space="0" w:color="2BB673" w:themeColor="accent1"/>
              <w:bottom w:val="single" w:sz="4" w:space="0" w:color="2BB673" w:themeColor="accent1"/>
            </w:tcBorders>
            <w:shd w:val="clear" w:color="auto" w:fill="155B39" w:themeFill="accent6"/>
          </w:tcPr>
          <w:p w14:paraId="7949A44A" w14:textId="77777777" w:rsidR="00A0524C" w:rsidRPr="005C6123" w:rsidDel="00994E71" w:rsidRDefault="00A0524C" w:rsidP="005D2939">
            <w:pPr>
              <w:pStyle w:val="ListParagraph"/>
              <w:numPr>
                <w:ilvl w:val="0"/>
                <w:numId w:val="36"/>
              </w:numPr>
              <w:spacing w:before="120" w:line="276" w:lineRule="auto"/>
              <w:ind w:left="0"/>
              <w:rPr>
                <w:color w:val="FFFFFF"/>
              </w:rPr>
            </w:pPr>
          </w:p>
        </w:tc>
        <w:tc>
          <w:tcPr>
            <w:tcW w:w="665" w:type="dxa"/>
            <w:tcBorders>
              <w:top w:val="single" w:sz="4" w:space="0" w:color="2BB673" w:themeColor="accent1"/>
              <w:bottom w:val="single" w:sz="4" w:space="0" w:color="2BB673" w:themeColor="accent1"/>
              <w:right w:val="single" w:sz="4" w:space="0" w:color="2BB673" w:themeColor="accent1"/>
            </w:tcBorders>
            <w:shd w:val="clear" w:color="auto" w:fill="155B39" w:themeFill="accent6"/>
          </w:tcPr>
          <w:p w14:paraId="1930ACE3" w14:textId="77777777" w:rsidR="00A0524C" w:rsidRPr="005C6123" w:rsidDel="00994E71" w:rsidRDefault="00A0524C" w:rsidP="005D2939">
            <w:pPr>
              <w:pStyle w:val="ListParagraph"/>
              <w:numPr>
                <w:ilvl w:val="0"/>
                <w:numId w:val="36"/>
              </w:numPr>
              <w:spacing w:before="120" w:line="276" w:lineRule="auto"/>
              <w:ind w:left="0"/>
              <w:rPr>
                <w:szCs w:val="20"/>
              </w:rPr>
            </w:pPr>
          </w:p>
        </w:tc>
      </w:tr>
      <w:tr w:rsidR="00A0524C" w:rsidRPr="00104E87" w14:paraId="15D4F58A" w14:textId="77777777" w:rsidTr="0059177F">
        <w:trPr>
          <w:gridAfter w:val="1"/>
          <w:wAfter w:w="9" w:type="dxa"/>
          <w:trHeight w:val="95"/>
          <w:jc w:val="center"/>
        </w:trPr>
        <w:tc>
          <w:tcPr>
            <w:tcW w:w="6616" w:type="dxa"/>
            <w:gridSpan w:val="11"/>
            <w:tcBorders>
              <w:top w:val="single" w:sz="4" w:space="0" w:color="2BB673" w:themeColor="accent1"/>
              <w:left w:val="single" w:sz="4" w:space="0" w:color="208855" w:themeColor="accent1" w:themeShade="BF"/>
              <w:bottom w:val="single" w:sz="4" w:space="0" w:color="2BB673" w:themeColor="accent1"/>
            </w:tcBorders>
            <w:shd w:val="clear" w:color="auto" w:fill="D0F4E3" w:themeFill="accent1" w:themeFillTint="33"/>
          </w:tcPr>
          <w:p w14:paraId="7560EC64" w14:textId="77777777" w:rsidR="00A0524C" w:rsidRPr="005C6123" w:rsidRDefault="00A0524C" w:rsidP="005D2939">
            <w:pPr>
              <w:pStyle w:val="ListParagraph"/>
              <w:numPr>
                <w:ilvl w:val="0"/>
                <w:numId w:val="36"/>
              </w:numPr>
              <w:spacing w:before="100" w:beforeAutospacing="1" w:after="100" w:afterAutospacing="1" w:line="276" w:lineRule="auto"/>
              <w:ind w:left="0"/>
              <w:rPr>
                <w:bCs/>
                <w:sz w:val="16"/>
                <w:szCs w:val="16"/>
              </w:rPr>
            </w:pPr>
          </w:p>
          <w:p w14:paraId="2259B1F0" w14:textId="77777777" w:rsidR="00A0524C" w:rsidRPr="005C6123" w:rsidRDefault="00A0524C" w:rsidP="00A0524C">
            <w:pPr>
              <w:pStyle w:val="ListParagraph"/>
              <w:spacing w:before="60" w:after="60" w:line="276" w:lineRule="auto"/>
              <w:contextualSpacing w:val="0"/>
              <w:rPr>
                <w:bCs/>
                <w:sz w:val="16"/>
                <w:szCs w:val="16"/>
              </w:rPr>
            </w:pPr>
            <w:r w:rsidRPr="005C6123">
              <w:rPr>
                <w:bCs/>
                <w:sz w:val="16"/>
                <w:szCs w:val="16"/>
              </w:rPr>
              <w:t>Casing Head gas can be built up in the in the annular wellbore space between the tubing and casing, particularly in marginal oil wells with a low GOR. Usually beneficial, casing head gas forces the produced oil up the tubing. However, in mature oil wells equipped with a beam pump or electric submersible pump, this gas can begin restricting oil flow, thereby decreasing a well’s production with vapor locking the pump. Combined with the backpressure of an oil well’s surface equipment, the resultant pressure from casing head gas can severely restrict production. The gas pressure build-up in a well’s annular space must therefore be removed to maintain production, and a common solution is to vent the casing head gas to the atmosphere at or near the wellhead.</w:t>
            </w:r>
          </w:p>
        </w:tc>
        <w:tc>
          <w:tcPr>
            <w:tcW w:w="2745" w:type="dxa"/>
            <w:gridSpan w:val="13"/>
            <w:tcBorders>
              <w:top w:val="single" w:sz="4" w:space="0" w:color="2BB673" w:themeColor="accent1"/>
              <w:bottom w:val="single" w:sz="4" w:space="0" w:color="2BB673" w:themeColor="accent1"/>
              <w:right w:val="single" w:sz="4" w:space="0" w:color="208855" w:themeColor="accent1" w:themeShade="BF"/>
            </w:tcBorders>
            <w:shd w:val="clear" w:color="auto" w:fill="D0F4E3" w:themeFill="accent1" w:themeFillTint="33"/>
          </w:tcPr>
          <w:p w14:paraId="660C1688"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78C95125" w14:textId="77777777" w:rsidR="00A0524C" w:rsidRPr="005C6123" w:rsidRDefault="00A0524C" w:rsidP="005D2939">
            <w:pPr>
              <w:pStyle w:val="ListParagraph"/>
              <w:numPr>
                <w:ilvl w:val="0"/>
                <w:numId w:val="36"/>
              </w:numPr>
              <w:spacing w:before="100" w:beforeAutospacing="1" w:after="100" w:afterAutospacing="1" w:line="276" w:lineRule="auto"/>
              <w:ind w:left="0"/>
              <w:rPr>
                <w:b/>
                <w:bCs/>
                <w:sz w:val="16"/>
                <w:szCs w:val="16"/>
                <w:u w:val="single"/>
              </w:rPr>
            </w:pPr>
            <w:r>
              <w:rPr>
                <w:noProof/>
                <w:sz w:val="16"/>
                <w:szCs w:val="16"/>
                <w:lang w:val="nb-NO" w:eastAsia="nb-NO"/>
              </w:rPr>
              <w:drawing>
                <wp:inline distT="0" distB="0" distL="0" distR="0" wp14:anchorId="07991A5D" wp14:editId="17950E25">
                  <wp:extent cx="1352550" cy="889000"/>
                  <wp:effectExtent l="0" t="0" r="0" b="635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a:noFill/>
                          </a:ln>
                        </pic:spPr>
                      </pic:pic>
                    </a:graphicData>
                  </a:graphic>
                </wp:inline>
              </w:drawing>
            </w:r>
          </w:p>
          <w:p w14:paraId="5E3AEE4D" w14:textId="77777777" w:rsidR="00A0524C" w:rsidRPr="005C6123" w:rsidRDefault="00A0524C" w:rsidP="005D2939">
            <w:pPr>
              <w:pStyle w:val="ListParagraph"/>
              <w:numPr>
                <w:ilvl w:val="0"/>
                <w:numId w:val="36"/>
              </w:numPr>
              <w:spacing w:before="100" w:beforeAutospacing="1" w:after="100" w:afterAutospacing="1" w:line="276" w:lineRule="auto"/>
              <w:ind w:left="0"/>
              <w:rPr>
                <w:sz w:val="10"/>
                <w:szCs w:val="10"/>
                <w:lang w:val="fr-FR"/>
              </w:rPr>
            </w:pPr>
            <w:r w:rsidRPr="005C6123">
              <w:rPr>
                <w:sz w:val="10"/>
                <w:szCs w:val="10"/>
                <w:lang w:val="fr-FR"/>
              </w:rPr>
              <w:t xml:space="preserve">Image Source: http://www.weatherford.com </w:t>
            </w:r>
          </w:p>
        </w:tc>
      </w:tr>
      <w:tr w:rsidR="00A0524C" w:rsidRPr="00104E87" w14:paraId="628B0DF3" w14:textId="77777777" w:rsidTr="0059177F">
        <w:trPr>
          <w:gridAfter w:val="1"/>
          <w:wAfter w:w="9" w:type="dxa"/>
          <w:trHeight w:val="1201"/>
          <w:jc w:val="center"/>
        </w:trPr>
        <w:tc>
          <w:tcPr>
            <w:tcW w:w="6616" w:type="dxa"/>
            <w:gridSpan w:val="11"/>
            <w:tcBorders>
              <w:top w:val="single" w:sz="4" w:space="0" w:color="2BB673" w:themeColor="accent1"/>
              <w:left w:val="single" w:sz="4" w:space="0" w:color="208855" w:themeColor="accent1" w:themeShade="BF"/>
              <w:bottom w:val="single" w:sz="4" w:space="0" w:color="208855" w:themeColor="accent1" w:themeShade="BF"/>
            </w:tcBorders>
            <w:shd w:val="clear" w:color="auto" w:fill="auto"/>
          </w:tcPr>
          <w:p w14:paraId="25DC6263" w14:textId="77777777" w:rsidR="00A0524C" w:rsidRPr="005C6123" w:rsidRDefault="00A0524C" w:rsidP="005D2939">
            <w:pPr>
              <w:pStyle w:val="ListParagraph"/>
              <w:numPr>
                <w:ilvl w:val="0"/>
                <w:numId w:val="36"/>
              </w:numPr>
              <w:spacing w:before="60" w:after="60" w:line="276" w:lineRule="auto"/>
              <w:ind w:left="0" w:hanging="357"/>
              <w:contextualSpacing w:val="0"/>
              <w:rPr>
                <w:b/>
                <w:bCs/>
                <w:sz w:val="16"/>
                <w:szCs w:val="16"/>
              </w:rPr>
            </w:pPr>
            <w:r w:rsidRPr="005C6123">
              <w:rPr>
                <w:b/>
                <w:bCs/>
                <w:sz w:val="16"/>
                <w:szCs w:val="16"/>
              </w:rPr>
              <w:t>Mitigation Techniques:</w:t>
            </w:r>
          </w:p>
          <w:p w14:paraId="12B72CBC" w14:textId="77777777" w:rsidR="00A0524C" w:rsidRPr="005C6123" w:rsidDel="00F662EB" w:rsidRDefault="00A0524C" w:rsidP="005D2939">
            <w:pPr>
              <w:pStyle w:val="ListParagraph"/>
              <w:numPr>
                <w:ilvl w:val="0"/>
                <w:numId w:val="52"/>
              </w:numPr>
              <w:spacing w:before="60" w:after="60"/>
              <w:ind w:left="181" w:hanging="181"/>
              <w:contextualSpacing w:val="0"/>
              <w:rPr>
                <w:color w:val="000000"/>
                <w:sz w:val="16"/>
                <w:szCs w:val="16"/>
                <w:shd w:val="clear" w:color="auto" w:fill="FFFFFF"/>
              </w:rPr>
            </w:pPr>
            <w:r w:rsidRPr="00FB48A1">
              <w:rPr>
                <w:sz w:val="16"/>
                <w:szCs w:val="16"/>
              </w:rPr>
              <w:t>Install compressors/VRU to capture casinghead gas or connect casing to tanks equipped with VRUs or re-route casinghead gas to flare, u</w:t>
            </w:r>
            <w:r w:rsidRPr="00FB48A1">
              <w:rPr>
                <w:color w:val="000000"/>
                <w:sz w:val="16"/>
                <w:szCs w:val="16"/>
                <w:shd w:val="clear" w:color="auto" w:fill="FFFFFF"/>
              </w:rPr>
              <w:t>p to 95% emission reductions achievable.</w:t>
            </w:r>
          </w:p>
        </w:tc>
        <w:tc>
          <w:tcPr>
            <w:tcW w:w="2745" w:type="dxa"/>
            <w:gridSpan w:val="13"/>
            <w:tcBorders>
              <w:top w:val="single" w:sz="4" w:space="0" w:color="2BB673" w:themeColor="accent1"/>
              <w:bottom w:val="single" w:sz="4" w:space="0" w:color="208855" w:themeColor="accent1" w:themeShade="BF"/>
              <w:right w:val="single" w:sz="4" w:space="0" w:color="208855" w:themeColor="accent1" w:themeShade="BF"/>
            </w:tcBorders>
            <w:shd w:val="clear" w:color="auto" w:fill="auto"/>
          </w:tcPr>
          <w:p w14:paraId="183BE7B0"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4D34180A" w14:textId="77777777" w:rsidR="00A0524C" w:rsidRPr="005C6123" w:rsidRDefault="000941A9" w:rsidP="00A0524C">
            <w:pPr>
              <w:spacing w:before="60" w:after="60" w:line="240" w:lineRule="auto"/>
              <w:rPr>
                <w:sz w:val="16"/>
                <w:szCs w:val="16"/>
                <w:lang w:val="en-US"/>
              </w:rPr>
            </w:pPr>
            <w:hyperlink r:id="rId29" w:history="1">
              <w:r w:rsidR="00A0524C" w:rsidRPr="005C6123">
                <w:rPr>
                  <w:rStyle w:val="Hyperlink"/>
                  <w:sz w:val="14"/>
                  <w:szCs w:val="16"/>
                  <w:lang w:val="en-US"/>
                </w:rPr>
                <w:t>http://www.ccacoalition.org/en/resources/technical-guidance-document-number-9-casinghead-gas-venting</w:t>
              </w:r>
            </w:hyperlink>
          </w:p>
        </w:tc>
      </w:tr>
      <w:tr w:rsidR="00A0524C" w:rsidRPr="005C6123" w14:paraId="13FDB725" w14:textId="77777777" w:rsidTr="0059177F">
        <w:trPr>
          <w:gridAfter w:val="1"/>
          <w:wAfter w:w="9" w:type="dxa"/>
          <w:trHeight w:val="188"/>
          <w:jc w:val="center"/>
        </w:trPr>
        <w:tc>
          <w:tcPr>
            <w:tcW w:w="2125" w:type="dxa"/>
            <w:gridSpan w:val="3"/>
            <w:tcBorders>
              <w:top w:val="single" w:sz="4" w:space="0" w:color="208855" w:themeColor="accent1" w:themeShade="BF"/>
              <w:right w:val="single" w:sz="4" w:space="0" w:color="208855" w:themeColor="accent1" w:themeShade="BF"/>
            </w:tcBorders>
            <w:shd w:val="clear" w:color="auto" w:fill="D0F4E3" w:themeFill="accent1" w:themeFillTint="33"/>
          </w:tcPr>
          <w:p w14:paraId="0BA306B6" w14:textId="77777777" w:rsidR="00A0524C" w:rsidRPr="005C6123" w:rsidRDefault="00A0524C" w:rsidP="005D2939">
            <w:pPr>
              <w:pStyle w:val="ListParagraph"/>
              <w:numPr>
                <w:ilvl w:val="0"/>
                <w:numId w:val="36"/>
              </w:numPr>
              <w:spacing w:before="60" w:after="60" w:line="276" w:lineRule="auto"/>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12"/>
            </w:r>
          </w:p>
        </w:tc>
        <w:tc>
          <w:tcPr>
            <w:tcW w:w="2286" w:type="dxa"/>
            <w:gridSpan w:val="6"/>
            <w:tcBorders>
              <w:top w:val="single" w:sz="4" w:space="0" w:color="208855" w:themeColor="accent1" w:themeShade="BF"/>
              <w:left w:val="single" w:sz="4" w:space="0" w:color="208855" w:themeColor="accent1" w:themeShade="BF"/>
              <w:right w:val="single" w:sz="4" w:space="0" w:color="208855" w:themeColor="accent1" w:themeShade="BF"/>
            </w:tcBorders>
            <w:shd w:val="clear" w:color="auto" w:fill="D0F4E3" w:themeFill="accent1" w:themeFillTint="33"/>
          </w:tcPr>
          <w:p w14:paraId="08452905" w14:textId="77777777" w:rsidR="00A0524C" w:rsidRPr="005C6123" w:rsidRDefault="00A0524C" w:rsidP="005D2939">
            <w:pPr>
              <w:pStyle w:val="ListParagraph"/>
              <w:numPr>
                <w:ilvl w:val="0"/>
                <w:numId w:val="36"/>
              </w:numPr>
              <w:spacing w:before="60" w:after="60" w:line="276" w:lineRule="auto"/>
              <w:ind w:left="0" w:hanging="357"/>
              <w:contextualSpacing w:val="0"/>
              <w:rPr>
                <w:b/>
                <w:sz w:val="15"/>
                <w:szCs w:val="15"/>
                <w:u w:val="single"/>
              </w:rPr>
            </w:pPr>
            <w:r w:rsidRPr="005C6123">
              <w:rPr>
                <w:b/>
                <w:sz w:val="15"/>
                <w:szCs w:val="15"/>
              </w:rPr>
              <w:t>Applicable</w:t>
            </w:r>
            <w:r w:rsidRPr="005C6123">
              <w:rPr>
                <w:sz w:val="15"/>
                <w:szCs w:val="15"/>
              </w:rPr>
              <w:t xml:space="preserve"> </w:t>
            </w:r>
            <w:r w:rsidRPr="005C6123">
              <w:rPr>
                <w:b/>
                <w:sz w:val="15"/>
                <w:szCs w:val="15"/>
              </w:rPr>
              <w:t>Emission Quantification equipment</w:t>
            </w:r>
            <w:r w:rsidRPr="005C6123">
              <w:rPr>
                <w:rStyle w:val="FootnoteReference"/>
                <w:b/>
                <w:sz w:val="15"/>
                <w:szCs w:val="15"/>
              </w:rPr>
              <w:footnoteReference w:id="113"/>
            </w:r>
          </w:p>
        </w:tc>
        <w:tc>
          <w:tcPr>
            <w:tcW w:w="4950" w:type="dxa"/>
            <w:gridSpan w:val="15"/>
            <w:tcBorders>
              <w:top w:val="single" w:sz="4" w:space="0" w:color="208855" w:themeColor="accent1" w:themeShade="BF"/>
              <w:left w:val="single" w:sz="4" w:space="0" w:color="208855" w:themeColor="accent1" w:themeShade="BF"/>
            </w:tcBorders>
            <w:shd w:val="clear" w:color="auto" w:fill="D0F4E3" w:themeFill="accent1" w:themeFillTint="33"/>
          </w:tcPr>
          <w:p w14:paraId="6043616F" w14:textId="77777777" w:rsidR="00A0524C" w:rsidRPr="005C6123" w:rsidRDefault="00A0524C" w:rsidP="005D2939">
            <w:pPr>
              <w:pStyle w:val="ListParagraph"/>
              <w:numPr>
                <w:ilvl w:val="0"/>
                <w:numId w:val="36"/>
              </w:numPr>
              <w:spacing w:before="60" w:after="60" w:line="276" w:lineRule="auto"/>
              <w:ind w:left="0" w:hanging="357"/>
              <w:contextualSpacing w:val="0"/>
              <w:rPr>
                <w:b/>
                <w:sz w:val="15"/>
                <w:szCs w:val="15"/>
                <w:u w:val="single"/>
              </w:rPr>
            </w:pPr>
            <w:r w:rsidRPr="005C6123">
              <w:rPr>
                <w:b/>
                <w:sz w:val="15"/>
                <w:szCs w:val="15"/>
              </w:rPr>
              <w:t>Typical quantification Methodologies</w:t>
            </w:r>
          </w:p>
        </w:tc>
      </w:tr>
      <w:tr w:rsidR="00A0524C" w:rsidRPr="00104E87" w14:paraId="66EBD556" w14:textId="77777777" w:rsidTr="0059177F">
        <w:trPr>
          <w:gridAfter w:val="1"/>
          <w:wAfter w:w="9" w:type="dxa"/>
          <w:trHeight w:val="851"/>
          <w:jc w:val="center"/>
        </w:trPr>
        <w:tc>
          <w:tcPr>
            <w:tcW w:w="2125" w:type="dxa"/>
            <w:gridSpan w:val="3"/>
            <w:tcBorders>
              <w:bottom w:val="nil"/>
              <w:right w:val="single" w:sz="4" w:space="0" w:color="208855" w:themeColor="accent1" w:themeShade="BF"/>
            </w:tcBorders>
            <w:shd w:val="clear" w:color="auto" w:fill="auto"/>
          </w:tcPr>
          <w:p w14:paraId="0767B56D" w14:textId="77777777" w:rsidR="00A0524C" w:rsidRPr="005C6123" w:rsidRDefault="00A0524C" w:rsidP="005D2939">
            <w:pPr>
              <w:pStyle w:val="ListParagraph"/>
              <w:numPr>
                <w:ilvl w:val="0"/>
                <w:numId w:val="43"/>
              </w:numPr>
              <w:spacing w:before="40" w:after="40" w:line="276" w:lineRule="auto"/>
              <w:ind w:left="179" w:hanging="179"/>
              <w:contextualSpacing w:val="0"/>
              <w:rPr>
                <w:rFonts w:eastAsia="Times New Roman"/>
                <w:bCs/>
                <w:color w:val="000000"/>
                <w:sz w:val="15"/>
                <w:szCs w:val="15"/>
              </w:rPr>
            </w:pPr>
            <w:r w:rsidRPr="005C6123">
              <w:rPr>
                <w:rFonts w:eastAsia="Times New Roman"/>
                <w:bCs/>
                <w:color w:val="000000"/>
                <w:sz w:val="15"/>
                <w:szCs w:val="15"/>
              </w:rPr>
              <w:t xml:space="preserve">Optical Gas Imaging </w:t>
            </w:r>
          </w:p>
        </w:tc>
        <w:tc>
          <w:tcPr>
            <w:tcW w:w="2286" w:type="dxa"/>
            <w:gridSpan w:val="6"/>
            <w:tcBorders>
              <w:left w:val="single" w:sz="4" w:space="0" w:color="208855" w:themeColor="accent1" w:themeShade="BF"/>
              <w:bottom w:val="nil"/>
              <w:right w:val="single" w:sz="4" w:space="0" w:color="208855" w:themeColor="accent1" w:themeShade="BF"/>
            </w:tcBorders>
            <w:shd w:val="clear" w:color="auto" w:fill="auto"/>
          </w:tcPr>
          <w:p w14:paraId="30A7C5CE" w14:textId="77777777" w:rsidR="00A0524C" w:rsidRPr="005C6123" w:rsidRDefault="00A0524C" w:rsidP="005D2939">
            <w:pPr>
              <w:pStyle w:val="ListParagraph"/>
              <w:numPr>
                <w:ilvl w:val="0"/>
                <w:numId w:val="40"/>
              </w:numPr>
              <w:spacing w:before="40" w:after="40" w:line="240" w:lineRule="auto"/>
              <w:ind w:left="186" w:hanging="208"/>
              <w:contextualSpacing w:val="0"/>
              <w:rPr>
                <w:color w:val="000000"/>
                <w:sz w:val="15"/>
                <w:szCs w:val="15"/>
              </w:rPr>
            </w:pPr>
            <w:r w:rsidRPr="005C6123">
              <w:rPr>
                <w:color w:val="000000"/>
                <w:sz w:val="15"/>
                <w:szCs w:val="15"/>
              </w:rPr>
              <w:t>Turbine Meter</w:t>
            </w:r>
          </w:p>
          <w:p w14:paraId="2F5C33F2" w14:textId="77777777" w:rsidR="00A0524C" w:rsidRPr="005C6123" w:rsidRDefault="00A0524C" w:rsidP="005D2939">
            <w:pPr>
              <w:pStyle w:val="ListParagraph"/>
              <w:numPr>
                <w:ilvl w:val="0"/>
                <w:numId w:val="40"/>
              </w:numPr>
              <w:spacing w:before="40" w:after="40" w:line="240" w:lineRule="auto"/>
              <w:ind w:left="186" w:hanging="208"/>
              <w:contextualSpacing w:val="0"/>
              <w:rPr>
                <w:color w:val="000000"/>
                <w:sz w:val="15"/>
                <w:szCs w:val="15"/>
              </w:rPr>
            </w:pPr>
            <w:r w:rsidRPr="005C6123">
              <w:rPr>
                <w:rFonts w:eastAsia="Times New Roman"/>
                <w:color w:val="000000"/>
                <w:sz w:val="15"/>
                <w:szCs w:val="15"/>
              </w:rPr>
              <w:t>Hotwire anemometer</w:t>
            </w:r>
          </w:p>
          <w:p w14:paraId="7F41A905" w14:textId="77777777" w:rsidR="00A0524C" w:rsidRPr="005C6123" w:rsidRDefault="00A0524C" w:rsidP="005D2939">
            <w:pPr>
              <w:pStyle w:val="ListParagraph"/>
              <w:numPr>
                <w:ilvl w:val="0"/>
                <w:numId w:val="40"/>
              </w:numPr>
              <w:spacing w:before="40" w:after="40" w:line="240" w:lineRule="auto"/>
              <w:ind w:left="186" w:hanging="208"/>
              <w:contextualSpacing w:val="0"/>
              <w:rPr>
                <w:color w:val="000000"/>
                <w:sz w:val="15"/>
                <w:szCs w:val="15"/>
              </w:rPr>
            </w:pPr>
            <w:r w:rsidRPr="005C6123">
              <w:rPr>
                <w:rFonts w:eastAsia="Times New Roman"/>
                <w:color w:val="000000"/>
                <w:sz w:val="15"/>
                <w:szCs w:val="15"/>
              </w:rPr>
              <w:t>Vane anemometer</w:t>
            </w:r>
          </w:p>
        </w:tc>
        <w:tc>
          <w:tcPr>
            <w:tcW w:w="4950" w:type="dxa"/>
            <w:gridSpan w:val="15"/>
            <w:tcBorders>
              <w:left w:val="single" w:sz="4" w:space="0" w:color="208855" w:themeColor="accent1" w:themeShade="BF"/>
              <w:bottom w:val="nil"/>
            </w:tcBorders>
            <w:shd w:val="clear" w:color="auto" w:fill="auto"/>
          </w:tcPr>
          <w:p w14:paraId="14FE2A6B" w14:textId="77777777" w:rsidR="00A0524C" w:rsidRPr="005C6123" w:rsidRDefault="00A0524C" w:rsidP="005D2939">
            <w:pPr>
              <w:pStyle w:val="ListParagraph"/>
              <w:numPr>
                <w:ilvl w:val="0"/>
                <w:numId w:val="40"/>
              </w:numPr>
              <w:spacing w:before="40" w:after="40" w:line="240" w:lineRule="auto"/>
              <w:ind w:left="185" w:hanging="185"/>
              <w:contextualSpacing w:val="0"/>
              <w:rPr>
                <w:sz w:val="15"/>
                <w:szCs w:val="15"/>
              </w:rPr>
            </w:pPr>
            <w:r w:rsidRPr="005C6123">
              <w:rPr>
                <w:sz w:val="15"/>
                <w:szCs w:val="15"/>
              </w:rPr>
              <w:t xml:space="preserve">Direct measurement </w:t>
            </w:r>
          </w:p>
          <w:p w14:paraId="75ADF940" w14:textId="77777777" w:rsidR="00A0524C" w:rsidRPr="005C6123" w:rsidRDefault="00A0524C" w:rsidP="005D2939">
            <w:pPr>
              <w:pStyle w:val="ListParagraph"/>
              <w:numPr>
                <w:ilvl w:val="0"/>
                <w:numId w:val="40"/>
              </w:numPr>
              <w:spacing w:before="40" w:after="40" w:line="240" w:lineRule="auto"/>
              <w:ind w:left="185" w:hanging="185"/>
              <w:contextualSpacing w:val="0"/>
              <w:rPr>
                <w:sz w:val="15"/>
                <w:szCs w:val="15"/>
              </w:rPr>
            </w:pPr>
            <w:r w:rsidRPr="005C6123">
              <w:rPr>
                <w:sz w:val="15"/>
                <w:szCs w:val="15"/>
              </w:rPr>
              <w:t>Engineering calculation</w:t>
            </w:r>
            <w:r w:rsidRPr="005C6123">
              <w:rPr>
                <w:rStyle w:val="FootnoteReference"/>
                <w:sz w:val="15"/>
                <w:szCs w:val="15"/>
              </w:rPr>
              <w:footnoteReference w:id="114"/>
            </w:r>
          </w:p>
          <w:p w14:paraId="2E3FF6CD" w14:textId="77777777" w:rsidR="00A0524C" w:rsidRPr="005C6123" w:rsidRDefault="00A0524C" w:rsidP="005D2939">
            <w:pPr>
              <w:pStyle w:val="ListParagraph"/>
              <w:numPr>
                <w:ilvl w:val="0"/>
                <w:numId w:val="40"/>
              </w:numPr>
              <w:spacing w:before="40" w:after="40" w:line="240" w:lineRule="auto"/>
              <w:ind w:left="185" w:hanging="185"/>
              <w:contextualSpacing w:val="0"/>
              <w:rPr>
                <w:sz w:val="16"/>
                <w:szCs w:val="16"/>
              </w:rPr>
            </w:pPr>
            <w:r w:rsidRPr="005C6123">
              <w:rPr>
                <w:sz w:val="15"/>
                <w:szCs w:val="15"/>
              </w:rPr>
              <w:t>Default emission factors (e.g. Sm</w:t>
            </w:r>
            <w:r w:rsidRPr="005C6123">
              <w:rPr>
                <w:sz w:val="15"/>
                <w:szCs w:val="15"/>
                <w:vertAlign w:val="superscript"/>
              </w:rPr>
              <w:t>3</w:t>
            </w:r>
            <w:r w:rsidRPr="005C6123">
              <w:rPr>
                <w:sz w:val="15"/>
                <w:szCs w:val="15"/>
              </w:rPr>
              <w:t>/well or Sm</w:t>
            </w:r>
            <w:r w:rsidRPr="005C6123">
              <w:rPr>
                <w:sz w:val="15"/>
                <w:szCs w:val="15"/>
                <w:vertAlign w:val="superscript"/>
              </w:rPr>
              <w:t>3</w:t>
            </w:r>
            <w:r w:rsidRPr="005C6123">
              <w:rPr>
                <w:sz w:val="15"/>
                <w:szCs w:val="15"/>
              </w:rPr>
              <w:t>/event/year)</w:t>
            </w:r>
          </w:p>
        </w:tc>
      </w:tr>
      <w:tr w:rsidR="00A2317D" w:rsidRPr="005C6123" w:rsidDel="00994E71" w14:paraId="485331C1" w14:textId="77777777" w:rsidTr="0059177F">
        <w:trPr>
          <w:gridAfter w:val="1"/>
          <w:wAfter w:w="9" w:type="dxa"/>
          <w:trHeight w:val="151"/>
          <w:jc w:val="center"/>
        </w:trPr>
        <w:tc>
          <w:tcPr>
            <w:tcW w:w="6616" w:type="dxa"/>
            <w:gridSpan w:val="11"/>
            <w:tcBorders>
              <w:top w:val="nil"/>
              <w:left w:val="nil"/>
              <w:bottom w:val="single" w:sz="4" w:space="0" w:color="2BB673" w:themeColor="text2"/>
            </w:tcBorders>
            <w:shd w:val="clear" w:color="auto" w:fill="208855" w:themeFill="accent1" w:themeFillShade="BF"/>
            <w:vAlign w:val="center"/>
          </w:tcPr>
          <w:p w14:paraId="4BBEE5E4" w14:textId="1ADB68F6" w:rsidR="00A2317D" w:rsidRPr="00FB48A1" w:rsidRDefault="00A2317D" w:rsidP="00A2317D">
            <w:pPr>
              <w:pStyle w:val="ListParagraph"/>
              <w:numPr>
                <w:ilvl w:val="0"/>
                <w:numId w:val="36"/>
              </w:numPr>
              <w:spacing w:before="60" w:after="60"/>
              <w:ind w:left="0" w:hanging="357"/>
              <w:contextualSpacing w:val="0"/>
              <w:rPr>
                <w:b/>
                <w:bCs/>
                <w:color w:val="FFFFFF"/>
              </w:rPr>
            </w:pPr>
            <w:r w:rsidRPr="000941A9">
              <w:rPr>
                <w:b/>
                <w:bCs/>
                <w:color w:val="FFFFFF"/>
              </w:rPr>
              <w:t>Emission source categories along the value chain</w:t>
            </w:r>
          </w:p>
        </w:tc>
        <w:tc>
          <w:tcPr>
            <w:tcW w:w="687" w:type="dxa"/>
            <w:gridSpan w:val="2"/>
            <w:tcBorders>
              <w:top w:val="nil"/>
              <w:bottom w:val="single" w:sz="4" w:space="0" w:color="2BB673" w:themeColor="text2"/>
            </w:tcBorders>
            <w:shd w:val="clear" w:color="auto" w:fill="155B39" w:themeFill="accent6"/>
            <w:vAlign w:val="center"/>
          </w:tcPr>
          <w:p w14:paraId="75863391" w14:textId="6E5666ED" w:rsidR="00A2317D" w:rsidRPr="005C6123" w:rsidRDefault="00A2317D" w:rsidP="00A2317D">
            <w:pPr>
              <w:pStyle w:val="ListParagraph"/>
              <w:spacing w:before="120" w:line="276" w:lineRule="auto"/>
              <w:jc w:val="center"/>
              <w:rPr>
                <w:color w:val="FFFFFF"/>
                <w:szCs w:val="20"/>
              </w:rPr>
            </w:pPr>
            <w:r w:rsidRPr="005C6123">
              <w:rPr>
                <w:b/>
                <w:bCs/>
                <w:color w:val="FFFFFF"/>
                <w:sz w:val="14"/>
                <w:szCs w:val="14"/>
                <w:lang w:val="nb-NO"/>
              </w:rPr>
              <w:t>P</w:t>
            </w:r>
          </w:p>
        </w:tc>
        <w:tc>
          <w:tcPr>
            <w:tcW w:w="685" w:type="dxa"/>
            <w:gridSpan w:val="5"/>
            <w:tcBorders>
              <w:top w:val="nil"/>
              <w:bottom w:val="single" w:sz="4" w:space="0" w:color="2BB673" w:themeColor="text2"/>
            </w:tcBorders>
            <w:shd w:val="clear" w:color="auto" w:fill="155B39" w:themeFill="accent6"/>
            <w:vAlign w:val="center"/>
          </w:tcPr>
          <w:p w14:paraId="3875366A" w14:textId="03B78FD5" w:rsidR="00A2317D" w:rsidRPr="005C6123" w:rsidDel="00994E71" w:rsidRDefault="00A2317D" w:rsidP="00A2317D">
            <w:pPr>
              <w:pStyle w:val="ListParagraph"/>
              <w:spacing w:before="120" w:line="276" w:lineRule="auto"/>
              <w:rPr>
                <w:szCs w:val="20"/>
              </w:rPr>
            </w:pPr>
            <w:r w:rsidRPr="005C6123">
              <w:rPr>
                <w:b/>
                <w:bCs/>
                <w:color w:val="FFFFFF"/>
                <w:sz w:val="14"/>
                <w:szCs w:val="14"/>
              </w:rPr>
              <w:t>G&amp;P</w:t>
            </w:r>
          </w:p>
        </w:tc>
        <w:tc>
          <w:tcPr>
            <w:tcW w:w="677" w:type="dxa"/>
            <w:gridSpan w:val="3"/>
            <w:tcBorders>
              <w:top w:val="nil"/>
              <w:bottom w:val="single" w:sz="4" w:space="0" w:color="2BB673" w:themeColor="text2"/>
            </w:tcBorders>
            <w:shd w:val="clear" w:color="auto" w:fill="155B39" w:themeFill="accent6"/>
            <w:vAlign w:val="center"/>
          </w:tcPr>
          <w:p w14:paraId="03B55A5A" w14:textId="34158A10" w:rsidR="00A2317D" w:rsidRPr="005C6123" w:rsidDel="00994E71" w:rsidRDefault="00A2317D" w:rsidP="00A2317D">
            <w:pPr>
              <w:pStyle w:val="ListParagraph"/>
              <w:spacing w:before="120" w:line="276" w:lineRule="auto"/>
              <w:rPr>
                <w:szCs w:val="20"/>
              </w:rPr>
            </w:pPr>
            <w:r w:rsidRPr="005C6123">
              <w:rPr>
                <w:b/>
                <w:bCs/>
                <w:color w:val="FFFFFF"/>
                <w:sz w:val="14"/>
                <w:szCs w:val="14"/>
              </w:rPr>
              <w:t>T&amp;S</w:t>
            </w:r>
          </w:p>
        </w:tc>
        <w:tc>
          <w:tcPr>
            <w:tcW w:w="696" w:type="dxa"/>
            <w:gridSpan w:val="3"/>
            <w:tcBorders>
              <w:top w:val="nil"/>
              <w:bottom w:val="single" w:sz="4" w:space="0" w:color="2BB673" w:themeColor="text2"/>
              <w:right w:val="nil"/>
            </w:tcBorders>
            <w:shd w:val="clear" w:color="auto" w:fill="155B39" w:themeFill="accent6"/>
            <w:vAlign w:val="center"/>
          </w:tcPr>
          <w:p w14:paraId="5F57DA01" w14:textId="395E5DAE" w:rsidR="00A2317D" w:rsidRPr="005C6123" w:rsidDel="00994E71" w:rsidRDefault="00A2317D" w:rsidP="00257CC2">
            <w:pPr>
              <w:pStyle w:val="ListParagraph"/>
              <w:spacing w:before="120" w:after="0" w:line="276" w:lineRule="auto"/>
              <w:jc w:val="center"/>
              <w:rPr>
                <w:szCs w:val="20"/>
              </w:rPr>
            </w:pPr>
            <w:r w:rsidRPr="00A2317D">
              <w:rPr>
                <w:b/>
                <w:bCs/>
                <w:color w:val="FFFFFF"/>
                <w:sz w:val="14"/>
                <w:szCs w:val="14"/>
              </w:rPr>
              <w:t>D</w:t>
            </w:r>
          </w:p>
        </w:tc>
      </w:tr>
      <w:tr w:rsidR="00A0524C" w:rsidRPr="005C6123" w:rsidDel="00994E71" w14:paraId="254FB39D" w14:textId="77777777" w:rsidTr="0059177F">
        <w:trPr>
          <w:gridAfter w:val="1"/>
          <w:wAfter w:w="9" w:type="dxa"/>
          <w:trHeight w:val="572"/>
          <w:jc w:val="center"/>
        </w:trPr>
        <w:tc>
          <w:tcPr>
            <w:tcW w:w="6616" w:type="dxa"/>
            <w:gridSpan w:val="11"/>
            <w:tcBorders>
              <w:top w:val="single" w:sz="4" w:space="0" w:color="2BB673" w:themeColor="text2"/>
              <w:left w:val="nil"/>
              <w:bottom w:val="nil"/>
            </w:tcBorders>
            <w:shd w:val="clear" w:color="auto" w:fill="208855" w:themeFill="accent1" w:themeFillShade="BF"/>
            <w:vAlign w:val="center"/>
          </w:tcPr>
          <w:p w14:paraId="00642D4C" w14:textId="77777777" w:rsidR="00A0524C" w:rsidRPr="005C6123" w:rsidRDefault="00A0524C" w:rsidP="005D2939">
            <w:pPr>
              <w:pStyle w:val="ListParagraph"/>
              <w:numPr>
                <w:ilvl w:val="0"/>
                <w:numId w:val="36"/>
              </w:numPr>
              <w:spacing w:before="60" w:after="60"/>
              <w:ind w:left="0" w:hanging="357"/>
              <w:contextualSpacing w:val="0"/>
              <w:rPr>
                <w:b/>
                <w:bCs/>
                <w:color w:val="FFFFFF"/>
              </w:rPr>
            </w:pPr>
            <w:r w:rsidRPr="00FB48A1">
              <w:rPr>
                <w:b/>
                <w:bCs/>
                <w:color w:val="FFFFFF"/>
              </w:rPr>
              <w:t>3. Liquids unloading from gas wells</w:t>
            </w:r>
          </w:p>
        </w:tc>
        <w:tc>
          <w:tcPr>
            <w:tcW w:w="687" w:type="dxa"/>
            <w:gridSpan w:val="2"/>
            <w:tcBorders>
              <w:top w:val="single" w:sz="4" w:space="0" w:color="2BB673" w:themeColor="text2"/>
              <w:bottom w:val="nil"/>
            </w:tcBorders>
            <w:shd w:val="clear" w:color="auto" w:fill="155B39" w:themeFill="accent6"/>
            <w:vAlign w:val="center"/>
          </w:tcPr>
          <w:p w14:paraId="1E2A630D" w14:textId="77777777" w:rsidR="00A0524C" w:rsidRPr="005C6123" w:rsidDel="00994E71" w:rsidRDefault="00A0524C" w:rsidP="00A0524C">
            <w:pPr>
              <w:pStyle w:val="ListParagraph"/>
              <w:spacing w:before="120" w:line="276" w:lineRule="auto"/>
              <w:jc w:val="center"/>
              <w:rPr>
                <w:color w:val="FFFFFF"/>
                <w:szCs w:val="20"/>
              </w:rPr>
            </w:pPr>
            <w:r w:rsidRPr="005C6123">
              <w:rPr>
                <w:color w:val="FFFFFF"/>
                <w:szCs w:val="20"/>
              </w:rPr>
              <w:sym w:font="Symbol" w:char="F0B7"/>
            </w:r>
          </w:p>
        </w:tc>
        <w:tc>
          <w:tcPr>
            <w:tcW w:w="685" w:type="dxa"/>
            <w:gridSpan w:val="5"/>
            <w:tcBorders>
              <w:top w:val="single" w:sz="4" w:space="0" w:color="2BB673" w:themeColor="text2"/>
              <w:bottom w:val="nil"/>
            </w:tcBorders>
            <w:shd w:val="clear" w:color="auto" w:fill="155B39" w:themeFill="accent6"/>
            <w:vAlign w:val="center"/>
          </w:tcPr>
          <w:p w14:paraId="5B26A42B" w14:textId="77777777" w:rsidR="00A0524C" w:rsidRPr="005C6123" w:rsidDel="00994E71" w:rsidRDefault="00A0524C" w:rsidP="00A0524C">
            <w:pPr>
              <w:pStyle w:val="ListParagraph"/>
              <w:spacing w:before="120" w:line="276" w:lineRule="auto"/>
              <w:rPr>
                <w:szCs w:val="20"/>
              </w:rPr>
            </w:pPr>
          </w:p>
        </w:tc>
        <w:tc>
          <w:tcPr>
            <w:tcW w:w="677" w:type="dxa"/>
            <w:gridSpan w:val="3"/>
            <w:tcBorders>
              <w:top w:val="single" w:sz="4" w:space="0" w:color="2BB673" w:themeColor="text2"/>
              <w:bottom w:val="nil"/>
            </w:tcBorders>
            <w:shd w:val="clear" w:color="auto" w:fill="155B39" w:themeFill="accent6"/>
            <w:vAlign w:val="center"/>
          </w:tcPr>
          <w:p w14:paraId="7474E18E" w14:textId="77777777" w:rsidR="00A0524C" w:rsidRPr="005C6123" w:rsidDel="00994E71" w:rsidRDefault="00A0524C" w:rsidP="00A0524C">
            <w:pPr>
              <w:pStyle w:val="ListParagraph"/>
              <w:spacing w:before="120" w:line="276" w:lineRule="auto"/>
              <w:rPr>
                <w:szCs w:val="20"/>
              </w:rPr>
            </w:pPr>
          </w:p>
        </w:tc>
        <w:tc>
          <w:tcPr>
            <w:tcW w:w="696" w:type="dxa"/>
            <w:gridSpan w:val="3"/>
            <w:tcBorders>
              <w:top w:val="single" w:sz="4" w:space="0" w:color="2BB673" w:themeColor="text2"/>
              <w:bottom w:val="nil"/>
              <w:right w:val="nil"/>
            </w:tcBorders>
            <w:shd w:val="clear" w:color="auto" w:fill="155B39" w:themeFill="accent6"/>
            <w:vAlign w:val="center"/>
          </w:tcPr>
          <w:p w14:paraId="42FDFFEB" w14:textId="77777777" w:rsidR="00A0524C" w:rsidRPr="005C6123" w:rsidDel="00994E71" w:rsidRDefault="00A0524C" w:rsidP="00A0524C">
            <w:pPr>
              <w:pStyle w:val="ListParagraph"/>
              <w:spacing w:before="120" w:line="276" w:lineRule="auto"/>
              <w:rPr>
                <w:szCs w:val="20"/>
              </w:rPr>
            </w:pPr>
          </w:p>
        </w:tc>
      </w:tr>
      <w:tr w:rsidR="00A0524C" w:rsidRPr="005C6123" w14:paraId="65BBD07C" w14:textId="77777777" w:rsidTr="0059177F">
        <w:trPr>
          <w:gridAfter w:val="1"/>
          <w:wAfter w:w="9" w:type="dxa"/>
          <w:trHeight w:val="95"/>
          <w:jc w:val="center"/>
        </w:trPr>
        <w:tc>
          <w:tcPr>
            <w:tcW w:w="6616" w:type="dxa"/>
            <w:gridSpan w:val="11"/>
            <w:tcBorders>
              <w:top w:val="nil"/>
              <w:left w:val="single" w:sz="4" w:space="0" w:color="208855" w:themeColor="accent1" w:themeShade="BF"/>
              <w:bottom w:val="nil"/>
            </w:tcBorders>
            <w:shd w:val="clear" w:color="auto" w:fill="D0F4E3" w:themeFill="accent1" w:themeFillTint="33"/>
          </w:tcPr>
          <w:p w14:paraId="7DAA4E52" w14:textId="77777777" w:rsidR="00A0524C" w:rsidRPr="005C6123" w:rsidRDefault="00A0524C" w:rsidP="005D2939">
            <w:pPr>
              <w:pStyle w:val="ListParagraph"/>
              <w:numPr>
                <w:ilvl w:val="0"/>
                <w:numId w:val="36"/>
              </w:numPr>
              <w:spacing w:before="120" w:after="120"/>
              <w:ind w:left="0" w:hanging="357"/>
              <w:contextualSpacing w:val="0"/>
              <w:rPr>
                <w:bCs/>
                <w:sz w:val="16"/>
                <w:szCs w:val="16"/>
                <w:u w:val="single"/>
              </w:rPr>
            </w:pPr>
            <w:r w:rsidRPr="005C6123">
              <w:rPr>
                <w:bCs/>
                <w:sz w:val="16"/>
                <w:szCs w:val="16"/>
              </w:rPr>
              <w:t xml:space="preserve">Many natural gas wells initially have sufficient reservoir pressure when completed to flow the formation fluids to the surface along with the produced gas. However, as gas production progresses and the reservoir pressure declines, the velocity of the fluid in the well tubing keeps decreasing. Eventually, the gas velocity up the production tubing is no longer sufficient to lift liquid droplets to the surface and the liquid droplets begin accumulating in the tubing. This creates an additional pressure drop and significantly slows the gas velocity. As the bottom well pressure approaches the reservoir shut-in pressure, gas flow ultimately stops and the liquids accumulate at the bottom of the tubing. A common approach to temporarily restore flow is to vent the well to the atmosphere (well “blowdown”), which can produce substantial methane emissions. </w:t>
            </w:r>
          </w:p>
        </w:tc>
        <w:tc>
          <w:tcPr>
            <w:tcW w:w="2745" w:type="dxa"/>
            <w:gridSpan w:val="13"/>
            <w:tcBorders>
              <w:top w:val="nil"/>
              <w:bottom w:val="nil"/>
              <w:right w:val="single" w:sz="4" w:space="0" w:color="208855" w:themeColor="accent1" w:themeShade="BF"/>
            </w:tcBorders>
            <w:shd w:val="clear" w:color="auto" w:fill="D0F4E3" w:themeFill="accent1" w:themeFillTint="33"/>
          </w:tcPr>
          <w:p w14:paraId="098B9A27"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4BA56F1B" w14:textId="77777777" w:rsidR="00A0524C" w:rsidRPr="005C6123" w:rsidRDefault="00A0524C" w:rsidP="005D2939">
            <w:pPr>
              <w:pStyle w:val="ListParagraph"/>
              <w:numPr>
                <w:ilvl w:val="0"/>
                <w:numId w:val="36"/>
              </w:numPr>
              <w:spacing w:before="100" w:beforeAutospacing="1" w:after="100" w:afterAutospacing="1" w:line="276" w:lineRule="auto"/>
              <w:ind w:left="0"/>
              <w:rPr>
                <w:b/>
                <w:bCs/>
                <w:sz w:val="16"/>
                <w:szCs w:val="16"/>
              </w:rPr>
            </w:pPr>
            <w:r>
              <w:rPr>
                <w:b/>
                <w:noProof/>
                <w:sz w:val="16"/>
                <w:szCs w:val="16"/>
                <w:lang w:val="nb-NO" w:eastAsia="nb-NO"/>
              </w:rPr>
              <w:drawing>
                <wp:inline distT="0" distB="0" distL="0" distR="0" wp14:anchorId="4C4C694C" wp14:editId="2A7069DE">
                  <wp:extent cx="1352550" cy="1016000"/>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2550" cy="1016000"/>
                          </a:xfrm>
                          <a:prstGeom prst="rect">
                            <a:avLst/>
                          </a:prstGeom>
                          <a:noFill/>
                          <a:ln>
                            <a:noFill/>
                          </a:ln>
                        </pic:spPr>
                      </pic:pic>
                    </a:graphicData>
                  </a:graphic>
                </wp:inline>
              </w:drawing>
            </w:r>
          </w:p>
          <w:p w14:paraId="24A44DB4" w14:textId="77777777" w:rsidR="00A0524C" w:rsidRPr="005C6123" w:rsidRDefault="00A0524C" w:rsidP="005D2939">
            <w:pPr>
              <w:pStyle w:val="ListParagraph"/>
              <w:keepNext/>
              <w:numPr>
                <w:ilvl w:val="0"/>
                <w:numId w:val="36"/>
              </w:numPr>
              <w:spacing w:before="100" w:beforeAutospacing="1" w:after="100" w:afterAutospacing="1" w:line="276" w:lineRule="auto"/>
              <w:ind w:left="0"/>
              <w:rPr>
                <w:color w:val="000000"/>
                <w:sz w:val="10"/>
                <w:szCs w:val="10"/>
              </w:rPr>
            </w:pPr>
            <w:r w:rsidRPr="005C6123">
              <w:rPr>
                <w:color w:val="000000"/>
                <w:sz w:val="10"/>
                <w:szCs w:val="10"/>
              </w:rPr>
              <w:t>Image Source: CCAC</w:t>
            </w:r>
          </w:p>
          <w:p w14:paraId="4E45C5A3" w14:textId="77777777" w:rsidR="00A0524C" w:rsidRPr="005C6123" w:rsidRDefault="00A0524C" w:rsidP="00A0524C">
            <w:pPr>
              <w:pStyle w:val="ListParagraph"/>
              <w:spacing w:before="100" w:beforeAutospacing="1" w:after="100" w:afterAutospacing="1" w:line="276" w:lineRule="auto"/>
              <w:rPr>
                <w:sz w:val="16"/>
                <w:szCs w:val="16"/>
              </w:rPr>
            </w:pPr>
          </w:p>
        </w:tc>
      </w:tr>
      <w:tr w:rsidR="00A0524C" w:rsidRPr="00104E87" w14:paraId="5821C815" w14:textId="77777777" w:rsidTr="0059177F">
        <w:trPr>
          <w:gridAfter w:val="1"/>
          <w:wAfter w:w="9" w:type="dxa"/>
          <w:trHeight w:val="2158"/>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713A0FD1" w14:textId="77777777" w:rsidR="00A0524C" w:rsidRPr="005C6123" w:rsidRDefault="00A0524C" w:rsidP="005D2939">
            <w:pPr>
              <w:pStyle w:val="ListParagraph"/>
              <w:numPr>
                <w:ilvl w:val="0"/>
                <w:numId w:val="36"/>
              </w:numPr>
              <w:spacing w:before="60" w:after="60" w:line="276" w:lineRule="auto"/>
              <w:ind w:left="0" w:hanging="357"/>
              <w:contextualSpacing w:val="0"/>
              <w:rPr>
                <w:bCs/>
                <w:sz w:val="16"/>
                <w:szCs w:val="16"/>
              </w:rPr>
            </w:pPr>
            <w:r w:rsidRPr="005C6123">
              <w:rPr>
                <w:b/>
                <w:bCs/>
                <w:sz w:val="16"/>
                <w:szCs w:val="16"/>
              </w:rPr>
              <w:t>Mitigation Techniques:</w:t>
            </w:r>
          </w:p>
          <w:p w14:paraId="5B7DBEE8" w14:textId="77777777" w:rsidR="00A0524C" w:rsidRPr="005C6123" w:rsidRDefault="00A0524C" w:rsidP="005D2939">
            <w:pPr>
              <w:pStyle w:val="ListParagraph"/>
              <w:numPr>
                <w:ilvl w:val="0"/>
                <w:numId w:val="53"/>
              </w:numPr>
              <w:spacing w:before="60" w:after="60" w:line="240" w:lineRule="auto"/>
              <w:ind w:left="181" w:hanging="181"/>
              <w:contextualSpacing w:val="0"/>
              <w:rPr>
                <w:color w:val="000000"/>
                <w:sz w:val="16"/>
                <w:szCs w:val="16"/>
                <w:shd w:val="clear" w:color="auto" w:fill="FFFFFF"/>
              </w:rPr>
            </w:pPr>
            <w:r w:rsidRPr="00FB48A1">
              <w:rPr>
                <w:sz w:val="16"/>
                <w:szCs w:val="16"/>
              </w:rPr>
              <w:t>Install plunger lift system optimized to achieve minimal gas venting</w:t>
            </w:r>
          </w:p>
          <w:p w14:paraId="0211BF66" w14:textId="77777777" w:rsidR="00A0524C" w:rsidRPr="005C6123" w:rsidRDefault="00A0524C" w:rsidP="005D2939">
            <w:pPr>
              <w:pStyle w:val="ListParagraph"/>
              <w:numPr>
                <w:ilvl w:val="0"/>
                <w:numId w:val="53"/>
              </w:numPr>
              <w:spacing w:before="60" w:after="60" w:line="240" w:lineRule="auto"/>
              <w:ind w:left="181" w:hanging="181"/>
              <w:contextualSpacing w:val="0"/>
              <w:rPr>
                <w:color w:val="000000"/>
                <w:sz w:val="16"/>
                <w:szCs w:val="16"/>
                <w:shd w:val="clear" w:color="auto" w:fill="FFFFFF"/>
              </w:rPr>
            </w:pPr>
            <w:r w:rsidRPr="00FB48A1">
              <w:rPr>
                <w:sz w:val="16"/>
                <w:szCs w:val="16"/>
              </w:rPr>
              <w:t xml:space="preserve">Furthermore, install Smart Well technology to plunger lift systems, an automated system that determines when a plunger lift cycle need to be actuated to determine optimally when liquids should be unloaded. </w:t>
            </w:r>
          </w:p>
          <w:p w14:paraId="7DE85BDB" w14:textId="77777777" w:rsidR="00A0524C" w:rsidRPr="005C6123" w:rsidRDefault="00A0524C" w:rsidP="005D2939">
            <w:pPr>
              <w:pStyle w:val="ListParagraph"/>
              <w:numPr>
                <w:ilvl w:val="0"/>
                <w:numId w:val="53"/>
              </w:numPr>
              <w:spacing w:before="60" w:after="60" w:line="240" w:lineRule="auto"/>
              <w:ind w:left="181" w:hanging="181"/>
              <w:contextualSpacing w:val="0"/>
              <w:rPr>
                <w:color w:val="000000"/>
                <w:sz w:val="16"/>
                <w:szCs w:val="16"/>
                <w:shd w:val="clear" w:color="auto" w:fill="FFFFFF"/>
              </w:rPr>
            </w:pPr>
            <w:r w:rsidRPr="00FB48A1">
              <w:rPr>
                <w:color w:val="000000"/>
                <w:sz w:val="16"/>
                <w:szCs w:val="16"/>
                <w:shd w:val="clear" w:color="auto" w:fill="FFFFFF"/>
              </w:rPr>
              <w:t>Add foaming agents, soap strings, surfactants to reduce velocity needed for the gas to carry liquids out of the well.</w:t>
            </w:r>
          </w:p>
          <w:p w14:paraId="5618DC6B" w14:textId="77777777" w:rsidR="00A0524C" w:rsidRPr="005C6123" w:rsidDel="00F662EB" w:rsidRDefault="00A0524C" w:rsidP="005D2939">
            <w:pPr>
              <w:pStyle w:val="ListParagraph"/>
              <w:numPr>
                <w:ilvl w:val="0"/>
                <w:numId w:val="53"/>
              </w:numPr>
              <w:spacing w:before="60" w:after="60" w:line="240" w:lineRule="auto"/>
              <w:ind w:left="181" w:hanging="181"/>
              <w:contextualSpacing w:val="0"/>
              <w:rPr>
                <w:color w:val="000000"/>
                <w:sz w:val="16"/>
                <w:szCs w:val="16"/>
                <w:shd w:val="clear" w:color="auto" w:fill="FFFFFF"/>
              </w:rPr>
            </w:pPr>
            <w:r w:rsidRPr="00FB48A1">
              <w:rPr>
                <w:sz w:val="16"/>
                <w:szCs w:val="16"/>
              </w:rPr>
              <w:t>Install velocity tubing to reduce the cross-sectional area of the well, thereby increasing the velocity.</w:t>
            </w:r>
          </w:p>
        </w:tc>
        <w:tc>
          <w:tcPr>
            <w:tcW w:w="2745" w:type="dxa"/>
            <w:gridSpan w:val="13"/>
            <w:tcBorders>
              <w:top w:val="nil"/>
              <w:bottom w:val="single" w:sz="4" w:space="0" w:color="208855" w:themeColor="accent1" w:themeShade="BF"/>
              <w:right w:val="single" w:sz="4" w:space="0" w:color="208855" w:themeColor="accent1" w:themeShade="BF"/>
            </w:tcBorders>
            <w:shd w:val="clear" w:color="auto" w:fill="auto"/>
          </w:tcPr>
          <w:p w14:paraId="12CCC905"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5548779E" w14:textId="77777777" w:rsidR="00A0524C" w:rsidRPr="005C6123" w:rsidRDefault="000941A9" w:rsidP="00A0524C">
            <w:pPr>
              <w:spacing w:line="240" w:lineRule="auto"/>
              <w:rPr>
                <w:sz w:val="14"/>
                <w:szCs w:val="16"/>
                <w:lang w:val="en-US"/>
              </w:rPr>
            </w:pPr>
            <w:hyperlink r:id="rId31" w:history="1">
              <w:r w:rsidR="00A0524C" w:rsidRPr="005C6123">
                <w:rPr>
                  <w:rStyle w:val="Hyperlink"/>
                  <w:sz w:val="14"/>
                  <w:szCs w:val="16"/>
                  <w:lang w:val="en-US"/>
                </w:rPr>
                <w:t>http://www.ccacoalition.org/en/resources/technical-guidance-document-number-7-well-venting-liquids-unloading</w:t>
              </w:r>
            </w:hyperlink>
          </w:p>
        </w:tc>
      </w:tr>
      <w:tr w:rsidR="00225A04" w:rsidRPr="00104E87" w14:paraId="5047F5E2" w14:textId="77777777" w:rsidTr="0059177F">
        <w:trPr>
          <w:gridAfter w:val="1"/>
          <w:wAfter w:w="9" w:type="dxa"/>
          <w:jc w:val="center"/>
        </w:trPr>
        <w:tc>
          <w:tcPr>
            <w:tcW w:w="6616" w:type="dxa"/>
            <w:gridSpan w:val="11"/>
            <w:tcBorders>
              <w:top w:val="single" w:sz="4" w:space="0" w:color="208855" w:themeColor="accent1" w:themeShade="BF"/>
              <w:left w:val="nil"/>
              <w:bottom w:val="nil"/>
              <w:right w:val="nil"/>
            </w:tcBorders>
            <w:shd w:val="clear" w:color="auto" w:fill="auto"/>
          </w:tcPr>
          <w:p w14:paraId="62ADE5A9" w14:textId="77777777" w:rsidR="00225A04" w:rsidRDefault="00225A04" w:rsidP="00225A04">
            <w:pPr>
              <w:spacing w:before="60" w:after="60"/>
              <w:rPr>
                <w:b/>
                <w:bCs/>
                <w:sz w:val="16"/>
                <w:szCs w:val="16"/>
              </w:rPr>
            </w:pPr>
          </w:p>
          <w:p w14:paraId="5A8DE364" w14:textId="510FB55F" w:rsidR="00225A04" w:rsidRPr="00225A04" w:rsidRDefault="00225A04" w:rsidP="00225A04">
            <w:pPr>
              <w:spacing w:before="60" w:after="60"/>
              <w:rPr>
                <w:b/>
                <w:bCs/>
                <w:sz w:val="16"/>
                <w:szCs w:val="16"/>
              </w:rPr>
            </w:pPr>
          </w:p>
        </w:tc>
        <w:tc>
          <w:tcPr>
            <w:tcW w:w="2745" w:type="dxa"/>
            <w:gridSpan w:val="13"/>
            <w:tcBorders>
              <w:top w:val="single" w:sz="4" w:space="0" w:color="208855" w:themeColor="accent1" w:themeShade="BF"/>
              <w:left w:val="nil"/>
              <w:bottom w:val="nil"/>
              <w:right w:val="nil"/>
            </w:tcBorders>
            <w:shd w:val="clear" w:color="auto" w:fill="auto"/>
          </w:tcPr>
          <w:p w14:paraId="1059636D" w14:textId="77777777" w:rsidR="00225A04" w:rsidRPr="005C6123" w:rsidRDefault="00225A04" w:rsidP="00A0524C">
            <w:pPr>
              <w:spacing w:before="60" w:after="60" w:line="240" w:lineRule="auto"/>
              <w:rPr>
                <w:b/>
                <w:sz w:val="16"/>
                <w:szCs w:val="16"/>
                <w:lang w:val="en-US"/>
              </w:rPr>
            </w:pPr>
          </w:p>
        </w:tc>
      </w:tr>
      <w:tr w:rsidR="00A0524C" w:rsidRPr="005C6123" w14:paraId="4C2C0C48" w14:textId="77777777" w:rsidTr="0059177F">
        <w:trPr>
          <w:gridAfter w:val="1"/>
          <w:wAfter w:w="9" w:type="dxa"/>
          <w:trHeight w:val="188"/>
          <w:jc w:val="center"/>
        </w:trPr>
        <w:tc>
          <w:tcPr>
            <w:tcW w:w="2238" w:type="dxa"/>
            <w:gridSpan w:val="5"/>
            <w:tcBorders>
              <w:top w:val="nil"/>
              <w:bottom w:val="single" w:sz="4" w:space="0" w:color="208855"/>
              <w:right w:val="single" w:sz="4" w:space="0" w:color="208855" w:themeColor="accent1" w:themeShade="BF"/>
            </w:tcBorders>
            <w:shd w:val="clear" w:color="auto" w:fill="D0F4E3" w:themeFill="accent1" w:themeFillTint="33"/>
          </w:tcPr>
          <w:p w14:paraId="2305A5BF"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15"/>
            </w:r>
          </w:p>
        </w:tc>
        <w:tc>
          <w:tcPr>
            <w:tcW w:w="2256" w:type="dxa"/>
            <w:gridSpan w:val="5"/>
            <w:tcBorders>
              <w:top w:val="nil"/>
              <w:left w:val="single" w:sz="4" w:space="0" w:color="208855" w:themeColor="accent1" w:themeShade="BF"/>
              <w:bottom w:val="single" w:sz="4" w:space="0" w:color="208855"/>
              <w:right w:val="single" w:sz="4" w:space="0" w:color="208855" w:themeColor="accent1" w:themeShade="BF"/>
            </w:tcBorders>
            <w:shd w:val="clear" w:color="auto" w:fill="D0F4E3" w:themeFill="accent1" w:themeFillTint="33"/>
          </w:tcPr>
          <w:p w14:paraId="2AB45B3E"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Applicable</w:t>
            </w:r>
            <w:r w:rsidRPr="005C6123">
              <w:rPr>
                <w:sz w:val="15"/>
                <w:szCs w:val="15"/>
              </w:rPr>
              <w:t xml:space="preserve"> </w:t>
            </w:r>
            <w:r w:rsidRPr="005C6123">
              <w:rPr>
                <w:b/>
                <w:sz w:val="15"/>
                <w:szCs w:val="15"/>
              </w:rPr>
              <w:t>Emission Quantification equipment</w:t>
            </w:r>
            <w:r w:rsidRPr="005C6123">
              <w:rPr>
                <w:rStyle w:val="FootnoteReference"/>
                <w:b/>
                <w:sz w:val="15"/>
                <w:szCs w:val="15"/>
              </w:rPr>
              <w:footnoteReference w:id="116"/>
            </w:r>
          </w:p>
        </w:tc>
        <w:tc>
          <w:tcPr>
            <w:tcW w:w="4867" w:type="dxa"/>
            <w:gridSpan w:val="14"/>
            <w:tcBorders>
              <w:top w:val="nil"/>
              <w:left w:val="single" w:sz="4" w:space="0" w:color="208855" w:themeColor="accent1" w:themeShade="BF"/>
              <w:bottom w:val="single" w:sz="4" w:space="0" w:color="208855"/>
            </w:tcBorders>
            <w:shd w:val="clear" w:color="auto" w:fill="D0F4E3" w:themeFill="accent1" w:themeFillTint="33"/>
          </w:tcPr>
          <w:p w14:paraId="641D1E9B"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Typical quantification Methodologies</w:t>
            </w:r>
          </w:p>
        </w:tc>
      </w:tr>
      <w:tr w:rsidR="00A0524C" w:rsidRPr="00104E87" w14:paraId="09CA618D" w14:textId="77777777" w:rsidTr="0059177F">
        <w:trPr>
          <w:gridAfter w:val="1"/>
          <w:wAfter w:w="9" w:type="dxa"/>
          <w:trHeight w:val="474"/>
          <w:jc w:val="center"/>
        </w:trPr>
        <w:tc>
          <w:tcPr>
            <w:tcW w:w="2238" w:type="dxa"/>
            <w:gridSpan w:val="5"/>
            <w:tcBorders>
              <w:bottom w:val="single" w:sz="4" w:space="0" w:color="208855"/>
              <w:right w:val="single" w:sz="4" w:space="0" w:color="208855" w:themeColor="accent1" w:themeShade="BF"/>
            </w:tcBorders>
            <w:shd w:val="clear" w:color="auto" w:fill="auto"/>
          </w:tcPr>
          <w:p w14:paraId="50DFF62E" w14:textId="77777777" w:rsidR="00A0524C" w:rsidRPr="005C6123" w:rsidRDefault="00A0524C" w:rsidP="005D2939">
            <w:pPr>
              <w:pStyle w:val="ListParagraph"/>
              <w:numPr>
                <w:ilvl w:val="0"/>
                <w:numId w:val="54"/>
              </w:numPr>
              <w:spacing w:before="40" w:after="40"/>
              <w:ind w:left="180" w:hanging="180"/>
              <w:contextualSpacing w:val="0"/>
              <w:rPr>
                <w:bCs/>
                <w:color w:val="000000"/>
                <w:sz w:val="15"/>
                <w:szCs w:val="15"/>
              </w:rPr>
            </w:pPr>
            <w:r w:rsidRPr="005C6123">
              <w:rPr>
                <w:bCs/>
                <w:color w:val="000000"/>
                <w:sz w:val="15"/>
                <w:szCs w:val="15"/>
              </w:rPr>
              <w:t xml:space="preserve">Optical Gas Imaging </w:t>
            </w:r>
          </w:p>
        </w:tc>
        <w:tc>
          <w:tcPr>
            <w:tcW w:w="2256" w:type="dxa"/>
            <w:gridSpan w:val="5"/>
            <w:tcBorders>
              <w:left w:val="single" w:sz="4" w:space="0" w:color="208855" w:themeColor="accent1" w:themeShade="BF"/>
              <w:bottom w:val="single" w:sz="4" w:space="0" w:color="208855"/>
              <w:right w:val="single" w:sz="4" w:space="0" w:color="208855" w:themeColor="accent1" w:themeShade="BF"/>
            </w:tcBorders>
            <w:shd w:val="clear" w:color="auto" w:fill="auto"/>
          </w:tcPr>
          <w:p w14:paraId="3AF41C40" w14:textId="77777777" w:rsidR="00A0524C" w:rsidRPr="005C6123" w:rsidRDefault="00A0524C" w:rsidP="005D2939">
            <w:pPr>
              <w:pStyle w:val="ListParagraph"/>
              <w:numPr>
                <w:ilvl w:val="0"/>
                <w:numId w:val="54"/>
              </w:numPr>
              <w:spacing w:before="40" w:after="40" w:line="240" w:lineRule="auto"/>
              <w:ind w:left="233" w:hanging="283"/>
              <w:contextualSpacing w:val="0"/>
              <w:rPr>
                <w:color w:val="000000"/>
                <w:sz w:val="15"/>
                <w:szCs w:val="15"/>
              </w:rPr>
            </w:pPr>
            <w:r w:rsidRPr="005C6123">
              <w:rPr>
                <w:color w:val="000000"/>
                <w:sz w:val="15"/>
                <w:szCs w:val="15"/>
              </w:rPr>
              <w:t>Turbine Meter</w:t>
            </w:r>
          </w:p>
          <w:p w14:paraId="41EC9F69" w14:textId="77777777" w:rsidR="00A0524C" w:rsidRPr="005C6123" w:rsidRDefault="00A0524C" w:rsidP="005D2939">
            <w:pPr>
              <w:pStyle w:val="ListParagraph"/>
              <w:numPr>
                <w:ilvl w:val="0"/>
                <w:numId w:val="54"/>
              </w:numPr>
              <w:spacing w:before="40" w:after="40" w:line="240" w:lineRule="auto"/>
              <w:ind w:left="233" w:hanging="283"/>
              <w:contextualSpacing w:val="0"/>
              <w:rPr>
                <w:color w:val="000000"/>
                <w:sz w:val="15"/>
                <w:szCs w:val="15"/>
              </w:rPr>
            </w:pPr>
            <w:r w:rsidRPr="005C6123">
              <w:rPr>
                <w:rFonts w:eastAsia="Times New Roman"/>
                <w:color w:val="000000"/>
                <w:sz w:val="15"/>
                <w:szCs w:val="15"/>
              </w:rPr>
              <w:t>Hotwire anemometer</w:t>
            </w:r>
          </w:p>
          <w:p w14:paraId="2DAC6905" w14:textId="77777777" w:rsidR="00A0524C" w:rsidRPr="005C6123" w:rsidRDefault="00A0524C" w:rsidP="005D2939">
            <w:pPr>
              <w:pStyle w:val="ListParagraph"/>
              <w:numPr>
                <w:ilvl w:val="0"/>
                <w:numId w:val="54"/>
              </w:numPr>
              <w:spacing w:before="40" w:after="40" w:line="240" w:lineRule="auto"/>
              <w:ind w:left="233" w:hanging="283"/>
              <w:contextualSpacing w:val="0"/>
              <w:rPr>
                <w:color w:val="000000"/>
                <w:sz w:val="15"/>
                <w:szCs w:val="15"/>
                <w:lang w:val="nb-NO"/>
              </w:rPr>
            </w:pPr>
            <w:r w:rsidRPr="005C6123">
              <w:rPr>
                <w:rFonts w:eastAsia="Times New Roman"/>
                <w:color w:val="000000"/>
                <w:sz w:val="15"/>
                <w:szCs w:val="15"/>
              </w:rPr>
              <w:t>Vane anemometer</w:t>
            </w:r>
          </w:p>
        </w:tc>
        <w:tc>
          <w:tcPr>
            <w:tcW w:w="4867" w:type="dxa"/>
            <w:gridSpan w:val="14"/>
            <w:tcBorders>
              <w:left w:val="single" w:sz="4" w:space="0" w:color="208855" w:themeColor="accent1" w:themeShade="BF"/>
              <w:bottom w:val="single" w:sz="4" w:space="0" w:color="208855"/>
            </w:tcBorders>
            <w:shd w:val="clear" w:color="auto" w:fill="auto"/>
          </w:tcPr>
          <w:p w14:paraId="4A45B18B" w14:textId="77777777" w:rsidR="00A0524C" w:rsidRPr="005C6123" w:rsidRDefault="00A0524C" w:rsidP="005D2939">
            <w:pPr>
              <w:pStyle w:val="ListParagraph"/>
              <w:numPr>
                <w:ilvl w:val="0"/>
                <w:numId w:val="40"/>
              </w:numPr>
              <w:spacing w:before="40" w:after="40" w:line="240" w:lineRule="auto"/>
              <w:ind w:left="308" w:hanging="283"/>
              <w:contextualSpacing w:val="0"/>
              <w:rPr>
                <w:sz w:val="15"/>
                <w:szCs w:val="15"/>
              </w:rPr>
            </w:pPr>
            <w:r w:rsidRPr="005C6123">
              <w:rPr>
                <w:sz w:val="15"/>
                <w:szCs w:val="15"/>
              </w:rPr>
              <w:t xml:space="preserve">Direct measurement </w:t>
            </w:r>
          </w:p>
          <w:p w14:paraId="6EB8FB55" w14:textId="77777777" w:rsidR="00A0524C" w:rsidRPr="005C6123" w:rsidRDefault="00A0524C" w:rsidP="005D2939">
            <w:pPr>
              <w:pStyle w:val="ListParagraph"/>
              <w:numPr>
                <w:ilvl w:val="0"/>
                <w:numId w:val="40"/>
              </w:numPr>
              <w:spacing w:before="40" w:after="40" w:line="240" w:lineRule="auto"/>
              <w:ind w:left="308" w:hanging="283"/>
              <w:contextualSpacing w:val="0"/>
              <w:rPr>
                <w:sz w:val="15"/>
                <w:szCs w:val="15"/>
              </w:rPr>
            </w:pPr>
            <w:r w:rsidRPr="005C6123">
              <w:rPr>
                <w:sz w:val="15"/>
                <w:szCs w:val="15"/>
              </w:rPr>
              <w:t>Engineering calculation</w:t>
            </w:r>
            <w:r w:rsidRPr="005C6123">
              <w:rPr>
                <w:rStyle w:val="FootnoteReference"/>
                <w:sz w:val="15"/>
                <w:szCs w:val="15"/>
              </w:rPr>
              <w:footnoteReference w:id="117"/>
            </w:r>
          </w:p>
          <w:p w14:paraId="498EE3EA" w14:textId="77777777" w:rsidR="00A0524C" w:rsidRPr="005C6123" w:rsidRDefault="00A0524C" w:rsidP="005D2939">
            <w:pPr>
              <w:pStyle w:val="ListParagraph"/>
              <w:numPr>
                <w:ilvl w:val="0"/>
                <w:numId w:val="40"/>
              </w:numPr>
              <w:spacing w:before="40" w:after="40" w:line="240" w:lineRule="auto"/>
              <w:ind w:left="308" w:hanging="283"/>
              <w:contextualSpacing w:val="0"/>
              <w:rPr>
                <w:sz w:val="15"/>
                <w:szCs w:val="15"/>
              </w:rPr>
            </w:pPr>
            <w:r w:rsidRPr="005C6123">
              <w:rPr>
                <w:sz w:val="15"/>
                <w:szCs w:val="15"/>
              </w:rPr>
              <w:t>Default emission factors (Sm</w:t>
            </w:r>
            <w:r w:rsidRPr="005C6123">
              <w:rPr>
                <w:sz w:val="15"/>
                <w:szCs w:val="15"/>
                <w:vertAlign w:val="superscript"/>
              </w:rPr>
              <w:t>3</w:t>
            </w:r>
            <w:r w:rsidRPr="005C6123">
              <w:rPr>
                <w:sz w:val="15"/>
                <w:szCs w:val="15"/>
              </w:rPr>
              <w:t>/well or Sm</w:t>
            </w:r>
            <w:r w:rsidRPr="005C6123">
              <w:rPr>
                <w:sz w:val="15"/>
                <w:szCs w:val="15"/>
                <w:vertAlign w:val="superscript"/>
              </w:rPr>
              <w:t>3</w:t>
            </w:r>
            <w:r w:rsidRPr="005C6123">
              <w:rPr>
                <w:sz w:val="15"/>
                <w:szCs w:val="15"/>
              </w:rPr>
              <w:t>/event/year)</w:t>
            </w:r>
          </w:p>
        </w:tc>
      </w:tr>
      <w:tr w:rsidR="00A2317D" w:rsidRPr="005C6123" w:rsidDel="00994E71" w14:paraId="0B4C6C22" w14:textId="77777777" w:rsidTr="0059177F">
        <w:trPr>
          <w:gridAfter w:val="1"/>
          <w:wAfter w:w="9" w:type="dxa"/>
          <w:trHeight w:val="213"/>
          <w:jc w:val="center"/>
        </w:trPr>
        <w:tc>
          <w:tcPr>
            <w:tcW w:w="6616" w:type="dxa"/>
            <w:gridSpan w:val="11"/>
            <w:tcBorders>
              <w:top w:val="single" w:sz="4" w:space="0" w:color="208855"/>
              <w:left w:val="nil"/>
              <w:bottom w:val="single" w:sz="4" w:space="0" w:color="2BB673" w:themeColor="text2"/>
            </w:tcBorders>
            <w:shd w:val="clear" w:color="auto" w:fill="208855" w:themeFill="accent1" w:themeFillShade="BF"/>
            <w:vAlign w:val="center"/>
          </w:tcPr>
          <w:p w14:paraId="39917002" w14:textId="28D79857" w:rsidR="00A2317D" w:rsidRPr="00FB48A1" w:rsidRDefault="00A2317D" w:rsidP="00A2317D">
            <w:pPr>
              <w:pStyle w:val="ListParagraph"/>
              <w:numPr>
                <w:ilvl w:val="0"/>
                <w:numId w:val="36"/>
              </w:numPr>
              <w:spacing w:before="60" w:after="60"/>
              <w:ind w:left="0" w:hanging="357"/>
              <w:contextualSpacing w:val="0"/>
              <w:rPr>
                <w:b/>
                <w:bCs/>
                <w:color w:val="FFFFFF"/>
              </w:rPr>
            </w:pPr>
            <w:r w:rsidRPr="000941A9">
              <w:rPr>
                <w:b/>
                <w:bCs/>
                <w:color w:val="FFFFFF"/>
              </w:rPr>
              <w:t>Emission source categories along the value chain</w:t>
            </w:r>
          </w:p>
        </w:tc>
        <w:tc>
          <w:tcPr>
            <w:tcW w:w="646" w:type="dxa"/>
            <w:tcBorders>
              <w:top w:val="single" w:sz="4" w:space="0" w:color="208855"/>
              <w:bottom w:val="single" w:sz="4" w:space="0" w:color="2BB673" w:themeColor="text2"/>
            </w:tcBorders>
            <w:shd w:val="clear" w:color="auto" w:fill="155B39" w:themeFill="accent6"/>
            <w:vAlign w:val="center"/>
          </w:tcPr>
          <w:p w14:paraId="1B82CFAD" w14:textId="71FC11ED" w:rsidR="00A2317D" w:rsidRPr="005C6123" w:rsidRDefault="00A2317D" w:rsidP="00A2317D">
            <w:pPr>
              <w:pStyle w:val="ListParagraph"/>
              <w:spacing w:before="120" w:line="276" w:lineRule="auto"/>
              <w:jc w:val="center"/>
              <w:rPr>
                <w:color w:val="FFFFFF"/>
                <w:sz w:val="24"/>
                <w:szCs w:val="24"/>
              </w:rPr>
            </w:pPr>
            <w:r w:rsidRPr="005C6123">
              <w:rPr>
                <w:b/>
                <w:bCs/>
                <w:color w:val="FFFFFF"/>
                <w:sz w:val="14"/>
                <w:szCs w:val="14"/>
                <w:lang w:val="nb-NO"/>
              </w:rPr>
              <w:t>P</w:t>
            </w:r>
          </w:p>
        </w:tc>
        <w:tc>
          <w:tcPr>
            <w:tcW w:w="678" w:type="dxa"/>
            <w:gridSpan w:val="5"/>
            <w:tcBorders>
              <w:top w:val="single" w:sz="4" w:space="0" w:color="208855"/>
              <w:bottom w:val="single" w:sz="4" w:space="0" w:color="2BB673" w:themeColor="text2"/>
            </w:tcBorders>
            <w:shd w:val="clear" w:color="auto" w:fill="155B39" w:themeFill="accent6"/>
            <w:vAlign w:val="center"/>
          </w:tcPr>
          <w:p w14:paraId="0465D640" w14:textId="6E48A682" w:rsidR="00A2317D" w:rsidRPr="005C6123" w:rsidRDefault="00A2317D" w:rsidP="00A2317D">
            <w:pPr>
              <w:pStyle w:val="ListParagraph"/>
              <w:spacing w:before="120" w:line="276" w:lineRule="auto"/>
              <w:jc w:val="center"/>
              <w:rPr>
                <w:color w:val="FFFFFF"/>
                <w:sz w:val="24"/>
                <w:szCs w:val="24"/>
              </w:rPr>
            </w:pPr>
            <w:r w:rsidRPr="005C6123">
              <w:rPr>
                <w:b/>
                <w:bCs/>
                <w:color w:val="FFFFFF"/>
                <w:sz w:val="14"/>
                <w:szCs w:val="14"/>
              </w:rPr>
              <w:t>G&amp;P</w:t>
            </w:r>
          </w:p>
        </w:tc>
        <w:tc>
          <w:tcPr>
            <w:tcW w:w="725" w:type="dxa"/>
            <w:gridSpan w:val="4"/>
            <w:tcBorders>
              <w:top w:val="single" w:sz="4" w:space="0" w:color="208855"/>
              <w:bottom w:val="single" w:sz="4" w:space="0" w:color="2BB673" w:themeColor="text2"/>
            </w:tcBorders>
            <w:shd w:val="clear" w:color="auto" w:fill="155B39" w:themeFill="accent6"/>
            <w:vAlign w:val="center"/>
          </w:tcPr>
          <w:p w14:paraId="51D903C8" w14:textId="7428BB57" w:rsidR="00A2317D" w:rsidRPr="005C6123" w:rsidDel="00994E71" w:rsidRDefault="00A2317D" w:rsidP="00A2317D">
            <w:pPr>
              <w:pStyle w:val="ListParagraph"/>
              <w:spacing w:before="120" w:line="276" w:lineRule="auto"/>
              <w:jc w:val="center"/>
              <w:rPr>
                <w:color w:val="FFFFFF"/>
                <w:szCs w:val="20"/>
              </w:rPr>
            </w:pPr>
            <w:r w:rsidRPr="005C6123">
              <w:rPr>
                <w:b/>
                <w:bCs/>
                <w:color w:val="FFFFFF"/>
                <w:sz w:val="14"/>
                <w:szCs w:val="14"/>
              </w:rPr>
              <w:t>T&amp;S</w:t>
            </w:r>
          </w:p>
        </w:tc>
        <w:tc>
          <w:tcPr>
            <w:tcW w:w="696" w:type="dxa"/>
            <w:gridSpan w:val="3"/>
            <w:tcBorders>
              <w:top w:val="single" w:sz="4" w:space="0" w:color="208855"/>
              <w:bottom w:val="single" w:sz="4" w:space="0" w:color="2BB673" w:themeColor="text2"/>
              <w:right w:val="nil"/>
            </w:tcBorders>
            <w:shd w:val="clear" w:color="auto" w:fill="155B39" w:themeFill="accent6"/>
            <w:vAlign w:val="center"/>
          </w:tcPr>
          <w:p w14:paraId="0D72E1C8" w14:textId="59A7EB05" w:rsidR="00A2317D" w:rsidRPr="005C6123" w:rsidDel="00994E71" w:rsidRDefault="00A2317D" w:rsidP="00257CC2">
            <w:pPr>
              <w:pStyle w:val="ListParagraph"/>
              <w:spacing w:before="120" w:after="0" w:line="276" w:lineRule="auto"/>
              <w:jc w:val="center"/>
              <w:rPr>
                <w:szCs w:val="20"/>
              </w:rPr>
            </w:pPr>
            <w:r w:rsidRPr="00A2317D">
              <w:rPr>
                <w:b/>
                <w:bCs/>
                <w:color w:val="FFFFFF"/>
                <w:sz w:val="14"/>
                <w:szCs w:val="14"/>
              </w:rPr>
              <w:t>D</w:t>
            </w:r>
          </w:p>
        </w:tc>
      </w:tr>
      <w:tr w:rsidR="00A0524C" w:rsidRPr="005C6123" w:rsidDel="00994E71" w14:paraId="6580E5F8" w14:textId="77777777" w:rsidTr="0059177F">
        <w:trPr>
          <w:gridAfter w:val="1"/>
          <w:wAfter w:w="9" w:type="dxa"/>
          <w:trHeight w:val="557"/>
          <w:jc w:val="center"/>
        </w:trPr>
        <w:tc>
          <w:tcPr>
            <w:tcW w:w="6616" w:type="dxa"/>
            <w:gridSpan w:val="11"/>
            <w:tcBorders>
              <w:top w:val="single" w:sz="4" w:space="0" w:color="2BB673" w:themeColor="text2"/>
              <w:left w:val="nil"/>
              <w:bottom w:val="nil"/>
            </w:tcBorders>
            <w:shd w:val="clear" w:color="auto" w:fill="208855" w:themeFill="accent1" w:themeFillShade="BF"/>
            <w:vAlign w:val="center"/>
          </w:tcPr>
          <w:p w14:paraId="340D1406" w14:textId="77777777" w:rsidR="00A0524C" w:rsidRPr="005C6123" w:rsidRDefault="00A0524C" w:rsidP="005D2939">
            <w:pPr>
              <w:pStyle w:val="ListParagraph"/>
              <w:numPr>
                <w:ilvl w:val="0"/>
                <w:numId w:val="36"/>
              </w:numPr>
              <w:spacing w:before="60" w:after="60"/>
              <w:ind w:left="0" w:hanging="357"/>
              <w:contextualSpacing w:val="0"/>
              <w:rPr>
                <w:b/>
                <w:bCs/>
                <w:color w:val="FFFFFF"/>
              </w:rPr>
            </w:pPr>
            <w:r w:rsidRPr="00FB48A1">
              <w:rPr>
                <w:b/>
                <w:bCs/>
                <w:color w:val="FFFFFF"/>
              </w:rPr>
              <w:t>4. Glycol dehydrators</w:t>
            </w:r>
          </w:p>
        </w:tc>
        <w:tc>
          <w:tcPr>
            <w:tcW w:w="646" w:type="dxa"/>
            <w:tcBorders>
              <w:top w:val="single" w:sz="4" w:space="0" w:color="2BB673" w:themeColor="text2"/>
              <w:bottom w:val="nil"/>
            </w:tcBorders>
            <w:shd w:val="clear" w:color="auto" w:fill="155B39" w:themeFill="accent6"/>
            <w:vAlign w:val="center"/>
          </w:tcPr>
          <w:p w14:paraId="74C5EDB0" w14:textId="77777777" w:rsidR="00A0524C" w:rsidRPr="005C6123" w:rsidDel="00994E71" w:rsidRDefault="00A0524C" w:rsidP="00A0524C">
            <w:pPr>
              <w:pStyle w:val="ListParagraph"/>
              <w:spacing w:before="120" w:line="276" w:lineRule="auto"/>
              <w:jc w:val="center"/>
              <w:rPr>
                <w:color w:val="FFFFFF"/>
                <w:sz w:val="24"/>
                <w:szCs w:val="24"/>
              </w:rPr>
            </w:pPr>
            <w:r w:rsidRPr="005C6123">
              <w:rPr>
                <w:color w:val="FFFFFF"/>
                <w:sz w:val="24"/>
                <w:szCs w:val="24"/>
              </w:rPr>
              <w:sym w:font="Symbol" w:char="F0B7"/>
            </w:r>
          </w:p>
        </w:tc>
        <w:tc>
          <w:tcPr>
            <w:tcW w:w="678" w:type="dxa"/>
            <w:gridSpan w:val="5"/>
            <w:tcBorders>
              <w:top w:val="single" w:sz="4" w:space="0" w:color="2BB673" w:themeColor="text2"/>
              <w:bottom w:val="nil"/>
            </w:tcBorders>
            <w:shd w:val="clear" w:color="auto" w:fill="155B39" w:themeFill="accent6"/>
            <w:vAlign w:val="center"/>
          </w:tcPr>
          <w:p w14:paraId="683C6C06" w14:textId="77777777" w:rsidR="00A0524C" w:rsidRPr="005C6123" w:rsidDel="00994E71" w:rsidRDefault="00A0524C" w:rsidP="00A0524C">
            <w:pPr>
              <w:pStyle w:val="ListParagraph"/>
              <w:spacing w:before="120" w:line="276" w:lineRule="auto"/>
              <w:jc w:val="center"/>
              <w:rPr>
                <w:color w:val="FFFFFF"/>
                <w:szCs w:val="20"/>
              </w:rPr>
            </w:pPr>
            <w:r w:rsidRPr="005C6123">
              <w:rPr>
                <w:color w:val="FFFFFF"/>
                <w:sz w:val="24"/>
                <w:szCs w:val="24"/>
              </w:rPr>
              <w:sym w:font="Symbol" w:char="F0B7"/>
            </w:r>
          </w:p>
        </w:tc>
        <w:tc>
          <w:tcPr>
            <w:tcW w:w="725" w:type="dxa"/>
            <w:gridSpan w:val="4"/>
            <w:tcBorders>
              <w:top w:val="single" w:sz="4" w:space="0" w:color="2BB673" w:themeColor="text2"/>
              <w:bottom w:val="nil"/>
            </w:tcBorders>
            <w:shd w:val="clear" w:color="auto" w:fill="155B39" w:themeFill="accent6"/>
            <w:vAlign w:val="center"/>
          </w:tcPr>
          <w:p w14:paraId="71092261" w14:textId="77777777" w:rsidR="00A0524C" w:rsidRPr="005C6123" w:rsidDel="00994E71" w:rsidRDefault="00A0524C" w:rsidP="00A0524C">
            <w:pPr>
              <w:pStyle w:val="ListParagraph"/>
              <w:spacing w:before="120" w:line="276" w:lineRule="auto"/>
              <w:jc w:val="center"/>
              <w:rPr>
                <w:color w:val="FFFFFF"/>
                <w:szCs w:val="20"/>
              </w:rPr>
            </w:pPr>
          </w:p>
        </w:tc>
        <w:tc>
          <w:tcPr>
            <w:tcW w:w="696" w:type="dxa"/>
            <w:gridSpan w:val="3"/>
            <w:tcBorders>
              <w:top w:val="single" w:sz="4" w:space="0" w:color="2BB673" w:themeColor="text2"/>
              <w:bottom w:val="nil"/>
              <w:right w:val="nil"/>
            </w:tcBorders>
            <w:shd w:val="clear" w:color="auto" w:fill="155B39" w:themeFill="accent6"/>
            <w:vAlign w:val="center"/>
          </w:tcPr>
          <w:p w14:paraId="0678DB47" w14:textId="77777777" w:rsidR="00A0524C" w:rsidRPr="005C6123" w:rsidDel="00994E71" w:rsidRDefault="00A0524C" w:rsidP="00A0524C">
            <w:pPr>
              <w:pStyle w:val="ListParagraph"/>
              <w:spacing w:before="120" w:line="276" w:lineRule="auto"/>
              <w:jc w:val="center"/>
              <w:rPr>
                <w:szCs w:val="20"/>
              </w:rPr>
            </w:pPr>
          </w:p>
        </w:tc>
      </w:tr>
      <w:tr w:rsidR="00A0524C" w:rsidRPr="005C6123" w14:paraId="020A743E" w14:textId="77777777" w:rsidTr="0059177F">
        <w:trPr>
          <w:gridAfter w:val="1"/>
          <w:wAfter w:w="9" w:type="dxa"/>
          <w:trHeight w:val="1909"/>
          <w:jc w:val="center"/>
        </w:trPr>
        <w:tc>
          <w:tcPr>
            <w:tcW w:w="6616" w:type="dxa"/>
            <w:gridSpan w:val="11"/>
            <w:tcBorders>
              <w:top w:val="nil"/>
              <w:left w:val="single" w:sz="4" w:space="0" w:color="208855" w:themeColor="accent1" w:themeShade="BF"/>
              <w:bottom w:val="nil"/>
            </w:tcBorders>
            <w:shd w:val="clear" w:color="auto" w:fill="D0F4E3" w:themeFill="accent1" w:themeFillTint="33"/>
          </w:tcPr>
          <w:p w14:paraId="1D033742" w14:textId="77777777" w:rsidR="00A0524C" w:rsidRPr="005C6123" w:rsidRDefault="00A0524C" w:rsidP="005D2939">
            <w:pPr>
              <w:pStyle w:val="ListParagraph"/>
              <w:numPr>
                <w:ilvl w:val="0"/>
                <w:numId w:val="36"/>
              </w:numPr>
              <w:ind w:left="0"/>
              <w:rPr>
                <w:bCs/>
                <w:sz w:val="16"/>
                <w:szCs w:val="16"/>
                <w:u w:val="single"/>
              </w:rPr>
            </w:pPr>
          </w:p>
          <w:p w14:paraId="1F6BA27D" w14:textId="77777777" w:rsidR="00A0524C" w:rsidRPr="005C6123" w:rsidRDefault="00A0524C" w:rsidP="005D2939">
            <w:pPr>
              <w:pStyle w:val="ListParagraph"/>
              <w:numPr>
                <w:ilvl w:val="0"/>
                <w:numId w:val="36"/>
              </w:numPr>
              <w:ind w:left="0"/>
              <w:rPr>
                <w:bCs/>
                <w:sz w:val="16"/>
                <w:szCs w:val="16"/>
              </w:rPr>
            </w:pPr>
            <w:r w:rsidRPr="005C6123">
              <w:rPr>
                <w:bCs/>
                <w:sz w:val="16"/>
                <w:szCs w:val="16"/>
              </w:rPr>
              <w:t xml:space="preserve">Glycol dehydrators in the natural gas industry remove water from an incoming wet gas stream using </w:t>
            </w:r>
            <w:proofErr w:type="spellStart"/>
            <w:r w:rsidRPr="005C6123">
              <w:rPr>
                <w:bCs/>
                <w:sz w:val="16"/>
                <w:szCs w:val="16"/>
              </w:rPr>
              <w:t>monoethylene</w:t>
            </w:r>
            <w:proofErr w:type="spellEnd"/>
            <w:r w:rsidRPr="005C6123">
              <w:rPr>
                <w:bCs/>
                <w:sz w:val="16"/>
                <w:szCs w:val="16"/>
              </w:rPr>
              <w:t xml:space="preserve"> glycol, diethylene glycol, or, most commonly, </w:t>
            </w:r>
            <w:proofErr w:type="spellStart"/>
            <w:r w:rsidRPr="005C6123">
              <w:rPr>
                <w:bCs/>
                <w:sz w:val="16"/>
                <w:szCs w:val="16"/>
              </w:rPr>
              <w:t>triethylene</w:t>
            </w:r>
            <w:proofErr w:type="spellEnd"/>
            <w:r w:rsidRPr="005C6123">
              <w:rPr>
                <w:bCs/>
                <w:sz w:val="16"/>
                <w:szCs w:val="16"/>
              </w:rPr>
              <w:t xml:space="preserve"> glycol. Glycol is pumped via a pneumatic or electric pump to a gas contactor where it mixes with the natural gas stream. Resulting emissions are highly dependent on how a unit is configured and operated, but the two potential emission points are the flash tank overhead gas and the regenerator distillation still vent off-gas.</w:t>
            </w:r>
          </w:p>
        </w:tc>
        <w:tc>
          <w:tcPr>
            <w:tcW w:w="2745" w:type="dxa"/>
            <w:gridSpan w:val="13"/>
            <w:tcBorders>
              <w:top w:val="nil"/>
              <w:bottom w:val="nil"/>
              <w:right w:val="single" w:sz="4" w:space="0" w:color="208855" w:themeColor="accent1" w:themeShade="BF"/>
            </w:tcBorders>
            <w:shd w:val="clear" w:color="auto" w:fill="D0F4E3" w:themeFill="accent1" w:themeFillTint="33"/>
          </w:tcPr>
          <w:p w14:paraId="7F456222"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23D2B28E"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r>
              <w:rPr>
                <w:noProof/>
                <w:sz w:val="16"/>
                <w:szCs w:val="16"/>
                <w:lang w:val="nb-NO" w:eastAsia="nb-NO"/>
              </w:rPr>
              <w:drawing>
                <wp:inline distT="0" distB="0" distL="0" distR="0" wp14:anchorId="359A3AA6" wp14:editId="78C8B357">
                  <wp:extent cx="1231900" cy="857250"/>
                  <wp:effectExtent l="0" t="0" r="635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1900" cy="857250"/>
                          </a:xfrm>
                          <a:prstGeom prst="rect">
                            <a:avLst/>
                          </a:prstGeom>
                          <a:noFill/>
                          <a:ln>
                            <a:noFill/>
                          </a:ln>
                        </pic:spPr>
                      </pic:pic>
                    </a:graphicData>
                  </a:graphic>
                </wp:inline>
              </w:drawing>
            </w:r>
          </w:p>
          <w:p w14:paraId="6518C355" w14:textId="77777777" w:rsidR="00A0524C" w:rsidRPr="005C6123" w:rsidRDefault="00A0524C" w:rsidP="005D2939">
            <w:pPr>
              <w:pStyle w:val="ListParagraph"/>
              <w:keepNext/>
              <w:numPr>
                <w:ilvl w:val="0"/>
                <w:numId w:val="36"/>
              </w:numPr>
              <w:spacing w:before="100" w:beforeAutospacing="1" w:after="60" w:line="276" w:lineRule="auto"/>
              <w:ind w:left="0" w:hanging="357"/>
              <w:contextualSpacing w:val="0"/>
              <w:rPr>
                <w:color w:val="000000"/>
                <w:sz w:val="10"/>
                <w:szCs w:val="10"/>
              </w:rPr>
            </w:pPr>
            <w:r w:rsidRPr="005C6123">
              <w:rPr>
                <w:color w:val="000000"/>
                <w:sz w:val="10"/>
                <w:szCs w:val="10"/>
              </w:rPr>
              <w:t>Image Source: MESSCO</w:t>
            </w:r>
          </w:p>
        </w:tc>
      </w:tr>
      <w:tr w:rsidR="00A0524C" w:rsidRPr="00104E87" w14:paraId="1C8F923C" w14:textId="77777777" w:rsidTr="0059177F">
        <w:trPr>
          <w:gridAfter w:val="1"/>
          <w:wAfter w:w="9" w:type="dxa"/>
          <w:trHeight w:val="1601"/>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661A1243" w14:textId="77777777" w:rsidR="00A0524C" w:rsidRPr="005C6123" w:rsidRDefault="00A0524C" w:rsidP="005D2939">
            <w:pPr>
              <w:pStyle w:val="ListParagraph"/>
              <w:numPr>
                <w:ilvl w:val="0"/>
                <w:numId w:val="36"/>
              </w:numPr>
              <w:spacing w:before="60" w:after="60" w:line="276" w:lineRule="auto"/>
              <w:ind w:left="0" w:hanging="357"/>
              <w:contextualSpacing w:val="0"/>
              <w:rPr>
                <w:b/>
                <w:bCs/>
                <w:sz w:val="16"/>
                <w:szCs w:val="16"/>
              </w:rPr>
            </w:pPr>
            <w:r w:rsidRPr="005C6123">
              <w:rPr>
                <w:b/>
                <w:bCs/>
                <w:sz w:val="16"/>
                <w:szCs w:val="16"/>
              </w:rPr>
              <w:t>Mitigation Techniques:</w:t>
            </w:r>
          </w:p>
          <w:p w14:paraId="113B86D6" w14:textId="77777777" w:rsidR="00A0524C" w:rsidRPr="005C6123" w:rsidRDefault="00A0524C" w:rsidP="005D2939">
            <w:pPr>
              <w:pStyle w:val="ListParagraph"/>
              <w:numPr>
                <w:ilvl w:val="0"/>
                <w:numId w:val="55"/>
              </w:numPr>
              <w:spacing w:before="60" w:after="60" w:line="240" w:lineRule="auto"/>
              <w:ind w:left="182" w:hanging="142"/>
              <w:contextualSpacing w:val="0"/>
              <w:rPr>
                <w:bCs/>
                <w:sz w:val="16"/>
                <w:szCs w:val="16"/>
              </w:rPr>
            </w:pPr>
            <w:r w:rsidRPr="005C6123">
              <w:rPr>
                <w:bCs/>
                <w:sz w:val="16"/>
                <w:szCs w:val="16"/>
              </w:rPr>
              <w:t>Install flash tank separator and optimize glycol circulation rates, up to 90% emission reductions achievable.</w:t>
            </w:r>
          </w:p>
          <w:p w14:paraId="33B078D7" w14:textId="77777777" w:rsidR="00A0524C" w:rsidRPr="005C6123" w:rsidRDefault="00A0524C" w:rsidP="005D2939">
            <w:pPr>
              <w:pStyle w:val="ListParagraph"/>
              <w:numPr>
                <w:ilvl w:val="0"/>
                <w:numId w:val="55"/>
              </w:numPr>
              <w:spacing w:before="60" w:after="60" w:line="240" w:lineRule="auto"/>
              <w:ind w:left="182" w:hanging="142"/>
              <w:contextualSpacing w:val="0"/>
              <w:rPr>
                <w:bCs/>
                <w:sz w:val="16"/>
                <w:szCs w:val="16"/>
              </w:rPr>
            </w:pPr>
            <w:r w:rsidRPr="005C6123">
              <w:rPr>
                <w:bCs/>
                <w:sz w:val="16"/>
                <w:szCs w:val="16"/>
              </w:rPr>
              <w:t>Route flash tank (if present) and dehydrator regenerator vents to VRU for beneficial use, such as fuel gas, up to 90% emission reductions achievable, or re-route to flare, up to 98% emission reductions achievable.</w:t>
            </w:r>
          </w:p>
          <w:p w14:paraId="14189352" w14:textId="1347A6BB" w:rsidR="00A0524C" w:rsidRPr="005C6123" w:rsidRDefault="00A0524C" w:rsidP="005D2939">
            <w:pPr>
              <w:pStyle w:val="ListParagraph"/>
              <w:numPr>
                <w:ilvl w:val="0"/>
                <w:numId w:val="55"/>
              </w:numPr>
              <w:spacing w:before="60" w:after="60" w:line="240" w:lineRule="auto"/>
              <w:ind w:left="182" w:hanging="142"/>
              <w:contextualSpacing w:val="0"/>
              <w:rPr>
                <w:bCs/>
                <w:sz w:val="16"/>
                <w:szCs w:val="16"/>
              </w:rPr>
            </w:pPr>
            <w:r w:rsidRPr="005C6123">
              <w:rPr>
                <w:bCs/>
                <w:sz w:val="16"/>
                <w:szCs w:val="16"/>
              </w:rPr>
              <w:t>Replacing by zero emissions (e.g. desiccant) dehydrators, up to 100% emission reductions achievable</w:t>
            </w:r>
            <w:r w:rsidRPr="005C6123">
              <w:rPr>
                <w:rStyle w:val="FootnoteReference"/>
                <w:bCs/>
                <w:sz w:val="16"/>
                <w:szCs w:val="16"/>
              </w:rPr>
              <w:footnoteReference w:id="118"/>
            </w:r>
            <w:r w:rsidR="00315A85">
              <w:rPr>
                <w:bCs/>
                <w:sz w:val="16"/>
                <w:szCs w:val="16"/>
                <w:vertAlign w:val="superscript"/>
              </w:rPr>
              <w:t xml:space="preserve">, </w:t>
            </w:r>
            <w:r w:rsidRPr="005C6123">
              <w:rPr>
                <w:rStyle w:val="FootnoteReference"/>
                <w:bCs/>
                <w:sz w:val="16"/>
                <w:szCs w:val="16"/>
              </w:rPr>
              <w:footnoteReference w:id="119"/>
            </w:r>
          </w:p>
          <w:p w14:paraId="0DD861A5" w14:textId="77777777" w:rsidR="00A0524C" w:rsidRPr="005C6123" w:rsidRDefault="00A0524C" w:rsidP="005D2939">
            <w:pPr>
              <w:pStyle w:val="ListParagraph"/>
              <w:numPr>
                <w:ilvl w:val="0"/>
                <w:numId w:val="55"/>
              </w:numPr>
              <w:spacing w:before="60" w:after="60" w:line="240" w:lineRule="auto"/>
              <w:ind w:left="182" w:hanging="142"/>
              <w:contextualSpacing w:val="0"/>
              <w:rPr>
                <w:bCs/>
                <w:sz w:val="16"/>
                <w:szCs w:val="16"/>
              </w:rPr>
            </w:pPr>
            <w:r w:rsidRPr="005C6123">
              <w:rPr>
                <w:bCs/>
                <w:sz w:val="16"/>
                <w:szCs w:val="16"/>
              </w:rPr>
              <w:t>Reroute glycol skimmer Gas, up to 95% emission reductions achievable.</w:t>
            </w:r>
          </w:p>
          <w:p w14:paraId="4126BAE7" w14:textId="77777777" w:rsidR="00A0524C" w:rsidRPr="005C6123" w:rsidDel="00F662EB" w:rsidRDefault="00A0524C" w:rsidP="005D2939">
            <w:pPr>
              <w:pStyle w:val="ListParagraph"/>
              <w:numPr>
                <w:ilvl w:val="0"/>
                <w:numId w:val="55"/>
              </w:numPr>
              <w:spacing w:before="60" w:after="60" w:line="240" w:lineRule="auto"/>
              <w:ind w:left="182" w:hanging="142"/>
              <w:contextualSpacing w:val="0"/>
              <w:rPr>
                <w:bCs/>
                <w:sz w:val="16"/>
                <w:szCs w:val="16"/>
              </w:rPr>
            </w:pPr>
            <w:r w:rsidRPr="005C6123">
              <w:rPr>
                <w:bCs/>
                <w:sz w:val="16"/>
                <w:szCs w:val="16"/>
              </w:rPr>
              <w:t>Replace the gas assist lean glycol pump with an electric lean glycol pump, up to 100% emission reductions achievable.</w:t>
            </w:r>
          </w:p>
        </w:tc>
        <w:tc>
          <w:tcPr>
            <w:tcW w:w="2745" w:type="dxa"/>
            <w:gridSpan w:val="13"/>
            <w:tcBorders>
              <w:top w:val="nil"/>
              <w:bottom w:val="single" w:sz="4" w:space="0" w:color="208855" w:themeColor="accent1" w:themeShade="BF"/>
              <w:right w:val="single" w:sz="4" w:space="0" w:color="208855" w:themeColor="accent1" w:themeShade="BF"/>
            </w:tcBorders>
            <w:shd w:val="clear" w:color="auto" w:fill="auto"/>
          </w:tcPr>
          <w:p w14:paraId="05DD0018"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0A5959D6" w14:textId="77777777" w:rsidR="00A0524C" w:rsidRPr="005C6123" w:rsidRDefault="000941A9" w:rsidP="00A0524C">
            <w:pPr>
              <w:spacing w:line="240" w:lineRule="auto"/>
              <w:rPr>
                <w:sz w:val="14"/>
                <w:szCs w:val="16"/>
                <w:lang w:val="en-US"/>
              </w:rPr>
            </w:pPr>
            <w:hyperlink r:id="rId33" w:history="1">
              <w:r w:rsidR="00A0524C" w:rsidRPr="005C6123">
                <w:rPr>
                  <w:rStyle w:val="Hyperlink"/>
                  <w:sz w:val="14"/>
                  <w:szCs w:val="16"/>
                  <w:lang w:val="en-US"/>
                </w:rPr>
                <w:t>http://www.ccacoalition.org/en/resources/technical-guidance-document-number-5-glycol-dehydrators</w:t>
              </w:r>
            </w:hyperlink>
          </w:p>
          <w:p w14:paraId="20D8144D" w14:textId="77777777" w:rsidR="00A0524C" w:rsidRPr="005C6123" w:rsidRDefault="00A0524C" w:rsidP="00A0524C">
            <w:pPr>
              <w:spacing w:line="240" w:lineRule="auto"/>
              <w:rPr>
                <w:sz w:val="16"/>
                <w:szCs w:val="16"/>
                <w:lang w:val="en-US"/>
              </w:rPr>
            </w:pPr>
          </w:p>
        </w:tc>
      </w:tr>
      <w:tr w:rsidR="00A0524C" w:rsidRPr="005C6123" w14:paraId="2B2EB53E" w14:textId="77777777" w:rsidTr="0059177F">
        <w:trPr>
          <w:gridAfter w:val="1"/>
          <w:wAfter w:w="9" w:type="dxa"/>
          <w:trHeight w:val="188"/>
          <w:jc w:val="center"/>
        </w:trPr>
        <w:tc>
          <w:tcPr>
            <w:tcW w:w="2162" w:type="dxa"/>
            <w:gridSpan w:val="4"/>
            <w:tcBorders>
              <w:top w:val="single" w:sz="4" w:space="0" w:color="208855" w:themeColor="accent1" w:themeShade="BF"/>
              <w:right w:val="single" w:sz="4" w:space="0" w:color="208855" w:themeColor="accent1" w:themeShade="BF"/>
            </w:tcBorders>
            <w:shd w:val="clear" w:color="auto" w:fill="D0F4E3" w:themeFill="accent1" w:themeFillTint="33"/>
          </w:tcPr>
          <w:p w14:paraId="4AE9CD7B"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20"/>
            </w:r>
          </w:p>
        </w:tc>
        <w:tc>
          <w:tcPr>
            <w:tcW w:w="2180" w:type="dxa"/>
            <w:gridSpan w:val="2"/>
            <w:tcBorders>
              <w:top w:val="single" w:sz="4" w:space="0" w:color="208855" w:themeColor="accent1" w:themeShade="BF"/>
              <w:left w:val="single" w:sz="4" w:space="0" w:color="208855" w:themeColor="accent1" w:themeShade="BF"/>
              <w:right w:val="single" w:sz="4" w:space="0" w:color="208855" w:themeColor="accent1" w:themeShade="BF"/>
            </w:tcBorders>
            <w:shd w:val="clear" w:color="auto" w:fill="D0F4E3" w:themeFill="accent1" w:themeFillTint="33"/>
          </w:tcPr>
          <w:p w14:paraId="067CBEAE"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Applicable</w:t>
            </w:r>
            <w:r w:rsidRPr="005C6123">
              <w:rPr>
                <w:sz w:val="15"/>
                <w:szCs w:val="15"/>
              </w:rPr>
              <w:t xml:space="preserve"> </w:t>
            </w:r>
            <w:r w:rsidRPr="005C6123">
              <w:rPr>
                <w:b/>
                <w:sz w:val="15"/>
                <w:szCs w:val="15"/>
              </w:rPr>
              <w:t>Emission Quantification equipment</w:t>
            </w:r>
            <w:r w:rsidRPr="005C6123">
              <w:rPr>
                <w:rStyle w:val="FootnoteReference"/>
                <w:b/>
                <w:sz w:val="15"/>
                <w:szCs w:val="15"/>
              </w:rPr>
              <w:footnoteReference w:id="121"/>
            </w:r>
          </w:p>
        </w:tc>
        <w:tc>
          <w:tcPr>
            <w:tcW w:w="5019" w:type="dxa"/>
            <w:gridSpan w:val="18"/>
            <w:tcBorders>
              <w:top w:val="single" w:sz="4" w:space="0" w:color="208855" w:themeColor="accent1" w:themeShade="BF"/>
              <w:left w:val="single" w:sz="4" w:space="0" w:color="208855" w:themeColor="accent1" w:themeShade="BF"/>
            </w:tcBorders>
            <w:shd w:val="clear" w:color="auto" w:fill="D0F4E3" w:themeFill="accent1" w:themeFillTint="33"/>
          </w:tcPr>
          <w:p w14:paraId="7AABC843"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Typical quantification Methodologies</w:t>
            </w:r>
          </w:p>
        </w:tc>
      </w:tr>
      <w:tr w:rsidR="00A0524C" w:rsidRPr="00104E87" w14:paraId="1C87134E" w14:textId="77777777" w:rsidTr="0059177F">
        <w:trPr>
          <w:gridAfter w:val="1"/>
          <w:wAfter w:w="9" w:type="dxa"/>
          <w:trHeight w:val="801"/>
          <w:jc w:val="center"/>
        </w:trPr>
        <w:tc>
          <w:tcPr>
            <w:tcW w:w="2162" w:type="dxa"/>
            <w:gridSpan w:val="4"/>
            <w:tcBorders>
              <w:bottom w:val="nil"/>
              <w:right w:val="single" w:sz="4" w:space="0" w:color="208855" w:themeColor="accent1" w:themeShade="BF"/>
            </w:tcBorders>
            <w:shd w:val="clear" w:color="auto" w:fill="auto"/>
          </w:tcPr>
          <w:p w14:paraId="39EBCB96" w14:textId="77777777" w:rsidR="00A0524C" w:rsidRPr="005C6123" w:rsidRDefault="00A0524C" w:rsidP="005D2939">
            <w:pPr>
              <w:pStyle w:val="ListParagraph"/>
              <w:numPr>
                <w:ilvl w:val="0"/>
                <w:numId w:val="41"/>
              </w:numPr>
              <w:spacing w:before="40" w:after="40" w:line="276" w:lineRule="auto"/>
              <w:ind w:left="180" w:hanging="180"/>
              <w:contextualSpacing w:val="0"/>
              <w:rPr>
                <w:rFonts w:eastAsia="Times New Roman"/>
                <w:bCs/>
                <w:color w:val="000000"/>
                <w:sz w:val="15"/>
                <w:szCs w:val="15"/>
              </w:rPr>
            </w:pPr>
            <w:r w:rsidRPr="005C6123">
              <w:rPr>
                <w:rFonts w:eastAsia="Times New Roman"/>
                <w:bCs/>
                <w:color w:val="000000"/>
                <w:sz w:val="15"/>
                <w:szCs w:val="15"/>
              </w:rPr>
              <w:t xml:space="preserve">Optical Gas Imaging </w:t>
            </w:r>
          </w:p>
        </w:tc>
        <w:tc>
          <w:tcPr>
            <w:tcW w:w="2180" w:type="dxa"/>
            <w:gridSpan w:val="2"/>
            <w:tcBorders>
              <w:left w:val="single" w:sz="4" w:space="0" w:color="208855" w:themeColor="accent1" w:themeShade="BF"/>
              <w:bottom w:val="nil"/>
              <w:right w:val="single" w:sz="4" w:space="0" w:color="208855" w:themeColor="accent1" w:themeShade="BF"/>
            </w:tcBorders>
            <w:shd w:val="clear" w:color="auto" w:fill="auto"/>
          </w:tcPr>
          <w:p w14:paraId="25EE1EF2" w14:textId="77777777" w:rsidR="00A0524C" w:rsidRPr="005C6123" w:rsidRDefault="00A0524C" w:rsidP="005D2939">
            <w:pPr>
              <w:pStyle w:val="ListParagraph"/>
              <w:numPr>
                <w:ilvl w:val="0"/>
                <w:numId w:val="41"/>
              </w:numPr>
              <w:spacing w:before="40" w:after="40" w:line="240" w:lineRule="auto"/>
              <w:ind w:left="186" w:hanging="186"/>
              <w:contextualSpacing w:val="0"/>
              <w:rPr>
                <w:color w:val="000000"/>
                <w:sz w:val="15"/>
                <w:szCs w:val="15"/>
              </w:rPr>
            </w:pPr>
            <w:r w:rsidRPr="005C6123">
              <w:rPr>
                <w:color w:val="000000"/>
                <w:sz w:val="15"/>
                <w:szCs w:val="15"/>
              </w:rPr>
              <w:t>Vane Anemometer</w:t>
            </w:r>
          </w:p>
          <w:p w14:paraId="3B260181" w14:textId="77777777" w:rsidR="00A0524C" w:rsidRPr="005C6123" w:rsidRDefault="00A0524C" w:rsidP="005D2939">
            <w:pPr>
              <w:pStyle w:val="ListParagraph"/>
              <w:numPr>
                <w:ilvl w:val="0"/>
                <w:numId w:val="41"/>
              </w:numPr>
              <w:spacing w:before="40" w:after="40" w:line="240" w:lineRule="auto"/>
              <w:ind w:left="186" w:hanging="186"/>
              <w:contextualSpacing w:val="0"/>
              <w:rPr>
                <w:color w:val="000000"/>
                <w:sz w:val="15"/>
                <w:szCs w:val="15"/>
              </w:rPr>
            </w:pPr>
            <w:r w:rsidRPr="005C6123">
              <w:rPr>
                <w:color w:val="000000"/>
                <w:sz w:val="15"/>
                <w:szCs w:val="15"/>
              </w:rPr>
              <w:t>Hotwire Anemometer</w:t>
            </w:r>
          </w:p>
          <w:p w14:paraId="3C1498AA" w14:textId="77777777" w:rsidR="00A0524C" w:rsidRPr="005C6123" w:rsidRDefault="00A0524C" w:rsidP="005D2939">
            <w:pPr>
              <w:pStyle w:val="ListParagraph"/>
              <w:numPr>
                <w:ilvl w:val="0"/>
                <w:numId w:val="41"/>
              </w:numPr>
              <w:spacing w:before="40" w:after="40" w:line="240" w:lineRule="auto"/>
              <w:ind w:left="186" w:hanging="186"/>
              <w:contextualSpacing w:val="0"/>
              <w:rPr>
                <w:color w:val="000000"/>
                <w:sz w:val="16"/>
                <w:szCs w:val="16"/>
              </w:rPr>
            </w:pPr>
            <w:r w:rsidRPr="005C6123">
              <w:rPr>
                <w:color w:val="000000"/>
                <w:sz w:val="15"/>
                <w:szCs w:val="15"/>
              </w:rPr>
              <w:t>Turbine meter</w:t>
            </w:r>
          </w:p>
        </w:tc>
        <w:tc>
          <w:tcPr>
            <w:tcW w:w="5019" w:type="dxa"/>
            <w:gridSpan w:val="18"/>
            <w:tcBorders>
              <w:left w:val="single" w:sz="4" w:space="0" w:color="208855" w:themeColor="accent1" w:themeShade="BF"/>
              <w:bottom w:val="nil"/>
            </w:tcBorders>
            <w:shd w:val="clear" w:color="auto" w:fill="auto"/>
          </w:tcPr>
          <w:p w14:paraId="7D3193B0" w14:textId="77777777" w:rsidR="00A0524C" w:rsidRPr="005C6123" w:rsidRDefault="00A0524C" w:rsidP="005D2939">
            <w:pPr>
              <w:pStyle w:val="ListParagraph"/>
              <w:numPr>
                <w:ilvl w:val="0"/>
                <w:numId w:val="40"/>
              </w:numPr>
              <w:spacing w:before="40" w:after="40" w:line="240" w:lineRule="auto"/>
              <w:ind w:left="184" w:hanging="184"/>
              <w:contextualSpacing w:val="0"/>
              <w:rPr>
                <w:sz w:val="15"/>
                <w:szCs w:val="15"/>
              </w:rPr>
            </w:pPr>
            <w:r w:rsidRPr="005C6123">
              <w:rPr>
                <w:sz w:val="15"/>
                <w:szCs w:val="15"/>
              </w:rPr>
              <w:t>Direct measurement (but challenging)</w:t>
            </w:r>
          </w:p>
          <w:p w14:paraId="71FBB049" w14:textId="77777777" w:rsidR="00A0524C" w:rsidRPr="005C6123" w:rsidRDefault="00A0524C" w:rsidP="005D2939">
            <w:pPr>
              <w:pStyle w:val="ListParagraph"/>
              <w:numPr>
                <w:ilvl w:val="0"/>
                <w:numId w:val="40"/>
              </w:numPr>
              <w:spacing w:before="40" w:after="40" w:line="240" w:lineRule="auto"/>
              <w:ind w:left="184" w:hanging="184"/>
              <w:contextualSpacing w:val="0"/>
              <w:rPr>
                <w:sz w:val="15"/>
                <w:szCs w:val="15"/>
              </w:rPr>
            </w:pPr>
            <w:r w:rsidRPr="005C6123">
              <w:rPr>
                <w:sz w:val="15"/>
                <w:szCs w:val="15"/>
              </w:rPr>
              <w:t xml:space="preserve">Engineering calculation with software </w:t>
            </w:r>
          </w:p>
          <w:p w14:paraId="5FA6C958" w14:textId="77777777" w:rsidR="00A0524C" w:rsidRPr="005C6123" w:rsidRDefault="00A0524C" w:rsidP="005D2939">
            <w:pPr>
              <w:pStyle w:val="ListParagraph"/>
              <w:numPr>
                <w:ilvl w:val="0"/>
                <w:numId w:val="40"/>
              </w:numPr>
              <w:spacing w:before="40" w:after="40" w:line="240" w:lineRule="auto"/>
              <w:ind w:left="184" w:hanging="184"/>
              <w:contextualSpacing w:val="0"/>
              <w:rPr>
                <w:sz w:val="16"/>
                <w:szCs w:val="16"/>
              </w:rPr>
            </w:pPr>
            <w:r w:rsidRPr="005C6123">
              <w:rPr>
                <w:sz w:val="15"/>
                <w:szCs w:val="15"/>
              </w:rPr>
              <w:t>Default emission factors (e.g. Sm</w:t>
            </w:r>
            <w:r w:rsidRPr="005C6123">
              <w:rPr>
                <w:sz w:val="15"/>
                <w:szCs w:val="15"/>
                <w:vertAlign w:val="superscript"/>
              </w:rPr>
              <w:t>3</w:t>
            </w:r>
            <w:r w:rsidRPr="005C6123">
              <w:rPr>
                <w:sz w:val="15"/>
                <w:szCs w:val="15"/>
              </w:rPr>
              <w:t>/MM Sm</w:t>
            </w:r>
            <w:r w:rsidRPr="005C6123">
              <w:rPr>
                <w:sz w:val="15"/>
                <w:szCs w:val="15"/>
                <w:vertAlign w:val="superscript"/>
              </w:rPr>
              <w:t>3</w:t>
            </w:r>
            <w:r w:rsidRPr="005C6123">
              <w:rPr>
                <w:sz w:val="15"/>
                <w:szCs w:val="15"/>
              </w:rPr>
              <w:t xml:space="preserve"> throughput/year)</w:t>
            </w:r>
          </w:p>
        </w:tc>
      </w:tr>
      <w:tr w:rsidR="00257CC2" w:rsidRPr="005C6123" w:rsidDel="00994E71" w14:paraId="37049D72" w14:textId="77777777" w:rsidTr="0059177F">
        <w:trPr>
          <w:gridAfter w:val="1"/>
          <w:wAfter w:w="9" w:type="dxa"/>
          <w:trHeight w:val="151"/>
          <w:jc w:val="center"/>
        </w:trPr>
        <w:tc>
          <w:tcPr>
            <w:tcW w:w="6616" w:type="dxa"/>
            <w:gridSpan w:val="11"/>
            <w:tcBorders>
              <w:top w:val="nil"/>
              <w:left w:val="nil"/>
              <w:bottom w:val="single" w:sz="4" w:space="0" w:color="2BB673" w:themeColor="text2"/>
            </w:tcBorders>
            <w:shd w:val="clear" w:color="auto" w:fill="208855" w:themeFill="accent1" w:themeFillShade="BF"/>
            <w:vAlign w:val="center"/>
          </w:tcPr>
          <w:p w14:paraId="74ABA455" w14:textId="26CC3D20" w:rsidR="00257CC2" w:rsidRPr="00FB48A1" w:rsidRDefault="00257CC2" w:rsidP="00257CC2">
            <w:pPr>
              <w:pStyle w:val="ListParagraph"/>
              <w:numPr>
                <w:ilvl w:val="0"/>
                <w:numId w:val="36"/>
              </w:numPr>
              <w:spacing w:before="60" w:after="60"/>
              <w:ind w:left="0" w:hanging="357"/>
              <w:contextualSpacing w:val="0"/>
              <w:rPr>
                <w:b/>
                <w:bCs/>
                <w:color w:val="FFFFFF"/>
              </w:rPr>
            </w:pPr>
            <w:r w:rsidRPr="000941A9">
              <w:rPr>
                <w:b/>
                <w:bCs/>
                <w:color w:val="FFFFFF"/>
              </w:rPr>
              <w:t>Emission source categories along the value chain</w:t>
            </w:r>
          </w:p>
        </w:tc>
        <w:tc>
          <w:tcPr>
            <w:tcW w:w="687" w:type="dxa"/>
            <w:gridSpan w:val="2"/>
            <w:tcBorders>
              <w:top w:val="nil"/>
              <w:bottom w:val="single" w:sz="4" w:space="0" w:color="2BB673" w:themeColor="text2"/>
            </w:tcBorders>
            <w:shd w:val="clear" w:color="auto" w:fill="155B39" w:themeFill="accent6"/>
            <w:vAlign w:val="center"/>
          </w:tcPr>
          <w:p w14:paraId="77CC59B2" w14:textId="0451B4C5" w:rsidR="00257CC2" w:rsidRPr="005C6123" w:rsidRDefault="00257CC2" w:rsidP="00257CC2">
            <w:pPr>
              <w:pStyle w:val="ListParagraph"/>
              <w:spacing w:after="0" w:line="276" w:lineRule="auto"/>
              <w:contextualSpacing w:val="0"/>
              <w:jc w:val="center"/>
              <w:rPr>
                <w:color w:val="FFFFFF"/>
                <w:sz w:val="24"/>
                <w:szCs w:val="24"/>
              </w:rPr>
            </w:pPr>
            <w:r w:rsidRPr="005C6123">
              <w:rPr>
                <w:b/>
                <w:bCs/>
                <w:color w:val="FFFFFF"/>
                <w:sz w:val="14"/>
                <w:szCs w:val="14"/>
                <w:lang w:val="nb-NO"/>
              </w:rPr>
              <w:t>P</w:t>
            </w:r>
          </w:p>
        </w:tc>
        <w:tc>
          <w:tcPr>
            <w:tcW w:w="685" w:type="dxa"/>
            <w:gridSpan w:val="5"/>
            <w:tcBorders>
              <w:top w:val="nil"/>
              <w:bottom w:val="single" w:sz="4" w:space="0" w:color="2BB673" w:themeColor="text2"/>
            </w:tcBorders>
            <w:shd w:val="clear" w:color="auto" w:fill="155B39" w:themeFill="accent6"/>
            <w:vAlign w:val="center"/>
          </w:tcPr>
          <w:p w14:paraId="7599F593" w14:textId="4D908943" w:rsidR="00257CC2" w:rsidRPr="005C6123" w:rsidRDefault="00257CC2" w:rsidP="00257CC2">
            <w:pPr>
              <w:pStyle w:val="ListParagraph"/>
              <w:spacing w:after="0" w:line="276" w:lineRule="auto"/>
              <w:contextualSpacing w:val="0"/>
              <w:jc w:val="center"/>
              <w:rPr>
                <w:color w:val="FFFFFF"/>
                <w:sz w:val="24"/>
                <w:szCs w:val="24"/>
              </w:rPr>
            </w:pPr>
            <w:r w:rsidRPr="005C6123">
              <w:rPr>
                <w:b/>
                <w:bCs/>
                <w:color w:val="FFFFFF"/>
                <w:sz w:val="14"/>
                <w:szCs w:val="14"/>
              </w:rPr>
              <w:t>G&amp;P</w:t>
            </w:r>
          </w:p>
        </w:tc>
        <w:tc>
          <w:tcPr>
            <w:tcW w:w="677" w:type="dxa"/>
            <w:gridSpan w:val="3"/>
            <w:tcBorders>
              <w:top w:val="nil"/>
              <w:bottom w:val="single" w:sz="4" w:space="0" w:color="2BB673" w:themeColor="text2"/>
            </w:tcBorders>
            <w:shd w:val="clear" w:color="auto" w:fill="155B39" w:themeFill="accent6"/>
            <w:vAlign w:val="center"/>
          </w:tcPr>
          <w:p w14:paraId="2E6F089B" w14:textId="3CEEA2CF" w:rsidR="00257CC2" w:rsidRPr="005C6123" w:rsidRDefault="00257CC2" w:rsidP="00257CC2">
            <w:pPr>
              <w:pStyle w:val="ListParagraph"/>
              <w:spacing w:after="0" w:line="276" w:lineRule="auto"/>
              <w:contextualSpacing w:val="0"/>
              <w:jc w:val="center"/>
              <w:rPr>
                <w:color w:val="FFFFFF"/>
                <w:sz w:val="24"/>
                <w:szCs w:val="24"/>
              </w:rPr>
            </w:pPr>
            <w:r w:rsidRPr="005C6123">
              <w:rPr>
                <w:b/>
                <w:bCs/>
                <w:color w:val="FFFFFF"/>
                <w:sz w:val="14"/>
                <w:szCs w:val="14"/>
              </w:rPr>
              <w:t>T&amp;S</w:t>
            </w:r>
          </w:p>
        </w:tc>
        <w:tc>
          <w:tcPr>
            <w:tcW w:w="696" w:type="dxa"/>
            <w:gridSpan w:val="3"/>
            <w:tcBorders>
              <w:top w:val="nil"/>
              <w:bottom w:val="single" w:sz="4" w:space="0" w:color="2BB673" w:themeColor="text2"/>
              <w:right w:val="nil"/>
            </w:tcBorders>
            <w:shd w:val="clear" w:color="auto" w:fill="155B39" w:themeFill="accent6"/>
            <w:vAlign w:val="center"/>
          </w:tcPr>
          <w:p w14:paraId="74A9F40D" w14:textId="29E8C661" w:rsidR="00257CC2" w:rsidRPr="005C6123" w:rsidDel="00994E71" w:rsidRDefault="00257CC2" w:rsidP="00257CC2">
            <w:pPr>
              <w:pStyle w:val="ListParagraph"/>
              <w:spacing w:after="0" w:line="276" w:lineRule="auto"/>
              <w:contextualSpacing w:val="0"/>
              <w:jc w:val="center"/>
              <w:rPr>
                <w:color w:val="FFFFFF"/>
                <w:szCs w:val="20"/>
              </w:rPr>
            </w:pPr>
            <w:r w:rsidRPr="00A2317D">
              <w:rPr>
                <w:b/>
                <w:bCs/>
                <w:color w:val="FFFFFF"/>
                <w:sz w:val="14"/>
                <w:szCs w:val="14"/>
              </w:rPr>
              <w:t>D</w:t>
            </w:r>
          </w:p>
        </w:tc>
      </w:tr>
      <w:tr w:rsidR="00A0524C" w:rsidRPr="005C6123" w:rsidDel="00994E71" w14:paraId="2F73B3E1" w14:textId="77777777" w:rsidTr="0059177F">
        <w:trPr>
          <w:gridAfter w:val="1"/>
          <w:wAfter w:w="9" w:type="dxa"/>
          <w:trHeight w:val="543"/>
          <w:jc w:val="center"/>
        </w:trPr>
        <w:tc>
          <w:tcPr>
            <w:tcW w:w="6616" w:type="dxa"/>
            <w:gridSpan w:val="11"/>
            <w:tcBorders>
              <w:top w:val="single" w:sz="4" w:space="0" w:color="2BB673" w:themeColor="text2"/>
              <w:left w:val="nil"/>
              <w:bottom w:val="nil"/>
            </w:tcBorders>
            <w:shd w:val="clear" w:color="auto" w:fill="208855" w:themeFill="accent1" w:themeFillShade="BF"/>
            <w:vAlign w:val="center"/>
          </w:tcPr>
          <w:p w14:paraId="04FC651E" w14:textId="77777777" w:rsidR="00A0524C" w:rsidRPr="005C6123" w:rsidRDefault="00A0524C" w:rsidP="005D2939">
            <w:pPr>
              <w:pStyle w:val="ListParagraph"/>
              <w:numPr>
                <w:ilvl w:val="0"/>
                <w:numId w:val="36"/>
              </w:numPr>
              <w:spacing w:before="60" w:after="60"/>
              <w:ind w:left="0" w:hanging="357"/>
              <w:contextualSpacing w:val="0"/>
              <w:rPr>
                <w:b/>
                <w:bCs/>
                <w:color w:val="FFFFFF"/>
              </w:rPr>
            </w:pPr>
            <w:r w:rsidRPr="00FB48A1">
              <w:rPr>
                <w:b/>
                <w:bCs/>
                <w:color w:val="FFFFFF"/>
              </w:rPr>
              <w:t>5. Natural gas driven pneumatic controllers and pumps</w:t>
            </w:r>
          </w:p>
        </w:tc>
        <w:tc>
          <w:tcPr>
            <w:tcW w:w="687" w:type="dxa"/>
            <w:gridSpan w:val="2"/>
            <w:tcBorders>
              <w:top w:val="single" w:sz="4" w:space="0" w:color="2BB673" w:themeColor="text2"/>
              <w:bottom w:val="nil"/>
            </w:tcBorders>
            <w:shd w:val="clear" w:color="auto" w:fill="155B39" w:themeFill="accent6"/>
            <w:vAlign w:val="center"/>
          </w:tcPr>
          <w:p w14:paraId="61BFD1D7" w14:textId="77777777" w:rsidR="00A0524C" w:rsidRPr="005C6123" w:rsidDel="00994E71" w:rsidRDefault="00A0524C" w:rsidP="00A0524C">
            <w:pPr>
              <w:pStyle w:val="ListParagraph"/>
              <w:spacing w:after="0" w:line="276" w:lineRule="auto"/>
              <w:contextualSpacing w:val="0"/>
              <w:jc w:val="center"/>
              <w:rPr>
                <w:color w:val="FFFFFF"/>
                <w:sz w:val="24"/>
                <w:szCs w:val="24"/>
              </w:rPr>
            </w:pPr>
            <w:r w:rsidRPr="005C6123">
              <w:rPr>
                <w:color w:val="FFFFFF"/>
                <w:sz w:val="24"/>
                <w:szCs w:val="24"/>
              </w:rPr>
              <w:sym w:font="Symbol" w:char="F0B7"/>
            </w:r>
          </w:p>
        </w:tc>
        <w:tc>
          <w:tcPr>
            <w:tcW w:w="685" w:type="dxa"/>
            <w:gridSpan w:val="5"/>
            <w:tcBorders>
              <w:top w:val="single" w:sz="4" w:space="0" w:color="2BB673" w:themeColor="text2"/>
              <w:bottom w:val="nil"/>
            </w:tcBorders>
            <w:shd w:val="clear" w:color="auto" w:fill="155B39" w:themeFill="accent6"/>
            <w:vAlign w:val="center"/>
          </w:tcPr>
          <w:p w14:paraId="16E209D0" w14:textId="77777777" w:rsidR="00A0524C" w:rsidRPr="005C6123" w:rsidDel="00994E71" w:rsidRDefault="00A0524C" w:rsidP="00A0524C">
            <w:pPr>
              <w:pStyle w:val="ListParagraph"/>
              <w:spacing w:after="0" w:line="276" w:lineRule="auto"/>
              <w:contextualSpacing w:val="0"/>
              <w:jc w:val="center"/>
              <w:rPr>
                <w:color w:val="FFFFFF"/>
                <w:szCs w:val="20"/>
              </w:rPr>
            </w:pPr>
            <w:r w:rsidRPr="005C6123">
              <w:rPr>
                <w:color w:val="FFFFFF"/>
                <w:sz w:val="24"/>
                <w:szCs w:val="24"/>
              </w:rPr>
              <w:sym w:font="Symbol" w:char="F0B7"/>
            </w:r>
          </w:p>
        </w:tc>
        <w:tc>
          <w:tcPr>
            <w:tcW w:w="677" w:type="dxa"/>
            <w:gridSpan w:val="3"/>
            <w:tcBorders>
              <w:top w:val="single" w:sz="4" w:space="0" w:color="2BB673" w:themeColor="text2"/>
              <w:bottom w:val="nil"/>
            </w:tcBorders>
            <w:shd w:val="clear" w:color="auto" w:fill="155B39" w:themeFill="accent6"/>
            <w:vAlign w:val="center"/>
          </w:tcPr>
          <w:p w14:paraId="789F28D5" w14:textId="77777777" w:rsidR="00A0524C" w:rsidRPr="005C6123" w:rsidDel="00994E71" w:rsidRDefault="00A0524C" w:rsidP="00A0524C">
            <w:pPr>
              <w:pStyle w:val="ListParagraph"/>
              <w:spacing w:after="0" w:line="276" w:lineRule="auto"/>
              <w:contextualSpacing w:val="0"/>
              <w:jc w:val="center"/>
              <w:rPr>
                <w:color w:val="FFFFFF"/>
                <w:szCs w:val="20"/>
              </w:rPr>
            </w:pPr>
            <w:r w:rsidRPr="005C6123">
              <w:rPr>
                <w:color w:val="FFFFFF"/>
                <w:sz w:val="24"/>
                <w:szCs w:val="24"/>
              </w:rPr>
              <w:sym w:font="Symbol" w:char="F0B7"/>
            </w:r>
          </w:p>
        </w:tc>
        <w:tc>
          <w:tcPr>
            <w:tcW w:w="696" w:type="dxa"/>
            <w:gridSpan w:val="3"/>
            <w:tcBorders>
              <w:top w:val="single" w:sz="4" w:space="0" w:color="2BB673" w:themeColor="text2"/>
              <w:bottom w:val="nil"/>
              <w:right w:val="nil"/>
            </w:tcBorders>
            <w:shd w:val="clear" w:color="auto" w:fill="155B39" w:themeFill="accent6"/>
            <w:vAlign w:val="center"/>
          </w:tcPr>
          <w:p w14:paraId="0CEE5D08" w14:textId="77777777" w:rsidR="00A0524C" w:rsidRPr="005C6123" w:rsidDel="00994E71" w:rsidRDefault="00A0524C" w:rsidP="00A0524C">
            <w:pPr>
              <w:pStyle w:val="ListParagraph"/>
              <w:spacing w:after="0" w:line="276" w:lineRule="auto"/>
              <w:contextualSpacing w:val="0"/>
              <w:jc w:val="center"/>
              <w:rPr>
                <w:color w:val="FFFFFF"/>
                <w:szCs w:val="20"/>
              </w:rPr>
            </w:pPr>
          </w:p>
        </w:tc>
      </w:tr>
      <w:tr w:rsidR="00A0524C" w:rsidRPr="005C6123" w14:paraId="4ED4F91E" w14:textId="77777777" w:rsidTr="0059177F">
        <w:trPr>
          <w:gridAfter w:val="1"/>
          <w:wAfter w:w="9" w:type="dxa"/>
          <w:trHeight w:val="95"/>
          <w:jc w:val="center"/>
        </w:trPr>
        <w:tc>
          <w:tcPr>
            <w:tcW w:w="6616" w:type="dxa"/>
            <w:gridSpan w:val="11"/>
            <w:tcBorders>
              <w:top w:val="nil"/>
              <w:left w:val="single" w:sz="4" w:space="0" w:color="208855" w:themeColor="accent1" w:themeShade="BF"/>
              <w:bottom w:val="nil"/>
            </w:tcBorders>
            <w:shd w:val="clear" w:color="auto" w:fill="D0F4E3" w:themeFill="accent1" w:themeFillTint="33"/>
          </w:tcPr>
          <w:p w14:paraId="04C88C85" w14:textId="77777777" w:rsidR="00A0524C" w:rsidRPr="005C6123" w:rsidRDefault="00A0524C" w:rsidP="005D2939">
            <w:pPr>
              <w:pStyle w:val="ListParagraph"/>
              <w:numPr>
                <w:ilvl w:val="0"/>
                <w:numId w:val="36"/>
              </w:numPr>
              <w:spacing w:before="120" w:after="120"/>
              <w:ind w:left="0" w:hanging="357"/>
              <w:rPr>
                <w:bCs/>
                <w:sz w:val="16"/>
                <w:szCs w:val="16"/>
                <w:u w:val="single"/>
              </w:rPr>
            </w:pPr>
            <w:r w:rsidRPr="005C6123">
              <w:rPr>
                <w:bCs/>
                <w:sz w:val="16"/>
                <w:szCs w:val="16"/>
              </w:rPr>
              <w:t>Natural gas-driven pneumatic controllers are used widely in the oil and natural gas industry to control liquid level, temperature, and pressure during the production, processing, transmission, and storage of natural gas and petroleum products. Natural Gas driven control devices emit CH</w:t>
            </w:r>
            <w:r w:rsidRPr="005C6123">
              <w:rPr>
                <w:bCs/>
                <w:sz w:val="16"/>
                <w:szCs w:val="16"/>
                <w:vertAlign w:val="subscript"/>
              </w:rPr>
              <w:t>4</w:t>
            </w:r>
            <w:r w:rsidRPr="005C6123">
              <w:rPr>
                <w:bCs/>
                <w:sz w:val="16"/>
                <w:szCs w:val="16"/>
              </w:rPr>
              <w:t xml:space="preserve"> both through continuous bleeding and during actuating. Emissions vary greatly depending on the design, the working pressure, type and conditions of the instrument and frequency of actuating. In addition to emissions by design, pneumatic controller loops and pneumatic pumps can tend to frequently emit gas due to a defect or maintenance issue. </w:t>
            </w:r>
          </w:p>
        </w:tc>
        <w:tc>
          <w:tcPr>
            <w:tcW w:w="2745" w:type="dxa"/>
            <w:gridSpan w:val="13"/>
            <w:tcBorders>
              <w:top w:val="nil"/>
              <w:bottom w:val="nil"/>
              <w:right w:val="single" w:sz="4" w:space="0" w:color="208855" w:themeColor="accent1" w:themeShade="BF"/>
            </w:tcBorders>
            <w:shd w:val="clear" w:color="auto" w:fill="D0F4E3" w:themeFill="accent1" w:themeFillTint="33"/>
          </w:tcPr>
          <w:p w14:paraId="1CC36C43"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101D04AF"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r>
              <w:rPr>
                <w:b/>
                <w:noProof/>
                <w:sz w:val="16"/>
                <w:szCs w:val="16"/>
                <w:lang w:val="nb-NO" w:eastAsia="nb-NO"/>
              </w:rPr>
              <w:drawing>
                <wp:inline distT="0" distB="0" distL="0" distR="0" wp14:anchorId="469503EC" wp14:editId="5DC43D30">
                  <wp:extent cx="1263650" cy="1003300"/>
                  <wp:effectExtent l="0" t="0" r="0" b="635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3650" cy="1003300"/>
                          </a:xfrm>
                          <a:prstGeom prst="rect">
                            <a:avLst/>
                          </a:prstGeom>
                          <a:noFill/>
                          <a:ln>
                            <a:noFill/>
                          </a:ln>
                        </pic:spPr>
                      </pic:pic>
                    </a:graphicData>
                  </a:graphic>
                </wp:inline>
              </w:drawing>
            </w:r>
          </w:p>
          <w:p w14:paraId="444965D8" w14:textId="77777777" w:rsidR="00A0524C" w:rsidRPr="005C6123" w:rsidRDefault="00A0524C" w:rsidP="005D2939">
            <w:pPr>
              <w:pStyle w:val="ListParagraph"/>
              <w:keepNext/>
              <w:numPr>
                <w:ilvl w:val="0"/>
                <w:numId w:val="36"/>
              </w:numPr>
              <w:spacing w:before="100" w:beforeAutospacing="1" w:after="100" w:afterAutospacing="1" w:line="276" w:lineRule="auto"/>
              <w:ind w:left="0"/>
              <w:rPr>
                <w:color w:val="000000"/>
                <w:sz w:val="10"/>
                <w:szCs w:val="10"/>
              </w:rPr>
            </w:pPr>
            <w:r w:rsidRPr="005C6123">
              <w:rPr>
                <w:color w:val="000000"/>
                <w:sz w:val="10"/>
                <w:szCs w:val="10"/>
              </w:rPr>
              <w:t>Image Source: CCAC</w:t>
            </w:r>
          </w:p>
        </w:tc>
      </w:tr>
      <w:tr w:rsidR="00A0524C" w:rsidRPr="00104E87" w14:paraId="0FE34323" w14:textId="77777777" w:rsidTr="0059177F">
        <w:trPr>
          <w:gridAfter w:val="1"/>
          <w:wAfter w:w="9" w:type="dxa"/>
          <w:trHeight w:val="2134"/>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5B65D215" w14:textId="77777777" w:rsidR="00A0524C" w:rsidRPr="005C6123" w:rsidRDefault="00A0524C" w:rsidP="005D2939">
            <w:pPr>
              <w:pStyle w:val="ListParagraph"/>
              <w:numPr>
                <w:ilvl w:val="0"/>
                <w:numId w:val="36"/>
              </w:numPr>
              <w:spacing w:before="100" w:beforeAutospacing="1" w:after="100" w:afterAutospacing="1" w:line="276" w:lineRule="auto"/>
              <w:ind w:left="0"/>
              <w:rPr>
                <w:b/>
                <w:bCs/>
                <w:sz w:val="16"/>
                <w:szCs w:val="16"/>
                <w:u w:val="single"/>
              </w:rPr>
            </w:pPr>
            <w:r w:rsidRPr="005C6123">
              <w:rPr>
                <w:b/>
                <w:bCs/>
                <w:sz w:val="16"/>
                <w:szCs w:val="16"/>
              </w:rPr>
              <w:t>Mitigation Techniques:</w:t>
            </w:r>
          </w:p>
          <w:p w14:paraId="6C3955D4" w14:textId="77777777" w:rsidR="00A0524C" w:rsidRPr="005C6123" w:rsidRDefault="00A0524C" w:rsidP="005D2939">
            <w:pPr>
              <w:pStyle w:val="ListParagraph"/>
              <w:numPr>
                <w:ilvl w:val="0"/>
                <w:numId w:val="56"/>
              </w:numPr>
              <w:spacing w:before="60" w:after="60" w:line="240" w:lineRule="auto"/>
              <w:ind w:left="181" w:hanging="181"/>
              <w:contextualSpacing w:val="0"/>
              <w:rPr>
                <w:bCs/>
                <w:sz w:val="16"/>
                <w:szCs w:val="16"/>
              </w:rPr>
            </w:pPr>
            <w:r w:rsidRPr="005C6123">
              <w:rPr>
                <w:bCs/>
                <w:sz w:val="16"/>
                <w:szCs w:val="16"/>
              </w:rPr>
              <w:t xml:space="preserve">Replacement or retrofit from high/intermittent bleed to low bleed devices, up to 97% emission reductions achievable. Actual emission rate must be monitored on a regular basis. </w:t>
            </w:r>
          </w:p>
          <w:p w14:paraId="6E9E9CED" w14:textId="77777777" w:rsidR="00A0524C" w:rsidRPr="005C6123" w:rsidRDefault="00A0524C" w:rsidP="005D2939">
            <w:pPr>
              <w:pStyle w:val="ListParagraph"/>
              <w:numPr>
                <w:ilvl w:val="0"/>
                <w:numId w:val="56"/>
              </w:numPr>
              <w:spacing w:before="60" w:after="60" w:line="240" w:lineRule="auto"/>
              <w:ind w:left="181" w:hanging="181"/>
              <w:contextualSpacing w:val="0"/>
              <w:rPr>
                <w:bCs/>
                <w:sz w:val="16"/>
                <w:szCs w:val="16"/>
              </w:rPr>
            </w:pPr>
            <w:r w:rsidRPr="005C6123">
              <w:rPr>
                <w:bCs/>
                <w:sz w:val="16"/>
                <w:szCs w:val="16"/>
              </w:rPr>
              <w:t>Ensure intermittent bleed controller only vents/emits during the de-actuation portion of a control cycle with no emission when the valve is in a stationery position.</w:t>
            </w:r>
          </w:p>
          <w:p w14:paraId="55F71420" w14:textId="77777777" w:rsidR="00A0524C" w:rsidRPr="005C6123" w:rsidRDefault="00A0524C" w:rsidP="005D2939">
            <w:pPr>
              <w:pStyle w:val="ListParagraph"/>
              <w:numPr>
                <w:ilvl w:val="0"/>
                <w:numId w:val="56"/>
              </w:numPr>
              <w:spacing w:before="60" w:after="60" w:line="240" w:lineRule="auto"/>
              <w:ind w:left="181" w:hanging="181"/>
              <w:contextualSpacing w:val="0"/>
              <w:rPr>
                <w:bCs/>
                <w:sz w:val="16"/>
                <w:szCs w:val="16"/>
              </w:rPr>
            </w:pPr>
            <w:r w:rsidRPr="005C6123">
              <w:rPr>
                <w:bCs/>
                <w:sz w:val="16"/>
                <w:szCs w:val="16"/>
              </w:rPr>
              <w:t>Replace with non-methane emitting controller</w:t>
            </w:r>
            <w:r w:rsidRPr="005C6123">
              <w:rPr>
                <w:rStyle w:val="FootnoteReference"/>
                <w:bCs/>
                <w:sz w:val="16"/>
                <w:szCs w:val="16"/>
              </w:rPr>
              <w:footnoteReference w:id="122"/>
            </w:r>
          </w:p>
          <w:p w14:paraId="02CBFC5A" w14:textId="77777777" w:rsidR="00A0524C" w:rsidRPr="005C6123" w:rsidDel="00F662EB" w:rsidRDefault="00A0524C" w:rsidP="005D2939">
            <w:pPr>
              <w:pStyle w:val="ListParagraph"/>
              <w:numPr>
                <w:ilvl w:val="0"/>
                <w:numId w:val="56"/>
              </w:numPr>
              <w:spacing w:before="60" w:after="60" w:line="240" w:lineRule="auto"/>
              <w:ind w:left="181" w:hanging="181"/>
              <w:contextualSpacing w:val="0"/>
              <w:rPr>
                <w:bCs/>
                <w:sz w:val="16"/>
                <w:szCs w:val="16"/>
              </w:rPr>
            </w:pPr>
            <w:r w:rsidRPr="005C6123">
              <w:rPr>
                <w:bCs/>
                <w:sz w:val="16"/>
                <w:szCs w:val="16"/>
              </w:rPr>
              <w:t>Routing emissions to an existing combustion device or vapor recovery unit, up to 95% emission reductions achievable.</w:t>
            </w:r>
          </w:p>
        </w:tc>
        <w:tc>
          <w:tcPr>
            <w:tcW w:w="2745" w:type="dxa"/>
            <w:gridSpan w:val="13"/>
            <w:tcBorders>
              <w:top w:val="nil"/>
              <w:bottom w:val="single" w:sz="4" w:space="0" w:color="208855" w:themeColor="accent1" w:themeShade="BF"/>
              <w:right w:val="single" w:sz="4" w:space="0" w:color="208855" w:themeColor="accent1" w:themeShade="BF"/>
            </w:tcBorders>
            <w:shd w:val="clear" w:color="auto" w:fill="auto"/>
          </w:tcPr>
          <w:p w14:paraId="669CAB4F"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2364F2C2" w14:textId="77777777" w:rsidR="00A0524C" w:rsidRPr="005C6123" w:rsidRDefault="000941A9" w:rsidP="00A0524C">
            <w:pPr>
              <w:spacing w:line="240" w:lineRule="auto"/>
              <w:rPr>
                <w:sz w:val="14"/>
                <w:szCs w:val="16"/>
                <w:lang w:val="en-US"/>
              </w:rPr>
            </w:pPr>
            <w:hyperlink r:id="rId35" w:history="1">
              <w:r w:rsidR="00A0524C" w:rsidRPr="005C6123">
                <w:rPr>
                  <w:rStyle w:val="Hyperlink"/>
                  <w:sz w:val="14"/>
                  <w:szCs w:val="16"/>
                  <w:lang w:val="en-US"/>
                </w:rPr>
                <w:t>http://www.ccacoalition.org/en/resources/technical-guidance-document-number-1-natural-gas-driven-pneumatic-controllers-and-pumps</w:t>
              </w:r>
            </w:hyperlink>
          </w:p>
          <w:p w14:paraId="72C1CD06" w14:textId="77777777" w:rsidR="00A0524C" w:rsidRPr="005C6123" w:rsidRDefault="000941A9" w:rsidP="00A0524C">
            <w:pPr>
              <w:spacing w:line="240" w:lineRule="auto"/>
              <w:rPr>
                <w:sz w:val="14"/>
                <w:szCs w:val="16"/>
                <w:lang w:val="en-US"/>
              </w:rPr>
            </w:pPr>
            <w:hyperlink r:id="rId36" w:history="1">
              <w:r w:rsidR="00A0524C" w:rsidRPr="005C6123">
                <w:rPr>
                  <w:rStyle w:val="Hyperlink"/>
                  <w:sz w:val="14"/>
                  <w:szCs w:val="16"/>
                  <w:lang w:val="en-US"/>
                </w:rPr>
                <w:t>http://www.ourenergypolicy.org/wp-content/uploads/2014/04/epa-devices.pdf</w:t>
              </w:r>
            </w:hyperlink>
          </w:p>
        </w:tc>
      </w:tr>
      <w:tr w:rsidR="00A0524C" w:rsidRPr="005C6123" w14:paraId="25511200" w14:textId="77777777" w:rsidTr="0059177F">
        <w:trPr>
          <w:gridAfter w:val="1"/>
          <w:wAfter w:w="9" w:type="dxa"/>
          <w:trHeight w:val="188"/>
          <w:jc w:val="center"/>
        </w:trPr>
        <w:tc>
          <w:tcPr>
            <w:tcW w:w="2238" w:type="dxa"/>
            <w:gridSpan w:val="5"/>
            <w:tcBorders>
              <w:top w:val="single" w:sz="4" w:space="0" w:color="208855" w:themeColor="accent1" w:themeShade="BF"/>
              <w:right w:val="single" w:sz="4" w:space="0" w:color="208855" w:themeColor="accent1" w:themeShade="BF"/>
            </w:tcBorders>
            <w:shd w:val="clear" w:color="auto" w:fill="D0F4E3" w:themeFill="accent1" w:themeFillTint="33"/>
          </w:tcPr>
          <w:p w14:paraId="1C93552E"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23"/>
            </w:r>
          </w:p>
        </w:tc>
        <w:tc>
          <w:tcPr>
            <w:tcW w:w="2256" w:type="dxa"/>
            <w:gridSpan w:val="5"/>
            <w:tcBorders>
              <w:top w:val="single" w:sz="4" w:space="0" w:color="208855" w:themeColor="accent1" w:themeShade="BF"/>
              <w:left w:val="single" w:sz="4" w:space="0" w:color="208855" w:themeColor="accent1" w:themeShade="BF"/>
              <w:right w:val="single" w:sz="4" w:space="0" w:color="208855" w:themeColor="accent1" w:themeShade="BF"/>
            </w:tcBorders>
            <w:shd w:val="clear" w:color="auto" w:fill="D0F4E3" w:themeFill="accent1" w:themeFillTint="33"/>
          </w:tcPr>
          <w:p w14:paraId="5B3799C7"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Applicable</w:t>
            </w:r>
            <w:r w:rsidRPr="005C6123">
              <w:rPr>
                <w:sz w:val="15"/>
                <w:szCs w:val="15"/>
              </w:rPr>
              <w:t xml:space="preserve"> </w:t>
            </w:r>
            <w:r w:rsidRPr="005C6123">
              <w:rPr>
                <w:b/>
                <w:sz w:val="15"/>
                <w:szCs w:val="15"/>
              </w:rPr>
              <w:t>Emission Quantification equipment</w:t>
            </w:r>
            <w:r w:rsidRPr="005C6123">
              <w:rPr>
                <w:rStyle w:val="FootnoteReference"/>
                <w:b/>
                <w:sz w:val="15"/>
                <w:szCs w:val="15"/>
              </w:rPr>
              <w:footnoteReference w:id="124"/>
            </w:r>
          </w:p>
        </w:tc>
        <w:tc>
          <w:tcPr>
            <w:tcW w:w="4867" w:type="dxa"/>
            <w:gridSpan w:val="14"/>
            <w:tcBorders>
              <w:top w:val="single" w:sz="4" w:space="0" w:color="208855" w:themeColor="accent1" w:themeShade="BF"/>
              <w:left w:val="single" w:sz="4" w:space="0" w:color="208855" w:themeColor="accent1" w:themeShade="BF"/>
            </w:tcBorders>
            <w:shd w:val="clear" w:color="auto" w:fill="D0F4E3" w:themeFill="accent1" w:themeFillTint="33"/>
          </w:tcPr>
          <w:p w14:paraId="7F135FD9"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Typical quantification Methodologies</w:t>
            </w:r>
          </w:p>
        </w:tc>
      </w:tr>
      <w:tr w:rsidR="00A0524C" w:rsidRPr="00104E87" w14:paraId="1B360E86" w14:textId="77777777" w:rsidTr="0059177F">
        <w:trPr>
          <w:gridAfter w:val="1"/>
          <w:wAfter w:w="9" w:type="dxa"/>
          <w:trHeight w:val="972"/>
          <w:jc w:val="center"/>
        </w:trPr>
        <w:tc>
          <w:tcPr>
            <w:tcW w:w="2238" w:type="dxa"/>
            <w:gridSpan w:val="5"/>
            <w:tcBorders>
              <w:bottom w:val="single" w:sz="4" w:space="0" w:color="2BB673" w:themeColor="accent1"/>
              <w:right w:val="single" w:sz="4" w:space="0" w:color="208855" w:themeColor="accent1" w:themeShade="BF"/>
            </w:tcBorders>
            <w:shd w:val="clear" w:color="auto" w:fill="auto"/>
          </w:tcPr>
          <w:p w14:paraId="322C61BE" w14:textId="77777777" w:rsidR="00A0524C" w:rsidRPr="005C6123" w:rsidRDefault="00A0524C" w:rsidP="005D2939">
            <w:pPr>
              <w:pStyle w:val="ListParagraph"/>
              <w:numPr>
                <w:ilvl w:val="0"/>
                <w:numId w:val="37"/>
              </w:numPr>
              <w:spacing w:before="40" w:after="40" w:line="276" w:lineRule="auto"/>
              <w:ind w:left="180" w:hanging="142"/>
              <w:contextualSpacing w:val="0"/>
              <w:rPr>
                <w:rFonts w:eastAsia="Times New Roman"/>
                <w:bCs/>
                <w:color w:val="000000"/>
                <w:sz w:val="15"/>
                <w:szCs w:val="15"/>
              </w:rPr>
            </w:pPr>
            <w:r w:rsidRPr="005C6123">
              <w:rPr>
                <w:rFonts w:eastAsia="Times New Roman"/>
                <w:bCs/>
                <w:color w:val="000000"/>
                <w:sz w:val="15"/>
                <w:szCs w:val="15"/>
              </w:rPr>
              <w:t xml:space="preserve">Optical Gas Imaging </w:t>
            </w:r>
          </w:p>
          <w:p w14:paraId="6BAE8465" w14:textId="77777777" w:rsidR="00A0524C" w:rsidRPr="005C6123" w:rsidRDefault="00A0524C" w:rsidP="005D2939">
            <w:pPr>
              <w:numPr>
                <w:ilvl w:val="0"/>
                <w:numId w:val="37"/>
              </w:numPr>
              <w:spacing w:before="40" w:after="40" w:line="240" w:lineRule="auto"/>
              <w:ind w:left="180" w:hanging="142"/>
              <w:rPr>
                <w:b/>
                <w:bCs/>
                <w:sz w:val="15"/>
                <w:szCs w:val="15"/>
                <w:lang w:val="en-US"/>
              </w:rPr>
            </w:pPr>
            <w:r w:rsidRPr="005C6123">
              <w:rPr>
                <w:bCs/>
                <w:sz w:val="15"/>
                <w:szCs w:val="15"/>
                <w:lang w:val="en-US"/>
              </w:rPr>
              <w:t>Laser leak detector</w:t>
            </w:r>
          </w:p>
        </w:tc>
        <w:tc>
          <w:tcPr>
            <w:tcW w:w="2256" w:type="dxa"/>
            <w:gridSpan w:val="5"/>
            <w:tcBorders>
              <w:left w:val="single" w:sz="4" w:space="0" w:color="208855" w:themeColor="accent1" w:themeShade="BF"/>
              <w:bottom w:val="single" w:sz="4" w:space="0" w:color="2BB673" w:themeColor="accent1"/>
              <w:right w:val="single" w:sz="4" w:space="0" w:color="208855" w:themeColor="accent1" w:themeShade="BF"/>
            </w:tcBorders>
            <w:shd w:val="clear" w:color="auto" w:fill="auto"/>
          </w:tcPr>
          <w:p w14:paraId="211A16BF" w14:textId="77777777" w:rsidR="00A0524C" w:rsidRPr="005C6123" w:rsidRDefault="00A0524C" w:rsidP="005D2939">
            <w:pPr>
              <w:pStyle w:val="ListParagraph"/>
              <w:numPr>
                <w:ilvl w:val="0"/>
                <w:numId w:val="40"/>
              </w:numPr>
              <w:spacing w:before="40" w:after="40" w:line="240" w:lineRule="auto"/>
              <w:ind w:left="176" w:hanging="142"/>
              <w:contextualSpacing w:val="0"/>
              <w:rPr>
                <w:rFonts w:eastAsia="Times New Roman"/>
                <w:color w:val="000000"/>
                <w:sz w:val="15"/>
                <w:szCs w:val="15"/>
              </w:rPr>
            </w:pPr>
            <w:r w:rsidRPr="005C6123">
              <w:rPr>
                <w:rFonts w:eastAsia="Times New Roman"/>
                <w:color w:val="000000"/>
                <w:sz w:val="15"/>
                <w:szCs w:val="15"/>
              </w:rPr>
              <w:t>Calibrated Vent Bag</w:t>
            </w:r>
          </w:p>
          <w:p w14:paraId="00E76133" w14:textId="77777777" w:rsidR="00A0524C" w:rsidRPr="005C6123" w:rsidRDefault="00A0524C" w:rsidP="005D2939">
            <w:pPr>
              <w:pStyle w:val="ListParagraph"/>
              <w:numPr>
                <w:ilvl w:val="0"/>
                <w:numId w:val="40"/>
              </w:numPr>
              <w:spacing w:before="40" w:after="40" w:line="240" w:lineRule="auto"/>
              <w:ind w:left="176" w:hanging="142"/>
              <w:contextualSpacing w:val="0"/>
              <w:rPr>
                <w:rFonts w:eastAsia="Times New Roman"/>
                <w:color w:val="000000"/>
                <w:sz w:val="15"/>
                <w:szCs w:val="15"/>
              </w:rPr>
            </w:pPr>
            <w:r w:rsidRPr="005C6123">
              <w:rPr>
                <w:rFonts w:eastAsia="Times New Roman"/>
                <w:color w:val="000000"/>
                <w:sz w:val="15"/>
                <w:szCs w:val="15"/>
              </w:rPr>
              <w:t>High volume sampler (ideally altered to capture 1-2 second data)</w:t>
            </w:r>
          </w:p>
          <w:p w14:paraId="4788A3C4" w14:textId="77777777" w:rsidR="00A0524C" w:rsidRPr="005C6123" w:rsidRDefault="00A0524C" w:rsidP="005D2939">
            <w:pPr>
              <w:pStyle w:val="ListParagraph"/>
              <w:numPr>
                <w:ilvl w:val="0"/>
                <w:numId w:val="40"/>
              </w:numPr>
              <w:spacing w:before="40" w:after="40" w:line="240" w:lineRule="auto"/>
              <w:ind w:left="176" w:hanging="142"/>
              <w:contextualSpacing w:val="0"/>
              <w:rPr>
                <w:rFonts w:eastAsia="Times New Roman"/>
                <w:color w:val="000000"/>
                <w:sz w:val="15"/>
                <w:szCs w:val="15"/>
              </w:rPr>
            </w:pPr>
            <w:r w:rsidRPr="005C6123">
              <w:rPr>
                <w:rFonts w:eastAsia="Times New Roman"/>
                <w:color w:val="000000"/>
                <w:sz w:val="15"/>
                <w:szCs w:val="15"/>
              </w:rPr>
              <w:t>Upstream flow meter in the supply gas line</w:t>
            </w:r>
          </w:p>
        </w:tc>
        <w:tc>
          <w:tcPr>
            <w:tcW w:w="4867" w:type="dxa"/>
            <w:gridSpan w:val="14"/>
            <w:tcBorders>
              <w:left w:val="single" w:sz="4" w:space="0" w:color="208855" w:themeColor="accent1" w:themeShade="BF"/>
              <w:bottom w:val="single" w:sz="4" w:space="0" w:color="2BB673" w:themeColor="accent1"/>
            </w:tcBorders>
            <w:shd w:val="clear" w:color="auto" w:fill="auto"/>
          </w:tcPr>
          <w:p w14:paraId="5FFF5F8F" w14:textId="77777777" w:rsidR="00A0524C" w:rsidRPr="005C6123" w:rsidRDefault="00A0524C" w:rsidP="005D2939">
            <w:pPr>
              <w:pStyle w:val="ListParagraph"/>
              <w:numPr>
                <w:ilvl w:val="0"/>
                <w:numId w:val="40"/>
              </w:numPr>
              <w:spacing w:before="40" w:after="40" w:line="240" w:lineRule="auto"/>
              <w:ind w:left="179" w:hanging="179"/>
              <w:contextualSpacing w:val="0"/>
              <w:rPr>
                <w:sz w:val="15"/>
                <w:szCs w:val="15"/>
              </w:rPr>
            </w:pPr>
            <w:r w:rsidRPr="005C6123">
              <w:rPr>
                <w:sz w:val="15"/>
                <w:szCs w:val="15"/>
              </w:rPr>
              <w:t>Direct measurement</w:t>
            </w:r>
          </w:p>
          <w:p w14:paraId="6301CF95" w14:textId="77777777" w:rsidR="00A0524C" w:rsidRPr="005C6123" w:rsidRDefault="00A0524C" w:rsidP="005D2939">
            <w:pPr>
              <w:pStyle w:val="ListParagraph"/>
              <w:numPr>
                <w:ilvl w:val="0"/>
                <w:numId w:val="40"/>
              </w:numPr>
              <w:spacing w:before="40" w:after="40" w:line="240" w:lineRule="auto"/>
              <w:ind w:left="179" w:hanging="179"/>
              <w:contextualSpacing w:val="0"/>
              <w:rPr>
                <w:sz w:val="15"/>
                <w:szCs w:val="15"/>
              </w:rPr>
            </w:pPr>
            <w:r w:rsidRPr="005C6123">
              <w:rPr>
                <w:sz w:val="15"/>
                <w:szCs w:val="15"/>
              </w:rPr>
              <w:t>Manufacturer estimate (should be used with caution)</w:t>
            </w:r>
          </w:p>
          <w:p w14:paraId="578570C7" w14:textId="77777777" w:rsidR="00A0524C" w:rsidRPr="005C6123" w:rsidRDefault="00A0524C" w:rsidP="005D2939">
            <w:pPr>
              <w:pStyle w:val="ListParagraph"/>
              <w:numPr>
                <w:ilvl w:val="0"/>
                <w:numId w:val="40"/>
              </w:numPr>
              <w:spacing w:before="40" w:after="40" w:line="240" w:lineRule="auto"/>
              <w:ind w:left="179" w:hanging="179"/>
              <w:contextualSpacing w:val="0"/>
              <w:rPr>
                <w:sz w:val="15"/>
                <w:szCs w:val="15"/>
              </w:rPr>
            </w:pPr>
            <w:r w:rsidRPr="005C6123">
              <w:rPr>
                <w:sz w:val="15"/>
                <w:szCs w:val="15"/>
              </w:rPr>
              <w:t>Engineering estimates using a specified formula</w:t>
            </w:r>
            <w:r w:rsidRPr="005C6123">
              <w:rPr>
                <w:rStyle w:val="FootnoteReference"/>
                <w:sz w:val="15"/>
                <w:szCs w:val="15"/>
              </w:rPr>
              <w:footnoteReference w:id="125"/>
            </w:r>
          </w:p>
          <w:p w14:paraId="3544607B" w14:textId="77777777" w:rsidR="00A0524C" w:rsidRPr="005C6123" w:rsidRDefault="00A0524C" w:rsidP="005D2939">
            <w:pPr>
              <w:pStyle w:val="ListParagraph"/>
              <w:numPr>
                <w:ilvl w:val="0"/>
                <w:numId w:val="40"/>
              </w:numPr>
              <w:spacing w:before="40" w:after="40" w:line="240" w:lineRule="auto"/>
              <w:ind w:left="179" w:hanging="179"/>
              <w:contextualSpacing w:val="0"/>
              <w:rPr>
                <w:sz w:val="15"/>
                <w:szCs w:val="15"/>
              </w:rPr>
            </w:pPr>
            <w:r w:rsidRPr="005C6123">
              <w:rPr>
                <w:sz w:val="15"/>
                <w:szCs w:val="15"/>
              </w:rPr>
              <w:t>Default emission factors (in Sm</w:t>
            </w:r>
            <w:r w:rsidRPr="005C6123">
              <w:rPr>
                <w:sz w:val="15"/>
                <w:szCs w:val="15"/>
                <w:vertAlign w:val="superscript"/>
              </w:rPr>
              <w:t>3</w:t>
            </w:r>
            <w:r w:rsidRPr="005C6123">
              <w:rPr>
                <w:sz w:val="15"/>
                <w:szCs w:val="15"/>
              </w:rPr>
              <w:t>/device/year) depending on the type of equipment</w:t>
            </w:r>
          </w:p>
        </w:tc>
      </w:tr>
      <w:tr w:rsidR="00257CC2" w:rsidRPr="005C6123" w:rsidDel="00994E71" w14:paraId="1ED4CC51" w14:textId="77777777" w:rsidTr="0059177F">
        <w:trPr>
          <w:gridAfter w:val="1"/>
          <w:wAfter w:w="9" w:type="dxa"/>
          <w:trHeight w:val="150"/>
          <w:jc w:val="center"/>
        </w:trPr>
        <w:tc>
          <w:tcPr>
            <w:tcW w:w="6616" w:type="dxa"/>
            <w:gridSpan w:val="11"/>
            <w:tcBorders>
              <w:top w:val="single" w:sz="4" w:space="0" w:color="2BB673" w:themeColor="accent1"/>
              <w:left w:val="single" w:sz="4" w:space="0" w:color="2BB673" w:themeColor="accent1"/>
              <w:bottom w:val="single" w:sz="4" w:space="0" w:color="2BB673" w:themeColor="accent1"/>
            </w:tcBorders>
            <w:shd w:val="clear" w:color="auto" w:fill="208855" w:themeFill="accent1" w:themeFillShade="BF"/>
            <w:vAlign w:val="center"/>
          </w:tcPr>
          <w:p w14:paraId="7E8C9D2B" w14:textId="027E5CDC" w:rsidR="00257CC2" w:rsidRPr="00FB48A1" w:rsidRDefault="00257CC2" w:rsidP="00257CC2">
            <w:pPr>
              <w:pStyle w:val="ListParagraph"/>
              <w:numPr>
                <w:ilvl w:val="0"/>
                <w:numId w:val="36"/>
              </w:numPr>
              <w:spacing w:before="60" w:after="60"/>
              <w:ind w:left="0" w:hanging="357"/>
              <w:contextualSpacing w:val="0"/>
              <w:rPr>
                <w:b/>
                <w:bCs/>
                <w:color w:val="FFFFFF"/>
              </w:rPr>
            </w:pPr>
            <w:r w:rsidRPr="000941A9">
              <w:rPr>
                <w:b/>
                <w:bCs/>
                <w:color w:val="FFFFFF"/>
              </w:rPr>
              <w:t>Emission source categories along the value chain</w:t>
            </w:r>
          </w:p>
        </w:tc>
        <w:tc>
          <w:tcPr>
            <w:tcW w:w="687" w:type="dxa"/>
            <w:gridSpan w:val="2"/>
            <w:tcBorders>
              <w:top w:val="single" w:sz="4" w:space="0" w:color="2BB673" w:themeColor="accent1"/>
              <w:bottom w:val="single" w:sz="4" w:space="0" w:color="2BB673" w:themeColor="accent1"/>
            </w:tcBorders>
            <w:shd w:val="clear" w:color="auto" w:fill="155B39" w:themeFill="accent6"/>
            <w:vAlign w:val="center"/>
          </w:tcPr>
          <w:p w14:paraId="73768815" w14:textId="44BD18F9" w:rsidR="00257CC2" w:rsidRPr="005C6123" w:rsidRDefault="00257CC2" w:rsidP="00257CC2">
            <w:pPr>
              <w:pStyle w:val="ListParagraph"/>
              <w:spacing w:before="120" w:line="276" w:lineRule="auto"/>
              <w:jc w:val="center"/>
              <w:rPr>
                <w:color w:val="FFFFFF"/>
                <w:sz w:val="24"/>
                <w:szCs w:val="24"/>
              </w:rPr>
            </w:pPr>
            <w:r w:rsidRPr="005C6123">
              <w:rPr>
                <w:b/>
                <w:bCs/>
                <w:color w:val="FFFFFF"/>
                <w:sz w:val="14"/>
                <w:szCs w:val="14"/>
                <w:lang w:val="nb-NO"/>
              </w:rPr>
              <w:t>P</w:t>
            </w:r>
          </w:p>
        </w:tc>
        <w:tc>
          <w:tcPr>
            <w:tcW w:w="685" w:type="dxa"/>
            <w:gridSpan w:val="5"/>
            <w:tcBorders>
              <w:top w:val="single" w:sz="4" w:space="0" w:color="2BB673" w:themeColor="accent1"/>
              <w:bottom w:val="single" w:sz="4" w:space="0" w:color="2BB673" w:themeColor="accent1"/>
            </w:tcBorders>
            <w:shd w:val="clear" w:color="auto" w:fill="155B39" w:themeFill="accent6"/>
            <w:vAlign w:val="center"/>
          </w:tcPr>
          <w:p w14:paraId="254F8B6F" w14:textId="2573D304" w:rsidR="00257CC2" w:rsidRPr="005C6123" w:rsidRDefault="00257CC2" w:rsidP="00257CC2">
            <w:pPr>
              <w:pStyle w:val="ListParagraph"/>
              <w:spacing w:before="120" w:line="276" w:lineRule="auto"/>
              <w:jc w:val="center"/>
              <w:rPr>
                <w:color w:val="FFFFFF"/>
                <w:sz w:val="24"/>
                <w:szCs w:val="24"/>
              </w:rPr>
            </w:pPr>
            <w:r w:rsidRPr="005C6123">
              <w:rPr>
                <w:b/>
                <w:bCs/>
                <w:color w:val="FFFFFF"/>
                <w:sz w:val="14"/>
                <w:szCs w:val="14"/>
              </w:rPr>
              <w:t>G&amp;P</w:t>
            </w:r>
          </w:p>
        </w:tc>
        <w:tc>
          <w:tcPr>
            <w:tcW w:w="677" w:type="dxa"/>
            <w:gridSpan w:val="3"/>
            <w:tcBorders>
              <w:top w:val="single" w:sz="4" w:space="0" w:color="2BB673" w:themeColor="accent1"/>
              <w:bottom w:val="single" w:sz="4" w:space="0" w:color="2BB673" w:themeColor="accent1"/>
            </w:tcBorders>
            <w:shd w:val="clear" w:color="auto" w:fill="155B39" w:themeFill="accent6"/>
            <w:vAlign w:val="center"/>
          </w:tcPr>
          <w:p w14:paraId="77A4FA43" w14:textId="677300AA" w:rsidR="00257CC2" w:rsidRPr="005C6123" w:rsidRDefault="00257CC2" w:rsidP="00257CC2">
            <w:pPr>
              <w:pStyle w:val="ListParagraph"/>
              <w:spacing w:before="120" w:line="276" w:lineRule="auto"/>
              <w:jc w:val="center"/>
              <w:rPr>
                <w:color w:val="FFFFFF"/>
                <w:sz w:val="24"/>
                <w:szCs w:val="24"/>
              </w:rPr>
            </w:pPr>
            <w:r w:rsidRPr="005C6123">
              <w:rPr>
                <w:b/>
                <w:bCs/>
                <w:color w:val="FFFFFF"/>
                <w:sz w:val="14"/>
                <w:szCs w:val="14"/>
              </w:rPr>
              <w:t>T&amp;S</w:t>
            </w:r>
          </w:p>
        </w:tc>
        <w:tc>
          <w:tcPr>
            <w:tcW w:w="696" w:type="dxa"/>
            <w:gridSpan w:val="3"/>
            <w:tcBorders>
              <w:top w:val="single" w:sz="4" w:space="0" w:color="2BB673" w:themeColor="accent1"/>
              <w:bottom w:val="single" w:sz="4" w:space="0" w:color="2BB673" w:themeColor="accent1"/>
              <w:right w:val="single" w:sz="4" w:space="0" w:color="2BB673" w:themeColor="accent1"/>
            </w:tcBorders>
            <w:shd w:val="clear" w:color="auto" w:fill="155B39" w:themeFill="accent6"/>
            <w:vAlign w:val="center"/>
          </w:tcPr>
          <w:p w14:paraId="0F21CD7C" w14:textId="41ED6D26" w:rsidR="00257CC2" w:rsidRPr="005C6123" w:rsidDel="00994E71" w:rsidRDefault="00257CC2" w:rsidP="00257CC2">
            <w:pPr>
              <w:pStyle w:val="ListParagraph"/>
              <w:spacing w:before="120" w:after="0" w:line="276" w:lineRule="auto"/>
              <w:jc w:val="center"/>
              <w:rPr>
                <w:color w:val="FFFFFF"/>
                <w:szCs w:val="20"/>
              </w:rPr>
            </w:pPr>
            <w:r w:rsidRPr="00A2317D">
              <w:rPr>
                <w:b/>
                <w:bCs/>
                <w:color w:val="FFFFFF"/>
                <w:sz w:val="14"/>
                <w:szCs w:val="14"/>
              </w:rPr>
              <w:t>D</w:t>
            </w:r>
          </w:p>
        </w:tc>
      </w:tr>
      <w:tr w:rsidR="00A0524C" w:rsidRPr="005C6123" w:rsidDel="00994E71" w14:paraId="558767BC" w14:textId="77777777" w:rsidTr="0059177F">
        <w:trPr>
          <w:gridAfter w:val="1"/>
          <w:wAfter w:w="9" w:type="dxa"/>
          <w:jc w:val="center"/>
        </w:trPr>
        <w:tc>
          <w:tcPr>
            <w:tcW w:w="6616" w:type="dxa"/>
            <w:gridSpan w:val="11"/>
            <w:tcBorders>
              <w:top w:val="single" w:sz="4" w:space="0" w:color="2BB673" w:themeColor="accent1"/>
              <w:left w:val="single" w:sz="4" w:space="0" w:color="2BB673" w:themeColor="accent1"/>
              <w:bottom w:val="single" w:sz="4" w:space="0" w:color="2BB673" w:themeColor="accent1"/>
            </w:tcBorders>
            <w:shd w:val="clear" w:color="auto" w:fill="208855" w:themeFill="accent1" w:themeFillShade="BF"/>
            <w:vAlign w:val="center"/>
          </w:tcPr>
          <w:p w14:paraId="03D7FB3B" w14:textId="77777777" w:rsidR="00A0524C" w:rsidRPr="005C6123" w:rsidRDefault="00A0524C" w:rsidP="005D2939">
            <w:pPr>
              <w:pStyle w:val="ListParagraph"/>
              <w:numPr>
                <w:ilvl w:val="0"/>
                <w:numId w:val="36"/>
              </w:numPr>
              <w:spacing w:before="60" w:after="60"/>
              <w:ind w:left="0" w:hanging="357"/>
              <w:contextualSpacing w:val="0"/>
              <w:rPr>
                <w:b/>
                <w:bCs/>
                <w:color w:val="FFFFFF"/>
              </w:rPr>
            </w:pPr>
            <w:r w:rsidRPr="00FB48A1">
              <w:rPr>
                <w:b/>
                <w:bCs/>
                <w:color w:val="FFFFFF"/>
              </w:rPr>
              <w:t>6. Wet-seal centrifugal compressors</w:t>
            </w:r>
          </w:p>
        </w:tc>
        <w:tc>
          <w:tcPr>
            <w:tcW w:w="687" w:type="dxa"/>
            <w:gridSpan w:val="2"/>
            <w:tcBorders>
              <w:top w:val="single" w:sz="4" w:space="0" w:color="2BB673" w:themeColor="accent1"/>
              <w:bottom w:val="single" w:sz="4" w:space="0" w:color="2BB673" w:themeColor="accent1"/>
            </w:tcBorders>
            <w:shd w:val="clear" w:color="auto" w:fill="155B39" w:themeFill="accent6"/>
            <w:vAlign w:val="center"/>
          </w:tcPr>
          <w:p w14:paraId="0FCDC407" w14:textId="77777777" w:rsidR="00A0524C" w:rsidRPr="005C6123" w:rsidDel="00994E71" w:rsidRDefault="00A0524C" w:rsidP="00A0524C">
            <w:pPr>
              <w:pStyle w:val="ListParagraph"/>
              <w:spacing w:before="120" w:line="276" w:lineRule="auto"/>
              <w:jc w:val="center"/>
              <w:rPr>
                <w:color w:val="FFFFFF"/>
                <w:sz w:val="24"/>
                <w:szCs w:val="24"/>
              </w:rPr>
            </w:pPr>
            <w:r w:rsidRPr="005C6123">
              <w:rPr>
                <w:color w:val="FFFFFF"/>
                <w:sz w:val="24"/>
                <w:szCs w:val="24"/>
              </w:rPr>
              <w:sym w:font="Symbol" w:char="F0B7"/>
            </w:r>
          </w:p>
        </w:tc>
        <w:tc>
          <w:tcPr>
            <w:tcW w:w="685" w:type="dxa"/>
            <w:gridSpan w:val="5"/>
            <w:tcBorders>
              <w:top w:val="single" w:sz="4" w:space="0" w:color="2BB673" w:themeColor="accent1"/>
              <w:bottom w:val="single" w:sz="4" w:space="0" w:color="2BB673" w:themeColor="accent1"/>
            </w:tcBorders>
            <w:shd w:val="clear" w:color="auto" w:fill="155B39" w:themeFill="accent6"/>
            <w:vAlign w:val="center"/>
          </w:tcPr>
          <w:p w14:paraId="63E5FFDB" w14:textId="77777777" w:rsidR="00A0524C" w:rsidRPr="005C6123" w:rsidDel="00994E71" w:rsidRDefault="00A0524C" w:rsidP="00A0524C">
            <w:pPr>
              <w:pStyle w:val="ListParagraph"/>
              <w:spacing w:before="120" w:line="276" w:lineRule="auto"/>
              <w:jc w:val="center"/>
              <w:rPr>
                <w:color w:val="FFFFFF"/>
                <w:szCs w:val="20"/>
              </w:rPr>
            </w:pPr>
            <w:r w:rsidRPr="005C6123">
              <w:rPr>
                <w:color w:val="FFFFFF"/>
                <w:sz w:val="24"/>
                <w:szCs w:val="24"/>
              </w:rPr>
              <w:sym w:font="Symbol" w:char="F0B7"/>
            </w:r>
          </w:p>
        </w:tc>
        <w:tc>
          <w:tcPr>
            <w:tcW w:w="677" w:type="dxa"/>
            <w:gridSpan w:val="3"/>
            <w:tcBorders>
              <w:top w:val="single" w:sz="4" w:space="0" w:color="2BB673" w:themeColor="accent1"/>
              <w:bottom w:val="single" w:sz="4" w:space="0" w:color="2BB673" w:themeColor="accent1"/>
            </w:tcBorders>
            <w:shd w:val="clear" w:color="auto" w:fill="155B39" w:themeFill="accent6"/>
            <w:vAlign w:val="center"/>
          </w:tcPr>
          <w:p w14:paraId="0995610F" w14:textId="77777777" w:rsidR="00A0524C" w:rsidRPr="005C6123" w:rsidDel="00994E71" w:rsidRDefault="00A0524C" w:rsidP="00A0524C">
            <w:pPr>
              <w:pStyle w:val="ListParagraph"/>
              <w:spacing w:before="120" w:line="276" w:lineRule="auto"/>
              <w:jc w:val="center"/>
              <w:rPr>
                <w:color w:val="FFFFFF"/>
                <w:szCs w:val="20"/>
              </w:rPr>
            </w:pPr>
            <w:r w:rsidRPr="005C6123">
              <w:rPr>
                <w:color w:val="FFFFFF"/>
                <w:sz w:val="24"/>
                <w:szCs w:val="24"/>
              </w:rPr>
              <w:sym w:font="Symbol" w:char="F0B7"/>
            </w:r>
          </w:p>
        </w:tc>
        <w:tc>
          <w:tcPr>
            <w:tcW w:w="696" w:type="dxa"/>
            <w:gridSpan w:val="3"/>
            <w:tcBorders>
              <w:top w:val="single" w:sz="4" w:space="0" w:color="2BB673" w:themeColor="accent1"/>
              <w:bottom w:val="single" w:sz="4" w:space="0" w:color="2BB673" w:themeColor="accent1"/>
              <w:right w:val="single" w:sz="4" w:space="0" w:color="2BB673" w:themeColor="accent1"/>
            </w:tcBorders>
            <w:shd w:val="clear" w:color="auto" w:fill="155B39" w:themeFill="accent6"/>
            <w:vAlign w:val="center"/>
          </w:tcPr>
          <w:p w14:paraId="42B93086" w14:textId="77777777" w:rsidR="00A0524C" w:rsidRPr="005C6123" w:rsidDel="00994E71" w:rsidRDefault="00A0524C" w:rsidP="00A0524C">
            <w:pPr>
              <w:pStyle w:val="ListParagraph"/>
              <w:spacing w:before="120" w:line="276" w:lineRule="auto"/>
              <w:jc w:val="center"/>
              <w:rPr>
                <w:color w:val="FFFFFF"/>
                <w:szCs w:val="20"/>
              </w:rPr>
            </w:pPr>
          </w:p>
        </w:tc>
      </w:tr>
      <w:tr w:rsidR="00A0524C" w:rsidRPr="005C6123" w14:paraId="41A047C7" w14:textId="77777777" w:rsidTr="0059177F">
        <w:trPr>
          <w:gridAfter w:val="1"/>
          <w:wAfter w:w="9" w:type="dxa"/>
          <w:trHeight w:val="1725"/>
          <w:jc w:val="center"/>
        </w:trPr>
        <w:tc>
          <w:tcPr>
            <w:tcW w:w="6616" w:type="dxa"/>
            <w:gridSpan w:val="11"/>
            <w:tcBorders>
              <w:top w:val="single" w:sz="4" w:space="0" w:color="2BB673" w:themeColor="accent1"/>
              <w:left w:val="single" w:sz="4" w:space="0" w:color="208855" w:themeColor="accent1" w:themeShade="BF"/>
              <w:bottom w:val="nil"/>
            </w:tcBorders>
            <w:shd w:val="clear" w:color="auto" w:fill="D0F4E3" w:themeFill="accent1" w:themeFillTint="33"/>
          </w:tcPr>
          <w:p w14:paraId="46A37615" w14:textId="77777777" w:rsidR="00A0524C" w:rsidRPr="005C6123" w:rsidRDefault="00A0524C" w:rsidP="00257CC2">
            <w:pPr>
              <w:pStyle w:val="ListParagraph"/>
              <w:numPr>
                <w:ilvl w:val="0"/>
                <w:numId w:val="36"/>
              </w:numPr>
              <w:spacing w:before="120" w:after="0"/>
              <w:ind w:left="0" w:hanging="357"/>
              <w:contextualSpacing w:val="0"/>
              <w:rPr>
                <w:bCs/>
                <w:sz w:val="16"/>
                <w:szCs w:val="16"/>
              </w:rPr>
            </w:pPr>
            <w:r w:rsidRPr="005C6123">
              <w:rPr>
                <w:bCs/>
                <w:sz w:val="16"/>
                <w:szCs w:val="16"/>
              </w:rPr>
              <w:t>In wet seal centrifugal compressors, high-pressure oil is used as a barrier against escaping gas in centrifugal compressor shafts. Very little gas escapes through the oil barrier, but under high pressure, considerably more gas is absorbed by the oil. The seal oil is purged of the absorbed gas (using heaters, flash tanks, and degassing techniques) and recirculated. The gas purged is commonly vented to the atmosphere. The mechanical dry seal system is an alternative to the traditional wet seal. Using high-pressure gas to seal the compressor, dry seals result in much lower levels of fugitive emissions compared to the wet seals.</w:t>
            </w:r>
          </w:p>
        </w:tc>
        <w:tc>
          <w:tcPr>
            <w:tcW w:w="2745" w:type="dxa"/>
            <w:gridSpan w:val="13"/>
            <w:tcBorders>
              <w:top w:val="single" w:sz="4" w:space="0" w:color="2BB673" w:themeColor="accent1"/>
              <w:bottom w:val="nil"/>
              <w:right w:val="single" w:sz="4" w:space="0" w:color="208855" w:themeColor="accent1" w:themeShade="BF"/>
            </w:tcBorders>
            <w:shd w:val="clear" w:color="auto" w:fill="D0F4E3" w:themeFill="accent1" w:themeFillTint="33"/>
          </w:tcPr>
          <w:p w14:paraId="07F5D4DB"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7CF38522"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r>
              <w:rPr>
                <w:noProof/>
                <w:sz w:val="16"/>
                <w:szCs w:val="16"/>
                <w:lang w:val="nb-NO" w:eastAsia="nb-NO"/>
              </w:rPr>
              <w:drawing>
                <wp:inline distT="0" distB="0" distL="0" distR="0" wp14:anchorId="4C6C4D14" wp14:editId="71D5CEA8">
                  <wp:extent cx="1352550" cy="901700"/>
                  <wp:effectExtent l="0" t="0" r="0"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901700"/>
                          </a:xfrm>
                          <a:prstGeom prst="rect">
                            <a:avLst/>
                          </a:prstGeom>
                          <a:noFill/>
                          <a:ln>
                            <a:noFill/>
                          </a:ln>
                        </pic:spPr>
                      </pic:pic>
                    </a:graphicData>
                  </a:graphic>
                </wp:inline>
              </w:drawing>
            </w:r>
          </w:p>
          <w:p w14:paraId="254776AB" w14:textId="77777777" w:rsidR="00A0524C" w:rsidRPr="005C6123" w:rsidRDefault="00A0524C" w:rsidP="00257CC2">
            <w:pPr>
              <w:pStyle w:val="ListParagraph"/>
              <w:keepNext/>
              <w:numPr>
                <w:ilvl w:val="0"/>
                <w:numId w:val="36"/>
              </w:numPr>
              <w:spacing w:before="100" w:beforeAutospacing="1" w:after="0" w:line="276" w:lineRule="auto"/>
              <w:ind w:left="0"/>
              <w:rPr>
                <w:color w:val="000000"/>
                <w:sz w:val="10"/>
                <w:szCs w:val="10"/>
              </w:rPr>
            </w:pPr>
            <w:r w:rsidRPr="005C6123">
              <w:rPr>
                <w:color w:val="000000"/>
                <w:sz w:val="10"/>
                <w:szCs w:val="10"/>
              </w:rPr>
              <w:t>Image Source: Siemens.com</w:t>
            </w:r>
          </w:p>
        </w:tc>
      </w:tr>
      <w:tr w:rsidR="00A0524C" w:rsidRPr="00104E87" w14:paraId="4E3DC1CE" w14:textId="77777777" w:rsidTr="0059177F">
        <w:trPr>
          <w:gridAfter w:val="1"/>
          <w:wAfter w:w="9" w:type="dxa"/>
          <w:trHeight w:val="1663"/>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3CEE65F9" w14:textId="77777777" w:rsidR="00A0524C" w:rsidRPr="005C6123" w:rsidRDefault="00A0524C" w:rsidP="005D2939">
            <w:pPr>
              <w:pStyle w:val="ListParagraph"/>
              <w:numPr>
                <w:ilvl w:val="0"/>
                <w:numId w:val="36"/>
              </w:numPr>
              <w:spacing w:before="60" w:after="60" w:line="276" w:lineRule="auto"/>
              <w:ind w:left="0" w:hanging="357"/>
              <w:contextualSpacing w:val="0"/>
              <w:rPr>
                <w:b/>
                <w:bCs/>
                <w:sz w:val="16"/>
                <w:szCs w:val="16"/>
                <w:u w:val="single"/>
              </w:rPr>
            </w:pPr>
            <w:r w:rsidRPr="005C6123">
              <w:rPr>
                <w:b/>
                <w:bCs/>
                <w:sz w:val="16"/>
                <w:szCs w:val="16"/>
              </w:rPr>
              <w:t>Mitigation Techniques:</w:t>
            </w:r>
          </w:p>
          <w:p w14:paraId="20CAE2A4" w14:textId="77777777" w:rsidR="00A0524C" w:rsidRPr="005C6123" w:rsidRDefault="00A0524C" w:rsidP="005D2939">
            <w:pPr>
              <w:pStyle w:val="ListParagraph"/>
              <w:numPr>
                <w:ilvl w:val="0"/>
                <w:numId w:val="57"/>
              </w:numPr>
              <w:spacing w:before="100" w:beforeAutospacing="1" w:after="0" w:line="276" w:lineRule="auto"/>
              <w:ind w:left="180" w:hanging="180"/>
              <w:rPr>
                <w:bCs/>
                <w:sz w:val="16"/>
                <w:szCs w:val="16"/>
              </w:rPr>
            </w:pPr>
            <w:r w:rsidRPr="005C6123">
              <w:rPr>
                <w:bCs/>
                <w:sz w:val="16"/>
                <w:szCs w:val="16"/>
              </w:rPr>
              <w:t>Re-route gas at atmospheric pressure to VRU or to a low-pressure inlet such as compressor suction, fuel gas, or flare, emission reductions of 95% achievable</w:t>
            </w:r>
          </w:p>
          <w:p w14:paraId="2265779C" w14:textId="77777777" w:rsidR="00A0524C" w:rsidRPr="005C6123" w:rsidRDefault="00A0524C" w:rsidP="005D2939">
            <w:pPr>
              <w:pStyle w:val="ListParagraph"/>
              <w:numPr>
                <w:ilvl w:val="0"/>
                <w:numId w:val="57"/>
              </w:numPr>
              <w:spacing w:before="100" w:beforeAutospacing="1" w:after="0" w:line="276" w:lineRule="auto"/>
              <w:ind w:left="180" w:hanging="180"/>
              <w:rPr>
                <w:bCs/>
                <w:sz w:val="16"/>
                <w:szCs w:val="16"/>
              </w:rPr>
            </w:pPr>
            <w:r w:rsidRPr="005C6123">
              <w:rPr>
                <w:bCs/>
                <w:sz w:val="16"/>
                <w:szCs w:val="16"/>
              </w:rPr>
              <w:t xml:space="preserve">Convert compressor wet seals to dry seals. </w:t>
            </w:r>
          </w:p>
          <w:p w14:paraId="29AA60D5" w14:textId="77777777" w:rsidR="00A0524C" w:rsidRPr="005C6123" w:rsidDel="00F662EB" w:rsidRDefault="00A0524C" w:rsidP="005D2939">
            <w:pPr>
              <w:pStyle w:val="ListParagraph"/>
              <w:numPr>
                <w:ilvl w:val="0"/>
                <w:numId w:val="36"/>
              </w:numPr>
              <w:spacing w:before="100" w:beforeAutospacing="1" w:line="276" w:lineRule="auto"/>
              <w:ind w:left="0"/>
              <w:rPr>
                <w:b/>
                <w:bCs/>
                <w:sz w:val="16"/>
                <w:szCs w:val="16"/>
              </w:rPr>
            </w:pPr>
          </w:p>
        </w:tc>
        <w:tc>
          <w:tcPr>
            <w:tcW w:w="2745" w:type="dxa"/>
            <w:gridSpan w:val="13"/>
            <w:tcBorders>
              <w:top w:val="nil"/>
              <w:bottom w:val="single" w:sz="4" w:space="0" w:color="208855" w:themeColor="accent1" w:themeShade="BF"/>
              <w:right w:val="single" w:sz="4" w:space="0" w:color="208855" w:themeColor="accent1" w:themeShade="BF"/>
            </w:tcBorders>
            <w:shd w:val="clear" w:color="auto" w:fill="auto"/>
          </w:tcPr>
          <w:p w14:paraId="085197F6"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3D3F5DE8" w14:textId="77777777" w:rsidR="00A0524C" w:rsidRPr="005C6123" w:rsidRDefault="000941A9" w:rsidP="00A0524C">
            <w:pPr>
              <w:spacing w:line="240" w:lineRule="auto"/>
              <w:rPr>
                <w:sz w:val="14"/>
                <w:szCs w:val="16"/>
                <w:lang w:val="en-US"/>
              </w:rPr>
            </w:pPr>
            <w:hyperlink r:id="rId38" w:history="1">
              <w:r w:rsidR="00A0524C" w:rsidRPr="005C6123">
                <w:rPr>
                  <w:rStyle w:val="Hyperlink"/>
                  <w:sz w:val="14"/>
                  <w:szCs w:val="16"/>
                  <w:lang w:val="en-US"/>
                </w:rPr>
                <w:t>http://www.ccacoalition.org/en/resources/technical-guidance-document-number-3-centrifugal-compressors-%E2%80%9Cwet%E2%80%9D-oil-seals</w:t>
              </w:r>
            </w:hyperlink>
          </w:p>
          <w:p w14:paraId="43026732" w14:textId="77777777" w:rsidR="00A0524C" w:rsidRPr="005C6123" w:rsidRDefault="000941A9" w:rsidP="00AB1CB7">
            <w:pPr>
              <w:spacing w:line="240" w:lineRule="auto"/>
              <w:rPr>
                <w:sz w:val="16"/>
                <w:szCs w:val="16"/>
                <w:lang w:val="en-US"/>
              </w:rPr>
            </w:pPr>
            <w:hyperlink r:id="rId39" w:history="1">
              <w:r w:rsidR="00A0524C" w:rsidRPr="005C6123">
                <w:rPr>
                  <w:rStyle w:val="Hyperlink"/>
                  <w:sz w:val="14"/>
                  <w:szCs w:val="16"/>
                  <w:lang w:val="en-US"/>
                </w:rPr>
                <w:t>http://www.ourenergypolicy.org/wp-content/uploads/2014/04/epa-compressors.pdf</w:t>
              </w:r>
            </w:hyperlink>
          </w:p>
        </w:tc>
      </w:tr>
      <w:tr w:rsidR="00A0524C" w:rsidRPr="005C6123" w14:paraId="68C8739C" w14:textId="77777777" w:rsidTr="0059177F">
        <w:trPr>
          <w:gridAfter w:val="1"/>
          <w:wAfter w:w="9" w:type="dxa"/>
          <w:trHeight w:val="188"/>
          <w:jc w:val="center"/>
        </w:trPr>
        <w:tc>
          <w:tcPr>
            <w:tcW w:w="2103" w:type="dxa"/>
            <w:tcBorders>
              <w:top w:val="single" w:sz="4" w:space="0" w:color="208855" w:themeColor="accent1" w:themeShade="BF"/>
              <w:right w:val="single" w:sz="4" w:space="0" w:color="208855" w:themeColor="accent1" w:themeShade="BF"/>
            </w:tcBorders>
            <w:shd w:val="clear" w:color="auto" w:fill="D0F4E3" w:themeFill="accent1" w:themeFillTint="33"/>
          </w:tcPr>
          <w:p w14:paraId="3240D11B"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26"/>
            </w:r>
          </w:p>
        </w:tc>
        <w:tc>
          <w:tcPr>
            <w:tcW w:w="2252" w:type="dxa"/>
            <w:gridSpan w:val="6"/>
            <w:tcBorders>
              <w:top w:val="single" w:sz="4" w:space="0" w:color="208855" w:themeColor="accent1" w:themeShade="BF"/>
              <w:left w:val="single" w:sz="4" w:space="0" w:color="208855" w:themeColor="accent1" w:themeShade="BF"/>
              <w:right w:val="single" w:sz="4" w:space="0" w:color="208855" w:themeColor="accent1" w:themeShade="BF"/>
            </w:tcBorders>
            <w:shd w:val="clear" w:color="auto" w:fill="D0F4E3" w:themeFill="accent1" w:themeFillTint="33"/>
          </w:tcPr>
          <w:p w14:paraId="7BA2C768"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Applicable</w:t>
            </w:r>
            <w:r w:rsidRPr="005C6123">
              <w:rPr>
                <w:sz w:val="15"/>
                <w:szCs w:val="15"/>
              </w:rPr>
              <w:t xml:space="preserve"> </w:t>
            </w:r>
            <w:r w:rsidRPr="005C6123">
              <w:rPr>
                <w:b/>
                <w:sz w:val="15"/>
                <w:szCs w:val="15"/>
              </w:rPr>
              <w:t>Emission Quantification equipment</w:t>
            </w:r>
            <w:r w:rsidRPr="005C6123">
              <w:rPr>
                <w:rStyle w:val="FootnoteReference"/>
                <w:b/>
                <w:sz w:val="15"/>
                <w:szCs w:val="15"/>
              </w:rPr>
              <w:footnoteReference w:id="127"/>
            </w:r>
          </w:p>
        </w:tc>
        <w:tc>
          <w:tcPr>
            <w:tcW w:w="5006" w:type="dxa"/>
            <w:gridSpan w:val="17"/>
            <w:tcBorders>
              <w:top w:val="single" w:sz="4" w:space="0" w:color="208855" w:themeColor="accent1" w:themeShade="BF"/>
              <w:left w:val="single" w:sz="4" w:space="0" w:color="208855" w:themeColor="accent1" w:themeShade="BF"/>
            </w:tcBorders>
            <w:shd w:val="clear" w:color="auto" w:fill="D0F4E3" w:themeFill="accent1" w:themeFillTint="33"/>
          </w:tcPr>
          <w:p w14:paraId="2EC8CF60"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Typical quantification Methodologies</w:t>
            </w:r>
          </w:p>
        </w:tc>
      </w:tr>
      <w:tr w:rsidR="00A0524C" w:rsidRPr="00104E87" w14:paraId="2D3F5EE9" w14:textId="77777777" w:rsidTr="0059177F">
        <w:trPr>
          <w:gridAfter w:val="1"/>
          <w:wAfter w:w="9" w:type="dxa"/>
          <w:trHeight w:val="168"/>
          <w:jc w:val="center"/>
        </w:trPr>
        <w:tc>
          <w:tcPr>
            <w:tcW w:w="2103" w:type="dxa"/>
            <w:tcBorders>
              <w:bottom w:val="single" w:sz="4" w:space="0" w:color="208855"/>
              <w:right w:val="single" w:sz="4" w:space="0" w:color="208855" w:themeColor="accent1" w:themeShade="BF"/>
            </w:tcBorders>
            <w:shd w:val="clear" w:color="auto" w:fill="auto"/>
          </w:tcPr>
          <w:p w14:paraId="6D080A6D" w14:textId="77777777" w:rsidR="00A0524C" w:rsidRPr="005C6123" w:rsidRDefault="00A0524C" w:rsidP="005D2939">
            <w:pPr>
              <w:pStyle w:val="ListParagraph"/>
              <w:numPr>
                <w:ilvl w:val="0"/>
                <w:numId w:val="46"/>
              </w:numPr>
              <w:spacing w:before="40" w:after="40" w:line="276" w:lineRule="auto"/>
              <w:ind w:left="179" w:hanging="142"/>
              <w:contextualSpacing w:val="0"/>
              <w:rPr>
                <w:rFonts w:eastAsia="Times New Roman"/>
                <w:bCs/>
                <w:color w:val="000000"/>
                <w:sz w:val="15"/>
                <w:szCs w:val="15"/>
              </w:rPr>
            </w:pPr>
            <w:r w:rsidRPr="005C6123">
              <w:rPr>
                <w:rFonts w:eastAsia="Times New Roman"/>
                <w:bCs/>
                <w:sz w:val="15"/>
                <w:szCs w:val="15"/>
              </w:rPr>
              <w:t>Optical gas Imaging</w:t>
            </w:r>
          </w:p>
        </w:tc>
        <w:tc>
          <w:tcPr>
            <w:tcW w:w="2252" w:type="dxa"/>
            <w:gridSpan w:val="6"/>
            <w:tcBorders>
              <w:left w:val="single" w:sz="4" w:space="0" w:color="208855" w:themeColor="accent1" w:themeShade="BF"/>
              <w:bottom w:val="single" w:sz="4" w:space="0" w:color="208855"/>
              <w:right w:val="single" w:sz="4" w:space="0" w:color="208855" w:themeColor="accent1" w:themeShade="BF"/>
            </w:tcBorders>
            <w:shd w:val="clear" w:color="auto" w:fill="auto"/>
          </w:tcPr>
          <w:p w14:paraId="6884E0DF" w14:textId="77777777" w:rsidR="00A0524C" w:rsidRPr="005C6123" w:rsidRDefault="00A0524C" w:rsidP="005D2939">
            <w:pPr>
              <w:pStyle w:val="ListParagraph"/>
              <w:numPr>
                <w:ilvl w:val="0"/>
                <w:numId w:val="46"/>
              </w:numPr>
              <w:spacing w:before="40" w:after="40" w:line="240" w:lineRule="auto"/>
              <w:ind w:left="176" w:hanging="176"/>
              <w:contextualSpacing w:val="0"/>
              <w:rPr>
                <w:rFonts w:eastAsia="Times New Roman"/>
                <w:color w:val="000000"/>
                <w:sz w:val="15"/>
                <w:szCs w:val="15"/>
              </w:rPr>
            </w:pPr>
            <w:r w:rsidRPr="005C6123">
              <w:rPr>
                <w:rFonts w:eastAsia="Times New Roman"/>
                <w:color w:val="000000"/>
                <w:sz w:val="15"/>
                <w:szCs w:val="15"/>
              </w:rPr>
              <w:t>Vane Anemometer</w:t>
            </w:r>
          </w:p>
          <w:p w14:paraId="4CB3ACCB" w14:textId="77777777" w:rsidR="00A0524C" w:rsidRPr="005C6123" w:rsidRDefault="00A0524C" w:rsidP="005D2939">
            <w:pPr>
              <w:pStyle w:val="ListParagraph"/>
              <w:numPr>
                <w:ilvl w:val="0"/>
                <w:numId w:val="46"/>
              </w:numPr>
              <w:spacing w:before="40" w:after="40" w:line="240" w:lineRule="auto"/>
              <w:ind w:left="176" w:hanging="176"/>
              <w:contextualSpacing w:val="0"/>
              <w:rPr>
                <w:color w:val="000000"/>
                <w:sz w:val="15"/>
                <w:szCs w:val="15"/>
              </w:rPr>
            </w:pPr>
            <w:r w:rsidRPr="005C6123">
              <w:rPr>
                <w:color w:val="000000"/>
                <w:sz w:val="15"/>
                <w:szCs w:val="15"/>
              </w:rPr>
              <w:t>Hotwire Anemometer</w:t>
            </w:r>
          </w:p>
          <w:p w14:paraId="23F8C329" w14:textId="180A15EB" w:rsidR="00A0524C" w:rsidRDefault="00A0524C" w:rsidP="005D2939">
            <w:pPr>
              <w:pStyle w:val="ListParagraph"/>
              <w:numPr>
                <w:ilvl w:val="0"/>
                <w:numId w:val="40"/>
              </w:numPr>
              <w:spacing w:before="40" w:after="40" w:line="240" w:lineRule="auto"/>
              <w:ind w:left="176" w:hanging="176"/>
              <w:contextualSpacing w:val="0"/>
              <w:rPr>
                <w:color w:val="000000"/>
                <w:sz w:val="15"/>
                <w:szCs w:val="15"/>
              </w:rPr>
            </w:pPr>
            <w:r w:rsidRPr="005C6123">
              <w:rPr>
                <w:color w:val="000000"/>
                <w:sz w:val="15"/>
                <w:szCs w:val="15"/>
              </w:rPr>
              <w:t>Turbine meter</w:t>
            </w:r>
          </w:p>
          <w:p w14:paraId="1963C673" w14:textId="77777777" w:rsidR="00A0524C" w:rsidRPr="005C6123" w:rsidRDefault="00A0524C" w:rsidP="005D2939">
            <w:pPr>
              <w:pStyle w:val="ListParagraph"/>
              <w:numPr>
                <w:ilvl w:val="0"/>
                <w:numId w:val="46"/>
              </w:numPr>
              <w:spacing w:before="40" w:after="40" w:line="240" w:lineRule="auto"/>
              <w:ind w:left="176" w:hanging="176"/>
              <w:contextualSpacing w:val="0"/>
              <w:rPr>
                <w:color w:val="000000"/>
                <w:sz w:val="15"/>
                <w:szCs w:val="15"/>
              </w:rPr>
            </w:pPr>
            <w:r w:rsidRPr="005C6123">
              <w:rPr>
                <w:rFonts w:eastAsia="Times New Roman"/>
                <w:color w:val="000000"/>
                <w:sz w:val="15"/>
                <w:szCs w:val="15"/>
              </w:rPr>
              <w:t>High volume sampler</w:t>
            </w:r>
          </w:p>
        </w:tc>
        <w:tc>
          <w:tcPr>
            <w:tcW w:w="5006" w:type="dxa"/>
            <w:gridSpan w:val="17"/>
            <w:tcBorders>
              <w:left w:val="single" w:sz="4" w:space="0" w:color="208855" w:themeColor="accent1" w:themeShade="BF"/>
              <w:bottom w:val="single" w:sz="4" w:space="0" w:color="208855"/>
            </w:tcBorders>
            <w:shd w:val="clear" w:color="auto" w:fill="auto"/>
          </w:tcPr>
          <w:p w14:paraId="629305C9" w14:textId="77777777" w:rsidR="00225A04" w:rsidRDefault="00A0524C" w:rsidP="009446F2">
            <w:pPr>
              <w:pStyle w:val="ListParagraph"/>
              <w:numPr>
                <w:ilvl w:val="0"/>
                <w:numId w:val="40"/>
              </w:numPr>
              <w:spacing w:before="40" w:after="40" w:line="240" w:lineRule="auto"/>
              <w:ind w:left="179" w:hanging="179"/>
              <w:contextualSpacing w:val="0"/>
              <w:rPr>
                <w:sz w:val="15"/>
                <w:szCs w:val="15"/>
              </w:rPr>
            </w:pPr>
            <w:r w:rsidRPr="00225A04">
              <w:rPr>
                <w:sz w:val="15"/>
                <w:szCs w:val="15"/>
              </w:rPr>
              <w:t>Direct measurement</w:t>
            </w:r>
            <w:r w:rsidRPr="005C6123">
              <w:rPr>
                <w:rStyle w:val="FootnoteReference"/>
                <w:sz w:val="15"/>
                <w:szCs w:val="15"/>
              </w:rPr>
              <w:footnoteReference w:id="128"/>
            </w:r>
          </w:p>
          <w:p w14:paraId="3CADFC55" w14:textId="0B3A9C83" w:rsidR="00A0524C" w:rsidRPr="00225A04" w:rsidRDefault="00A0524C" w:rsidP="009446F2">
            <w:pPr>
              <w:pStyle w:val="ListParagraph"/>
              <w:numPr>
                <w:ilvl w:val="0"/>
                <w:numId w:val="40"/>
              </w:numPr>
              <w:spacing w:before="40" w:after="40" w:line="240" w:lineRule="auto"/>
              <w:ind w:left="179" w:hanging="179"/>
              <w:contextualSpacing w:val="0"/>
              <w:rPr>
                <w:sz w:val="15"/>
                <w:szCs w:val="15"/>
              </w:rPr>
            </w:pPr>
            <w:r w:rsidRPr="00225A04">
              <w:rPr>
                <w:sz w:val="15"/>
                <w:szCs w:val="15"/>
              </w:rPr>
              <w:t>Default emission factors (in Sm</w:t>
            </w:r>
            <w:r w:rsidRPr="00225A04">
              <w:rPr>
                <w:sz w:val="15"/>
                <w:szCs w:val="15"/>
                <w:vertAlign w:val="superscript"/>
              </w:rPr>
              <w:t>3</w:t>
            </w:r>
            <w:r w:rsidRPr="00225A04">
              <w:rPr>
                <w:sz w:val="15"/>
                <w:szCs w:val="15"/>
              </w:rPr>
              <w:t>/compressor/year) depending on the type of compressor</w:t>
            </w:r>
            <w:r w:rsidR="00315A85" w:rsidRPr="005C6123">
              <w:rPr>
                <w:rStyle w:val="FootnoteReference"/>
                <w:sz w:val="15"/>
                <w:szCs w:val="15"/>
              </w:rPr>
              <w:footnoteReference w:id="129"/>
            </w:r>
            <w:r w:rsidR="00315A85" w:rsidRPr="00225A04">
              <w:rPr>
                <w:sz w:val="15"/>
                <w:szCs w:val="15"/>
                <w:vertAlign w:val="superscript"/>
              </w:rPr>
              <w:t xml:space="preserve">, </w:t>
            </w:r>
            <w:r w:rsidR="00315A85" w:rsidRPr="005C6123">
              <w:rPr>
                <w:rStyle w:val="FootnoteReference"/>
                <w:sz w:val="15"/>
                <w:szCs w:val="15"/>
              </w:rPr>
              <w:footnoteReference w:id="130"/>
            </w:r>
          </w:p>
          <w:p w14:paraId="3D2AC7CA" w14:textId="5B62CE16" w:rsidR="00A1239B" w:rsidRPr="005C6123" w:rsidRDefault="00A1239B" w:rsidP="00A1239B">
            <w:pPr>
              <w:pStyle w:val="ListParagraph"/>
              <w:spacing w:before="40" w:after="40" w:line="240" w:lineRule="auto"/>
              <w:ind w:left="179"/>
              <w:contextualSpacing w:val="0"/>
              <w:rPr>
                <w:sz w:val="15"/>
                <w:szCs w:val="15"/>
              </w:rPr>
            </w:pPr>
          </w:p>
        </w:tc>
      </w:tr>
      <w:tr w:rsidR="0059177F" w:rsidRPr="00104E87" w14:paraId="4DCCF08A" w14:textId="77777777" w:rsidTr="0059177F">
        <w:trPr>
          <w:gridAfter w:val="1"/>
          <w:wAfter w:w="9" w:type="dxa"/>
          <w:trHeight w:val="168"/>
          <w:jc w:val="center"/>
        </w:trPr>
        <w:tc>
          <w:tcPr>
            <w:tcW w:w="2103" w:type="dxa"/>
            <w:tcBorders>
              <w:left w:val="nil"/>
              <w:bottom w:val="nil"/>
              <w:right w:val="nil"/>
            </w:tcBorders>
            <w:shd w:val="clear" w:color="auto" w:fill="auto"/>
          </w:tcPr>
          <w:p w14:paraId="7D8B3733" w14:textId="77777777" w:rsidR="0059177F" w:rsidRPr="005C6123" w:rsidRDefault="0059177F" w:rsidP="0059177F">
            <w:pPr>
              <w:pStyle w:val="ListParagraph"/>
              <w:spacing w:before="40" w:after="40" w:line="276" w:lineRule="auto"/>
              <w:ind w:left="179"/>
              <w:contextualSpacing w:val="0"/>
              <w:rPr>
                <w:rFonts w:eastAsia="Times New Roman"/>
                <w:bCs/>
                <w:sz w:val="15"/>
                <w:szCs w:val="15"/>
              </w:rPr>
            </w:pPr>
          </w:p>
        </w:tc>
        <w:tc>
          <w:tcPr>
            <w:tcW w:w="2252" w:type="dxa"/>
            <w:gridSpan w:val="6"/>
            <w:tcBorders>
              <w:left w:val="nil"/>
              <w:bottom w:val="nil"/>
              <w:right w:val="nil"/>
            </w:tcBorders>
            <w:shd w:val="clear" w:color="auto" w:fill="auto"/>
          </w:tcPr>
          <w:p w14:paraId="60D19144" w14:textId="77777777" w:rsidR="0059177F" w:rsidRPr="005C6123" w:rsidRDefault="0059177F" w:rsidP="0059177F">
            <w:pPr>
              <w:pStyle w:val="ListParagraph"/>
              <w:spacing w:before="40" w:after="40" w:line="240" w:lineRule="auto"/>
              <w:ind w:left="176"/>
              <w:contextualSpacing w:val="0"/>
              <w:rPr>
                <w:rFonts w:eastAsia="Times New Roman"/>
                <w:color w:val="000000"/>
                <w:sz w:val="15"/>
                <w:szCs w:val="15"/>
              </w:rPr>
            </w:pPr>
          </w:p>
        </w:tc>
        <w:tc>
          <w:tcPr>
            <w:tcW w:w="5006" w:type="dxa"/>
            <w:gridSpan w:val="17"/>
            <w:tcBorders>
              <w:left w:val="nil"/>
              <w:bottom w:val="nil"/>
              <w:right w:val="nil"/>
            </w:tcBorders>
            <w:shd w:val="clear" w:color="auto" w:fill="auto"/>
          </w:tcPr>
          <w:p w14:paraId="62BED3B7" w14:textId="77777777" w:rsidR="0059177F" w:rsidRPr="00225A04" w:rsidRDefault="0059177F" w:rsidP="0059177F">
            <w:pPr>
              <w:pStyle w:val="ListParagraph"/>
              <w:spacing w:before="40" w:after="40" w:line="240" w:lineRule="auto"/>
              <w:ind w:left="179"/>
              <w:contextualSpacing w:val="0"/>
              <w:rPr>
                <w:sz w:val="15"/>
                <w:szCs w:val="15"/>
              </w:rPr>
            </w:pPr>
          </w:p>
        </w:tc>
      </w:tr>
      <w:tr w:rsidR="0059177F" w:rsidRPr="005C6123" w14:paraId="15C09E40" w14:textId="77777777" w:rsidTr="0059177F">
        <w:trPr>
          <w:gridAfter w:val="1"/>
          <w:wAfter w:w="9" w:type="dxa"/>
          <w:trHeight w:val="448"/>
          <w:jc w:val="center"/>
        </w:trPr>
        <w:tc>
          <w:tcPr>
            <w:tcW w:w="6616" w:type="dxa"/>
            <w:gridSpan w:val="11"/>
            <w:tcBorders>
              <w:top w:val="nil"/>
              <w:left w:val="single" w:sz="4" w:space="0" w:color="2BB673" w:themeColor="text2"/>
              <w:bottom w:val="single" w:sz="4" w:space="0" w:color="2BB673" w:themeColor="text2"/>
            </w:tcBorders>
            <w:shd w:val="clear" w:color="auto" w:fill="208855" w:themeFill="accent1" w:themeFillShade="BF"/>
            <w:vAlign w:val="center"/>
          </w:tcPr>
          <w:p w14:paraId="193D410A" w14:textId="4306F9E5" w:rsidR="0059177F" w:rsidRPr="00D269FB" w:rsidRDefault="0059177F" w:rsidP="0059177F">
            <w:pPr>
              <w:pStyle w:val="ListParagraph"/>
              <w:numPr>
                <w:ilvl w:val="0"/>
                <w:numId w:val="36"/>
              </w:numPr>
              <w:spacing w:before="60" w:after="60"/>
              <w:ind w:left="0" w:hanging="357"/>
              <w:contextualSpacing w:val="0"/>
              <w:rPr>
                <w:b/>
                <w:bCs/>
                <w:color w:val="FFFFFF"/>
              </w:rPr>
            </w:pPr>
            <w:r w:rsidRPr="000941A9">
              <w:rPr>
                <w:b/>
                <w:bCs/>
                <w:color w:val="FFFFFF"/>
              </w:rPr>
              <w:t>Emission source categories along the value chain</w:t>
            </w:r>
          </w:p>
        </w:tc>
        <w:tc>
          <w:tcPr>
            <w:tcW w:w="687" w:type="dxa"/>
            <w:gridSpan w:val="2"/>
            <w:tcBorders>
              <w:top w:val="nil"/>
              <w:bottom w:val="single" w:sz="4" w:space="0" w:color="2BB673" w:themeColor="text2"/>
              <w:right w:val="single" w:sz="4" w:space="0" w:color="208855" w:themeColor="accent1" w:themeShade="BF"/>
            </w:tcBorders>
            <w:shd w:val="clear" w:color="auto" w:fill="155B39" w:themeFill="accent6"/>
            <w:vAlign w:val="center"/>
          </w:tcPr>
          <w:p w14:paraId="562DA684" w14:textId="7DAD90BE" w:rsidR="0059177F" w:rsidRPr="005C6123" w:rsidRDefault="0059177F" w:rsidP="0059177F">
            <w:pPr>
              <w:pStyle w:val="ListParagraph"/>
              <w:numPr>
                <w:ilvl w:val="0"/>
                <w:numId w:val="36"/>
              </w:numPr>
              <w:spacing w:before="100" w:beforeAutospacing="1" w:after="100" w:afterAutospacing="1" w:line="276" w:lineRule="auto"/>
              <w:ind w:left="0"/>
              <w:rPr>
                <w:sz w:val="16"/>
                <w:szCs w:val="16"/>
                <w:u w:val="single"/>
              </w:rPr>
            </w:pPr>
            <w:r w:rsidRPr="005C6123">
              <w:rPr>
                <w:b/>
                <w:bCs/>
                <w:color w:val="FFFFFF"/>
                <w:sz w:val="14"/>
                <w:szCs w:val="14"/>
                <w:lang w:val="nb-NO"/>
              </w:rPr>
              <w:t>P</w:t>
            </w:r>
          </w:p>
        </w:tc>
        <w:tc>
          <w:tcPr>
            <w:tcW w:w="685" w:type="dxa"/>
            <w:gridSpan w:val="5"/>
            <w:tcBorders>
              <w:top w:val="nil"/>
              <w:bottom w:val="single" w:sz="4" w:space="0" w:color="2BB673" w:themeColor="text2"/>
              <w:right w:val="single" w:sz="4" w:space="0" w:color="208855" w:themeColor="accent1" w:themeShade="BF"/>
            </w:tcBorders>
            <w:shd w:val="clear" w:color="auto" w:fill="155B39" w:themeFill="accent6"/>
            <w:vAlign w:val="center"/>
          </w:tcPr>
          <w:p w14:paraId="305A08E5" w14:textId="0696BEF7" w:rsidR="0059177F" w:rsidRPr="005C6123" w:rsidRDefault="0059177F" w:rsidP="0059177F">
            <w:pPr>
              <w:pStyle w:val="ListParagraph"/>
              <w:numPr>
                <w:ilvl w:val="0"/>
                <w:numId w:val="36"/>
              </w:numPr>
              <w:spacing w:before="100" w:beforeAutospacing="1" w:after="100" w:afterAutospacing="1" w:line="276" w:lineRule="auto"/>
              <w:ind w:left="0"/>
              <w:rPr>
                <w:sz w:val="16"/>
                <w:szCs w:val="16"/>
                <w:u w:val="single"/>
              </w:rPr>
            </w:pPr>
            <w:r w:rsidRPr="005C6123">
              <w:rPr>
                <w:b/>
                <w:bCs/>
                <w:color w:val="FFFFFF"/>
                <w:sz w:val="14"/>
                <w:szCs w:val="14"/>
              </w:rPr>
              <w:t>G&amp;P</w:t>
            </w:r>
          </w:p>
        </w:tc>
        <w:tc>
          <w:tcPr>
            <w:tcW w:w="684" w:type="dxa"/>
            <w:gridSpan w:val="4"/>
            <w:tcBorders>
              <w:top w:val="nil"/>
              <w:bottom w:val="single" w:sz="4" w:space="0" w:color="2BB673" w:themeColor="text2"/>
              <w:right w:val="single" w:sz="4" w:space="0" w:color="208855" w:themeColor="accent1" w:themeShade="BF"/>
            </w:tcBorders>
            <w:shd w:val="clear" w:color="auto" w:fill="155B39" w:themeFill="accent6"/>
            <w:vAlign w:val="center"/>
          </w:tcPr>
          <w:p w14:paraId="09140519" w14:textId="6028B99C" w:rsidR="0059177F" w:rsidRPr="005C6123" w:rsidRDefault="0059177F" w:rsidP="0059177F">
            <w:pPr>
              <w:pStyle w:val="ListParagraph"/>
              <w:numPr>
                <w:ilvl w:val="0"/>
                <w:numId w:val="36"/>
              </w:numPr>
              <w:spacing w:before="100" w:beforeAutospacing="1" w:after="100" w:afterAutospacing="1" w:line="276" w:lineRule="auto"/>
              <w:ind w:left="0"/>
              <w:rPr>
                <w:sz w:val="16"/>
                <w:szCs w:val="16"/>
                <w:u w:val="single"/>
              </w:rPr>
            </w:pPr>
            <w:r w:rsidRPr="005C6123">
              <w:rPr>
                <w:b/>
                <w:bCs/>
                <w:color w:val="FFFFFF"/>
                <w:sz w:val="14"/>
                <w:szCs w:val="14"/>
              </w:rPr>
              <w:t>T&amp;S</w:t>
            </w:r>
          </w:p>
        </w:tc>
        <w:tc>
          <w:tcPr>
            <w:tcW w:w="689" w:type="dxa"/>
            <w:gridSpan w:val="2"/>
            <w:tcBorders>
              <w:top w:val="nil"/>
              <w:bottom w:val="single" w:sz="4" w:space="0" w:color="2BB673" w:themeColor="text2"/>
              <w:right w:val="single" w:sz="4" w:space="0" w:color="208855" w:themeColor="accent1" w:themeShade="BF"/>
            </w:tcBorders>
            <w:shd w:val="clear" w:color="auto" w:fill="155B39" w:themeFill="accent6"/>
            <w:vAlign w:val="center"/>
          </w:tcPr>
          <w:p w14:paraId="5DF4DC9F" w14:textId="15657223" w:rsidR="0059177F" w:rsidRPr="005C6123" w:rsidRDefault="0059177F" w:rsidP="0059177F">
            <w:pPr>
              <w:pStyle w:val="ListParagraph"/>
              <w:numPr>
                <w:ilvl w:val="0"/>
                <w:numId w:val="36"/>
              </w:numPr>
              <w:spacing w:before="100" w:beforeAutospacing="1" w:after="0" w:line="276" w:lineRule="auto"/>
              <w:ind w:left="0"/>
              <w:jc w:val="center"/>
              <w:rPr>
                <w:sz w:val="16"/>
                <w:szCs w:val="16"/>
                <w:u w:val="single"/>
              </w:rPr>
            </w:pPr>
            <w:r w:rsidRPr="00A2317D">
              <w:rPr>
                <w:b/>
                <w:bCs/>
                <w:color w:val="FFFFFF"/>
                <w:sz w:val="14"/>
                <w:szCs w:val="14"/>
              </w:rPr>
              <w:t>D</w:t>
            </w:r>
          </w:p>
        </w:tc>
      </w:tr>
      <w:tr w:rsidR="0059177F" w:rsidRPr="005C6123" w14:paraId="3303E8B6" w14:textId="77777777" w:rsidTr="0059177F">
        <w:trPr>
          <w:gridAfter w:val="1"/>
          <w:wAfter w:w="9" w:type="dxa"/>
          <w:jc w:val="center"/>
        </w:trPr>
        <w:tc>
          <w:tcPr>
            <w:tcW w:w="6616" w:type="dxa"/>
            <w:gridSpan w:val="11"/>
            <w:tcBorders>
              <w:top w:val="single" w:sz="4" w:space="0" w:color="2BB673" w:themeColor="text2"/>
              <w:left w:val="single" w:sz="4" w:space="0" w:color="2BB673" w:themeColor="text2"/>
              <w:bottom w:val="nil"/>
            </w:tcBorders>
            <w:shd w:val="clear" w:color="auto" w:fill="208855" w:themeFill="accent1" w:themeFillShade="BF"/>
            <w:vAlign w:val="center"/>
          </w:tcPr>
          <w:p w14:paraId="501CCA2C" w14:textId="3029D67E" w:rsidR="0059177F" w:rsidRPr="005C6123" w:rsidRDefault="0059177F" w:rsidP="0059177F">
            <w:pPr>
              <w:spacing w:before="120" w:line="240" w:lineRule="auto"/>
              <w:rPr>
                <w:bCs/>
                <w:sz w:val="16"/>
                <w:szCs w:val="16"/>
                <w:lang w:val="en-US"/>
              </w:rPr>
            </w:pPr>
            <w:r w:rsidRPr="00FB48A1">
              <w:rPr>
                <w:b/>
                <w:bCs/>
                <w:color w:val="FFFFFF"/>
              </w:rPr>
              <w:t>7. Reciprocating rod-packing compressors</w:t>
            </w:r>
          </w:p>
        </w:tc>
        <w:tc>
          <w:tcPr>
            <w:tcW w:w="687" w:type="dxa"/>
            <w:gridSpan w:val="2"/>
            <w:tcBorders>
              <w:top w:val="single" w:sz="4" w:space="0" w:color="2BB673" w:themeColor="text2"/>
              <w:bottom w:val="nil"/>
              <w:right w:val="single" w:sz="4" w:space="0" w:color="208855" w:themeColor="accent1" w:themeShade="BF"/>
            </w:tcBorders>
            <w:shd w:val="clear" w:color="auto" w:fill="155B39" w:themeFill="accent6"/>
            <w:vAlign w:val="center"/>
          </w:tcPr>
          <w:p w14:paraId="2B179ABA" w14:textId="5B2A4BE7" w:rsidR="0059177F" w:rsidRPr="005C6123" w:rsidRDefault="0059177F" w:rsidP="0059177F">
            <w:pPr>
              <w:pStyle w:val="ListParagraph"/>
              <w:numPr>
                <w:ilvl w:val="0"/>
                <w:numId w:val="36"/>
              </w:numPr>
              <w:spacing w:before="100" w:beforeAutospacing="1" w:after="100" w:afterAutospacing="1" w:line="276" w:lineRule="auto"/>
              <w:ind w:left="0"/>
              <w:rPr>
                <w:sz w:val="16"/>
                <w:szCs w:val="16"/>
                <w:u w:val="single"/>
              </w:rPr>
            </w:pPr>
            <w:r w:rsidRPr="005C6123">
              <w:rPr>
                <w:color w:val="FFFFFF"/>
                <w:sz w:val="24"/>
                <w:szCs w:val="24"/>
              </w:rPr>
              <w:sym w:font="Symbol" w:char="F0B7"/>
            </w:r>
          </w:p>
        </w:tc>
        <w:tc>
          <w:tcPr>
            <w:tcW w:w="685" w:type="dxa"/>
            <w:gridSpan w:val="5"/>
            <w:tcBorders>
              <w:top w:val="single" w:sz="4" w:space="0" w:color="2BB673" w:themeColor="text2"/>
              <w:bottom w:val="nil"/>
              <w:right w:val="single" w:sz="4" w:space="0" w:color="208855" w:themeColor="accent1" w:themeShade="BF"/>
            </w:tcBorders>
            <w:shd w:val="clear" w:color="auto" w:fill="155B39" w:themeFill="accent6"/>
            <w:vAlign w:val="center"/>
          </w:tcPr>
          <w:p w14:paraId="43979F7F" w14:textId="00AEB842" w:rsidR="0059177F" w:rsidRPr="005C6123" w:rsidRDefault="0059177F" w:rsidP="0059177F">
            <w:pPr>
              <w:pStyle w:val="ListParagraph"/>
              <w:numPr>
                <w:ilvl w:val="0"/>
                <w:numId w:val="36"/>
              </w:numPr>
              <w:spacing w:before="100" w:beforeAutospacing="1" w:after="100" w:afterAutospacing="1" w:line="276" w:lineRule="auto"/>
              <w:ind w:left="0"/>
              <w:rPr>
                <w:sz w:val="16"/>
                <w:szCs w:val="16"/>
                <w:u w:val="single"/>
              </w:rPr>
            </w:pPr>
            <w:r w:rsidRPr="005C6123">
              <w:rPr>
                <w:color w:val="FFFFFF"/>
                <w:sz w:val="24"/>
                <w:szCs w:val="24"/>
              </w:rPr>
              <w:sym w:font="Symbol" w:char="F0B7"/>
            </w:r>
          </w:p>
        </w:tc>
        <w:tc>
          <w:tcPr>
            <w:tcW w:w="684" w:type="dxa"/>
            <w:gridSpan w:val="4"/>
            <w:tcBorders>
              <w:top w:val="single" w:sz="4" w:space="0" w:color="2BB673" w:themeColor="text2"/>
              <w:bottom w:val="nil"/>
              <w:right w:val="single" w:sz="4" w:space="0" w:color="208855" w:themeColor="accent1" w:themeShade="BF"/>
            </w:tcBorders>
            <w:shd w:val="clear" w:color="auto" w:fill="155B39" w:themeFill="accent6"/>
            <w:vAlign w:val="center"/>
          </w:tcPr>
          <w:p w14:paraId="2ACEA161" w14:textId="49DF7F90" w:rsidR="0059177F" w:rsidRPr="005C6123" w:rsidRDefault="0059177F" w:rsidP="0059177F">
            <w:pPr>
              <w:pStyle w:val="ListParagraph"/>
              <w:numPr>
                <w:ilvl w:val="0"/>
                <w:numId w:val="36"/>
              </w:numPr>
              <w:spacing w:before="100" w:beforeAutospacing="1" w:after="100" w:afterAutospacing="1" w:line="276" w:lineRule="auto"/>
              <w:ind w:left="0"/>
              <w:rPr>
                <w:sz w:val="16"/>
                <w:szCs w:val="16"/>
                <w:u w:val="single"/>
              </w:rPr>
            </w:pPr>
            <w:r w:rsidRPr="005C6123">
              <w:rPr>
                <w:color w:val="FFFFFF"/>
                <w:sz w:val="24"/>
                <w:szCs w:val="24"/>
              </w:rPr>
              <w:sym w:font="Symbol" w:char="F0B7"/>
            </w:r>
          </w:p>
        </w:tc>
        <w:tc>
          <w:tcPr>
            <w:tcW w:w="689" w:type="dxa"/>
            <w:gridSpan w:val="2"/>
            <w:tcBorders>
              <w:top w:val="single" w:sz="4" w:space="0" w:color="2BB673" w:themeColor="text2"/>
              <w:bottom w:val="nil"/>
              <w:right w:val="single" w:sz="4" w:space="0" w:color="208855" w:themeColor="accent1" w:themeShade="BF"/>
            </w:tcBorders>
            <w:shd w:val="clear" w:color="auto" w:fill="155B39" w:themeFill="accent6"/>
            <w:vAlign w:val="center"/>
          </w:tcPr>
          <w:p w14:paraId="7B84DC49" w14:textId="65208192" w:rsidR="0059177F" w:rsidRPr="005C6123" w:rsidRDefault="0059177F" w:rsidP="0059177F">
            <w:pPr>
              <w:pStyle w:val="ListParagraph"/>
              <w:numPr>
                <w:ilvl w:val="0"/>
                <w:numId w:val="36"/>
              </w:numPr>
              <w:spacing w:before="100" w:beforeAutospacing="1" w:after="100" w:afterAutospacing="1" w:line="276" w:lineRule="auto"/>
              <w:ind w:left="0"/>
              <w:rPr>
                <w:sz w:val="16"/>
                <w:szCs w:val="16"/>
                <w:u w:val="single"/>
              </w:rPr>
            </w:pPr>
          </w:p>
        </w:tc>
      </w:tr>
      <w:tr w:rsidR="00A0524C" w:rsidRPr="005C6123" w14:paraId="10FB28B4" w14:textId="77777777" w:rsidTr="0059177F">
        <w:trPr>
          <w:gridAfter w:val="1"/>
          <w:wAfter w:w="9" w:type="dxa"/>
          <w:trHeight w:val="1994"/>
          <w:jc w:val="center"/>
        </w:trPr>
        <w:tc>
          <w:tcPr>
            <w:tcW w:w="6616" w:type="dxa"/>
            <w:gridSpan w:val="11"/>
            <w:tcBorders>
              <w:top w:val="nil"/>
              <w:left w:val="single" w:sz="4" w:space="0" w:color="208855" w:themeColor="accent1" w:themeShade="BF"/>
              <w:bottom w:val="nil"/>
            </w:tcBorders>
            <w:shd w:val="clear" w:color="auto" w:fill="D0F4E3" w:themeFill="accent1" w:themeFillTint="33"/>
          </w:tcPr>
          <w:p w14:paraId="280E550A" w14:textId="77777777" w:rsidR="00A0524C" w:rsidRPr="005C6123" w:rsidRDefault="00A0524C" w:rsidP="00A0524C">
            <w:pPr>
              <w:spacing w:before="120" w:line="240" w:lineRule="auto"/>
              <w:rPr>
                <w:bCs/>
                <w:sz w:val="16"/>
                <w:szCs w:val="16"/>
                <w:lang w:val="en-US"/>
              </w:rPr>
            </w:pPr>
            <w:r w:rsidRPr="005C6123">
              <w:rPr>
                <w:bCs/>
                <w:sz w:val="16"/>
                <w:szCs w:val="16"/>
                <w:lang w:val="en-US"/>
              </w:rPr>
              <w:t xml:space="preserve">Though there are </w:t>
            </w:r>
            <w:proofErr w:type="gramStart"/>
            <w:r w:rsidRPr="005C6123">
              <w:rPr>
                <w:bCs/>
                <w:sz w:val="16"/>
                <w:szCs w:val="16"/>
                <w:lang w:val="en-US"/>
              </w:rPr>
              <w:t>a number of</w:t>
            </w:r>
            <w:proofErr w:type="gramEnd"/>
            <w:r w:rsidRPr="005C6123">
              <w:rPr>
                <w:bCs/>
                <w:sz w:val="16"/>
                <w:szCs w:val="16"/>
                <w:lang w:val="en-US"/>
              </w:rPr>
              <w:t xml:space="preserve"> leaking points, the highest volume of gas loss within the reciprocating compressors is associated with piston rod packing systems, which are the components ensuring the sealing of the compressed gas. Piston rod packing consists of series of cups containing several seal rings side by side, held together by a spring installed in the groove running around the outside of the ring. Considerable leak reduction could be achieved by replacing packing rings and, in some cases, the piston rods. </w:t>
            </w:r>
          </w:p>
        </w:tc>
        <w:tc>
          <w:tcPr>
            <w:tcW w:w="2745" w:type="dxa"/>
            <w:gridSpan w:val="13"/>
            <w:tcBorders>
              <w:top w:val="nil"/>
              <w:bottom w:val="nil"/>
              <w:right w:val="single" w:sz="4" w:space="0" w:color="208855" w:themeColor="accent1" w:themeShade="BF"/>
            </w:tcBorders>
            <w:shd w:val="clear" w:color="auto" w:fill="D0F4E3" w:themeFill="accent1" w:themeFillTint="33"/>
          </w:tcPr>
          <w:p w14:paraId="48E12318"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000C2DFC"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r>
              <w:rPr>
                <w:b/>
                <w:noProof/>
                <w:sz w:val="16"/>
                <w:szCs w:val="16"/>
                <w:lang w:val="nb-NO" w:eastAsia="nb-NO"/>
              </w:rPr>
              <w:drawing>
                <wp:inline distT="0" distB="0" distL="0" distR="0" wp14:anchorId="3265ED6E" wp14:editId="0B526C1B">
                  <wp:extent cx="1333500" cy="946150"/>
                  <wp:effectExtent l="0" t="0" r="0" b="635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946150"/>
                          </a:xfrm>
                          <a:prstGeom prst="rect">
                            <a:avLst/>
                          </a:prstGeom>
                          <a:noFill/>
                          <a:ln>
                            <a:noFill/>
                          </a:ln>
                        </pic:spPr>
                      </pic:pic>
                    </a:graphicData>
                  </a:graphic>
                </wp:inline>
              </w:drawing>
            </w:r>
          </w:p>
          <w:p w14:paraId="6E4CBCFD" w14:textId="77777777" w:rsidR="00A0524C" w:rsidRPr="005C6123" w:rsidRDefault="00A0524C" w:rsidP="005D2939">
            <w:pPr>
              <w:pStyle w:val="ListParagraph"/>
              <w:keepNext/>
              <w:numPr>
                <w:ilvl w:val="0"/>
                <w:numId w:val="36"/>
              </w:numPr>
              <w:spacing w:after="0" w:line="276" w:lineRule="auto"/>
              <w:ind w:left="0" w:hanging="357"/>
              <w:contextualSpacing w:val="0"/>
              <w:rPr>
                <w:color w:val="000000"/>
                <w:sz w:val="10"/>
                <w:szCs w:val="10"/>
              </w:rPr>
            </w:pPr>
            <w:r w:rsidRPr="005C6123">
              <w:rPr>
                <w:color w:val="000000"/>
                <w:sz w:val="10"/>
                <w:szCs w:val="10"/>
              </w:rPr>
              <w:t>Image Source: MESSCO</w:t>
            </w:r>
          </w:p>
        </w:tc>
      </w:tr>
      <w:tr w:rsidR="00A0524C" w:rsidRPr="00104E87" w14:paraId="75FF142B" w14:textId="77777777" w:rsidTr="0059177F">
        <w:trPr>
          <w:gridAfter w:val="1"/>
          <w:wAfter w:w="9" w:type="dxa"/>
          <w:trHeight w:val="1601"/>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0E554D26" w14:textId="77777777" w:rsidR="00A0524C" w:rsidRPr="005C6123" w:rsidRDefault="00A0524C" w:rsidP="005D2939">
            <w:pPr>
              <w:pStyle w:val="ListParagraph"/>
              <w:numPr>
                <w:ilvl w:val="0"/>
                <w:numId w:val="36"/>
              </w:numPr>
              <w:spacing w:before="60" w:after="60" w:line="276" w:lineRule="auto"/>
              <w:ind w:left="0" w:hanging="357"/>
              <w:contextualSpacing w:val="0"/>
              <w:rPr>
                <w:bCs/>
                <w:sz w:val="16"/>
                <w:szCs w:val="16"/>
                <w:u w:val="single"/>
              </w:rPr>
            </w:pPr>
            <w:r w:rsidRPr="005C6123">
              <w:rPr>
                <w:b/>
                <w:bCs/>
                <w:sz w:val="16"/>
                <w:szCs w:val="16"/>
              </w:rPr>
              <w:t>Mitigation Techniques:</w:t>
            </w:r>
          </w:p>
          <w:p w14:paraId="797D506A" w14:textId="77777777" w:rsidR="00A0524C" w:rsidRPr="005C6123" w:rsidRDefault="00A0524C" w:rsidP="005D2939">
            <w:pPr>
              <w:pStyle w:val="ListParagraph"/>
              <w:numPr>
                <w:ilvl w:val="0"/>
                <w:numId w:val="58"/>
              </w:numPr>
              <w:spacing w:before="100" w:beforeAutospacing="1" w:after="0" w:line="276" w:lineRule="auto"/>
              <w:ind w:left="180" w:hanging="180"/>
              <w:rPr>
                <w:bCs/>
                <w:sz w:val="16"/>
                <w:szCs w:val="16"/>
              </w:rPr>
            </w:pPr>
            <w:r w:rsidRPr="005C6123">
              <w:rPr>
                <w:bCs/>
                <w:sz w:val="16"/>
                <w:szCs w:val="16"/>
              </w:rPr>
              <w:t>The regular replacement of rod packing, 50-65% emission reductions achievable.</w:t>
            </w:r>
          </w:p>
          <w:p w14:paraId="5782F9C1" w14:textId="77777777" w:rsidR="00A0524C" w:rsidRPr="005C6123" w:rsidDel="00F662EB" w:rsidRDefault="00A0524C" w:rsidP="005D2939">
            <w:pPr>
              <w:pStyle w:val="ListParagraph"/>
              <w:numPr>
                <w:ilvl w:val="0"/>
                <w:numId w:val="58"/>
              </w:numPr>
              <w:spacing w:after="0" w:line="240" w:lineRule="auto"/>
              <w:ind w:left="180" w:hanging="180"/>
              <w:rPr>
                <w:bCs/>
                <w:sz w:val="16"/>
                <w:szCs w:val="16"/>
              </w:rPr>
            </w:pPr>
            <w:r w:rsidRPr="005C6123">
              <w:rPr>
                <w:bCs/>
                <w:sz w:val="16"/>
                <w:szCs w:val="16"/>
              </w:rPr>
              <w:t>Re-route “distance piece” or packing case vents (point where rod packing leakage exits the compressor) to VRU, fuel gas system or flare. Emission reductions up to 95% achievable when sent to VRU and up to 99% when implementing a flare connection.</w:t>
            </w:r>
          </w:p>
        </w:tc>
        <w:tc>
          <w:tcPr>
            <w:tcW w:w="2745" w:type="dxa"/>
            <w:gridSpan w:val="13"/>
            <w:tcBorders>
              <w:top w:val="nil"/>
              <w:bottom w:val="single" w:sz="4" w:space="0" w:color="208855" w:themeColor="accent1" w:themeShade="BF"/>
              <w:right w:val="single" w:sz="4" w:space="0" w:color="208855" w:themeColor="accent1" w:themeShade="BF"/>
            </w:tcBorders>
            <w:shd w:val="clear" w:color="auto" w:fill="auto"/>
          </w:tcPr>
          <w:p w14:paraId="56B435B5"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5A7D3D5D" w14:textId="77777777" w:rsidR="00A0524C" w:rsidRPr="005C6123" w:rsidRDefault="000941A9" w:rsidP="00A0524C">
            <w:pPr>
              <w:spacing w:line="240" w:lineRule="auto"/>
              <w:rPr>
                <w:sz w:val="14"/>
                <w:szCs w:val="16"/>
                <w:lang w:val="en-US"/>
              </w:rPr>
            </w:pPr>
            <w:hyperlink r:id="rId41" w:history="1">
              <w:r w:rsidR="00A0524C" w:rsidRPr="005C6123">
                <w:rPr>
                  <w:rStyle w:val="Hyperlink"/>
                  <w:sz w:val="14"/>
                  <w:szCs w:val="16"/>
                  <w:lang w:val="en-US"/>
                </w:rPr>
                <w:t>http://www.ccacoalition.org/en/resources/technical-guidance-document-number-4-reciprocating-compressors-rod-sealpacking-vents</w:t>
              </w:r>
            </w:hyperlink>
          </w:p>
          <w:p w14:paraId="11A8061C" w14:textId="77777777" w:rsidR="00A0524C" w:rsidRPr="005C6123" w:rsidRDefault="000941A9" w:rsidP="00A0524C">
            <w:pPr>
              <w:spacing w:line="240" w:lineRule="auto"/>
              <w:rPr>
                <w:sz w:val="14"/>
                <w:szCs w:val="16"/>
                <w:lang w:val="en-US"/>
              </w:rPr>
            </w:pPr>
            <w:hyperlink r:id="rId42" w:history="1">
              <w:r w:rsidR="00A0524C" w:rsidRPr="005C6123">
                <w:rPr>
                  <w:rStyle w:val="Hyperlink"/>
                  <w:sz w:val="14"/>
                  <w:szCs w:val="16"/>
                  <w:lang w:val="en-US"/>
                </w:rPr>
                <w:t>http://www.ourenergypolicy.org/wp-content/uploads/2014/04/epa-compressors.pdf</w:t>
              </w:r>
            </w:hyperlink>
          </w:p>
        </w:tc>
      </w:tr>
      <w:tr w:rsidR="00A0524C" w:rsidRPr="005C6123" w14:paraId="0AE770B3" w14:textId="77777777" w:rsidTr="0059177F">
        <w:trPr>
          <w:gridAfter w:val="1"/>
          <w:wAfter w:w="9" w:type="dxa"/>
          <w:trHeight w:val="188"/>
          <w:jc w:val="center"/>
        </w:trPr>
        <w:tc>
          <w:tcPr>
            <w:tcW w:w="2103" w:type="dxa"/>
            <w:tcBorders>
              <w:top w:val="single" w:sz="4" w:space="0" w:color="208855" w:themeColor="accent1" w:themeShade="BF"/>
              <w:right w:val="single" w:sz="4" w:space="0" w:color="208855" w:themeColor="accent1" w:themeShade="BF"/>
            </w:tcBorders>
            <w:shd w:val="clear" w:color="auto" w:fill="D0F4E3" w:themeFill="accent1" w:themeFillTint="33"/>
          </w:tcPr>
          <w:p w14:paraId="55B5B812"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31"/>
            </w:r>
          </w:p>
        </w:tc>
        <w:tc>
          <w:tcPr>
            <w:tcW w:w="2252" w:type="dxa"/>
            <w:gridSpan w:val="6"/>
            <w:tcBorders>
              <w:top w:val="single" w:sz="4" w:space="0" w:color="208855" w:themeColor="accent1" w:themeShade="BF"/>
              <w:left w:val="single" w:sz="4" w:space="0" w:color="208855" w:themeColor="accent1" w:themeShade="BF"/>
              <w:right w:val="single" w:sz="4" w:space="0" w:color="208855" w:themeColor="accent1" w:themeShade="BF"/>
            </w:tcBorders>
            <w:shd w:val="clear" w:color="auto" w:fill="D0F4E3" w:themeFill="accent1" w:themeFillTint="33"/>
          </w:tcPr>
          <w:p w14:paraId="37636D85"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Applicable Emission Quantification equipment</w:t>
            </w:r>
            <w:r w:rsidRPr="005C6123">
              <w:rPr>
                <w:rStyle w:val="FootnoteReference"/>
                <w:b/>
                <w:sz w:val="15"/>
                <w:szCs w:val="15"/>
              </w:rPr>
              <w:footnoteReference w:id="132"/>
            </w:r>
          </w:p>
        </w:tc>
        <w:tc>
          <w:tcPr>
            <w:tcW w:w="5006" w:type="dxa"/>
            <w:gridSpan w:val="17"/>
            <w:tcBorders>
              <w:top w:val="single" w:sz="4" w:space="0" w:color="208855" w:themeColor="accent1" w:themeShade="BF"/>
              <w:left w:val="single" w:sz="4" w:space="0" w:color="208855" w:themeColor="accent1" w:themeShade="BF"/>
            </w:tcBorders>
            <w:shd w:val="clear" w:color="auto" w:fill="D0F4E3" w:themeFill="accent1" w:themeFillTint="33"/>
          </w:tcPr>
          <w:p w14:paraId="7C6D5F21"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Typical quantification Methodologies</w:t>
            </w:r>
          </w:p>
        </w:tc>
      </w:tr>
      <w:tr w:rsidR="00A0524C" w:rsidRPr="00104E87" w14:paraId="4AF7C33C" w14:textId="77777777" w:rsidTr="0059177F">
        <w:trPr>
          <w:gridAfter w:val="1"/>
          <w:wAfter w:w="9" w:type="dxa"/>
          <w:trHeight w:val="482"/>
          <w:jc w:val="center"/>
        </w:trPr>
        <w:tc>
          <w:tcPr>
            <w:tcW w:w="2103" w:type="dxa"/>
            <w:tcBorders>
              <w:bottom w:val="nil"/>
              <w:right w:val="single" w:sz="4" w:space="0" w:color="208855" w:themeColor="accent1" w:themeShade="BF"/>
            </w:tcBorders>
            <w:shd w:val="clear" w:color="auto" w:fill="auto"/>
            <w:vAlign w:val="center"/>
          </w:tcPr>
          <w:p w14:paraId="6BDB324E" w14:textId="77777777" w:rsidR="00A0524C" w:rsidRPr="005C6123" w:rsidRDefault="00A0524C" w:rsidP="005D2939">
            <w:pPr>
              <w:pStyle w:val="ListParagraph"/>
              <w:numPr>
                <w:ilvl w:val="0"/>
                <w:numId w:val="44"/>
              </w:numPr>
              <w:spacing w:after="0" w:line="276" w:lineRule="auto"/>
              <w:ind w:left="179" w:hanging="179"/>
              <w:rPr>
                <w:rFonts w:eastAsia="Times New Roman"/>
                <w:bCs/>
                <w:color w:val="000000"/>
                <w:sz w:val="15"/>
                <w:szCs w:val="15"/>
              </w:rPr>
            </w:pPr>
            <w:r w:rsidRPr="005C6123">
              <w:rPr>
                <w:rFonts w:eastAsia="Times New Roman"/>
                <w:bCs/>
                <w:sz w:val="15"/>
                <w:szCs w:val="15"/>
              </w:rPr>
              <w:t>Optical gas Imaging</w:t>
            </w:r>
          </w:p>
          <w:p w14:paraId="5325CBC7" w14:textId="77777777" w:rsidR="00A0524C" w:rsidRPr="005C6123" w:rsidRDefault="00A0524C" w:rsidP="005D2939">
            <w:pPr>
              <w:pStyle w:val="ListParagraph"/>
              <w:numPr>
                <w:ilvl w:val="0"/>
                <w:numId w:val="44"/>
              </w:numPr>
              <w:spacing w:after="0" w:line="240" w:lineRule="auto"/>
              <w:ind w:left="179" w:hanging="179"/>
              <w:rPr>
                <w:rFonts w:eastAsia="Times New Roman"/>
                <w:bCs/>
                <w:color w:val="000000"/>
                <w:sz w:val="15"/>
                <w:szCs w:val="15"/>
              </w:rPr>
            </w:pPr>
            <w:r w:rsidRPr="005C6123">
              <w:rPr>
                <w:rFonts w:eastAsia="Times New Roman"/>
                <w:bCs/>
                <w:color w:val="000000"/>
                <w:sz w:val="15"/>
                <w:szCs w:val="15"/>
              </w:rPr>
              <w:t>Acoustic Detection Device (for</w:t>
            </w:r>
            <w:r w:rsidRPr="005C6123">
              <w:rPr>
                <w:bCs/>
                <w:sz w:val="15"/>
                <w:szCs w:val="15"/>
              </w:rPr>
              <w:t xml:space="preserve"> t</w:t>
            </w:r>
            <w:r w:rsidRPr="005C6123">
              <w:rPr>
                <w:rFonts w:eastAsia="Times New Roman"/>
                <w:bCs/>
                <w:color w:val="000000"/>
                <w:sz w:val="15"/>
                <w:szCs w:val="15"/>
              </w:rPr>
              <w:t>hrough-valve leaks)</w:t>
            </w:r>
          </w:p>
          <w:p w14:paraId="6C076B6E" w14:textId="77777777" w:rsidR="00A0524C" w:rsidRPr="005C6123" w:rsidRDefault="00A0524C" w:rsidP="00A0524C">
            <w:pPr>
              <w:pStyle w:val="ListParagraph"/>
              <w:spacing w:after="0" w:line="276" w:lineRule="auto"/>
              <w:ind w:left="720"/>
              <w:rPr>
                <w:rFonts w:eastAsia="Times New Roman"/>
                <w:bCs/>
                <w:color w:val="000000"/>
                <w:sz w:val="15"/>
                <w:szCs w:val="15"/>
              </w:rPr>
            </w:pPr>
          </w:p>
        </w:tc>
        <w:tc>
          <w:tcPr>
            <w:tcW w:w="2252" w:type="dxa"/>
            <w:gridSpan w:val="6"/>
            <w:tcBorders>
              <w:left w:val="single" w:sz="4" w:space="0" w:color="208855" w:themeColor="accent1" w:themeShade="BF"/>
              <w:bottom w:val="nil"/>
              <w:right w:val="single" w:sz="4" w:space="0" w:color="208855" w:themeColor="accent1" w:themeShade="BF"/>
            </w:tcBorders>
            <w:shd w:val="clear" w:color="auto" w:fill="auto"/>
          </w:tcPr>
          <w:p w14:paraId="73B14881" w14:textId="77777777" w:rsidR="00A0524C" w:rsidRPr="005C6123" w:rsidRDefault="00A0524C" w:rsidP="005D2939">
            <w:pPr>
              <w:pStyle w:val="ListParagraph"/>
              <w:numPr>
                <w:ilvl w:val="0"/>
                <w:numId w:val="40"/>
              </w:numPr>
              <w:spacing w:before="40" w:after="40" w:line="240" w:lineRule="auto"/>
              <w:ind w:left="176" w:hanging="176"/>
              <w:contextualSpacing w:val="0"/>
              <w:rPr>
                <w:rFonts w:eastAsia="Times New Roman"/>
                <w:color w:val="000000"/>
                <w:sz w:val="15"/>
                <w:szCs w:val="15"/>
              </w:rPr>
            </w:pPr>
            <w:r w:rsidRPr="005C6123">
              <w:rPr>
                <w:rFonts w:eastAsia="Times New Roman"/>
                <w:color w:val="000000"/>
                <w:sz w:val="15"/>
                <w:szCs w:val="15"/>
              </w:rPr>
              <w:t>Vane Anemometer</w:t>
            </w:r>
          </w:p>
          <w:p w14:paraId="73376C47" w14:textId="77777777" w:rsidR="00A0524C" w:rsidRPr="005C6123" w:rsidRDefault="00A0524C" w:rsidP="005D2939">
            <w:pPr>
              <w:pStyle w:val="ListParagraph"/>
              <w:numPr>
                <w:ilvl w:val="0"/>
                <w:numId w:val="40"/>
              </w:numPr>
              <w:spacing w:before="40" w:after="40" w:line="240" w:lineRule="auto"/>
              <w:ind w:left="176" w:hanging="176"/>
              <w:contextualSpacing w:val="0"/>
              <w:rPr>
                <w:rFonts w:eastAsia="Times New Roman"/>
                <w:color w:val="000000"/>
                <w:sz w:val="15"/>
                <w:szCs w:val="15"/>
              </w:rPr>
            </w:pPr>
            <w:r w:rsidRPr="005C6123">
              <w:rPr>
                <w:rFonts w:eastAsia="Times New Roman"/>
                <w:color w:val="000000"/>
                <w:sz w:val="15"/>
                <w:szCs w:val="15"/>
              </w:rPr>
              <w:t>Hotwire Anemometer</w:t>
            </w:r>
          </w:p>
          <w:p w14:paraId="3041E3E5" w14:textId="77777777" w:rsidR="00A0524C" w:rsidRPr="005C6123" w:rsidRDefault="00A0524C" w:rsidP="005D2939">
            <w:pPr>
              <w:pStyle w:val="ListParagraph"/>
              <w:numPr>
                <w:ilvl w:val="0"/>
                <w:numId w:val="40"/>
              </w:numPr>
              <w:spacing w:before="40" w:after="40" w:line="240" w:lineRule="auto"/>
              <w:ind w:left="176" w:hanging="176"/>
              <w:contextualSpacing w:val="0"/>
              <w:rPr>
                <w:rFonts w:eastAsia="Times New Roman"/>
                <w:color w:val="000000"/>
                <w:sz w:val="15"/>
                <w:szCs w:val="15"/>
              </w:rPr>
            </w:pPr>
            <w:r w:rsidRPr="005C6123">
              <w:rPr>
                <w:rFonts w:eastAsia="Times New Roman"/>
                <w:color w:val="000000"/>
                <w:sz w:val="15"/>
                <w:szCs w:val="15"/>
              </w:rPr>
              <w:t>Turbine meter</w:t>
            </w:r>
          </w:p>
          <w:p w14:paraId="6AD084A8" w14:textId="77777777" w:rsidR="00A0524C" w:rsidRPr="005C6123" w:rsidRDefault="00A0524C" w:rsidP="005D2939">
            <w:pPr>
              <w:pStyle w:val="ListParagraph"/>
              <w:numPr>
                <w:ilvl w:val="0"/>
                <w:numId w:val="40"/>
              </w:numPr>
              <w:spacing w:before="40" w:after="40" w:line="240" w:lineRule="auto"/>
              <w:ind w:left="176" w:hanging="176"/>
              <w:contextualSpacing w:val="0"/>
              <w:rPr>
                <w:rFonts w:eastAsia="Times New Roman"/>
                <w:color w:val="000000"/>
                <w:sz w:val="15"/>
                <w:szCs w:val="15"/>
              </w:rPr>
            </w:pPr>
            <w:r w:rsidRPr="005C6123">
              <w:rPr>
                <w:rFonts w:eastAsia="Times New Roman"/>
                <w:color w:val="000000"/>
                <w:sz w:val="15"/>
                <w:szCs w:val="15"/>
              </w:rPr>
              <w:t>Calibrated Vent Bag</w:t>
            </w:r>
          </w:p>
          <w:p w14:paraId="5C7E1146" w14:textId="77777777" w:rsidR="00A0524C" w:rsidRPr="005C6123" w:rsidRDefault="00A0524C" w:rsidP="005D2939">
            <w:pPr>
              <w:pStyle w:val="ListParagraph"/>
              <w:numPr>
                <w:ilvl w:val="0"/>
                <w:numId w:val="40"/>
              </w:numPr>
              <w:spacing w:before="40" w:after="40" w:line="240" w:lineRule="auto"/>
              <w:ind w:left="176" w:hanging="176"/>
              <w:contextualSpacing w:val="0"/>
              <w:rPr>
                <w:rFonts w:eastAsia="Times New Roman"/>
                <w:color w:val="000000"/>
                <w:sz w:val="15"/>
                <w:szCs w:val="15"/>
              </w:rPr>
            </w:pPr>
            <w:r w:rsidRPr="005C6123">
              <w:rPr>
                <w:rFonts w:eastAsia="Times New Roman"/>
                <w:color w:val="000000"/>
                <w:sz w:val="15"/>
                <w:szCs w:val="15"/>
              </w:rPr>
              <w:t>High volume sampler</w:t>
            </w:r>
          </w:p>
          <w:p w14:paraId="6B69882A" w14:textId="77777777" w:rsidR="00A0524C" w:rsidRPr="005C6123" w:rsidRDefault="00A0524C" w:rsidP="005D2939">
            <w:pPr>
              <w:pStyle w:val="ListParagraph"/>
              <w:numPr>
                <w:ilvl w:val="0"/>
                <w:numId w:val="40"/>
              </w:numPr>
              <w:spacing w:before="40" w:after="40" w:line="240" w:lineRule="auto"/>
              <w:ind w:left="176" w:hanging="176"/>
              <w:contextualSpacing w:val="0"/>
              <w:rPr>
                <w:rFonts w:eastAsia="Times New Roman"/>
                <w:color w:val="000000"/>
                <w:sz w:val="15"/>
                <w:szCs w:val="15"/>
              </w:rPr>
            </w:pPr>
            <w:r w:rsidRPr="005C6123">
              <w:rPr>
                <w:rFonts w:eastAsia="Times New Roman"/>
                <w:color w:val="000000"/>
                <w:sz w:val="15"/>
                <w:szCs w:val="15"/>
              </w:rPr>
              <w:t>Orifice meter (vent flow measurement device)</w:t>
            </w:r>
          </w:p>
        </w:tc>
        <w:tc>
          <w:tcPr>
            <w:tcW w:w="5006" w:type="dxa"/>
            <w:gridSpan w:val="17"/>
            <w:tcBorders>
              <w:left w:val="single" w:sz="4" w:space="0" w:color="208855" w:themeColor="accent1" w:themeShade="BF"/>
              <w:bottom w:val="nil"/>
            </w:tcBorders>
            <w:shd w:val="clear" w:color="auto" w:fill="auto"/>
          </w:tcPr>
          <w:p w14:paraId="4A999603" w14:textId="77777777" w:rsidR="00A0524C" w:rsidRPr="005C6123" w:rsidRDefault="00A0524C" w:rsidP="005D2939">
            <w:pPr>
              <w:pStyle w:val="ListParagraph"/>
              <w:numPr>
                <w:ilvl w:val="0"/>
                <w:numId w:val="40"/>
              </w:numPr>
              <w:spacing w:before="40" w:after="40" w:line="240" w:lineRule="auto"/>
              <w:ind w:left="179" w:hanging="142"/>
              <w:contextualSpacing w:val="0"/>
              <w:rPr>
                <w:sz w:val="15"/>
                <w:szCs w:val="15"/>
              </w:rPr>
            </w:pPr>
            <w:r w:rsidRPr="005C6123">
              <w:rPr>
                <w:sz w:val="15"/>
                <w:szCs w:val="15"/>
              </w:rPr>
              <w:t>Direct measurement</w:t>
            </w:r>
            <w:r w:rsidRPr="005C6123">
              <w:rPr>
                <w:rStyle w:val="FootnoteReference"/>
                <w:sz w:val="15"/>
                <w:szCs w:val="15"/>
              </w:rPr>
              <w:footnoteReference w:id="133"/>
            </w:r>
          </w:p>
          <w:p w14:paraId="011CDA85" w14:textId="514CC885" w:rsidR="00A0524C" w:rsidRPr="005C6123" w:rsidRDefault="00A0524C" w:rsidP="005D2939">
            <w:pPr>
              <w:pStyle w:val="ListParagraph"/>
              <w:numPr>
                <w:ilvl w:val="0"/>
                <w:numId w:val="40"/>
              </w:numPr>
              <w:spacing w:before="40" w:after="40" w:line="240" w:lineRule="auto"/>
              <w:ind w:left="179" w:hanging="142"/>
              <w:contextualSpacing w:val="0"/>
              <w:rPr>
                <w:sz w:val="15"/>
                <w:szCs w:val="15"/>
              </w:rPr>
            </w:pPr>
            <w:r w:rsidRPr="005C6123">
              <w:rPr>
                <w:sz w:val="15"/>
                <w:szCs w:val="15"/>
              </w:rPr>
              <w:t>Default emission factors (in Sm</w:t>
            </w:r>
            <w:r w:rsidRPr="005C6123">
              <w:rPr>
                <w:sz w:val="15"/>
                <w:szCs w:val="15"/>
                <w:vertAlign w:val="superscript"/>
              </w:rPr>
              <w:t>3</w:t>
            </w:r>
            <w:r w:rsidRPr="005C6123">
              <w:rPr>
                <w:sz w:val="15"/>
                <w:szCs w:val="15"/>
              </w:rPr>
              <w:t>/compressor/year or Sm</w:t>
            </w:r>
            <w:r w:rsidRPr="005C6123">
              <w:rPr>
                <w:sz w:val="15"/>
                <w:szCs w:val="15"/>
                <w:vertAlign w:val="superscript"/>
              </w:rPr>
              <w:t>3</w:t>
            </w:r>
            <w:r w:rsidRPr="005C6123">
              <w:rPr>
                <w:sz w:val="15"/>
                <w:szCs w:val="15"/>
              </w:rPr>
              <w:t>/cylinder/year) depending on the compressor</w:t>
            </w:r>
            <w:r w:rsidRPr="005C6123" w:rsidDel="002424F0">
              <w:rPr>
                <w:sz w:val="15"/>
                <w:szCs w:val="15"/>
              </w:rPr>
              <w:t xml:space="preserve"> </w:t>
            </w:r>
            <w:r w:rsidRPr="005C6123">
              <w:rPr>
                <w:sz w:val="15"/>
                <w:szCs w:val="15"/>
              </w:rPr>
              <w:t>conditions</w:t>
            </w:r>
            <w:r w:rsidR="00315A85" w:rsidRPr="005C6123">
              <w:rPr>
                <w:rStyle w:val="FootnoteReference"/>
                <w:sz w:val="15"/>
                <w:szCs w:val="15"/>
              </w:rPr>
              <w:footnoteReference w:id="134"/>
            </w:r>
            <w:r w:rsidR="00315A85">
              <w:rPr>
                <w:sz w:val="15"/>
                <w:szCs w:val="15"/>
                <w:vertAlign w:val="superscript"/>
              </w:rPr>
              <w:t xml:space="preserve">, </w:t>
            </w:r>
            <w:r w:rsidR="00315A85" w:rsidRPr="005C6123">
              <w:rPr>
                <w:rStyle w:val="FootnoteReference"/>
                <w:sz w:val="15"/>
                <w:szCs w:val="15"/>
              </w:rPr>
              <w:footnoteReference w:id="135"/>
            </w:r>
          </w:p>
        </w:tc>
      </w:tr>
      <w:tr w:rsidR="00257CC2" w:rsidRPr="005C6123" w:rsidDel="00994E71" w14:paraId="0359EA8E" w14:textId="77777777" w:rsidTr="0059177F">
        <w:trPr>
          <w:gridAfter w:val="1"/>
          <w:wAfter w:w="9" w:type="dxa"/>
          <w:trHeight w:val="421"/>
          <w:jc w:val="center"/>
        </w:trPr>
        <w:tc>
          <w:tcPr>
            <w:tcW w:w="6616" w:type="dxa"/>
            <w:gridSpan w:val="11"/>
            <w:tcBorders>
              <w:top w:val="nil"/>
              <w:left w:val="nil"/>
              <w:bottom w:val="single" w:sz="4" w:space="0" w:color="2BB673" w:themeColor="text2"/>
            </w:tcBorders>
            <w:shd w:val="clear" w:color="auto" w:fill="208855" w:themeFill="accent1" w:themeFillShade="BF"/>
            <w:vAlign w:val="center"/>
          </w:tcPr>
          <w:p w14:paraId="7BF3EC37" w14:textId="6C6B0FD1" w:rsidR="00257CC2" w:rsidRPr="00FB48A1" w:rsidRDefault="00257CC2" w:rsidP="00257CC2">
            <w:pPr>
              <w:pStyle w:val="ListParagraph"/>
              <w:numPr>
                <w:ilvl w:val="0"/>
                <w:numId w:val="36"/>
              </w:numPr>
              <w:spacing w:after="0"/>
              <w:ind w:left="0" w:hanging="357"/>
              <w:rPr>
                <w:b/>
                <w:bCs/>
                <w:color w:val="FFFFFF"/>
              </w:rPr>
            </w:pPr>
            <w:r w:rsidRPr="000941A9">
              <w:rPr>
                <w:b/>
                <w:bCs/>
                <w:color w:val="FFFFFF"/>
              </w:rPr>
              <w:t>Emission source categories along the value chain</w:t>
            </w:r>
          </w:p>
        </w:tc>
        <w:tc>
          <w:tcPr>
            <w:tcW w:w="687" w:type="dxa"/>
            <w:gridSpan w:val="2"/>
            <w:tcBorders>
              <w:top w:val="nil"/>
              <w:bottom w:val="single" w:sz="4" w:space="0" w:color="2BB673" w:themeColor="text2"/>
            </w:tcBorders>
            <w:shd w:val="clear" w:color="auto" w:fill="155B39" w:themeFill="accent6"/>
            <w:vAlign w:val="center"/>
          </w:tcPr>
          <w:p w14:paraId="57BA063F" w14:textId="624ABEE8" w:rsidR="00257CC2" w:rsidRPr="005C6123" w:rsidRDefault="00257CC2" w:rsidP="00257CC2">
            <w:pPr>
              <w:pStyle w:val="ListParagraph"/>
              <w:spacing w:before="120" w:line="276" w:lineRule="auto"/>
              <w:jc w:val="center"/>
              <w:rPr>
                <w:color w:val="FFFFFF"/>
                <w:sz w:val="24"/>
                <w:szCs w:val="24"/>
              </w:rPr>
            </w:pPr>
            <w:r w:rsidRPr="005C6123">
              <w:rPr>
                <w:b/>
                <w:bCs/>
                <w:color w:val="FFFFFF"/>
                <w:sz w:val="14"/>
                <w:szCs w:val="14"/>
                <w:lang w:val="nb-NO"/>
              </w:rPr>
              <w:t>P</w:t>
            </w:r>
          </w:p>
        </w:tc>
        <w:tc>
          <w:tcPr>
            <w:tcW w:w="685" w:type="dxa"/>
            <w:gridSpan w:val="5"/>
            <w:tcBorders>
              <w:top w:val="nil"/>
              <w:bottom w:val="single" w:sz="4" w:space="0" w:color="2BB673" w:themeColor="text2"/>
            </w:tcBorders>
            <w:shd w:val="clear" w:color="auto" w:fill="155B39" w:themeFill="accent6"/>
            <w:vAlign w:val="center"/>
          </w:tcPr>
          <w:p w14:paraId="168E79ED" w14:textId="688ABF64" w:rsidR="00257CC2" w:rsidRPr="005C6123" w:rsidDel="00994E71" w:rsidRDefault="00257CC2" w:rsidP="00257CC2">
            <w:pPr>
              <w:pStyle w:val="ListParagraph"/>
              <w:spacing w:before="120" w:line="276" w:lineRule="auto"/>
              <w:jc w:val="center"/>
              <w:rPr>
                <w:color w:val="FFFFFF"/>
                <w:szCs w:val="20"/>
              </w:rPr>
            </w:pPr>
            <w:r w:rsidRPr="005C6123">
              <w:rPr>
                <w:b/>
                <w:bCs/>
                <w:color w:val="FFFFFF"/>
                <w:sz w:val="14"/>
                <w:szCs w:val="14"/>
              </w:rPr>
              <w:t>G&amp;P</w:t>
            </w:r>
          </w:p>
        </w:tc>
        <w:tc>
          <w:tcPr>
            <w:tcW w:w="684" w:type="dxa"/>
            <w:gridSpan w:val="4"/>
            <w:tcBorders>
              <w:top w:val="nil"/>
              <w:bottom w:val="single" w:sz="4" w:space="0" w:color="2BB673" w:themeColor="text2"/>
            </w:tcBorders>
            <w:shd w:val="clear" w:color="auto" w:fill="155B39" w:themeFill="accent6"/>
            <w:vAlign w:val="center"/>
          </w:tcPr>
          <w:p w14:paraId="72E8472C" w14:textId="2DDD5BDC" w:rsidR="00257CC2" w:rsidRPr="005C6123" w:rsidDel="00994E71" w:rsidRDefault="00257CC2" w:rsidP="00257CC2">
            <w:pPr>
              <w:pStyle w:val="ListParagraph"/>
              <w:spacing w:before="120" w:line="276" w:lineRule="auto"/>
              <w:jc w:val="center"/>
              <w:rPr>
                <w:color w:val="FFFFFF"/>
                <w:szCs w:val="20"/>
              </w:rPr>
            </w:pPr>
            <w:r w:rsidRPr="005C6123">
              <w:rPr>
                <w:b/>
                <w:bCs/>
                <w:color w:val="FFFFFF"/>
                <w:sz w:val="14"/>
                <w:szCs w:val="14"/>
              </w:rPr>
              <w:t>T&amp;S</w:t>
            </w:r>
          </w:p>
        </w:tc>
        <w:tc>
          <w:tcPr>
            <w:tcW w:w="689" w:type="dxa"/>
            <w:gridSpan w:val="2"/>
            <w:tcBorders>
              <w:top w:val="nil"/>
              <w:bottom w:val="single" w:sz="4" w:space="0" w:color="2BB673" w:themeColor="text2"/>
              <w:right w:val="nil"/>
            </w:tcBorders>
            <w:shd w:val="clear" w:color="auto" w:fill="155B39" w:themeFill="accent6"/>
            <w:vAlign w:val="center"/>
          </w:tcPr>
          <w:p w14:paraId="53FF472A" w14:textId="2019DC6B" w:rsidR="00257CC2" w:rsidRPr="005C6123" w:rsidDel="00994E71" w:rsidRDefault="00257CC2" w:rsidP="00257CC2">
            <w:pPr>
              <w:pStyle w:val="ListParagraph"/>
              <w:spacing w:before="120" w:after="0" w:line="276" w:lineRule="auto"/>
              <w:jc w:val="center"/>
              <w:rPr>
                <w:color w:val="FFFFFF"/>
                <w:szCs w:val="20"/>
              </w:rPr>
            </w:pPr>
            <w:r w:rsidRPr="00A2317D">
              <w:rPr>
                <w:b/>
                <w:bCs/>
                <w:color w:val="FFFFFF"/>
                <w:sz w:val="14"/>
                <w:szCs w:val="14"/>
              </w:rPr>
              <w:t>D</w:t>
            </w:r>
          </w:p>
        </w:tc>
      </w:tr>
      <w:tr w:rsidR="00A0524C" w:rsidRPr="005C6123" w:rsidDel="00994E71" w14:paraId="5BC97C64" w14:textId="77777777" w:rsidTr="0059177F">
        <w:trPr>
          <w:gridAfter w:val="1"/>
          <w:wAfter w:w="9" w:type="dxa"/>
          <w:trHeight w:val="616"/>
          <w:jc w:val="center"/>
        </w:trPr>
        <w:tc>
          <w:tcPr>
            <w:tcW w:w="6616" w:type="dxa"/>
            <w:gridSpan w:val="11"/>
            <w:tcBorders>
              <w:top w:val="single" w:sz="4" w:space="0" w:color="2BB673" w:themeColor="text2"/>
              <w:left w:val="nil"/>
              <w:bottom w:val="nil"/>
            </w:tcBorders>
            <w:shd w:val="clear" w:color="auto" w:fill="208855" w:themeFill="accent1" w:themeFillShade="BF"/>
            <w:vAlign w:val="center"/>
          </w:tcPr>
          <w:p w14:paraId="1E09A101" w14:textId="77777777" w:rsidR="00A0524C" w:rsidRPr="005C6123" w:rsidRDefault="00A0524C" w:rsidP="005D2939">
            <w:pPr>
              <w:pStyle w:val="ListParagraph"/>
              <w:numPr>
                <w:ilvl w:val="0"/>
                <w:numId w:val="36"/>
              </w:numPr>
              <w:spacing w:after="0"/>
              <w:ind w:left="0" w:hanging="357"/>
              <w:rPr>
                <w:b/>
                <w:bCs/>
                <w:color w:val="FFFFFF"/>
              </w:rPr>
            </w:pPr>
            <w:r w:rsidRPr="00FB48A1">
              <w:rPr>
                <w:b/>
                <w:bCs/>
                <w:color w:val="FFFFFF"/>
              </w:rPr>
              <w:t>8. Venting of associated gas at upstream oil production facilities</w:t>
            </w:r>
          </w:p>
        </w:tc>
        <w:tc>
          <w:tcPr>
            <w:tcW w:w="687" w:type="dxa"/>
            <w:gridSpan w:val="2"/>
            <w:tcBorders>
              <w:top w:val="single" w:sz="4" w:space="0" w:color="2BB673" w:themeColor="text2"/>
              <w:bottom w:val="nil"/>
            </w:tcBorders>
            <w:shd w:val="clear" w:color="auto" w:fill="155B39" w:themeFill="accent6"/>
            <w:vAlign w:val="center"/>
          </w:tcPr>
          <w:p w14:paraId="727257E3" w14:textId="77777777" w:rsidR="00A0524C" w:rsidRPr="005C6123" w:rsidDel="00994E71" w:rsidRDefault="00A0524C" w:rsidP="00A0524C">
            <w:pPr>
              <w:pStyle w:val="ListParagraph"/>
              <w:spacing w:before="120" w:line="276" w:lineRule="auto"/>
              <w:jc w:val="center"/>
              <w:rPr>
                <w:color w:val="FFFFFF"/>
                <w:sz w:val="24"/>
                <w:szCs w:val="24"/>
              </w:rPr>
            </w:pPr>
            <w:r w:rsidRPr="005C6123">
              <w:rPr>
                <w:color w:val="FFFFFF"/>
                <w:sz w:val="24"/>
                <w:szCs w:val="24"/>
              </w:rPr>
              <w:sym w:font="Symbol" w:char="F0B7"/>
            </w:r>
          </w:p>
        </w:tc>
        <w:tc>
          <w:tcPr>
            <w:tcW w:w="685" w:type="dxa"/>
            <w:gridSpan w:val="5"/>
            <w:tcBorders>
              <w:top w:val="single" w:sz="4" w:space="0" w:color="2BB673" w:themeColor="text2"/>
              <w:bottom w:val="nil"/>
            </w:tcBorders>
            <w:shd w:val="clear" w:color="auto" w:fill="155B39" w:themeFill="accent6"/>
            <w:vAlign w:val="center"/>
          </w:tcPr>
          <w:p w14:paraId="27A285F8" w14:textId="77777777" w:rsidR="00A0524C" w:rsidRPr="005C6123" w:rsidDel="00994E71" w:rsidRDefault="00A0524C" w:rsidP="00A0524C">
            <w:pPr>
              <w:pStyle w:val="ListParagraph"/>
              <w:spacing w:before="120" w:line="276" w:lineRule="auto"/>
              <w:jc w:val="center"/>
              <w:rPr>
                <w:color w:val="FFFFFF"/>
                <w:szCs w:val="20"/>
              </w:rPr>
            </w:pPr>
          </w:p>
        </w:tc>
        <w:tc>
          <w:tcPr>
            <w:tcW w:w="684" w:type="dxa"/>
            <w:gridSpan w:val="4"/>
            <w:tcBorders>
              <w:top w:val="single" w:sz="4" w:space="0" w:color="2BB673" w:themeColor="text2"/>
              <w:bottom w:val="nil"/>
            </w:tcBorders>
            <w:shd w:val="clear" w:color="auto" w:fill="155B39" w:themeFill="accent6"/>
            <w:vAlign w:val="center"/>
          </w:tcPr>
          <w:p w14:paraId="20FA4127" w14:textId="77777777" w:rsidR="00A0524C" w:rsidRPr="005C6123" w:rsidDel="00994E71" w:rsidRDefault="00A0524C" w:rsidP="00A0524C">
            <w:pPr>
              <w:pStyle w:val="ListParagraph"/>
              <w:spacing w:before="120" w:line="276" w:lineRule="auto"/>
              <w:jc w:val="center"/>
              <w:rPr>
                <w:color w:val="FFFFFF"/>
                <w:szCs w:val="20"/>
              </w:rPr>
            </w:pPr>
          </w:p>
        </w:tc>
        <w:tc>
          <w:tcPr>
            <w:tcW w:w="689" w:type="dxa"/>
            <w:gridSpan w:val="2"/>
            <w:tcBorders>
              <w:top w:val="single" w:sz="4" w:space="0" w:color="2BB673" w:themeColor="text2"/>
              <w:bottom w:val="nil"/>
              <w:right w:val="nil"/>
            </w:tcBorders>
            <w:shd w:val="clear" w:color="auto" w:fill="155B39" w:themeFill="accent6"/>
            <w:vAlign w:val="center"/>
          </w:tcPr>
          <w:p w14:paraId="3BA248A4" w14:textId="77777777" w:rsidR="00A0524C" w:rsidRPr="005C6123" w:rsidDel="00994E71" w:rsidRDefault="00A0524C" w:rsidP="00A0524C">
            <w:pPr>
              <w:pStyle w:val="ListParagraph"/>
              <w:spacing w:before="120" w:line="276" w:lineRule="auto"/>
              <w:jc w:val="center"/>
              <w:rPr>
                <w:color w:val="FFFFFF"/>
                <w:szCs w:val="20"/>
              </w:rPr>
            </w:pPr>
          </w:p>
        </w:tc>
      </w:tr>
      <w:tr w:rsidR="00A0524C" w:rsidRPr="005C6123" w14:paraId="17FD8FD6" w14:textId="77777777" w:rsidTr="0059177F">
        <w:trPr>
          <w:gridAfter w:val="1"/>
          <w:wAfter w:w="9" w:type="dxa"/>
          <w:trHeight w:val="1870"/>
          <w:jc w:val="center"/>
        </w:trPr>
        <w:tc>
          <w:tcPr>
            <w:tcW w:w="6616" w:type="dxa"/>
            <w:gridSpan w:val="11"/>
            <w:tcBorders>
              <w:top w:val="nil"/>
              <w:left w:val="single" w:sz="4" w:space="0" w:color="208855" w:themeColor="accent1" w:themeShade="BF"/>
              <w:bottom w:val="nil"/>
            </w:tcBorders>
            <w:shd w:val="clear" w:color="auto" w:fill="D0F4E3" w:themeFill="accent1" w:themeFillTint="33"/>
          </w:tcPr>
          <w:p w14:paraId="5BB5E6BD" w14:textId="77777777" w:rsidR="00A0524C" w:rsidRPr="005C6123" w:rsidRDefault="00A0524C" w:rsidP="005D2939">
            <w:pPr>
              <w:pStyle w:val="ListParagraph"/>
              <w:numPr>
                <w:ilvl w:val="0"/>
                <w:numId w:val="36"/>
              </w:numPr>
              <w:spacing w:before="100" w:beforeAutospacing="1" w:after="100" w:afterAutospacing="1" w:line="276" w:lineRule="auto"/>
              <w:ind w:left="0"/>
              <w:rPr>
                <w:bCs/>
                <w:sz w:val="16"/>
                <w:szCs w:val="16"/>
              </w:rPr>
            </w:pPr>
          </w:p>
          <w:p w14:paraId="6C61B567" w14:textId="1088611D" w:rsidR="00A0524C" w:rsidRPr="005C6123" w:rsidRDefault="00A0524C" w:rsidP="005D2939">
            <w:pPr>
              <w:pStyle w:val="ListParagraph"/>
              <w:numPr>
                <w:ilvl w:val="0"/>
                <w:numId w:val="36"/>
              </w:numPr>
              <w:spacing w:before="100" w:beforeAutospacing="1" w:after="100" w:afterAutospacing="1" w:line="276" w:lineRule="auto"/>
              <w:ind w:left="0"/>
              <w:rPr>
                <w:bCs/>
                <w:sz w:val="16"/>
                <w:szCs w:val="16"/>
              </w:rPr>
            </w:pPr>
            <w:r w:rsidRPr="005C6123">
              <w:rPr>
                <w:bCs/>
                <w:sz w:val="16"/>
                <w:szCs w:val="16"/>
              </w:rPr>
              <w:t>The venting of associated gas at oil production facilities is the discharge or disposal of gases produced as a by-product at oil production facilities. The gases are released directly and unburned into the atmosphere where there is inadequate infrastructure for the possibility of economical utilization of this gas. Venting of associated gas can also occur during gas flaring when a gas flare fail</w:t>
            </w:r>
            <w:r w:rsidR="00315A85">
              <w:rPr>
                <w:bCs/>
                <w:sz w:val="16"/>
                <w:szCs w:val="16"/>
              </w:rPr>
              <w:t>s</w:t>
            </w:r>
            <w:r w:rsidRPr="005C6123">
              <w:rPr>
                <w:bCs/>
                <w:sz w:val="16"/>
                <w:szCs w:val="16"/>
              </w:rPr>
              <w:t xml:space="preserve"> to ignite or is shut down and the associated gas is released unburned into the atmosphere.</w:t>
            </w:r>
          </w:p>
        </w:tc>
        <w:tc>
          <w:tcPr>
            <w:tcW w:w="2745" w:type="dxa"/>
            <w:gridSpan w:val="13"/>
            <w:tcBorders>
              <w:top w:val="nil"/>
              <w:bottom w:val="nil"/>
              <w:right w:val="single" w:sz="4" w:space="0" w:color="208855" w:themeColor="accent1" w:themeShade="BF"/>
            </w:tcBorders>
            <w:shd w:val="clear" w:color="auto" w:fill="D0F4E3" w:themeFill="accent1" w:themeFillTint="33"/>
          </w:tcPr>
          <w:p w14:paraId="7B791AF6"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700C5AF5"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r>
              <w:rPr>
                <w:noProof/>
                <w:sz w:val="16"/>
                <w:szCs w:val="16"/>
                <w:lang w:val="nb-NO" w:eastAsia="nb-NO"/>
              </w:rPr>
              <w:drawing>
                <wp:inline distT="0" distB="0" distL="0" distR="0" wp14:anchorId="740A04CC" wp14:editId="3F6700C4">
                  <wp:extent cx="1301750" cy="984250"/>
                  <wp:effectExtent l="0" t="0" r="0" b="635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r="44875" b="44539"/>
                          <a:stretch>
                            <a:fillRect/>
                          </a:stretch>
                        </pic:blipFill>
                        <pic:spPr bwMode="auto">
                          <a:xfrm>
                            <a:off x="0" y="0"/>
                            <a:ext cx="1301750" cy="984250"/>
                          </a:xfrm>
                          <a:prstGeom prst="rect">
                            <a:avLst/>
                          </a:prstGeom>
                          <a:noFill/>
                          <a:ln>
                            <a:noFill/>
                          </a:ln>
                        </pic:spPr>
                      </pic:pic>
                    </a:graphicData>
                  </a:graphic>
                </wp:inline>
              </w:drawing>
            </w:r>
          </w:p>
          <w:p w14:paraId="250A5221" w14:textId="49BF2298" w:rsidR="00257CC2" w:rsidRPr="00257CC2" w:rsidRDefault="00A0524C" w:rsidP="0059177F">
            <w:pPr>
              <w:pStyle w:val="ListParagraph"/>
              <w:keepNext/>
              <w:numPr>
                <w:ilvl w:val="0"/>
                <w:numId w:val="36"/>
              </w:numPr>
              <w:spacing w:before="100" w:beforeAutospacing="1" w:line="276" w:lineRule="auto"/>
              <w:ind w:left="0"/>
              <w:rPr>
                <w:b/>
                <w:color w:val="000000"/>
                <w:sz w:val="10"/>
                <w:szCs w:val="10"/>
              </w:rPr>
            </w:pPr>
            <w:r w:rsidRPr="005C6123">
              <w:rPr>
                <w:b/>
                <w:color w:val="000000"/>
                <w:sz w:val="10"/>
                <w:szCs w:val="10"/>
              </w:rPr>
              <w:t>Image Source: TZN Petroleum</w:t>
            </w:r>
          </w:p>
        </w:tc>
      </w:tr>
      <w:tr w:rsidR="00A0524C" w:rsidRPr="00104E87" w14:paraId="61472DCB" w14:textId="77777777" w:rsidTr="0059177F">
        <w:trPr>
          <w:gridAfter w:val="1"/>
          <w:wAfter w:w="9" w:type="dxa"/>
          <w:trHeight w:val="1098"/>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7583C208" w14:textId="77777777" w:rsidR="00A0524C" w:rsidRPr="005C6123" w:rsidRDefault="00A0524C" w:rsidP="005D2939">
            <w:pPr>
              <w:pStyle w:val="ListParagraph"/>
              <w:numPr>
                <w:ilvl w:val="0"/>
                <w:numId w:val="36"/>
              </w:numPr>
              <w:spacing w:before="60" w:after="60" w:line="276" w:lineRule="auto"/>
              <w:ind w:left="0" w:hanging="357"/>
              <w:contextualSpacing w:val="0"/>
              <w:rPr>
                <w:bCs/>
                <w:sz w:val="16"/>
                <w:szCs w:val="16"/>
                <w:u w:val="single"/>
              </w:rPr>
            </w:pPr>
            <w:r w:rsidRPr="005C6123">
              <w:rPr>
                <w:b/>
                <w:bCs/>
                <w:sz w:val="16"/>
                <w:szCs w:val="16"/>
              </w:rPr>
              <w:t>Mitigation Techniques:</w:t>
            </w:r>
          </w:p>
          <w:p w14:paraId="5AB79D13" w14:textId="77777777" w:rsidR="00A0524C" w:rsidRPr="005C6123" w:rsidRDefault="00A0524C" w:rsidP="005D2939">
            <w:pPr>
              <w:pStyle w:val="ListParagraph"/>
              <w:numPr>
                <w:ilvl w:val="0"/>
                <w:numId w:val="59"/>
              </w:numPr>
              <w:spacing w:before="60" w:after="60" w:line="276" w:lineRule="auto"/>
              <w:ind w:left="175" w:hanging="175"/>
              <w:contextualSpacing w:val="0"/>
              <w:rPr>
                <w:bCs/>
                <w:sz w:val="16"/>
                <w:szCs w:val="16"/>
              </w:rPr>
            </w:pPr>
            <w:r w:rsidRPr="005C6123">
              <w:rPr>
                <w:bCs/>
                <w:sz w:val="16"/>
                <w:szCs w:val="16"/>
              </w:rPr>
              <w:t>Flaring gas without energy recovery, up to 98% methane emission reductions achievable</w:t>
            </w:r>
            <w:r w:rsidRPr="005C6123">
              <w:rPr>
                <w:rStyle w:val="FootnoteReference"/>
                <w:bCs/>
                <w:sz w:val="16"/>
                <w:szCs w:val="16"/>
              </w:rPr>
              <w:footnoteReference w:id="136"/>
            </w:r>
          </w:p>
          <w:p w14:paraId="5111B898" w14:textId="77777777" w:rsidR="00A0524C" w:rsidRPr="005C6123" w:rsidDel="00F662EB" w:rsidRDefault="00A0524C" w:rsidP="005D2939">
            <w:pPr>
              <w:pStyle w:val="ListParagraph"/>
              <w:numPr>
                <w:ilvl w:val="0"/>
                <w:numId w:val="59"/>
              </w:numPr>
              <w:spacing w:before="60" w:after="60" w:line="276" w:lineRule="auto"/>
              <w:ind w:left="175" w:hanging="175"/>
              <w:contextualSpacing w:val="0"/>
              <w:rPr>
                <w:bCs/>
                <w:sz w:val="16"/>
                <w:szCs w:val="16"/>
              </w:rPr>
            </w:pPr>
            <w:r w:rsidRPr="005C6123">
              <w:rPr>
                <w:bCs/>
                <w:sz w:val="16"/>
                <w:szCs w:val="16"/>
              </w:rPr>
              <w:t>Capturing vent gas for gas utilization, emission reductions up to 100% at location</w:t>
            </w:r>
            <w:r w:rsidRPr="005C6123">
              <w:rPr>
                <w:rStyle w:val="FootnoteReference"/>
                <w:bCs/>
                <w:sz w:val="16"/>
                <w:szCs w:val="16"/>
              </w:rPr>
              <w:footnoteReference w:id="137"/>
            </w:r>
          </w:p>
        </w:tc>
        <w:tc>
          <w:tcPr>
            <w:tcW w:w="2745" w:type="dxa"/>
            <w:gridSpan w:val="13"/>
            <w:tcBorders>
              <w:top w:val="nil"/>
              <w:bottom w:val="single" w:sz="4" w:space="0" w:color="208855" w:themeColor="accent1" w:themeShade="BF"/>
              <w:right w:val="single" w:sz="4" w:space="0" w:color="208855" w:themeColor="accent1" w:themeShade="BF"/>
            </w:tcBorders>
            <w:shd w:val="clear" w:color="auto" w:fill="auto"/>
          </w:tcPr>
          <w:p w14:paraId="2FE37F21"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4590DBA5" w14:textId="77777777" w:rsidR="00A0524C" w:rsidRPr="005C6123" w:rsidRDefault="000941A9" w:rsidP="00A0524C">
            <w:pPr>
              <w:spacing w:line="240" w:lineRule="auto"/>
              <w:rPr>
                <w:sz w:val="14"/>
                <w:szCs w:val="16"/>
                <w:lang w:val="en-US"/>
              </w:rPr>
            </w:pPr>
            <w:hyperlink r:id="rId44" w:history="1">
              <w:r w:rsidR="00A0524C" w:rsidRPr="005C6123">
                <w:rPr>
                  <w:rStyle w:val="Hyperlink"/>
                  <w:sz w:val="14"/>
                  <w:szCs w:val="16"/>
                  <w:lang w:val="en-US"/>
                </w:rPr>
                <w:t>http://article.sciencepublishinggroup.com/pdf/10.11648.j.ijema.20160406.13.pdf</w:t>
              </w:r>
            </w:hyperlink>
          </w:p>
        </w:tc>
      </w:tr>
      <w:tr w:rsidR="00A0524C" w:rsidRPr="005C6123" w14:paraId="75C1EE39" w14:textId="77777777" w:rsidTr="0059177F">
        <w:trPr>
          <w:gridAfter w:val="1"/>
          <w:wAfter w:w="9" w:type="dxa"/>
          <w:trHeight w:val="188"/>
          <w:jc w:val="center"/>
        </w:trPr>
        <w:tc>
          <w:tcPr>
            <w:tcW w:w="2110" w:type="dxa"/>
            <w:gridSpan w:val="2"/>
            <w:tcBorders>
              <w:top w:val="single" w:sz="4" w:space="0" w:color="208855" w:themeColor="accent1" w:themeShade="BF"/>
              <w:right w:val="single" w:sz="4" w:space="0" w:color="208855" w:themeColor="accent1" w:themeShade="BF"/>
            </w:tcBorders>
            <w:shd w:val="clear" w:color="auto" w:fill="D0F4E3" w:themeFill="accent1" w:themeFillTint="33"/>
          </w:tcPr>
          <w:p w14:paraId="02B4B152"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38"/>
            </w:r>
          </w:p>
        </w:tc>
        <w:tc>
          <w:tcPr>
            <w:tcW w:w="2258" w:type="dxa"/>
            <w:gridSpan w:val="6"/>
            <w:tcBorders>
              <w:top w:val="single" w:sz="4" w:space="0" w:color="208855" w:themeColor="accent1" w:themeShade="BF"/>
              <w:left w:val="single" w:sz="4" w:space="0" w:color="208855" w:themeColor="accent1" w:themeShade="BF"/>
              <w:right w:val="single" w:sz="4" w:space="0" w:color="208855" w:themeColor="accent1" w:themeShade="BF"/>
            </w:tcBorders>
            <w:shd w:val="clear" w:color="auto" w:fill="D0F4E3" w:themeFill="accent1" w:themeFillTint="33"/>
          </w:tcPr>
          <w:p w14:paraId="690351D5" w14:textId="77777777" w:rsidR="00A0524C" w:rsidRPr="005C6123" w:rsidRDefault="00A0524C" w:rsidP="00A0524C">
            <w:pPr>
              <w:pStyle w:val="ListParagraph"/>
              <w:spacing w:before="60" w:after="60"/>
              <w:contextualSpacing w:val="0"/>
              <w:rPr>
                <w:b/>
                <w:sz w:val="15"/>
                <w:szCs w:val="15"/>
                <w:u w:val="single"/>
              </w:rPr>
            </w:pPr>
            <w:r w:rsidRPr="005C6123">
              <w:rPr>
                <w:b/>
                <w:sz w:val="15"/>
                <w:szCs w:val="15"/>
              </w:rPr>
              <w:t>Applicable Emission Quantification equipment</w:t>
            </w:r>
            <w:r w:rsidRPr="005C6123">
              <w:rPr>
                <w:rStyle w:val="FootnoteReference"/>
                <w:b/>
                <w:sz w:val="15"/>
                <w:szCs w:val="15"/>
              </w:rPr>
              <w:footnoteReference w:id="139"/>
            </w:r>
          </w:p>
        </w:tc>
        <w:tc>
          <w:tcPr>
            <w:tcW w:w="4993" w:type="dxa"/>
            <w:gridSpan w:val="16"/>
            <w:tcBorders>
              <w:top w:val="single" w:sz="4" w:space="0" w:color="208855" w:themeColor="accent1" w:themeShade="BF"/>
              <w:left w:val="single" w:sz="4" w:space="0" w:color="208855" w:themeColor="accent1" w:themeShade="BF"/>
            </w:tcBorders>
            <w:shd w:val="clear" w:color="auto" w:fill="D0F4E3" w:themeFill="accent1" w:themeFillTint="33"/>
          </w:tcPr>
          <w:p w14:paraId="3F673751" w14:textId="77777777" w:rsidR="00A0524C" w:rsidRPr="005C6123" w:rsidRDefault="00A0524C" w:rsidP="00A0524C">
            <w:pPr>
              <w:pStyle w:val="ListParagraph"/>
              <w:spacing w:before="60" w:after="60"/>
              <w:contextualSpacing w:val="0"/>
              <w:rPr>
                <w:b/>
                <w:sz w:val="15"/>
                <w:szCs w:val="15"/>
              </w:rPr>
            </w:pPr>
            <w:r w:rsidRPr="005C6123">
              <w:rPr>
                <w:b/>
                <w:sz w:val="15"/>
                <w:szCs w:val="15"/>
              </w:rPr>
              <w:t>Typical quantification Methodologies</w:t>
            </w:r>
          </w:p>
        </w:tc>
      </w:tr>
      <w:tr w:rsidR="00A0524C" w:rsidRPr="00104E87" w14:paraId="70F1B67E" w14:textId="77777777" w:rsidTr="0059177F">
        <w:trPr>
          <w:gridAfter w:val="1"/>
          <w:wAfter w:w="9" w:type="dxa"/>
          <w:trHeight w:val="539"/>
          <w:jc w:val="center"/>
        </w:trPr>
        <w:tc>
          <w:tcPr>
            <w:tcW w:w="2110" w:type="dxa"/>
            <w:gridSpan w:val="2"/>
            <w:tcBorders>
              <w:bottom w:val="single" w:sz="2" w:space="0" w:color="208855" w:themeColor="accent1" w:themeShade="BF"/>
              <w:right w:val="single" w:sz="4" w:space="0" w:color="208855" w:themeColor="accent1" w:themeShade="BF"/>
            </w:tcBorders>
            <w:shd w:val="clear" w:color="auto" w:fill="auto"/>
          </w:tcPr>
          <w:p w14:paraId="2BDCEBB5" w14:textId="77777777" w:rsidR="00A0524C" w:rsidRPr="005C6123" w:rsidRDefault="00A0524C" w:rsidP="005D2939">
            <w:pPr>
              <w:pStyle w:val="ListParagraph"/>
              <w:numPr>
                <w:ilvl w:val="0"/>
                <w:numId w:val="45"/>
              </w:numPr>
              <w:spacing w:before="40" w:after="40" w:line="276" w:lineRule="auto"/>
              <w:ind w:left="179" w:hanging="142"/>
              <w:contextualSpacing w:val="0"/>
              <w:rPr>
                <w:rFonts w:eastAsia="Times New Roman"/>
                <w:bCs/>
                <w:color w:val="000000"/>
                <w:sz w:val="15"/>
                <w:szCs w:val="15"/>
              </w:rPr>
            </w:pPr>
            <w:r w:rsidRPr="005C6123">
              <w:rPr>
                <w:bCs/>
                <w:sz w:val="15"/>
                <w:szCs w:val="15"/>
              </w:rPr>
              <w:t>Optical gas Imaging</w:t>
            </w:r>
          </w:p>
        </w:tc>
        <w:tc>
          <w:tcPr>
            <w:tcW w:w="2258" w:type="dxa"/>
            <w:gridSpan w:val="6"/>
            <w:tcBorders>
              <w:left w:val="single" w:sz="4" w:space="0" w:color="208855" w:themeColor="accent1" w:themeShade="BF"/>
              <w:bottom w:val="single" w:sz="2" w:space="0" w:color="208855" w:themeColor="accent1" w:themeShade="BF"/>
              <w:right w:val="single" w:sz="4" w:space="0" w:color="208855" w:themeColor="accent1" w:themeShade="BF"/>
            </w:tcBorders>
            <w:shd w:val="clear" w:color="auto" w:fill="auto"/>
          </w:tcPr>
          <w:p w14:paraId="554B40EA" w14:textId="77777777" w:rsidR="00A0524C" w:rsidRPr="005C6123" w:rsidRDefault="00A0524C" w:rsidP="005D2939">
            <w:pPr>
              <w:pStyle w:val="ListParagraph"/>
              <w:numPr>
                <w:ilvl w:val="0"/>
                <w:numId w:val="40"/>
              </w:numPr>
              <w:spacing w:before="40" w:after="40" w:line="240" w:lineRule="auto"/>
              <w:ind w:left="176" w:hanging="176"/>
              <w:contextualSpacing w:val="0"/>
              <w:rPr>
                <w:color w:val="000000"/>
                <w:sz w:val="15"/>
                <w:szCs w:val="15"/>
              </w:rPr>
            </w:pPr>
            <w:r w:rsidRPr="005C6123">
              <w:rPr>
                <w:sz w:val="15"/>
                <w:szCs w:val="15"/>
              </w:rPr>
              <w:t>Vane Anemometer</w:t>
            </w:r>
          </w:p>
        </w:tc>
        <w:tc>
          <w:tcPr>
            <w:tcW w:w="4993" w:type="dxa"/>
            <w:gridSpan w:val="16"/>
            <w:tcBorders>
              <w:left w:val="single" w:sz="4" w:space="0" w:color="208855" w:themeColor="accent1" w:themeShade="BF"/>
              <w:bottom w:val="single" w:sz="2" w:space="0" w:color="208855" w:themeColor="accent1" w:themeShade="BF"/>
            </w:tcBorders>
            <w:shd w:val="clear" w:color="auto" w:fill="auto"/>
          </w:tcPr>
          <w:p w14:paraId="430639C2" w14:textId="77777777" w:rsidR="00A0524C" w:rsidRPr="005C6123" w:rsidRDefault="00A0524C" w:rsidP="005D2939">
            <w:pPr>
              <w:pStyle w:val="ListParagraph"/>
              <w:numPr>
                <w:ilvl w:val="0"/>
                <w:numId w:val="40"/>
              </w:numPr>
              <w:spacing w:before="40" w:after="40" w:line="240" w:lineRule="auto"/>
              <w:ind w:left="179" w:hanging="179"/>
              <w:contextualSpacing w:val="0"/>
              <w:rPr>
                <w:sz w:val="15"/>
                <w:szCs w:val="15"/>
              </w:rPr>
            </w:pPr>
            <w:r w:rsidRPr="005C6123">
              <w:rPr>
                <w:sz w:val="15"/>
                <w:szCs w:val="15"/>
              </w:rPr>
              <w:t xml:space="preserve">Direct measurement </w:t>
            </w:r>
          </w:p>
          <w:p w14:paraId="60E29EC4" w14:textId="77777777" w:rsidR="00A0524C" w:rsidRPr="005C6123" w:rsidRDefault="00A0524C" w:rsidP="0059177F">
            <w:pPr>
              <w:pStyle w:val="ListParagraph"/>
              <w:numPr>
                <w:ilvl w:val="0"/>
                <w:numId w:val="40"/>
              </w:numPr>
              <w:spacing w:before="40" w:line="240" w:lineRule="auto"/>
              <w:ind w:left="179" w:hanging="179"/>
              <w:contextualSpacing w:val="0"/>
              <w:rPr>
                <w:sz w:val="15"/>
                <w:szCs w:val="15"/>
              </w:rPr>
            </w:pPr>
            <w:r w:rsidRPr="005C6123">
              <w:rPr>
                <w:sz w:val="15"/>
                <w:szCs w:val="15"/>
              </w:rPr>
              <w:t>Site specific emission factor based on past measurement (in % of throughput)</w:t>
            </w:r>
          </w:p>
        </w:tc>
      </w:tr>
      <w:tr w:rsidR="00AB1CB7" w:rsidRPr="005C6123" w:rsidDel="00994E71" w14:paraId="5A8AAE3D" w14:textId="77777777" w:rsidTr="0059177F">
        <w:trPr>
          <w:gridAfter w:val="1"/>
          <w:wAfter w:w="9" w:type="dxa"/>
          <w:trHeight w:val="568"/>
          <w:jc w:val="center"/>
        </w:trPr>
        <w:tc>
          <w:tcPr>
            <w:tcW w:w="6616" w:type="dxa"/>
            <w:gridSpan w:val="11"/>
            <w:tcBorders>
              <w:top w:val="nil"/>
              <w:left w:val="single" w:sz="2" w:space="0" w:color="208855" w:themeColor="accent1" w:themeShade="BF"/>
              <w:bottom w:val="single" w:sz="2" w:space="0" w:color="2BB673" w:themeColor="text2"/>
            </w:tcBorders>
            <w:shd w:val="clear" w:color="auto" w:fill="208855" w:themeFill="accent1" w:themeFillShade="BF"/>
            <w:vAlign w:val="center"/>
          </w:tcPr>
          <w:p w14:paraId="7B37CF96" w14:textId="779B0E9F" w:rsidR="00AB1CB7" w:rsidRPr="00FB48A1" w:rsidRDefault="00AB1CB7" w:rsidP="00AB1CB7">
            <w:pPr>
              <w:pStyle w:val="ListParagraph"/>
              <w:numPr>
                <w:ilvl w:val="0"/>
                <w:numId w:val="36"/>
              </w:numPr>
              <w:spacing w:before="60" w:after="60"/>
              <w:ind w:left="0" w:hanging="357"/>
              <w:contextualSpacing w:val="0"/>
              <w:rPr>
                <w:b/>
                <w:bCs/>
                <w:color w:val="FFFFFF"/>
              </w:rPr>
            </w:pPr>
            <w:r w:rsidRPr="000941A9">
              <w:rPr>
                <w:b/>
                <w:bCs/>
                <w:color w:val="FFFFFF"/>
              </w:rPr>
              <w:t>Emission source categories along the value chain</w:t>
            </w:r>
          </w:p>
        </w:tc>
        <w:tc>
          <w:tcPr>
            <w:tcW w:w="696" w:type="dxa"/>
            <w:gridSpan w:val="3"/>
            <w:tcBorders>
              <w:top w:val="nil"/>
              <w:bottom w:val="single" w:sz="2" w:space="0" w:color="2BB673" w:themeColor="text2"/>
            </w:tcBorders>
            <w:shd w:val="clear" w:color="auto" w:fill="155B39" w:themeFill="accent6"/>
            <w:vAlign w:val="center"/>
          </w:tcPr>
          <w:p w14:paraId="2723B6D6" w14:textId="128CDBBB" w:rsidR="00AB1CB7" w:rsidRPr="005C6123" w:rsidRDefault="00AB1CB7" w:rsidP="00AB1CB7">
            <w:pPr>
              <w:pStyle w:val="ListParagraph"/>
              <w:spacing w:before="120" w:line="276" w:lineRule="auto"/>
              <w:jc w:val="center"/>
              <w:rPr>
                <w:color w:val="FFFFFF"/>
                <w:sz w:val="24"/>
                <w:szCs w:val="24"/>
              </w:rPr>
            </w:pPr>
            <w:r w:rsidRPr="005C6123">
              <w:rPr>
                <w:b/>
                <w:bCs/>
                <w:color w:val="FFFFFF"/>
                <w:sz w:val="14"/>
                <w:szCs w:val="14"/>
                <w:lang w:val="nb-NO"/>
              </w:rPr>
              <w:t>P</w:t>
            </w:r>
          </w:p>
        </w:tc>
        <w:tc>
          <w:tcPr>
            <w:tcW w:w="676" w:type="dxa"/>
            <w:gridSpan w:val="4"/>
            <w:tcBorders>
              <w:top w:val="nil"/>
              <w:bottom w:val="single" w:sz="2" w:space="0" w:color="2BB673" w:themeColor="text2"/>
            </w:tcBorders>
            <w:shd w:val="clear" w:color="auto" w:fill="155B39" w:themeFill="accent6"/>
            <w:vAlign w:val="center"/>
          </w:tcPr>
          <w:p w14:paraId="202A07A3" w14:textId="40D6530D" w:rsidR="00AB1CB7" w:rsidRPr="005C6123" w:rsidRDefault="00AB1CB7" w:rsidP="00AB1CB7">
            <w:pPr>
              <w:pStyle w:val="ListParagraph"/>
              <w:spacing w:before="120" w:line="276" w:lineRule="auto"/>
              <w:jc w:val="center"/>
              <w:rPr>
                <w:color w:val="FFFFFF"/>
                <w:sz w:val="24"/>
                <w:szCs w:val="24"/>
              </w:rPr>
            </w:pPr>
            <w:r w:rsidRPr="005C6123">
              <w:rPr>
                <w:b/>
                <w:bCs/>
                <w:color w:val="FFFFFF"/>
                <w:sz w:val="14"/>
                <w:szCs w:val="14"/>
              </w:rPr>
              <w:t>G&amp;P</w:t>
            </w:r>
          </w:p>
        </w:tc>
        <w:tc>
          <w:tcPr>
            <w:tcW w:w="684" w:type="dxa"/>
            <w:gridSpan w:val="4"/>
            <w:tcBorders>
              <w:top w:val="nil"/>
              <w:bottom w:val="single" w:sz="2" w:space="0" w:color="2BB673" w:themeColor="text2"/>
            </w:tcBorders>
            <w:shd w:val="clear" w:color="auto" w:fill="155B39" w:themeFill="accent6"/>
            <w:vAlign w:val="center"/>
          </w:tcPr>
          <w:p w14:paraId="0773AE2B" w14:textId="793CE373" w:rsidR="00AB1CB7" w:rsidRPr="005C6123" w:rsidRDefault="00AB1CB7" w:rsidP="00AB1CB7">
            <w:pPr>
              <w:pStyle w:val="ListParagraph"/>
              <w:spacing w:before="120" w:line="276" w:lineRule="auto"/>
              <w:jc w:val="center"/>
              <w:rPr>
                <w:color w:val="FFFFFF"/>
                <w:sz w:val="24"/>
                <w:szCs w:val="24"/>
              </w:rPr>
            </w:pPr>
            <w:r w:rsidRPr="005C6123">
              <w:rPr>
                <w:b/>
                <w:bCs/>
                <w:color w:val="FFFFFF"/>
                <w:sz w:val="14"/>
                <w:szCs w:val="14"/>
              </w:rPr>
              <w:t>T&amp;S</w:t>
            </w:r>
          </w:p>
        </w:tc>
        <w:tc>
          <w:tcPr>
            <w:tcW w:w="689" w:type="dxa"/>
            <w:gridSpan w:val="2"/>
            <w:tcBorders>
              <w:top w:val="nil"/>
              <w:bottom w:val="single" w:sz="2" w:space="0" w:color="2BB673" w:themeColor="text2"/>
              <w:right w:val="single" w:sz="12" w:space="0" w:color="155B39" w:themeColor="accent6"/>
            </w:tcBorders>
            <w:shd w:val="clear" w:color="auto" w:fill="155B39" w:themeFill="accent6"/>
            <w:vAlign w:val="center"/>
          </w:tcPr>
          <w:p w14:paraId="7BED52B4" w14:textId="2FEEA8CA" w:rsidR="00AB1CB7" w:rsidRPr="005C6123" w:rsidDel="00994E71" w:rsidRDefault="00AB1CB7" w:rsidP="00AB1CB7">
            <w:pPr>
              <w:pStyle w:val="ListParagraph"/>
              <w:spacing w:before="120" w:after="0" w:line="276" w:lineRule="auto"/>
              <w:jc w:val="center"/>
              <w:rPr>
                <w:color w:val="FFFFFF"/>
                <w:szCs w:val="20"/>
              </w:rPr>
            </w:pPr>
            <w:r w:rsidRPr="00A2317D">
              <w:rPr>
                <w:b/>
                <w:bCs/>
                <w:color w:val="FFFFFF"/>
                <w:sz w:val="14"/>
                <w:szCs w:val="14"/>
              </w:rPr>
              <w:t>D</w:t>
            </w:r>
          </w:p>
        </w:tc>
      </w:tr>
      <w:tr w:rsidR="00A0524C" w:rsidRPr="005C6123" w:rsidDel="00994E71" w14:paraId="6C5E27E7" w14:textId="77777777" w:rsidTr="0059177F">
        <w:trPr>
          <w:gridAfter w:val="1"/>
          <w:wAfter w:w="9" w:type="dxa"/>
          <w:trHeight w:val="568"/>
          <w:jc w:val="center"/>
        </w:trPr>
        <w:tc>
          <w:tcPr>
            <w:tcW w:w="6616" w:type="dxa"/>
            <w:gridSpan w:val="11"/>
            <w:tcBorders>
              <w:top w:val="single" w:sz="2" w:space="0" w:color="2BB673" w:themeColor="text2"/>
              <w:left w:val="single" w:sz="2" w:space="0" w:color="208855" w:themeColor="accent1" w:themeShade="BF"/>
              <w:bottom w:val="nil"/>
            </w:tcBorders>
            <w:shd w:val="clear" w:color="auto" w:fill="208855" w:themeFill="accent1" w:themeFillShade="BF"/>
          </w:tcPr>
          <w:p w14:paraId="03F2F231" w14:textId="77777777" w:rsidR="00A0524C" w:rsidRPr="005C6123" w:rsidRDefault="00A0524C" w:rsidP="005D2939">
            <w:pPr>
              <w:pStyle w:val="ListParagraph"/>
              <w:numPr>
                <w:ilvl w:val="0"/>
                <w:numId w:val="36"/>
              </w:numPr>
              <w:spacing w:before="60" w:after="60"/>
              <w:ind w:left="0" w:hanging="357"/>
              <w:contextualSpacing w:val="0"/>
              <w:rPr>
                <w:b/>
                <w:bCs/>
                <w:color w:val="FFFFFF"/>
              </w:rPr>
            </w:pPr>
            <w:r w:rsidRPr="00FB48A1">
              <w:rPr>
                <w:b/>
                <w:bCs/>
                <w:color w:val="FFFFFF"/>
              </w:rPr>
              <w:t>9. Hydrocarbon liquid storage tank, loading &amp; transportation, produced water discharge</w:t>
            </w:r>
          </w:p>
        </w:tc>
        <w:tc>
          <w:tcPr>
            <w:tcW w:w="696" w:type="dxa"/>
            <w:gridSpan w:val="3"/>
            <w:tcBorders>
              <w:top w:val="single" w:sz="2" w:space="0" w:color="2BB673" w:themeColor="text2"/>
              <w:bottom w:val="single" w:sz="2" w:space="0" w:color="208855" w:themeColor="accent1" w:themeShade="BF"/>
            </w:tcBorders>
            <w:shd w:val="clear" w:color="auto" w:fill="155B39" w:themeFill="accent6"/>
            <w:vAlign w:val="center"/>
          </w:tcPr>
          <w:p w14:paraId="1A42035E" w14:textId="77777777" w:rsidR="00A0524C" w:rsidRPr="005C6123" w:rsidDel="00994E71" w:rsidRDefault="00A0524C" w:rsidP="00A0524C">
            <w:pPr>
              <w:pStyle w:val="ListParagraph"/>
              <w:spacing w:before="120" w:line="276" w:lineRule="auto"/>
              <w:jc w:val="center"/>
              <w:rPr>
                <w:color w:val="FFFFFF"/>
                <w:sz w:val="24"/>
                <w:szCs w:val="24"/>
              </w:rPr>
            </w:pPr>
            <w:r w:rsidRPr="005C6123">
              <w:rPr>
                <w:color w:val="FFFFFF"/>
                <w:sz w:val="24"/>
                <w:szCs w:val="24"/>
              </w:rPr>
              <w:sym w:font="Symbol" w:char="F0B7"/>
            </w:r>
          </w:p>
        </w:tc>
        <w:tc>
          <w:tcPr>
            <w:tcW w:w="676" w:type="dxa"/>
            <w:gridSpan w:val="4"/>
            <w:tcBorders>
              <w:top w:val="single" w:sz="2" w:space="0" w:color="2BB673" w:themeColor="text2"/>
              <w:bottom w:val="single" w:sz="2" w:space="0" w:color="208855" w:themeColor="accent1" w:themeShade="BF"/>
            </w:tcBorders>
            <w:shd w:val="clear" w:color="auto" w:fill="155B39" w:themeFill="accent6"/>
            <w:vAlign w:val="center"/>
          </w:tcPr>
          <w:p w14:paraId="7187DE26" w14:textId="77777777" w:rsidR="00A0524C" w:rsidRPr="005C6123" w:rsidDel="00994E71" w:rsidRDefault="00A0524C" w:rsidP="00A0524C">
            <w:pPr>
              <w:pStyle w:val="ListParagraph"/>
              <w:spacing w:before="120" w:line="276" w:lineRule="auto"/>
              <w:jc w:val="center"/>
              <w:rPr>
                <w:color w:val="FFFFFF"/>
                <w:szCs w:val="20"/>
              </w:rPr>
            </w:pPr>
            <w:r w:rsidRPr="005C6123">
              <w:rPr>
                <w:color w:val="FFFFFF"/>
                <w:sz w:val="24"/>
                <w:szCs w:val="24"/>
              </w:rPr>
              <w:sym w:font="Symbol" w:char="F0B7"/>
            </w:r>
          </w:p>
        </w:tc>
        <w:tc>
          <w:tcPr>
            <w:tcW w:w="684" w:type="dxa"/>
            <w:gridSpan w:val="4"/>
            <w:tcBorders>
              <w:top w:val="single" w:sz="2" w:space="0" w:color="2BB673" w:themeColor="text2"/>
              <w:bottom w:val="single" w:sz="2" w:space="0" w:color="208855" w:themeColor="accent1" w:themeShade="BF"/>
            </w:tcBorders>
            <w:shd w:val="clear" w:color="auto" w:fill="155B39" w:themeFill="accent6"/>
            <w:vAlign w:val="center"/>
          </w:tcPr>
          <w:p w14:paraId="04625012" w14:textId="77777777" w:rsidR="00A0524C" w:rsidRPr="005C6123" w:rsidDel="00994E71" w:rsidRDefault="00A0524C" w:rsidP="00A0524C">
            <w:pPr>
              <w:pStyle w:val="ListParagraph"/>
              <w:spacing w:before="120" w:line="276" w:lineRule="auto"/>
              <w:jc w:val="center"/>
              <w:rPr>
                <w:color w:val="FFFFFF"/>
                <w:szCs w:val="20"/>
              </w:rPr>
            </w:pPr>
            <w:r w:rsidRPr="005C6123">
              <w:rPr>
                <w:color w:val="FFFFFF"/>
                <w:sz w:val="24"/>
                <w:szCs w:val="24"/>
              </w:rPr>
              <w:sym w:font="Symbol" w:char="F0B7"/>
            </w:r>
          </w:p>
        </w:tc>
        <w:tc>
          <w:tcPr>
            <w:tcW w:w="689" w:type="dxa"/>
            <w:gridSpan w:val="2"/>
            <w:tcBorders>
              <w:top w:val="single" w:sz="2" w:space="0" w:color="2BB673" w:themeColor="text2"/>
              <w:bottom w:val="single" w:sz="2" w:space="0" w:color="208855" w:themeColor="accent1" w:themeShade="BF"/>
              <w:right w:val="single" w:sz="12" w:space="0" w:color="155B39" w:themeColor="accent6"/>
            </w:tcBorders>
            <w:shd w:val="clear" w:color="auto" w:fill="155B39" w:themeFill="accent6"/>
            <w:vAlign w:val="center"/>
          </w:tcPr>
          <w:p w14:paraId="4AA6642E" w14:textId="77777777" w:rsidR="00A0524C" w:rsidRPr="005C6123" w:rsidDel="00994E71" w:rsidRDefault="00A0524C" w:rsidP="00A0524C">
            <w:pPr>
              <w:pStyle w:val="ListParagraph"/>
              <w:spacing w:before="120" w:line="276" w:lineRule="auto"/>
              <w:rPr>
                <w:color w:val="FFFFFF"/>
                <w:szCs w:val="20"/>
              </w:rPr>
            </w:pPr>
          </w:p>
        </w:tc>
      </w:tr>
      <w:tr w:rsidR="00A0524C" w:rsidRPr="005C6123" w14:paraId="005BD356" w14:textId="77777777" w:rsidTr="0059177F">
        <w:trPr>
          <w:gridAfter w:val="1"/>
          <w:wAfter w:w="9" w:type="dxa"/>
          <w:trHeight w:val="482"/>
          <w:jc w:val="center"/>
        </w:trPr>
        <w:tc>
          <w:tcPr>
            <w:tcW w:w="6616" w:type="dxa"/>
            <w:gridSpan w:val="11"/>
            <w:tcBorders>
              <w:top w:val="single" w:sz="4" w:space="0" w:color="208855" w:themeColor="accent1" w:themeShade="BF"/>
              <w:left w:val="single" w:sz="4" w:space="0" w:color="208855" w:themeColor="accent1" w:themeShade="BF"/>
              <w:bottom w:val="nil"/>
            </w:tcBorders>
            <w:shd w:val="clear" w:color="auto" w:fill="D0F4E3" w:themeFill="accent1" w:themeFillTint="33"/>
          </w:tcPr>
          <w:p w14:paraId="732DB809" w14:textId="77777777" w:rsidR="00A0524C" w:rsidRPr="00EA139D" w:rsidRDefault="00A0524C" w:rsidP="005D2939">
            <w:pPr>
              <w:pStyle w:val="ListParagraph"/>
              <w:numPr>
                <w:ilvl w:val="0"/>
                <w:numId w:val="36"/>
              </w:numPr>
              <w:spacing w:before="120" w:after="100" w:afterAutospacing="1" w:line="276" w:lineRule="auto"/>
              <w:ind w:left="0"/>
              <w:contextualSpacing w:val="0"/>
              <w:rPr>
                <w:b/>
                <w:bCs/>
                <w:sz w:val="16"/>
                <w:szCs w:val="16"/>
              </w:rPr>
            </w:pPr>
            <w:r w:rsidRPr="00EA139D">
              <w:rPr>
                <w:bCs/>
                <w:sz w:val="16"/>
                <w:szCs w:val="16"/>
              </w:rPr>
              <w:t xml:space="preserve">Vapors, consisting of methane, VOCs and other hazardous air pollutants are released from liquid hydrocarbon products during storage and loading due flashing losses (due to a rapid pressure drop), working losses (from changing fluid levels) and standing losses (due to ambient temperature and pressure changes). The volume of vapor emitted from a fixed-roof storage tank is dependent on several factors including the composition of the hydrocarbon liquid, the pressure in the gas/liquid separator and the hydrocarbon flow rate from this separator into the tank. </w:t>
            </w:r>
          </w:p>
          <w:p w14:paraId="3BFA197F" w14:textId="5B023F0B" w:rsidR="00A0524C" w:rsidRPr="005C6123" w:rsidRDefault="00A0524C" w:rsidP="005D2939">
            <w:pPr>
              <w:pStyle w:val="ListParagraph"/>
              <w:numPr>
                <w:ilvl w:val="0"/>
                <w:numId w:val="36"/>
              </w:numPr>
              <w:spacing w:before="120" w:after="120" w:line="276" w:lineRule="auto"/>
              <w:ind w:left="0" w:hanging="357"/>
              <w:contextualSpacing w:val="0"/>
              <w:rPr>
                <w:bCs/>
                <w:sz w:val="16"/>
                <w:szCs w:val="16"/>
              </w:rPr>
            </w:pPr>
            <w:r w:rsidRPr="005C6123">
              <w:rPr>
                <w:bCs/>
                <w:sz w:val="16"/>
                <w:szCs w:val="16"/>
              </w:rPr>
              <w:t>During loading and unloading (transfer) activities between storage tanks (including for transportation), emissions released are attributed to physical displacement of residual vapors by the incoming liquid, evaporation effects promoted by agitation, and also leakage/spillage during the connection/disconnection of transfer lines and during the transfer process. Blanket gas represents an additional source of emissions during loading/unloading. Finally</w:t>
            </w:r>
            <w:r w:rsidR="00315A85">
              <w:rPr>
                <w:bCs/>
                <w:sz w:val="16"/>
                <w:szCs w:val="16"/>
              </w:rPr>
              <w:t>,</w:t>
            </w:r>
            <w:r w:rsidRPr="005C6123">
              <w:rPr>
                <w:bCs/>
                <w:sz w:val="16"/>
                <w:szCs w:val="16"/>
              </w:rPr>
              <w:t xml:space="preserve"> emissions from produced water discharged are grouped into this source as they arise from a similar physical process.</w:t>
            </w:r>
          </w:p>
        </w:tc>
        <w:tc>
          <w:tcPr>
            <w:tcW w:w="2745" w:type="dxa"/>
            <w:gridSpan w:val="13"/>
            <w:tcBorders>
              <w:top w:val="single" w:sz="2" w:space="0" w:color="208855" w:themeColor="accent1" w:themeShade="BF"/>
              <w:bottom w:val="nil"/>
              <w:right w:val="single" w:sz="4" w:space="0" w:color="208855" w:themeColor="accent1" w:themeShade="BF"/>
            </w:tcBorders>
            <w:shd w:val="clear" w:color="auto" w:fill="D0F4E3" w:themeFill="accent1" w:themeFillTint="33"/>
          </w:tcPr>
          <w:p w14:paraId="04B0EA18"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12113CBD"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r>
              <w:rPr>
                <w:noProof/>
                <w:sz w:val="16"/>
                <w:szCs w:val="16"/>
                <w:lang w:val="nb-NO" w:eastAsia="nb-NO"/>
              </w:rPr>
              <w:drawing>
                <wp:inline distT="0" distB="0" distL="0" distR="0" wp14:anchorId="6D954660" wp14:editId="12B9D5A7">
                  <wp:extent cx="1371600" cy="863600"/>
                  <wp:effectExtent l="0" t="0" r="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863600"/>
                          </a:xfrm>
                          <a:prstGeom prst="rect">
                            <a:avLst/>
                          </a:prstGeom>
                          <a:noFill/>
                          <a:ln>
                            <a:noFill/>
                          </a:ln>
                        </pic:spPr>
                      </pic:pic>
                    </a:graphicData>
                  </a:graphic>
                </wp:inline>
              </w:drawing>
            </w:r>
          </w:p>
          <w:p w14:paraId="3A53E3F8" w14:textId="77777777" w:rsidR="00A0524C" w:rsidRPr="005C6123" w:rsidRDefault="00A0524C" w:rsidP="005D2939">
            <w:pPr>
              <w:pStyle w:val="ListParagraph"/>
              <w:keepNext/>
              <w:numPr>
                <w:ilvl w:val="0"/>
                <w:numId w:val="36"/>
              </w:numPr>
              <w:spacing w:before="100" w:beforeAutospacing="1" w:after="100" w:afterAutospacing="1" w:line="276" w:lineRule="auto"/>
              <w:ind w:left="0"/>
              <w:rPr>
                <w:color w:val="000000"/>
                <w:sz w:val="10"/>
                <w:szCs w:val="10"/>
              </w:rPr>
            </w:pPr>
            <w:r w:rsidRPr="005C6123">
              <w:rPr>
                <w:color w:val="000000"/>
                <w:sz w:val="10"/>
                <w:szCs w:val="10"/>
              </w:rPr>
              <w:t>Image Source: Intechww.com</w:t>
            </w:r>
          </w:p>
          <w:p w14:paraId="3F5D7B9C"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rPr>
            </w:pPr>
          </w:p>
        </w:tc>
      </w:tr>
      <w:tr w:rsidR="00A0524C" w:rsidRPr="00104E87" w14:paraId="1609F7CD" w14:textId="77777777" w:rsidTr="0059177F">
        <w:trPr>
          <w:gridAfter w:val="1"/>
          <w:wAfter w:w="9" w:type="dxa"/>
          <w:trHeight w:val="560"/>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5DC73E8A" w14:textId="77777777" w:rsidR="00A0524C" w:rsidRPr="005C6123" w:rsidRDefault="00A0524C" w:rsidP="005D2939">
            <w:pPr>
              <w:pStyle w:val="ListParagraph"/>
              <w:numPr>
                <w:ilvl w:val="0"/>
                <w:numId w:val="36"/>
              </w:numPr>
              <w:spacing w:before="60" w:after="60" w:line="276" w:lineRule="auto"/>
              <w:ind w:left="0" w:hanging="357"/>
              <w:contextualSpacing w:val="0"/>
              <w:rPr>
                <w:b/>
                <w:bCs/>
                <w:sz w:val="16"/>
                <w:szCs w:val="16"/>
              </w:rPr>
            </w:pPr>
            <w:r w:rsidRPr="005C6123">
              <w:rPr>
                <w:b/>
                <w:bCs/>
                <w:sz w:val="16"/>
                <w:szCs w:val="16"/>
              </w:rPr>
              <w:t>Mitigation Techniques:</w:t>
            </w:r>
          </w:p>
          <w:p w14:paraId="3FB72C18" w14:textId="77777777" w:rsidR="00A0524C" w:rsidRPr="005C6123" w:rsidRDefault="00A0524C" w:rsidP="005D2939">
            <w:pPr>
              <w:pStyle w:val="ListParagraph"/>
              <w:numPr>
                <w:ilvl w:val="0"/>
                <w:numId w:val="60"/>
              </w:numPr>
              <w:spacing w:before="60" w:after="60" w:line="240" w:lineRule="auto"/>
              <w:ind w:left="176" w:hanging="176"/>
              <w:contextualSpacing w:val="0"/>
              <w:rPr>
                <w:bCs/>
                <w:i/>
                <w:sz w:val="16"/>
                <w:szCs w:val="16"/>
              </w:rPr>
            </w:pPr>
            <w:r w:rsidRPr="005C6123">
              <w:rPr>
                <w:bCs/>
                <w:sz w:val="16"/>
                <w:szCs w:val="16"/>
              </w:rPr>
              <w:t xml:space="preserve">Installing a Vapor Recovery Unit (VRU) and directing to productive use as fuel gas, compressor suction, gas lift, emission reductions of </w:t>
            </w:r>
            <w:proofErr w:type="spellStart"/>
            <w:r w:rsidRPr="005C6123">
              <w:rPr>
                <w:bCs/>
                <w:sz w:val="16"/>
                <w:szCs w:val="16"/>
              </w:rPr>
              <w:t>upto</w:t>
            </w:r>
            <w:proofErr w:type="spellEnd"/>
            <w:r w:rsidRPr="005C6123">
              <w:rPr>
                <w:bCs/>
                <w:sz w:val="16"/>
                <w:szCs w:val="16"/>
              </w:rPr>
              <w:t xml:space="preserve"> 98% </w:t>
            </w:r>
          </w:p>
          <w:p w14:paraId="71237586" w14:textId="0BA67930" w:rsidR="00A0524C" w:rsidRPr="005C6123" w:rsidRDefault="00A0524C" w:rsidP="005D2939">
            <w:pPr>
              <w:pStyle w:val="ListParagraph"/>
              <w:numPr>
                <w:ilvl w:val="0"/>
                <w:numId w:val="60"/>
              </w:numPr>
              <w:spacing w:before="60" w:after="60" w:line="240" w:lineRule="auto"/>
              <w:ind w:left="176" w:hanging="176"/>
              <w:contextualSpacing w:val="0"/>
              <w:rPr>
                <w:bCs/>
                <w:sz w:val="16"/>
                <w:szCs w:val="16"/>
              </w:rPr>
            </w:pPr>
            <w:r w:rsidRPr="005C6123">
              <w:rPr>
                <w:bCs/>
                <w:sz w:val="16"/>
                <w:szCs w:val="16"/>
              </w:rPr>
              <w:t>Reducing operating pressure upstream, Increasing tank pressure, Changing the geometry of the loading pipe</w:t>
            </w:r>
            <w:r w:rsidR="00315A85" w:rsidRPr="005C6123">
              <w:rPr>
                <w:rStyle w:val="FootnoteReference"/>
                <w:bCs/>
                <w:sz w:val="16"/>
                <w:szCs w:val="16"/>
              </w:rPr>
              <w:footnoteReference w:id="140"/>
            </w:r>
            <w:r w:rsidRPr="005C6123">
              <w:rPr>
                <w:bCs/>
                <w:sz w:val="16"/>
                <w:szCs w:val="16"/>
              </w:rPr>
              <w:t xml:space="preserve"> </w:t>
            </w:r>
          </w:p>
          <w:p w14:paraId="78608997" w14:textId="77777777" w:rsidR="00A0524C" w:rsidRPr="005C6123" w:rsidRDefault="00A0524C" w:rsidP="005D2939">
            <w:pPr>
              <w:pStyle w:val="ListParagraph"/>
              <w:numPr>
                <w:ilvl w:val="0"/>
                <w:numId w:val="60"/>
              </w:numPr>
              <w:spacing w:before="60" w:after="60" w:line="240" w:lineRule="auto"/>
              <w:ind w:left="176" w:hanging="176"/>
              <w:contextualSpacing w:val="0"/>
              <w:rPr>
                <w:bCs/>
                <w:sz w:val="16"/>
                <w:szCs w:val="16"/>
              </w:rPr>
            </w:pPr>
            <w:r w:rsidRPr="005C6123">
              <w:rPr>
                <w:bCs/>
                <w:sz w:val="16"/>
                <w:szCs w:val="16"/>
              </w:rPr>
              <w:t>Install separate systems to control loading losses from the tank vehicles and storage losses from the tanks</w:t>
            </w:r>
          </w:p>
          <w:p w14:paraId="2A8B660F" w14:textId="77777777" w:rsidR="00A0524C" w:rsidRPr="005C6123" w:rsidRDefault="00A0524C" w:rsidP="005D2939">
            <w:pPr>
              <w:pStyle w:val="ListParagraph"/>
              <w:numPr>
                <w:ilvl w:val="0"/>
                <w:numId w:val="60"/>
              </w:numPr>
              <w:spacing w:before="60" w:after="60" w:line="240" w:lineRule="auto"/>
              <w:ind w:left="176" w:hanging="176"/>
              <w:contextualSpacing w:val="0"/>
              <w:rPr>
                <w:bCs/>
                <w:sz w:val="16"/>
                <w:szCs w:val="16"/>
              </w:rPr>
            </w:pPr>
            <w:r w:rsidRPr="005C6123">
              <w:rPr>
                <w:bCs/>
                <w:sz w:val="16"/>
                <w:szCs w:val="16"/>
              </w:rPr>
              <w:t>Implement a system to balance or exchange vapors between the tanks and tank vehicles and add a common vapor control device if needed</w:t>
            </w:r>
          </w:p>
          <w:p w14:paraId="40D71F32" w14:textId="77777777" w:rsidR="00A0524C" w:rsidRPr="005C6123" w:rsidDel="00F662EB" w:rsidRDefault="00A0524C" w:rsidP="005D2939">
            <w:pPr>
              <w:pStyle w:val="ListParagraph"/>
              <w:numPr>
                <w:ilvl w:val="0"/>
                <w:numId w:val="60"/>
              </w:numPr>
              <w:spacing w:before="60" w:after="60" w:line="240" w:lineRule="auto"/>
              <w:ind w:left="176" w:hanging="176"/>
              <w:contextualSpacing w:val="0"/>
              <w:rPr>
                <w:bCs/>
                <w:sz w:val="16"/>
                <w:szCs w:val="16"/>
              </w:rPr>
            </w:pPr>
            <w:r w:rsidRPr="005C6123">
              <w:rPr>
                <w:bCs/>
                <w:sz w:val="16"/>
                <w:szCs w:val="16"/>
              </w:rPr>
              <w:t>Install stabilization towers ahead of tanks to obtain a low oil vapor pressure suitable for loading onto ships or barges. Stabilization removes virtually all methane from liquid hydrocarbons.</w:t>
            </w:r>
          </w:p>
        </w:tc>
        <w:tc>
          <w:tcPr>
            <w:tcW w:w="2745" w:type="dxa"/>
            <w:gridSpan w:val="13"/>
            <w:tcBorders>
              <w:top w:val="nil"/>
              <w:bottom w:val="single" w:sz="4" w:space="0" w:color="208855" w:themeColor="accent1" w:themeShade="BF"/>
              <w:right w:val="single" w:sz="4" w:space="0" w:color="208855" w:themeColor="accent1" w:themeShade="BF"/>
            </w:tcBorders>
            <w:shd w:val="clear" w:color="auto" w:fill="auto"/>
          </w:tcPr>
          <w:p w14:paraId="17D4A186"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53455BC8" w14:textId="77777777" w:rsidR="00A0524C" w:rsidRPr="005C6123" w:rsidRDefault="00A0524C" w:rsidP="00A0524C">
            <w:pPr>
              <w:spacing w:line="240" w:lineRule="auto"/>
              <w:rPr>
                <w:sz w:val="14"/>
                <w:szCs w:val="16"/>
                <w:lang w:val="en-US"/>
              </w:rPr>
            </w:pPr>
            <w:r w:rsidRPr="005C6123">
              <w:rPr>
                <w:sz w:val="14"/>
                <w:szCs w:val="16"/>
                <w:lang w:val="en-US"/>
              </w:rPr>
              <w:t>Hydrocarbon liquid storage tanks:</w:t>
            </w:r>
          </w:p>
          <w:p w14:paraId="26DEFA26" w14:textId="77777777" w:rsidR="00A0524C" w:rsidRPr="005C6123" w:rsidRDefault="000941A9" w:rsidP="00A0524C">
            <w:pPr>
              <w:spacing w:line="240" w:lineRule="auto"/>
              <w:rPr>
                <w:sz w:val="14"/>
                <w:szCs w:val="16"/>
                <w:lang w:val="en-US"/>
              </w:rPr>
            </w:pPr>
            <w:hyperlink r:id="rId46" w:history="1">
              <w:r w:rsidR="00A0524C" w:rsidRPr="005C6123">
                <w:rPr>
                  <w:rStyle w:val="Hyperlink"/>
                  <w:sz w:val="14"/>
                  <w:szCs w:val="16"/>
                  <w:lang w:val="en-US"/>
                </w:rPr>
                <w:t>http://www.ccacoalition.org/en/resources/technical-guidance-document-number-6-unstabilized-hydrocarbon-liquid-storage-tanks</w:t>
              </w:r>
            </w:hyperlink>
          </w:p>
          <w:p w14:paraId="532F4C42" w14:textId="77777777" w:rsidR="00A0524C" w:rsidRPr="005C6123" w:rsidRDefault="00A0524C" w:rsidP="00A0524C">
            <w:pPr>
              <w:spacing w:line="240" w:lineRule="auto"/>
              <w:rPr>
                <w:sz w:val="14"/>
                <w:szCs w:val="16"/>
                <w:lang w:val="en-US"/>
              </w:rPr>
            </w:pPr>
            <w:r w:rsidRPr="005C6123">
              <w:rPr>
                <w:sz w:val="14"/>
                <w:szCs w:val="16"/>
                <w:lang w:val="en-US"/>
              </w:rPr>
              <w:t>Hydrocarbon loading / unloading:</w:t>
            </w:r>
          </w:p>
          <w:p w14:paraId="588D729E" w14:textId="77777777" w:rsidR="00A0524C" w:rsidRPr="005C6123" w:rsidRDefault="000941A9" w:rsidP="00A0524C">
            <w:pPr>
              <w:spacing w:line="240" w:lineRule="auto"/>
              <w:rPr>
                <w:sz w:val="14"/>
                <w:szCs w:val="16"/>
                <w:lang w:val="en-US"/>
              </w:rPr>
            </w:pPr>
            <w:hyperlink r:id="rId47" w:history="1">
              <w:r w:rsidR="00A0524C" w:rsidRPr="005C6123">
                <w:rPr>
                  <w:rStyle w:val="Hyperlink"/>
                  <w:sz w:val="14"/>
                  <w:szCs w:val="16"/>
                  <w:lang w:val="en-US"/>
                </w:rPr>
                <w:t>https://www.globalmethane.org/m2mtool/files/inddesc/Loading%20and%20Unloading%20Evaporation%20Losses%20-%20Rev%200.doc</w:t>
              </w:r>
            </w:hyperlink>
          </w:p>
          <w:p w14:paraId="4572EDCA" w14:textId="77777777" w:rsidR="00A0524C" w:rsidRPr="005C6123" w:rsidRDefault="00A0524C" w:rsidP="00A0524C">
            <w:pPr>
              <w:spacing w:line="240" w:lineRule="auto"/>
              <w:rPr>
                <w:sz w:val="14"/>
                <w:szCs w:val="16"/>
                <w:lang w:val="en-US"/>
              </w:rPr>
            </w:pPr>
            <w:r w:rsidRPr="005C6123">
              <w:rPr>
                <w:sz w:val="14"/>
                <w:szCs w:val="16"/>
                <w:lang w:val="en-US"/>
              </w:rPr>
              <w:t>Produced water discharge:</w:t>
            </w:r>
          </w:p>
          <w:p w14:paraId="651948C7" w14:textId="77777777" w:rsidR="00A0524C" w:rsidRPr="005C6123" w:rsidRDefault="000941A9" w:rsidP="00A0524C">
            <w:pPr>
              <w:spacing w:line="240" w:lineRule="auto"/>
              <w:rPr>
                <w:sz w:val="14"/>
                <w:szCs w:val="16"/>
                <w:lang w:val="en-US"/>
              </w:rPr>
            </w:pPr>
            <w:hyperlink r:id="rId48" w:history="1">
              <w:r w:rsidR="00A0524C" w:rsidRPr="005C6123">
                <w:rPr>
                  <w:rStyle w:val="Hyperlink"/>
                  <w:sz w:val="14"/>
                  <w:szCs w:val="16"/>
                  <w:lang w:val="en-US"/>
                </w:rPr>
                <w:t>https://www.tceq.texas.gov/assets/public/permitting/air/NewSourceReview/oilgas/produced-water.pdf</w:t>
              </w:r>
            </w:hyperlink>
          </w:p>
        </w:tc>
      </w:tr>
      <w:tr w:rsidR="00A0524C" w:rsidRPr="005C6123" w14:paraId="2B04A019" w14:textId="77777777" w:rsidTr="0059177F">
        <w:trPr>
          <w:gridAfter w:val="1"/>
          <w:wAfter w:w="9" w:type="dxa"/>
          <w:trHeight w:val="188"/>
          <w:jc w:val="center"/>
        </w:trPr>
        <w:tc>
          <w:tcPr>
            <w:tcW w:w="2110" w:type="dxa"/>
            <w:gridSpan w:val="2"/>
            <w:tcBorders>
              <w:top w:val="nil"/>
              <w:right w:val="single" w:sz="4" w:space="0" w:color="208855" w:themeColor="accent1" w:themeShade="BF"/>
            </w:tcBorders>
            <w:shd w:val="clear" w:color="auto" w:fill="D0F4E3" w:themeFill="accent1" w:themeFillTint="33"/>
          </w:tcPr>
          <w:p w14:paraId="17743078"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41"/>
            </w:r>
          </w:p>
        </w:tc>
        <w:tc>
          <w:tcPr>
            <w:tcW w:w="2258" w:type="dxa"/>
            <w:gridSpan w:val="6"/>
            <w:tcBorders>
              <w:top w:val="nil"/>
              <w:left w:val="single" w:sz="4" w:space="0" w:color="208855" w:themeColor="accent1" w:themeShade="BF"/>
              <w:right w:val="single" w:sz="4" w:space="0" w:color="208855" w:themeColor="accent1" w:themeShade="BF"/>
            </w:tcBorders>
            <w:shd w:val="clear" w:color="auto" w:fill="D0F4E3" w:themeFill="accent1" w:themeFillTint="33"/>
          </w:tcPr>
          <w:p w14:paraId="5F741986"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Applicable Emission Quantification equipment</w:t>
            </w:r>
            <w:r w:rsidRPr="005C6123">
              <w:rPr>
                <w:rStyle w:val="FootnoteReference"/>
                <w:b/>
                <w:sz w:val="15"/>
                <w:szCs w:val="15"/>
              </w:rPr>
              <w:footnoteReference w:id="142"/>
            </w:r>
          </w:p>
        </w:tc>
        <w:tc>
          <w:tcPr>
            <w:tcW w:w="4993" w:type="dxa"/>
            <w:gridSpan w:val="16"/>
            <w:tcBorders>
              <w:top w:val="nil"/>
              <w:left w:val="single" w:sz="4" w:space="0" w:color="208855" w:themeColor="accent1" w:themeShade="BF"/>
            </w:tcBorders>
            <w:shd w:val="clear" w:color="auto" w:fill="D0F4E3" w:themeFill="accent1" w:themeFillTint="33"/>
          </w:tcPr>
          <w:p w14:paraId="040410C9"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Typical quantification Methodologies</w:t>
            </w:r>
          </w:p>
        </w:tc>
      </w:tr>
      <w:tr w:rsidR="00A0524C" w:rsidRPr="00104E87" w14:paraId="2606A29C" w14:textId="77777777" w:rsidTr="0059177F">
        <w:trPr>
          <w:gridAfter w:val="1"/>
          <w:wAfter w:w="9" w:type="dxa"/>
          <w:trHeight w:val="1451"/>
          <w:jc w:val="center"/>
        </w:trPr>
        <w:tc>
          <w:tcPr>
            <w:tcW w:w="2110" w:type="dxa"/>
            <w:gridSpan w:val="2"/>
            <w:tcBorders>
              <w:bottom w:val="single" w:sz="4" w:space="0" w:color="208855"/>
              <w:right w:val="single" w:sz="4" w:space="0" w:color="208855" w:themeColor="accent1" w:themeShade="BF"/>
            </w:tcBorders>
            <w:shd w:val="clear" w:color="auto" w:fill="auto"/>
          </w:tcPr>
          <w:p w14:paraId="6B7EB7F2" w14:textId="77777777" w:rsidR="00A0524C" w:rsidRPr="005C6123" w:rsidRDefault="00A0524C" w:rsidP="005D2939">
            <w:pPr>
              <w:pStyle w:val="ListParagraph"/>
              <w:numPr>
                <w:ilvl w:val="0"/>
                <w:numId w:val="43"/>
              </w:numPr>
              <w:spacing w:before="40" w:after="40" w:line="276" w:lineRule="auto"/>
              <w:ind w:left="179" w:hanging="179"/>
              <w:contextualSpacing w:val="0"/>
              <w:rPr>
                <w:rFonts w:eastAsia="Times New Roman"/>
                <w:bCs/>
                <w:color w:val="000000"/>
                <w:sz w:val="15"/>
                <w:szCs w:val="15"/>
              </w:rPr>
            </w:pPr>
            <w:r w:rsidRPr="005C6123">
              <w:rPr>
                <w:rFonts w:eastAsia="Times New Roman"/>
                <w:bCs/>
                <w:color w:val="000000"/>
                <w:sz w:val="15"/>
                <w:szCs w:val="15"/>
              </w:rPr>
              <w:t xml:space="preserve">Optical gas Imaging </w:t>
            </w:r>
          </w:p>
          <w:p w14:paraId="7763A916" w14:textId="77777777" w:rsidR="00A0524C" w:rsidRPr="005C6123" w:rsidRDefault="00A0524C" w:rsidP="005D2939">
            <w:pPr>
              <w:pStyle w:val="ListParagraph"/>
              <w:numPr>
                <w:ilvl w:val="0"/>
                <w:numId w:val="43"/>
              </w:numPr>
              <w:spacing w:before="40" w:after="40" w:line="276" w:lineRule="auto"/>
              <w:ind w:left="179" w:hanging="179"/>
              <w:contextualSpacing w:val="0"/>
              <w:rPr>
                <w:rFonts w:eastAsia="Times New Roman"/>
                <w:bCs/>
                <w:color w:val="000000"/>
                <w:sz w:val="15"/>
                <w:szCs w:val="15"/>
              </w:rPr>
            </w:pPr>
            <w:r w:rsidRPr="005C6123">
              <w:rPr>
                <w:rFonts w:eastAsia="Times New Roman"/>
                <w:bCs/>
                <w:color w:val="000000"/>
                <w:sz w:val="15"/>
                <w:szCs w:val="15"/>
              </w:rPr>
              <w:t>Analyzers (OVAs) and Toxic Vapor Analyzers (TVAs)</w:t>
            </w:r>
          </w:p>
        </w:tc>
        <w:tc>
          <w:tcPr>
            <w:tcW w:w="2258" w:type="dxa"/>
            <w:gridSpan w:val="6"/>
            <w:tcBorders>
              <w:left w:val="single" w:sz="4" w:space="0" w:color="208855" w:themeColor="accent1" w:themeShade="BF"/>
              <w:bottom w:val="single" w:sz="4" w:space="0" w:color="208855"/>
              <w:right w:val="single" w:sz="4" w:space="0" w:color="208855" w:themeColor="accent1" w:themeShade="BF"/>
            </w:tcBorders>
            <w:shd w:val="clear" w:color="auto" w:fill="auto"/>
          </w:tcPr>
          <w:p w14:paraId="455A99AB" w14:textId="77777777" w:rsidR="00A0524C" w:rsidRPr="005C6123" w:rsidRDefault="00A0524C" w:rsidP="005D2939">
            <w:pPr>
              <w:pStyle w:val="ListParagraph"/>
              <w:numPr>
                <w:ilvl w:val="0"/>
                <w:numId w:val="40"/>
              </w:numPr>
              <w:spacing w:before="40" w:after="40" w:line="240" w:lineRule="auto"/>
              <w:ind w:left="176" w:hanging="142"/>
              <w:contextualSpacing w:val="0"/>
              <w:rPr>
                <w:rFonts w:eastAsia="Times New Roman"/>
                <w:color w:val="000000"/>
                <w:sz w:val="15"/>
                <w:szCs w:val="15"/>
              </w:rPr>
            </w:pPr>
            <w:r w:rsidRPr="005C6123">
              <w:rPr>
                <w:rFonts w:eastAsia="Times New Roman"/>
                <w:color w:val="000000"/>
                <w:sz w:val="15"/>
                <w:szCs w:val="15"/>
              </w:rPr>
              <w:t>Turbine Meter</w:t>
            </w:r>
          </w:p>
          <w:p w14:paraId="3FC60585" w14:textId="77777777" w:rsidR="00A0524C" w:rsidRPr="005C6123" w:rsidRDefault="00A0524C" w:rsidP="005D2939">
            <w:pPr>
              <w:pStyle w:val="ListParagraph"/>
              <w:numPr>
                <w:ilvl w:val="0"/>
                <w:numId w:val="40"/>
              </w:numPr>
              <w:spacing w:before="40" w:after="40" w:line="240" w:lineRule="auto"/>
              <w:ind w:left="176" w:hanging="142"/>
              <w:contextualSpacing w:val="0"/>
              <w:rPr>
                <w:rFonts w:eastAsia="Times New Roman"/>
                <w:color w:val="000000"/>
                <w:sz w:val="15"/>
                <w:szCs w:val="15"/>
              </w:rPr>
            </w:pPr>
            <w:r w:rsidRPr="005C6123">
              <w:rPr>
                <w:rFonts w:eastAsia="Times New Roman"/>
                <w:color w:val="000000"/>
                <w:sz w:val="15"/>
                <w:szCs w:val="15"/>
              </w:rPr>
              <w:t>Calibrated vent bag*</w:t>
            </w:r>
          </w:p>
          <w:p w14:paraId="2ACE9556" w14:textId="77777777" w:rsidR="00A0524C" w:rsidRPr="005C6123" w:rsidRDefault="00A0524C" w:rsidP="005D2939">
            <w:pPr>
              <w:pStyle w:val="ListParagraph"/>
              <w:numPr>
                <w:ilvl w:val="0"/>
                <w:numId w:val="40"/>
              </w:numPr>
              <w:spacing w:before="40" w:after="40" w:line="240" w:lineRule="auto"/>
              <w:ind w:left="176" w:hanging="142"/>
              <w:contextualSpacing w:val="0"/>
              <w:rPr>
                <w:rFonts w:eastAsia="Times New Roman"/>
                <w:color w:val="000000"/>
                <w:sz w:val="15"/>
                <w:szCs w:val="15"/>
              </w:rPr>
            </w:pPr>
            <w:r w:rsidRPr="005C6123">
              <w:rPr>
                <w:rFonts w:eastAsia="Times New Roman"/>
                <w:color w:val="000000"/>
                <w:sz w:val="15"/>
                <w:szCs w:val="15"/>
              </w:rPr>
              <w:t>Vane anemometer*</w:t>
            </w:r>
          </w:p>
          <w:p w14:paraId="5243CBCC" w14:textId="77777777" w:rsidR="00A0524C" w:rsidRPr="005C6123" w:rsidRDefault="00A0524C" w:rsidP="005D2939">
            <w:pPr>
              <w:pStyle w:val="ListParagraph"/>
              <w:numPr>
                <w:ilvl w:val="0"/>
                <w:numId w:val="40"/>
              </w:numPr>
              <w:spacing w:before="40" w:after="40" w:line="240" w:lineRule="auto"/>
              <w:ind w:left="176" w:hanging="142"/>
              <w:contextualSpacing w:val="0"/>
              <w:rPr>
                <w:rFonts w:eastAsia="Times New Roman"/>
                <w:color w:val="000000"/>
                <w:sz w:val="15"/>
                <w:szCs w:val="15"/>
              </w:rPr>
            </w:pPr>
            <w:r w:rsidRPr="005C6123">
              <w:rPr>
                <w:rFonts w:eastAsia="Times New Roman"/>
                <w:color w:val="000000"/>
                <w:sz w:val="15"/>
                <w:szCs w:val="15"/>
              </w:rPr>
              <w:t>Hotwire anemometer*</w:t>
            </w:r>
          </w:p>
          <w:p w14:paraId="0DEE3CDC" w14:textId="77777777" w:rsidR="00A0524C" w:rsidRPr="005C6123" w:rsidRDefault="00A0524C" w:rsidP="005D2939">
            <w:pPr>
              <w:pStyle w:val="ListParagraph"/>
              <w:numPr>
                <w:ilvl w:val="0"/>
                <w:numId w:val="40"/>
              </w:numPr>
              <w:spacing w:before="40" w:after="40" w:line="240" w:lineRule="auto"/>
              <w:ind w:left="176" w:hanging="142"/>
              <w:contextualSpacing w:val="0"/>
              <w:rPr>
                <w:rFonts w:eastAsia="Times New Roman"/>
                <w:color w:val="000000"/>
                <w:sz w:val="15"/>
                <w:szCs w:val="15"/>
              </w:rPr>
            </w:pPr>
            <w:r w:rsidRPr="005C6123">
              <w:rPr>
                <w:rFonts w:eastAsia="Times New Roman"/>
                <w:color w:val="000000"/>
                <w:sz w:val="15"/>
                <w:szCs w:val="15"/>
              </w:rPr>
              <w:t>High volume sampler*</w:t>
            </w:r>
          </w:p>
        </w:tc>
        <w:tc>
          <w:tcPr>
            <w:tcW w:w="4993" w:type="dxa"/>
            <w:gridSpan w:val="16"/>
            <w:tcBorders>
              <w:left w:val="single" w:sz="4" w:space="0" w:color="208855" w:themeColor="accent1" w:themeShade="BF"/>
              <w:bottom w:val="single" w:sz="4" w:space="0" w:color="208855"/>
            </w:tcBorders>
            <w:shd w:val="clear" w:color="auto" w:fill="auto"/>
          </w:tcPr>
          <w:p w14:paraId="07A17F0B" w14:textId="77777777" w:rsidR="00A0524C" w:rsidRPr="005C6123" w:rsidRDefault="00A0524C" w:rsidP="005D2939">
            <w:pPr>
              <w:pStyle w:val="ListParagraph"/>
              <w:numPr>
                <w:ilvl w:val="0"/>
                <w:numId w:val="40"/>
              </w:numPr>
              <w:spacing w:before="40" w:after="40" w:line="240" w:lineRule="auto"/>
              <w:ind w:left="181" w:hanging="181"/>
              <w:contextualSpacing w:val="0"/>
              <w:rPr>
                <w:sz w:val="15"/>
                <w:szCs w:val="15"/>
              </w:rPr>
            </w:pPr>
            <w:r w:rsidRPr="005C6123">
              <w:rPr>
                <w:sz w:val="15"/>
                <w:szCs w:val="15"/>
              </w:rPr>
              <w:t>Direct measurement in conjunction with vent gas composition analysis</w:t>
            </w:r>
            <w:r w:rsidRPr="005C6123">
              <w:rPr>
                <w:rStyle w:val="FootnoteReference"/>
                <w:sz w:val="15"/>
                <w:szCs w:val="15"/>
              </w:rPr>
              <w:footnoteReference w:id="143"/>
            </w:r>
          </w:p>
          <w:p w14:paraId="59938889" w14:textId="77777777" w:rsidR="00A0524C" w:rsidRPr="005C6123" w:rsidRDefault="00A0524C" w:rsidP="005D2939">
            <w:pPr>
              <w:pStyle w:val="ListParagraph"/>
              <w:numPr>
                <w:ilvl w:val="0"/>
                <w:numId w:val="40"/>
              </w:numPr>
              <w:spacing w:before="40" w:after="40" w:line="240" w:lineRule="auto"/>
              <w:ind w:left="179" w:hanging="179"/>
              <w:contextualSpacing w:val="0"/>
              <w:rPr>
                <w:sz w:val="15"/>
                <w:szCs w:val="15"/>
              </w:rPr>
            </w:pPr>
            <w:r w:rsidRPr="005C6123">
              <w:rPr>
                <w:sz w:val="15"/>
                <w:szCs w:val="15"/>
              </w:rPr>
              <w:t>Estimation method through calculation with software (</w:t>
            </w:r>
            <w:proofErr w:type="spellStart"/>
            <w:r w:rsidRPr="005C6123">
              <w:rPr>
                <w:sz w:val="15"/>
                <w:szCs w:val="15"/>
              </w:rPr>
              <w:t>AspenTech</w:t>
            </w:r>
            <w:proofErr w:type="spellEnd"/>
            <w:r w:rsidRPr="005C6123">
              <w:rPr>
                <w:sz w:val="15"/>
                <w:szCs w:val="15"/>
              </w:rPr>
              <w:t xml:space="preserve"> HYSYS, E&amp;P TANKS)</w:t>
            </w:r>
            <w:r w:rsidRPr="005C6123">
              <w:rPr>
                <w:rStyle w:val="FootnoteReference"/>
                <w:sz w:val="15"/>
                <w:szCs w:val="15"/>
              </w:rPr>
              <w:footnoteReference w:id="144"/>
            </w:r>
          </w:p>
          <w:p w14:paraId="0BE9CAD0" w14:textId="77777777" w:rsidR="00A0524C" w:rsidRPr="005C6123" w:rsidRDefault="00A0524C" w:rsidP="005D2939">
            <w:pPr>
              <w:pStyle w:val="ListParagraph"/>
              <w:numPr>
                <w:ilvl w:val="0"/>
                <w:numId w:val="40"/>
              </w:numPr>
              <w:spacing w:before="40" w:after="40" w:line="240" w:lineRule="auto"/>
              <w:ind w:left="179" w:hanging="179"/>
              <w:contextualSpacing w:val="0"/>
              <w:rPr>
                <w:sz w:val="15"/>
                <w:szCs w:val="15"/>
              </w:rPr>
            </w:pPr>
            <w:r w:rsidRPr="005C6123">
              <w:rPr>
                <w:sz w:val="15"/>
                <w:szCs w:val="15"/>
              </w:rPr>
              <w:t>Lab analysis of hydrocarbon liquid</w:t>
            </w:r>
          </w:p>
          <w:p w14:paraId="23163547" w14:textId="77777777" w:rsidR="00A0524C" w:rsidRPr="005C6123" w:rsidRDefault="00A0524C" w:rsidP="005D2939">
            <w:pPr>
              <w:pStyle w:val="ListParagraph"/>
              <w:numPr>
                <w:ilvl w:val="0"/>
                <w:numId w:val="40"/>
              </w:numPr>
              <w:spacing w:before="40" w:after="40" w:line="240" w:lineRule="auto"/>
              <w:ind w:left="179" w:hanging="179"/>
              <w:contextualSpacing w:val="0"/>
              <w:rPr>
                <w:sz w:val="15"/>
                <w:szCs w:val="15"/>
              </w:rPr>
            </w:pPr>
            <w:r w:rsidRPr="005C6123">
              <w:rPr>
                <w:sz w:val="15"/>
                <w:szCs w:val="15"/>
              </w:rPr>
              <w:t>Emission factors (e.g. Sm</w:t>
            </w:r>
            <w:r w:rsidRPr="005C6123">
              <w:rPr>
                <w:sz w:val="15"/>
                <w:szCs w:val="15"/>
                <w:vertAlign w:val="superscript"/>
              </w:rPr>
              <w:t>3</w:t>
            </w:r>
            <w:r w:rsidRPr="005C6123">
              <w:rPr>
                <w:sz w:val="15"/>
                <w:szCs w:val="15"/>
              </w:rPr>
              <w:t>/</w:t>
            </w:r>
            <w:proofErr w:type="spellStart"/>
            <w:r w:rsidRPr="005C6123">
              <w:rPr>
                <w:sz w:val="15"/>
                <w:szCs w:val="15"/>
              </w:rPr>
              <w:t>bbl</w:t>
            </w:r>
            <w:proofErr w:type="spellEnd"/>
            <w:r w:rsidRPr="005C6123">
              <w:rPr>
                <w:sz w:val="15"/>
                <w:szCs w:val="15"/>
              </w:rPr>
              <w:t xml:space="preserve"> depending on the type of tank)</w:t>
            </w:r>
          </w:p>
        </w:tc>
      </w:tr>
      <w:tr w:rsidR="00A1239B" w:rsidRPr="00104E87" w14:paraId="071E8174" w14:textId="77777777" w:rsidTr="0059177F">
        <w:trPr>
          <w:gridAfter w:val="1"/>
          <w:wAfter w:w="9" w:type="dxa"/>
          <w:jc w:val="center"/>
        </w:trPr>
        <w:tc>
          <w:tcPr>
            <w:tcW w:w="2110" w:type="dxa"/>
            <w:gridSpan w:val="2"/>
            <w:tcBorders>
              <w:left w:val="nil"/>
              <w:bottom w:val="nil"/>
              <w:right w:val="nil"/>
            </w:tcBorders>
            <w:shd w:val="clear" w:color="auto" w:fill="auto"/>
          </w:tcPr>
          <w:p w14:paraId="7A1721A7" w14:textId="77777777" w:rsidR="00A1239B" w:rsidRDefault="00A1239B" w:rsidP="00A1239B">
            <w:pPr>
              <w:spacing w:before="40" w:after="40"/>
              <w:rPr>
                <w:rFonts w:eastAsia="Times New Roman"/>
                <w:bCs/>
                <w:color w:val="000000"/>
                <w:sz w:val="15"/>
                <w:szCs w:val="15"/>
              </w:rPr>
            </w:pPr>
          </w:p>
          <w:p w14:paraId="5CBC7A01" w14:textId="53E7AE50" w:rsidR="00A1239B" w:rsidRPr="00A1239B" w:rsidRDefault="00A1239B" w:rsidP="00A1239B">
            <w:pPr>
              <w:spacing w:before="40" w:after="40"/>
              <w:rPr>
                <w:rFonts w:eastAsia="Times New Roman"/>
                <w:bCs/>
                <w:color w:val="000000"/>
                <w:sz w:val="15"/>
                <w:szCs w:val="15"/>
              </w:rPr>
            </w:pPr>
          </w:p>
        </w:tc>
        <w:tc>
          <w:tcPr>
            <w:tcW w:w="2258" w:type="dxa"/>
            <w:gridSpan w:val="6"/>
            <w:tcBorders>
              <w:left w:val="nil"/>
              <w:bottom w:val="nil"/>
              <w:right w:val="nil"/>
            </w:tcBorders>
            <w:shd w:val="clear" w:color="auto" w:fill="auto"/>
          </w:tcPr>
          <w:p w14:paraId="5045C78C" w14:textId="77777777" w:rsidR="00A1239B" w:rsidRDefault="00A1239B" w:rsidP="00A1239B">
            <w:pPr>
              <w:pStyle w:val="ListParagraph"/>
              <w:spacing w:before="40" w:after="40" w:line="240" w:lineRule="auto"/>
              <w:ind w:left="176"/>
              <w:contextualSpacing w:val="0"/>
              <w:rPr>
                <w:rFonts w:eastAsia="Times New Roman"/>
                <w:color w:val="000000"/>
                <w:sz w:val="15"/>
                <w:szCs w:val="15"/>
              </w:rPr>
            </w:pPr>
          </w:p>
          <w:p w14:paraId="003360FA" w14:textId="77777777" w:rsidR="00AB1CB7" w:rsidRDefault="00AB1CB7" w:rsidP="00A1239B">
            <w:pPr>
              <w:pStyle w:val="ListParagraph"/>
              <w:spacing w:before="40" w:after="40" w:line="240" w:lineRule="auto"/>
              <w:ind w:left="176"/>
              <w:contextualSpacing w:val="0"/>
              <w:rPr>
                <w:rFonts w:eastAsia="Times New Roman"/>
                <w:color w:val="000000"/>
                <w:sz w:val="15"/>
                <w:szCs w:val="15"/>
              </w:rPr>
            </w:pPr>
          </w:p>
          <w:p w14:paraId="2713FCA5" w14:textId="77777777" w:rsidR="00AB1CB7" w:rsidRDefault="00AB1CB7" w:rsidP="00A1239B">
            <w:pPr>
              <w:pStyle w:val="ListParagraph"/>
              <w:spacing w:before="40" w:after="40" w:line="240" w:lineRule="auto"/>
              <w:ind w:left="176"/>
              <w:contextualSpacing w:val="0"/>
              <w:rPr>
                <w:rFonts w:eastAsia="Times New Roman"/>
                <w:color w:val="000000"/>
                <w:sz w:val="15"/>
                <w:szCs w:val="15"/>
              </w:rPr>
            </w:pPr>
          </w:p>
          <w:p w14:paraId="45A1684E" w14:textId="1F183849" w:rsidR="00AB1CB7" w:rsidRPr="00AB1CB7" w:rsidRDefault="00AB1CB7" w:rsidP="00AB1CB7">
            <w:pPr>
              <w:spacing w:before="40" w:after="40" w:line="240" w:lineRule="auto"/>
              <w:rPr>
                <w:rFonts w:eastAsia="Times New Roman"/>
                <w:color w:val="000000"/>
                <w:sz w:val="15"/>
                <w:szCs w:val="15"/>
              </w:rPr>
            </w:pPr>
          </w:p>
        </w:tc>
        <w:tc>
          <w:tcPr>
            <w:tcW w:w="4993" w:type="dxa"/>
            <w:gridSpan w:val="16"/>
            <w:tcBorders>
              <w:left w:val="nil"/>
              <w:bottom w:val="nil"/>
              <w:right w:val="nil"/>
            </w:tcBorders>
            <w:shd w:val="clear" w:color="auto" w:fill="auto"/>
          </w:tcPr>
          <w:p w14:paraId="5C2B6069" w14:textId="77777777" w:rsidR="00A1239B" w:rsidRPr="00A1239B" w:rsidRDefault="00A1239B" w:rsidP="00A1239B">
            <w:pPr>
              <w:spacing w:before="40" w:after="40" w:line="240" w:lineRule="auto"/>
              <w:rPr>
                <w:sz w:val="15"/>
                <w:szCs w:val="15"/>
              </w:rPr>
            </w:pPr>
          </w:p>
        </w:tc>
      </w:tr>
      <w:tr w:rsidR="00AB1CB7" w:rsidRPr="005C6123" w:rsidDel="00994E71" w14:paraId="6E78073C" w14:textId="77777777" w:rsidTr="0059177F">
        <w:trPr>
          <w:gridAfter w:val="1"/>
          <w:wAfter w:w="9" w:type="dxa"/>
          <w:trHeight w:val="538"/>
          <w:jc w:val="center"/>
        </w:trPr>
        <w:tc>
          <w:tcPr>
            <w:tcW w:w="6616" w:type="dxa"/>
            <w:gridSpan w:val="11"/>
            <w:tcBorders>
              <w:top w:val="nil"/>
              <w:left w:val="single" w:sz="2" w:space="0" w:color="208855" w:themeColor="accent1" w:themeShade="BF"/>
              <w:bottom w:val="single" w:sz="2" w:space="0" w:color="2BB673" w:themeColor="text2"/>
            </w:tcBorders>
            <w:shd w:val="clear" w:color="auto" w:fill="208855" w:themeFill="accent1" w:themeFillShade="BF"/>
            <w:vAlign w:val="center"/>
          </w:tcPr>
          <w:p w14:paraId="5552B980" w14:textId="7292F468" w:rsidR="00AB1CB7" w:rsidRPr="00FB48A1" w:rsidRDefault="00AB1CB7" w:rsidP="00AB1CB7">
            <w:pPr>
              <w:pStyle w:val="ListParagraph"/>
              <w:numPr>
                <w:ilvl w:val="0"/>
                <w:numId w:val="36"/>
              </w:numPr>
              <w:spacing w:before="60" w:after="60" w:line="276" w:lineRule="auto"/>
              <w:ind w:left="0" w:hanging="357"/>
              <w:contextualSpacing w:val="0"/>
              <w:rPr>
                <w:b/>
                <w:bCs/>
                <w:color w:val="FFFFFF"/>
              </w:rPr>
            </w:pPr>
            <w:r w:rsidRPr="000941A9">
              <w:rPr>
                <w:b/>
                <w:bCs/>
                <w:color w:val="FFFFFF"/>
              </w:rPr>
              <w:t>Emission source categories along the value chain</w:t>
            </w:r>
          </w:p>
        </w:tc>
        <w:tc>
          <w:tcPr>
            <w:tcW w:w="696" w:type="dxa"/>
            <w:gridSpan w:val="3"/>
            <w:tcBorders>
              <w:top w:val="nil"/>
              <w:bottom w:val="single" w:sz="2" w:space="0" w:color="2BB673" w:themeColor="text2"/>
            </w:tcBorders>
            <w:shd w:val="clear" w:color="auto" w:fill="155B39" w:themeFill="accent6"/>
            <w:vAlign w:val="center"/>
          </w:tcPr>
          <w:p w14:paraId="61A34FEB" w14:textId="0AB73C63" w:rsidR="00AB1CB7" w:rsidRPr="005C6123" w:rsidRDefault="00AB1CB7" w:rsidP="00AB1CB7">
            <w:pPr>
              <w:pStyle w:val="ListParagraph"/>
              <w:spacing w:after="0" w:line="276" w:lineRule="auto"/>
              <w:contextualSpacing w:val="0"/>
              <w:jc w:val="center"/>
              <w:rPr>
                <w:color w:val="FFFFFF"/>
                <w:sz w:val="24"/>
                <w:szCs w:val="24"/>
              </w:rPr>
            </w:pPr>
            <w:r w:rsidRPr="005C6123">
              <w:rPr>
                <w:b/>
                <w:bCs/>
                <w:color w:val="FFFFFF"/>
                <w:sz w:val="14"/>
                <w:szCs w:val="14"/>
                <w:lang w:val="nb-NO"/>
              </w:rPr>
              <w:t>P</w:t>
            </w:r>
          </w:p>
        </w:tc>
        <w:tc>
          <w:tcPr>
            <w:tcW w:w="676" w:type="dxa"/>
            <w:gridSpan w:val="4"/>
            <w:tcBorders>
              <w:top w:val="nil"/>
              <w:bottom w:val="single" w:sz="2" w:space="0" w:color="2BB673" w:themeColor="text2"/>
            </w:tcBorders>
            <w:shd w:val="clear" w:color="auto" w:fill="155B39" w:themeFill="accent6"/>
            <w:vAlign w:val="center"/>
          </w:tcPr>
          <w:p w14:paraId="513DE434" w14:textId="32944628" w:rsidR="00AB1CB7" w:rsidRPr="005C6123" w:rsidRDefault="00AB1CB7" w:rsidP="00AB1CB7">
            <w:pPr>
              <w:pStyle w:val="ListParagraph"/>
              <w:spacing w:after="0" w:line="276" w:lineRule="auto"/>
              <w:contextualSpacing w:val="0"/>
              <w:jc w:val="center"/>
              <w:rPr>
                <w:color w:val="FFFFFF"/>
                <w:sz w:val="24"/>
                <w:szCs w:val="24"/>
              </w:rPr>
            </w:pPr>
            <w:r w:rsidRPr="005C6123">
              <w:rPr>
                <w:b/>
                <w:bCs/>
                <w:color w:val="FFFFFF"/>
                <w:sz w:val="14"/>
                <w:szCs w:val="14"/>
              </w:rPr>
              <w:t>G&amp;P</w:t>
            </w:r>
          </w:p>
        </w:tc>
        <w:tc>
          <w:tcPr>
            <w:tcW w:w="684" w:type="dxa"/>
            <w:gridSpan w:val="4"/>
            <w:tcBorders>
              <w:top w:val="nil"/>
              <w:bottom w:val="single" w:sz="2" w:space="0" w:color="2BB673" w:themeColor="text2"/>
            </w:tcBorders>
            <w:shd w:val="clear" w:color="auto" w:fill="155B39" w:themeFill="accent6"/>
            <w:vAlign w:val="center"/>
          </w:tcPr>
          <w:p w14:paraId="4E688611" w14:textId="7D543C1A" w:rsidR="00AB1CB7" w:rsidRPr="005C6123" w:rsidRDefault="00AB1CB7" w:rsidP="00AB1CB7">
            <w:pPr>
              <w:pStyle w:val="ListParagraph"/>
              <w:spacing w:after="0" w:line="276" w:lineRule="auto"/>
              <w:contextualSpacing w:val="0"/>
              <w:jc w:val="center"/>
              <w:rPr>
                <w:color w:val="FFFFFF"/>
                <w:sz w:val="24"/>
                <w:szCs w:val="24"/>
              </w:rPr>
            </w:pPr>
            <w:r w:rsidRPr="005C6123">
              <w:rPr>
                <w:b/>
                <w:bCs/>
                <w:color w:val="FFFFFF"/>
                <w:sz w:val="14"/>
                <w:szCs w:val="14"/>
              </w:rPr>
              <w:t>T&amp;S</w:t>
            </w:r>
          </w:p>
        </w:tc>
        <w:tc>
          <w:tcPr>
            <w:tcW w:w="689" w:type="dxa"/>
            <w:gridSpan w:val="2"/>
            <w:tcBorders>
              <w:top w:val="nil"/>
              <w:bottom w:val="single" w:sz="2" w:space="0" w:color="2BB673" w:themeColor="text2"/>
              <w:right w:val="single" w:sz="2" w:space="0" w:color="208855" w:themeColor="accent1" w:themeShade="BF"/>
            </w:tcBorders>
            <w:shd w:val="clear" w:color="auto" w:fill="155B39" w:themeFill="accent6"/>
            <w:vAlign w:val="center"/>
          </w:tcPr>
          <w:p w14:paraId="1AEC1897" w14:textId="2392ADE7" w:rsidR="00AB1CB7" w:rsidRPr="005C6123" w:rsidRDefault="00AB1CB7" w:rsidP="00AB1CB7">
            <w:pPr>
              <w:pStyle w:val="ListParagraph"/>
              <w:spacing w:after="0" w:line="276" w:lineRule="auto"/>
              <w:contextualSpacing w:val="0"/>
              <w:jc w:val="center"/>
              <w:rPr>
                <w:color w:val="FFFFFF"/>
                <w:sz w:val="24"/>
                <w:szCs w:val="24"/>
              </w:rPr>
            </w:pPr>
            <w:r w:rsidRPr="00A2317D">
              <w:rPr>
                <w:b/>
                <w:bCs/>
                <w:color w:val="FFFFFF"/>
                <w:sz w:val="14"/>
                <w:szCs w:val="14"/>
              </w:rPr>
              <w:t>D</w:t>
            </w:r>
          </w:p>
        </w:tc>
      </w:tr>
      <w:tr w:rsidR="00A0524C" w:rsidRPr="005C6123" w:rsidDel="00994E71" w14:paraId="0BC56015" w14:textId="77777777" w:rsidTr="0059177F">
        <w:trPr>
          <w:gridAfter w:val="1"/>
          <w:wAfter w:w="9" w:type="dxa"/>
          <w:trHeight w:val="579"/>
          <w:jc w:val="center"/>
        </w:trPr>
        <w:tc>
          <w:tcPr>
            <w:tcW w:w="6616" w:type="dxa"/>
            <w:gridSpan w:val="11"/>
            <w:tcBorders>
              <w:top w:val="single" w:sz="2" w:space="0" w:color="2BB673" w:themeColor="text2"/>
              <w:left w:val="single" w:sz="2" w:space="0" w:color="208855" w:themeColor="accent1" w:themeShade="BF"/>
              <w:bottom w:val="nil"/>
            </w:tcBorders>
            <w:shd w:val="clear" w:color="auto" w:fill="208855" w:themeFill="accent1" w:themeFillShade="BF"/>
          </w:tcPr>
          <w:p w14:paraId="67990EE4" w14:textId="77777777" w:rsidR="00A0524C" w:rsidRPr="005C6123" w:rsidRDefault="00A0524C" w:rsidP="005D2939">
            <w:pPr>
              <w:pStyle w:val="ListParagraph"/>
              <w:numPr>
                <w:ilvl w:val="0"/>
                <w:numId w:val="36"/>
              </w:numPr>
              <w:spacing w:before="60" w:after="60" w:line="276" w:lineRule="auto"/>
              <w:ind w:left="0" w:hanging="357"/>
              <w:contextualSpacing w:val="0"/>
              <w:rPr>
                <w:color w:val="FFFFFF"/>
                <w:sz w:val="16"/>
                <w:szCs w:val="16"/>
              </w:rPr>
            </w:pPr>
            <w:r w:rsidRPr="00FB48A1">
              <w:rPr>
                <w:b/>
                <w:bCs/>
                <w:color w:val="FFFFFF"/>
              </w:rPr>
              <w:t>10. Equipment depressurization and blowdowns from pipelines and facilities</w:t>
            </w:r>
          </w:p>
        </w:tc>
        <w:tc>
          <w:tcPr>
            <w:tcW w:w="696" w:type="dxa"/>
            <w:gridSpan w:val="3"/>
            <w:tcBorders>
              <w:top w:val="single" w:sz="2" w:space="0" w:color="2BB673" w:themeColor="text2"/>
              <w:bottom w:val="nil"/>
            </w:tcBorders>
            <w:shd w:val="clear" w:color="auto" w:fill="155B39" w:themeFill="accent6"/>
            <w:vAlign w:val="center"/>
          </w:tcPr>
          <w:p w14:paraId="75DD20F5" w14:textId="77777777" w:rsidR="00A0524C" w:rsidRPr="005C6123" w:rsidDel="00994E71" w:rsidRDefault="00A0524C" w:rsidP="00A0524C">
            <w:pPr>
              <w:pStyle w:val="ListParagraph"/>
              <w:spacing w:after="0" w:line="276" w:lineRule="auto"/>
              <w:contextualSpacing w:val="0"/>
              <w:jc w:val="center"/>
              <w:rPr>
                <w:color w:val="FFFFFF"/>
                <w:sz w:val="24"/>
                <w:szCs w:val="24"/>
              </w:rPr>
            </w:pPr>
            <w:r w:rsidRPr="005C6123">
              <w:rPr>
                <w:color w:val="FFFFFF"/>
                <w:sz w:val="24"/>
                <w:szCs w:val="24"/>
              </w:rPr>
              <w:sym w:font="Symbol" w:char="F0B7"/>
            </w:r>
          </w:p>
        </w:tc>
        <w:tc>
          <w:tcPr>
            <w:tcW w:w="676" w:type="dxa"/>
            <w:gridSpan w:val="4"/>
            <w:tcBorders>
              <w:top w:val="single" w:sz="2" w:space="0" w:color="2BB673" w:themeColor="text2"/>
              <w:bottom w:val="nil"/>
            </w:tcBorders>
            <w:shd w:val="clear" w:color="auto" w:fill="155B39" w:themeFill="accent6"/>
            <w:vAlign w:val="center"/>
          </w:tcPr>
          <w:p w14:paraId="3F4658EE" w14:textId="77777777" w:rsidR="00A0524C" w:rsidRPr="005C6123" w:rsidDel="00994E71" w:rsidRDefault="00A0524C" w:rsidP="00A0524C">
            <w:pPr>
              <w:pStyle w:val="ListParagraph"/>
              <w:spacing w:after="0" w:line="276" w:lineRule="auto"/>
              <w:contextualSpacing w:val="0"/>
              <w:jc w:val="center"/>
              <w:rPr>
                <w:color w:val="FFFFFF"/>
                <w:szCs w:val="20"/>
              </w:rPr>
            </w:pPr>
            <w:r w:rsidRPr="005C6123">
              <w:rPr>
                <w:color w:val="FFFFFF"/>
                <w:sz w:val="24"/>
                <w:szCs w:val="24"/>
              </w:rPr>
              <w:sym w:font="Symbol" w:char="F0B7"/>
            </w:r>
          </w:p>
        </w:tc>
        <w:tc>
          <w:tcPr>
            <w:tcW w:w="684" w:type="dxa"/>
            <w:gridSpan w:val="4"/>
            <w:tcBorders>
              <w:top w:val="single" w:sz="2" w:space="0" w:color="2BB673" w:themeColor="text2"/>
              <w:bottom w:val="nil"/>
            </w:tcBorders>
            <w:shd w:val="clear" w:color="auto" w:fill="155B39" w:themeFill="accent6"/>
            <w:vAlign w:val="center"/>
          </w:tcPr>
          <w:p w14:paraId="08CE7B1B" w14:textId="77777777" w:rsidR="00A0524C" w:rsidRPr="005C6123" w:rsidDel="00994E71" w:rsidRDefault="00A0524C" w:rsidP="00A0524C">
            <w:pPr>
              <w:pStyle w:val="ListParagraph"/>
              <w:spacing w:after="0" w:line="276" w:lineRule="auto"/>
              <w:contextualSpacing w:val="0"/>
              <w:jc w:val="center"/>
              <w:rPr>
                <w:color w:val="FFFFFF"/>
                <w:szCs w:val="20"/>
              </w:rPr>
            </w:pPr>
            <w:r w:rsidRPr="005C6123">
              <w:rPr>
                <w:color w:val="FFFFFF"/>
                <w:sz w:val="24"/>
                <w:szCs w:val="24"/>
              </w:rPr>
              <w:sym w:font="Symbol" w:char="F0B7"/>
            </w:r>
          </w:p>
        </w:tc>
        <w:tc>
          <w:tcPr>
            <w:tcW w:w="689" w:type="dxa"/>
            <w:gridSpan w:val="2"/>
            <w:tcBorders>
              <w:top w:val="single" w:sz="2" w:space="0" w:color="2BB673" w:themeColor="text2"/>
              <w:bottom w:val="nil"/>
              <w:right w:val="single" w:sz="2" w:space="0" w:color="208855" w:themeColor="accent1" w:themeShade="BF"/>
            </w:tcBorders>
            <w:shd w:val="clear" w:color="auto" w:fill="155B39" w:themeFill="accent6"/>
            <w:vAlign w:val="center"/>
          </w:tcPr>
          <w:p w14:paraId="745569B6" w14:textId="77777777" w:rsidR="00A0524C" w:rsidRPr="005C6123" w:rsidDel="00994E71" w:rsidRDefault="00A0524C" w:rsidP="00A0524C">
            <w:pPr>
              <w:pStyle w:val="ListParagraph"/>
              <w:spacing w:after="0" w:line="276" w:lineRule="auto"/>
              <w:contextualSpacing w:val="0"/>
              <w:jc w:val="center"/>
              <w:rPr>
                <w:color w:val="FFFFFF"/>
                <w:szCs w:val="20"/>
              </w:rPr>
            </w:pPr>
            <w:r w:rsidRPr="005C6123">
              <w:rPr>
                <w:color w:val="FFFFFF"/>
                <w:sz w:val="24"/>
                <w:szCs w:val="24"/>
              </w:rPr>
              <w:sym w:font="Symbol" w:char="F0B7"/>
            </w:r>
          </w:p>
        </w:tc>
      </w:tr>
      <w:tr w:rsidR="00A0524C" w:rsidRPr="005C6123" w14:paraId="1C622B53" w14:textId="77777777" w:rsidTr="0059177F">
        <w:trPr>
          <w:gridAfter w:val="1"/>
          <w:wAfter w:w="9" w:type="dxa"/>
          <w:trHeight w:val="1737"/>
          <w:jc w:val="center"/>
        </w:trPr>
        <w:tc>
          <w:tcPr>
            <w:tcW w:w="6616" w:type="dxa"/>
            <w:gridSpan w:val="11"/>
            <w:tcBorders>
              <w:top w:val="single" w:sz="4" w:space="0" w:color="208855" w:themeColor="accent1" w:themeShade="BF"/>
              <w:left w:val="single" w:sz="4" w:space="0" w:color="208855" w:themeColor="accent1" w:themeShade="BF"/>
              <w:bottom w:val="nil"/>
            </w:tcBorders>
            <w:shd w:val="clear" w:color="auto" w:fill="D0F4E3" w:themeFill="accent1" w:themeFillTint="33"/>
          </w:tcPr>
          <w:p w14:paraId="2E03CDF0" w14:textId="77777777" w:rsidR="00A0524C" w:rsidRPr="00EA139D" w:rsidRDefault="00A0524C" w:rsidP="005D2939">
            <w:pPr>
              <w:pStyle w:val="ListParagraph"/>
              <w:numPr>
                <w:ilvl w:val="0"/>
                <w:numId w:val="36"/>
              </w:numPr>
              <w:spacing w:before="120" w:after="100" w:afterAutospacing="1" w:line="276" w:lineRule="auto"/>
              <w:ind w:left="0" w:hanging="357"/>
              <w:contextualSpacing w:val="0"/>
              <w:rPr>
                <w:bCs/>
                <w:sz w:val="16"/>
                <w:szCs w:val="16"/>
              </w:rPr>
            </w:pPr>
            <w:r w:rsidRPr="00EA139D">
              <w:rPr>
                <w:bCs/>
                <w:sz w:val="16"/>
                <w:szCs w:val="16"/>
              </w:rPr>
              <w:t>The term gas blowdown refers to the venting of gas accumulated in equipment, process facilities, and pipelines. During equipment depressurization and blowdown, gas is released from a pipeline or other equipment and facilities prior to maintenance or in the case of emergency shutdown. In the case of a pipeline blowdown for example, the amount of methane released is related to the diameter of the pipe, the pressure of the gas in the pipe, and the length of the section that is blown down. The amount of methane released from general equipment depressurization is extremely variable.</w:t>
            </w:r>
          </w:p>
        </w:tc>
        <w:tc>
          <w:tcPr>
            <w:tcW w:w="2745" w:type="dxa"/>
            <w:gridSpan w:val="13"/>
            <w:tcBorders>
              <w:top w:val="single" w:sz="4" w:space="0" w:color="208855" w:themeColor="accent1" w:themeShade="BF"/>
              <w:bottom w:val="nil"/>
              <w:right w:val="single" w:sz="4" w:space="0" w:color="208855" w:themeColor="accent1" w:themeShade="BF"/>
            </w:tcBorders>
            <w:shd w:val="clear" w:color="auto" w:fill="D0F4E3" w:themeFill="accent1" w:themeFillTint="33"/>
          </w:tcPr>
          <w:p w14:paraId="63002E87"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1905CFAE"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r>
              <w:rPr>
                <w:b/>
                <w:noProof/>
                <w:sz w:val="16"/>
                <w:szCs w:val="16"/>
                <w:lang w:val="nb-NO" w:eastAsia="nb-NO"/>
              </w:rPr>
              <w:drawing>
                <wp:inline distT="0" distB="0" distL="0" distR="0" wp14:anchorId="7E46160C" wp14:editId="61C8B4E8">
                  <wp:extent cx="1492250" cy="838200"/>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2250" cy="838200"/>
                          </a:xfrm>
                          <a:prstGeom prst="rect">
                            <a:avLst/>
                          </a:prstGeom>
                          <a:noFill/>
                          <a:ln>
                            <a:noFill/>
                          </a:ln>
                        </pic:spPr>
                      </pic:pic>
                    </a:graphicData>
                  </a:graphic>
                </wp:inline>
              </w:drawing>
            </w:r>
          </w:p>
          <w:p w14:paraId="0EFD0980" w14:textId="77777777" w:rsidR="00A0524C" w:rsidRPr="00EA139D" w:rsidRDefault="00A0524C" w:rsidP="005D2939">
            <w:pPr>
              <w:pStyle w:val="ListParagraph"/>
              <w:keepNext/>
              <w:numPr>
                <w:ilvl w:val="0"/>
                <w:numId w:val="36"/>
              </w:numPr>
              <w:spacing w:before="100" w:beforeAutospacing="1" w:after="40" w:line="276" w:lineRule="auto"/>
              <w:ind w:left="0" w:hanging="357"/>
              <w:contextualSpacing w:val="0"/>
              <w:rPr>
                <w:color w:val="000000"/>
                <w:sz w:val="10"/>
                <w:szCs w:val="10"/>
              </w:rPr>
            </w:pPr>
            <w:r w:rsidRPr="005C6123">
              <w:rPr>
                <w:color w:val="000000"/>
                <w:sz w:val="10"/>
                <w:szCs w:val="10"/>
              </w:rPr>
              <w:t xml:space="preserve">Image Source: </w:t>
            </w:r>
            <w:proofErr w:type="spellStart"/>
            <w:r w:rsidRPr="005C6123">
              <w:rPr>
                <w:color w:val="000000"/>
                <w:sz w:val="10"/>
                <w:szCs w:val="10"/>
              </w:rPr>
              <w:t>Pipeliner</w:t>
            </w:r>
            <w:proofErr w:type="spellEnd"/>
            <w:r w:rsidRPr="005C6123">
              <w:rPr>
                <w:color w:val="000000"/>
                <w:sz w:val="10"/>
                <w:szCs w:val="10"/>
              </w:rPr>
              <w:t xml:space="preserve"> Channel</w:t>
            </w:r>
          </w:p>
        </w:tc>
      </w:tr>
      <w:tr w:rsidR="00A0524C" w:rsidRPr="00104E87" w14:paraId="33066CA8" w14:textId="77777777" w:rsidTr="0059177F">
        <w:trPr>
          <w:gridAfter w:val="1"/>
          <w:wAfter w:w="9" w:type="dxa"/>
          <w:trHeight w:val="2328"/>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7D24CEFD" w14:textId="77777777" w:rsidR="00A0524C" w:rsidRPr="005C6123" w:rsidRDefault="00A0524C" w:rsidP="005D2939">
            <w:pPr>
              <w:pStyle w:val="ListParagraph"/>
              <w:numPr>
                <w:ilvl w:val="0"/>
                <w:numId w:val="36"/>
              </w:numPr>
              <w:spacing w:before="60" w:after="60" w:line="276" w:lineRule="auto"/>
              <w:ind w:left="0" w:hanging="357"/>
              <w:contextualSpacing w:val="0"/>
              <w:rPr>
                <w:b/>
                <w:bCs/>
                <w:sz w:val="16"/>
                <w:szCs w:val="16"/>
              </w:rPr>
            </w:pPr>
            <w:r w:rsidRPr="005C6123">
              <w:rPr>
                <w:b/>
                <w:bCs/>
                <w:sz w:val="16"/>
                <w:szCs w:val="16"/>
              </w:rPr>
              <w:t>Mitigation Techniques:</w:t>
            </w:r>
          </w:p>
          <w:p w14:paraId="0825B6D3" w14:textId="77777777" w:rsidR="00A0524C" w:rsidRPr="005C6123" w:rsidRDefault="00A0524C" w:rsidP="005D2939">
            <w:pPr>
              <w:pStyle w:val="ListParagraph"/>
              <w:numPr>
                <w:ilvl w:val="0"/>
                <w:numId w:val="61"/>
              </w:numPr>
              <w:spacing w:before="60" w:after="60" w:line="240" w:lineRule="auto"/>
              <w:ind w:left="176" w:hanging="142"/>
              <w:contextualSpacing w:val="0"/>
              <w:rPr>
                <w:bCs/>
                <w:sz w:val="16"/>
                <w:szCs w:val="16"/>
              </w:rPr>
            </w:pPr>
            <w:r w:rsidRPr="005C6123">
              <w:rPr>
                <w:bCs/>
                <w:sz w:val="16"/>
                <w:szCs w:val="16"/>
              </w:rPr>
              <w:t>Lower pressure in the pipeline prior to event through a mobile compressor stations (for pipeline repairs)</w:t>
            </w:r>
          </w:p>
          <w:p w14:paraId="29E37A52" w14:textId="77777777" w:rsidR="00A0524C" w:rsidRPr="005C6123" w:rsidRDefault="00A0524C" w:rsidP="005D2939">
            <w:pPr>
              <w:pStyle w:val="ListParagraph"/>
              <w:numPr>
                <w:ilvl w:val="0"/>
                <w:numId w:val="61"/>
              </w:numPr>
              <w:spacing w:before="60" w:after="60" w:line="240" w:lineRule="auto"/>
              <w:ind w:left="176" w:hanging="142"/>
              <w:contextualSpacing w:val="0"/>
              <w:rPr>
                <w:bCs/>
                <w:sz w:val="16"/>
                <w:szCs w:val="16"/>
              </w:rPr>
            </w:pPr>
            <w:r w:rsidRPr="005C6123">
              <w:rPr>
                <w:bCs/>
                <w:sz w:val="16"/>
                <w:szCs w:val="16"/>
              </w:rPr>
              <w:t>Install plugging equipment to shorten segment of pipeline involved in outage</w:t>
            </w:r>
          </w:p>
          <w:p w14:paraId="16D86213" w14:textId="77777777" w:rsidR="00A0524C" w:rsidRPr="005C6123" w:rsidRDefault="00A0524C" w:rsidP="005D2939">
            <w:pPr>
              <w:pStyle w:val="ListParagraph"/>
              <w:numPr>
                <w:ilvl w:val="0"/>
                <w:numId w:val="61"/>
              </w:numPr>
              <w:spacing w:before="60" w:after="60" w:line="240" w:lineRule="auto"/>
              <w:ind w:left="176" w:hanging="142"/>
              <w:contextualSpacing w:val="0"/>
              <w:rPr>
                <w:bCs/>
                <w:sz w:val="16"/>
                <w:szCs w:val="16"/>
              </w:rPr>
            </w:pPr>
            <w:r w:rsidRPr="005C6123">
              <w:rPr>
                <w:bCs/>
                <w:sz w:val="16"/>
                <w:szCs w:val="16"/>
              </w:rPr>
              <w:t>Use isolation valves to minimize impact</w:t>
            </w:r>
          </w:p>
          <w:p w14:paraId="063734EB" w14:textId="77777777" w:rsidR="00A0524C" w:rsidRPr="005C6123" w:rsidRDefault="00A0524C" w:rsidP="005D2939">
            <w:pPr>
              <w:pStyle w:val="ListParagraph"/>
              <w:numPr>
                <w:ilvl w:val="0"/>
                <w:numId w:val="61"/>
              </w:numPr>
              <w:spacing w:before="60" w:after="60" w:line="240" w:lineRule="auto"/>
              <w:ind w:left="176" w:hanging="142"/>
              <w:contextualSpacing w:val="0"/>
              <w:rPr>
                <w:bCs/>
                <w:sz w:val="16"/>
                <w:szCs w:val="16"/>
              </w:rPr>
            </w:pPr>
            <w:r w:rsidRPr="005C6123">
              <w:rPr>
                <w:bCs/>
                <w:sz w:val="16"/>
                <w:szCs w:val="16"/>
              </w:rPr>
              <w:t>Re-direct gas into storage vessel (field) or low-pressure header (fuel gas or gathering system).</w:t>
            </w:r>
          </w:p>
          <w:p w14:paraId="0EF5CFD3" w14:textId="77777777" w:rsidR="00A0524C" w:rsidRPr="005C6123" w:rsidDel="00F662EB" w:rsidRDefault="00A0524C" w:rsidP="005D2939">
            <w:pPr>
              <w:pStyle w:val="ListParagraph"/>
              <w:numPr>
                <w:ilvl w:val="0"/>
                <w:numId w:val="61"/>
              </w:numPr>
              <w:spacing w:before="60" w:after="60" w:line="240" w:lineRule="auto"/>
              <w:ind w:left="176" w:hanging="142"/>
              <w:contextualSpacing w:val="0"/>
              <w:rPr>
                <w:bCs/>
                <w:sz w:val="16"/>
                <w:szCs w:val="16"/>
              </w:rPr>
            </w:pPr>
            <w:r w:rsidRPr="005C6123">
              <w:rPr>
                <w:bCs/>
                <w:sz w:val="16"/>
                <w:szCs w:val="16"/>
              </w:rPr>
              <w:t xml:space="preserve">Rerouting the natural gas to a duct burner, thermal oxidizer or flares where possible (upstream) to recover a portion of all of the blowdown gas. </w:t>
            </w:r>
          </w:p>
        </w:tc>
        <w:tc>
          <w:tcPr>
            <w:tcW w:w="2745" w:type="dxa"/>
            <w:gridSpan w:val="13"/>
            <w:tcBorders>
              <w:top w:val="nil"/>
              <w:bottom w:val="single" w:sz="4" w:space="0" w:color="208855" w:themeColor="accent1" w:themeShade="BF"/>
              <w:right w:val="single" w:sz="4" w:space="0" w:color="208855" w:themeColor="accent1" w:themeShade="BF"/>
            </w:tcBorders>
            <w:shd w:val="clear" w:color="auto" w:fill="auto"/>
          </w:tcPr>
          <w:p w14:paraId="07328AD4"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39048AD5" w14:textId="77777777" w:rsidR="00A0524C" w:rsidRPr="005C6123" w:rsidRDefault="000941A9" w:rsidP="00A0524C">
            <w:pPr>
              <w:spacing w:line="240" w:lineRule="auto"/>
              <w:rPr>
                <w:sz w:val="14"/>
                <w:szCs w:val="16"/>
                <w:lang w:val="en-US"/>
              </w:rPr>
            </w:pPr>
            <w:hyperlink r:id="rId50" w:history="1">
              <w:r w:rsidR="00A0524C" w:rsidRPr="005C6123">
                <w:rPr>
                  <w:rStyle w:val="Hyperlink"/>
                  <w:sz w:val="14"/>
                  <w:szCs w:val="16"/>
                  <w:lang w:val="en-US"/>
                </w:rPr>
                <w:t>http://blogs.edf.org/energyexchange/files/2016/07/PHMSA-Blowdown-Analysis-FINAL.pdf</w:t>
              </w:r>
            </w:hyperlink>
          </w:p>
          <w:p w14:paraId="7E4EE079" w14:textId="77777777" w:rsidR="00A0524C" w:rsidRPr="005C6123" w:rsidRDefault="00A0524C" w:rsidP="00A0524C">
            <w:pPr>
              <w:spacing w:line="240" w:lineRule="auto"/>
              <w:rPr>
                <w:sz w:val="16"/>
                <w:szCs w:val="16"/>
                <w:lang w:val="en-US"/>
              </w:rPr>
            </w:pPr>
          </w:p>
        </w:tc>
      </w:tr>
      <w:tr w:rsidR="00A0524C" w:rsidRPr="005C6123" w14:paraId="2A519E58" w14:textId="77777777" w:rsidTr="0059177F">
        <w:trPr>
          <w:gridAfter w:val="1"/>
          <w:wAfter w:w="9" w:type="dxa"/>
          <w:trHeight w:val="188"/>
          <w:jc w:val="center"/>
        </w:trPr>
        <w:tc>
          <w:tcPr>
            <w:tcW w:w="2110" w:type="dxa"/>
            <w:gridSpan w:val="2"/>
            <w:tcBorders>
              <w:top w:val="single" w:sz="4" w:space="0" w:color="208855" w:themeColor="accent1" w:themeShade="BF"/>
              <w:right w:val="single" w:sz="4" w:space="0" w:color="208855" w:themeColor="accent1" w:themeShade="BF"/>
            </w:tcBorders>
            <w:shd w:val="clear" w:color="auto" w:fill="D0F4E3" w:themeFill="accent1" w:themeFillTint="33"/>
          </w:tcPr>
          <w:p w14:paraId="188335B0"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45"/>
            </w:r>
          </w:p>
        </w:tc>
        <w:tc>
          <w:tcPr>
            <w:tcW w:w="2258" w:type="dxa"/>
            <w:gridSpan w:val="6"/>
            <w:tcBorders>
              <w:top w:val="single" w:sz="4" w:space="0" w:color="208855" w:themeColor="accent1" w:themeShade="BF"/>
              <w:left w:val="single" w:sz="4" w:space="0" w:color="208855" w:themeColor="accent1" w:themeShade="BF"/>
              <w:right w:val="single" w:sz="4" w:space="0" w:color="208855" w:themeColor="accent1" w:themeShade="BF"/>
            </w:tcBorders>
            <w:shd w:val="clear" w:color="auto" w:fill="D0F4E3" w:themeFill="accent1" w:themeFillTint="33"/>
          </w:tcPr>
          <w:p w14:paraId="7CAF4D71"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Applicable</w:t>
            </w:r>
            <w:r w:rsidRPr="005C6123">
              <w:rPr>
                <w:sz w:val="15"/>
                <w:szCs w:val="15"/>
              </w:rPr>
              <w:t xml:space="preserve"> </w:t>
            </w:r>
            <w:r w:rsidRPr="005C6123">
              <w:rPr>
                <w:b/>
                <w:sz w:val="15"/>
                <w:szCs w:val="15"/>
              </w:rPr>
              <w:t>Emission Quantification equipment</w:t>
            </w:r>
            <w:r w:rsidRPr="005C6123">
              <w:rPr>
                <w:rStyle w:val="FootnoteReference"/>
                <w:b/>
                <w:sz w:val="15"/>
                <w:szCs w:val="15"/>
              </w:rPr>
              <w:footnoteReference w:id="146"/>
            </w:r>
          </w:p>
        </w:tc>
        <w:tc>
          <w:tcPr>
            <w:tcW w:w="4993" w:type="dxa"/>
            <w:gridSpan w:val="16"/>
            <w:tcBorders>
              <w:top w:val="single" w:sz="4" w:space="0" w:color="208855" w:themeColor="accent1" w:themeShade="BF"/>
              <w:left w:val="single" w:sz="4" w:space="0" w:color="208855" w:themeColor="accent1" w:themeShade="BF"/>
            </w:tcBorders>
            <w:shd w:val="clear" w:color="auto" w:fill="D0F4E3" w:themeFill="accent1" w:themeFillTint="33"/>
          </w:tcPr>
          <w:p w14:paraId="6C3AE434"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Typical quantification Methodologies</w:t>
            </w:r>
          </w:p>
        </w:tc>
      </w:tr>
      <w:tr w:rsidR="00A0524C" w:rsidRPr="00104E87" w14:paraId="05EF88DF" w14:textId="77777777" w:rsidTr="0059177F">
        <w:trPr>
          <w:gridAfter w:val="1"/>
          <w:wAfter w:w="9" w:type="dxa"/>
          <w:trHeight w:val="70"/>
          <w:jc w:val="center"/>
        </w:trPr>
        <w:tc>
          <w:tcPr>
            <w:tcW w:w="2110" w:type="dxa"/>
            <w:gridSpan w:val="2"/>
            <w:tcBorders>
              <w:bottom w:val="nil"/>
              <w:right w:val="single" w:sz="4" w:space="0" w:color="208855" w:themeColor="accent1" w:themeShade="BF"/>
            </w:tcBorders>
            <w:shd w:val="clear" w:color="auto" w:fill="auto"/>
          </w:tcPr>
          <w:p w14:paraId="18346EC3" w14:textId="77777777" w:rsidR="00A0524C" w:rsidRPr="005C6123" w:rsidRDefault="00A0524C" w:rsidP="005D2939">
            <w:pPr>
              <w:pStyle w:val="ListParagraph"/>
              <w:numPr>
                <w:ilvl w:val="0"/>
                <w:numId w:val="43"/>
              </w:numPr>
              <w:spacing w:before="40" w:after="40" w:line="276" w:lineRule="auto"/>
              <w:ind w:left="179" w:hanging="179"/>
              <w:contextualSpacing w:val="0"/>
              <w:rPr>
                <w:rFonts w:eastAsia="Times New Roman"/>
                <w:bCs/>
                <w:color w:val="000000"/>
                <w:sz w:val="15"/>
                <w:szCs w:val="15"/>
              </w:rPr>
            </w:pPr>
            <w:r w:rsidRPr="005C6123">
              <w:rPr>
                <w:rFonts w:eastAsia="Times New Roman"/>
                <w:bCs/>
                <w:color w:val="000000"/>
                <w:sz w:val="15"/>
                <w:szCs w:val="15"/>
              </w:rPr>
              <w:t>Optical Gas Imaging</w:t>
            </w:r>
          </w:p>
          <w:p w14:paraId="2E89EBAF" w14:textId="77777777" w:rsidR="00A0524C" w:rsidRPr="005C6123" w:rsidRDefault="00A0524C" w:rsidP="00A0524C">
            <w:pPr>
              <w:pStyle w:val="ListParagraph"/>
              <w:spacing w:before="40" w:after="40" w:line="276" w:lineRule="auto"/>
              <w:ind w:left="179"/>
              <w:contextualSpacing w:val="0"/>
              <w:rPr>
                <w:rFonts w:eastAsia="Times New Roman"/>
                <w:bCs/>
                <w:color w:val="000000"/>
                <w:sz w:val="15"/>
                <w:szCs w:val="15"/>
              </w:rPr>
            </w:pPr>
          </w:p>
        </w:tc>
        <w:tc>
          <w:tcPr>
            <w:tcW w:w="2258" w:type="dxa"/>
            <w:gridSpan w:val="6"/>
            <w:tcBorders>
              <w:left w:val="single" w:sz="4" w:space="0" w:color="208855" w:themeColor="accent1" w:themeShade="BF"/>
              <w:bottom w:val="nil"/>
              <w:right w:val="single" w:sz="4" w:space="0" w:color="208855" w:themeColor="accent1" w:themeShade="BF"/>
            </w:tcBorders>
            <w:shd w:val="clear" w:color="auto" w:fill="auto"/>
          </w:tcPr>
          <w:p w14:paraId="7C235EEE" w14:textId="77777777" w:rsidR="00A0524C" w:rsidRPr="005C6123" w:rsidRDefault="00A0524C" w:rsidP="00A0524C">
            <w:pPr>
              <w:spacing w:before="40" w:after="40"/>
              <w:rPr>
                <w:i/>
                <w:iCs/>
                <w:color w:val="000000"/>
                <w:sz w:val="15"/>
                <w:szCs w:val="15"/>
                <w:lang w:val="en-US"/>
              </w:rPr>
            </w:pPr>
            <w:r w:rsidRPr="005C6123">
              <w:rPr>
                <w:i/>
                <w:iCs/>
                <w:color w:val="000000"/>
                <w:sz w:val="15"/>
                <w:szCs w:val="15"/>
                <w:lang w:val="en-US"/>
              </w:rPr>
              <w:t>(When the blowdown is purged through a vent stack or pipe):</w:t>
            </w:r>
          </w:p>
          <w:p w14:paraId="73FDBFCD" w14:textId="77777777" w:rsidR="00A0524C" w:rsidRPr="005C6123" w:rsidRDefault="00A0524C" w:rsidP="005D2939">
            <w:pPr>
              <w:pStyle w:val="ListParagraph"/>
              <w:numPr>
                <w:ilvl w:val="0"/>
                <w:numId w:val="43"/>
              </w:numPr>
              <w:spacing w:before="40" w:after="40" w:line="276" w:lineRule="auto"/>
              <w:ind w:left="181" w:hanging="181"/>
              <w:contextualSpacing w:val="0"/>
              <w:rPr>
                <w:rFonts w:eastAsia="Times New Roman"/>
                <w:color w:val="000000"/>
                <w:sz w:val="15"/>
                <w:szCs w:val="15"/>
              </w:rPr>
            </w:pPr>
            <w:r w:rsidRPr="005C6123">
              <w:rPr>
                <w:rFonts w:eastAsia="Times New Roman"/>
                <w:color w:val="000000"/>
                <w:sz w:val="15"/>
                <w:szCs w:val="15"/>
              </w:rPr>
              <w:t>Vane Anemometer</w:t>
            </w:r>
          </w:p>
          <w:p w14:paraId="68B418AD" w14:textId="77777777" w:rsidR="00A0524C" w:rsidRPr="005C6123" w:rsidRDefault="00A0524C" w:rsidP="005D2939">
            <w:pPr>
              <w:pStyle w:val="ListParagraph"/>
              <w:numPr>
                <w:ilvl w:val="0"/>
                <w:numId w:val="43"/>
              </w:numPr>
              <w:spacing w:before="40" w:after="40" w:line="276" w:lineRule="auto"/>
              <w:ind w:left="179" w:hanging="179"/>
              <w:contextualSpacing w:val="0"/>
              <w:rPr>
                <w:rFonts w:eastAsia="Times New Roman"/>
                <w:color w:val="000000"/>
                <w:sz w:val="15"/>
                <w:szCs w:val="15"/>
              </w:rPr>
            </w:pPr>
            <w:r w:rsidRPr="005C6123">
              <w:rPr>
                <w:rFonts w:eastAsia="Times New Roman"/>
                <w:color w:val="000000"/>
                <w:sz w:val="15"/>
                <w:szCs w:val="15"/>
              </w:rPr>
              <w:t>Hotwire Anemometer</w:t>
            </w:r>
          </w:p>
          <w:p w14:paraId="602392C4" w14:textId="77777777" w:rsidR="00A0524C" w:rsidRPr="005C6123" w:rsidRDefault="00A0524C" w:rsidP="005D2939">
            <w:pPr>
              <w:pStyle w:val="ListParagraph"/>
              <w:numPr>
                <w:ilvl w:val="0"/>
                <w:numId w:val="43"/>
              </w:numPr>
              <w:spacing w:before="40" w:after="40" w:line="276" w:lineRule="auto"/>
              <w:ind w:left="179" w:hanging="179"/>
              <w:contextualSpacing w:val="0"/>
              <w:rPr>
                <w:rFonts w:eastAsia="Times New Roman"/>
                <w:color w:val="000000"/>
                <w:sz w:val="15"/>
                <w:szCs w:val="15"/>
              </w:rPr>
            </w:pPr>
            <w:r w:rsidRPr="005C6123">
              <w:rPr>
                <w:rFonts w:eastAsia="Times New Roman"/>
                <w:color w:val="000000"/>
                <w:sz w:val="15"/>
                <w:szCs w:val="15"/>
              </w:rPr>
              <w:t>Turbine meter</w:t>
            </w:r>
          </w:p>
          <w:p w14:paraId="4FC254F3" w14:textId="77777777" w:rsidR="00A0524C" w:rsidRPr="005C6123" w:rsidRDefault="00A0524C" w:rsidP="005D2939">
            <w:pPr>
              <w:pStyle w:val="ListParagraph"/>
              <w:numPr>
                <w:ilvl w:val="0"/>
                <w:numId w:val="43"/>
              </w:numPr>
              <w:spacing w:before="40" w:after="40" w:line="276" w:lineRule="auto"/>
              <w:ind w:left="179" w:hanging="179"/>
              <w:contextualSpacing w:val="0"/>
              <w:rPr>
                <w:rFonts w:eastAsia="Times New Roman"/>
                <w:color w:val="000000"/>
                <w:sz w:val="15"/>
                <w:szCs w:val="15"/>
              </w:rPr>
            </w:pPr>
            <w:r w:rsidRPr="005C6123">
              <w:rPr>
                <w:rFonts w:eastAsia="Times New Roman"/>
                <w:color w:val="000000"/>
                <w:sz w:val="15"/>
                <w:szCs w:val="15"/>
              </w:rPr>
              <w:t>Calibrated Vent Bag</w:t>
            </w:r>
          </w:p>
        </w:tc>
        <w:tc>
          <w:tcPr>
            <w:tcW w:w="4993" w:type="dxa"/>
            <w:gridSpan w:val="16"/>
            <w:tcBorders>
              <w:left w:val="single" w:sz="4" w:space="0" w:color="208855" w:themeColor="accent1" w:themeShade="BF"/>
              <w:bottom w:val="nil"/>
            </w:tcBorders>
            <w:shd w:val="clear" w:color="auto" w:fill="auto"/>
          </w:tcPr>
          <w:p w14:paraId="6D41CFC2" w14:textId="77777777" w:rsidR="00A0524C" w:rsidRPr="005C6123" w:rsidRDefault="00A0524C" w:rsidP="005D2939">
            <w:pPr>
              <w:pStyle w:val="ListParagraph"/>
              <w:numPr>
                <w:ilvl w:val="0"/>
                <w:numId w:val="40"/>
              </w:numPr>
              <w:spacing w:before="40" w:after="40" w:line="240" w:lineRule="auto"/>
              <w:ind w:left="181" w:hanging="181"/>
              <w:contextualSpacing w:val="0"/>
              <w:rPr>
                <w:sz w:val="15"/>
                <w:szCs w:val="15"/>
              </w:rPr>
            </w:pPr>
            <w:r w:rsidRPr="005C6123">
              <w:rPr>
                <w:sz w:val="15"/>
                <w:szCs w:val="15"/>
              </w:rPr>
              <w:t>Direct measurement (but difficult)</w:t>
            </w:r>
          </w:p>
          <w:p w14:paraId="10CC2B62" w14:textId="77777777" w:rsidR="00A0524C" w:rsidRPr="005C6123" w:rsidRDefault="00A0524C" w:rsidP="005D2939">
            <w:pPr>
              <w:pStyle w:val="ListParagraph"/>
              <w:numPr>
                <w:ilvl w:val="0"/>
                <w:numId w:val="40"/>
              </w:numPr>
              <w:spacing w:before="40" w:after="40" w:line="240" w:lineRule="auto"/>
              <w:ind w:left="181" w:hanging="181"/>
              <w:contextualSpacing w:val="0"/>
              <w:rPr>
                <w:sz w:val="15"/>
                <w:szCs w:val="15"/>
              </w:rPr>
            </w:pPr>
            <w:r w:rsidRPr="005C6123">
              <w:rPr>
                <w:sz w:val="15"/>
                <w:szCs w:val="15"/>
              </w:rPr>
              <w:t>Engineering calculation based on throughput</w:t>
            </w:r>
          </w:p>
          <w:p w14:paraId="03A90348" w14:textId="77777777" w:rsidR="00A0524C" w:rsidRPr="005C6123" w:rsidRDefault="00A0524C" w:rsidP="005D2939">
            <w:pPr>
              <w:pStyle w:val="ListParagraph"/>
              <w:numPr>
                <w:ilvl w:val="0"/>
                <w:numId w:val="40"/>
              </w:numPr>
              <w:spacing w:before="40" w:after="40" w:line="240" w:lineRule="auto"/>
              <w:ind w:left="181" w:hanging="181"/>
              <w:contextualSpacing w:val="0"/>
              <w:rPr>
                <w:sz w:val="15"/>
                <w:szCs w:val="15"/>
              </w:rPr>
            </w:pPr>
            <w:r w:rsidRPr="005C6123">
              <w:rPr>
                <w:sz w:val="15"/>
                <w:szCs w:val="15"/>
              </w:rPr>
              <w:t>Emission factors (Sm</w:t>
            </w:r>
            <w:r w:rsidRPr="005C6123">
              <w:rPr>
                <w:sz w:val="15"/>
                <w:szCs w:val="15"/>
                <w:vertAlign w:val="superscript"/>
              </w:rPr>
              <w:t>3</w:t>
            </w:r>
            <w:r w:rsidRPr="005C6123">
              <w:rPr>
                <w:sz w:val="15"/>
                <w:szCs w:val="15"/>
              </w:rPr>
              <w:t>/event depending on the type of event)</w:t>
            </w:r>
          </w:p>
        </w:tc>
      </w:tr>
      <w:tr w:rsidR="00AB1CB7" w:rsidRPr="005C6123" w:rsidDel="00994E71" w14:paraId="73C8BFD5" w14:textId="77777777" w:rsidTr="0059177F">
        <w:trPr>
          <w:gridAfter w:val="1"/>
          <w:wAfter w:w="9" w:type="dxa"/>
          <w:trHeight w:val="448"/>
          <w:jc w:val="center"/>
        </w:trPr>
        <w:tc>
          <w:tcPr>
            <w:tcW w:w="6616" w:type="dxa"/>
            <w:gridSpan w:val="11"/>
            <w:tcBorders>
              <w:top w:val="nil"/>
              <w:left w:val="single" w:sz="2" w:space="0" w:color="208855" w:themeColor="accent1" w:themeShade="BF"/>
              <w:bottom w:val="single" w:sz="2" w:space="0" w:color="2BB673" w:themeColor="text2"/>
            </w:tcBorders>
            <w:shd w:val="clear" w:color="auto" w:fill="208855" w:themeFill="accent1" w:themeFillShade="BF"/>
            <w:vAlign w:val="center"/>
          </w:tcPr>
          <w:p w14:paraId="7C5DDADB" w14:textId="5A30B656" w:rsidR="00AB1CB7" w:rsidRPr="00FB48A1" w:rsidRDefault="00AB1CB7" w:rsidP="00AB1CB7">
            <w:pPr>
              <w:pStyle w:val="ListParagraph"/>
              <w:numPr>
                <w:ilvl w:val="0"/>
                <w:numId w:val="36"/>
              </w:numPr>
              <w:spacing w:after="0"/>
              <w:ind w:left="0" w:hanging="357"/>
              <w:contextualSpacing w:val="0"/>
              <w:rPr>
                <w:b/>
                <w:bCs/>
                <w:color w:val="FFFFFF"/>
              </w:rPr>
            </w:pPr>
            <w:r w:rsidRPr="000941A9">
              <w:rPr>
                <w:b/>
                <w:bCs/>
                <w:color w:val="FFFFFF"/>
              </w:rPr>
              <w:t>Emission source categories along the value chain</w:t>
            </w:r>
          </w:p>
        </w:tc>
        <w:tc>
          <w:tcPr>
            <w:tcW w:w="696" w:type="dxa"/>
            <w:gridSpan w:val="3"/>
            <w:tcBorders>
              <w:top w:val="nil"/>
              <w:bottom w:val="single" w:sz="2" w:space="0" w:color="2BB673" w:themeColor="text2"/>
            </w:tcBorders>
            <w:shd w:val="clear" w:color="auto" w:fill="155B39" w:themeFill="accent6"/>
            <w:vAlign w:val="center"/>
          </w:tcPr>
          <w:p w14:paraId="37A20B2E" w14:textId="19CFE8DF" w:rsidR="00AB1CB7" w:rsidRPr="005C6123" w:rsidRDefault="00AB1CB7" w:rsidP="00AB1CB7">
            <w:pPr>
              <w:pStyle w:val="ListParagraph"/>
              <w:spacing w:after="0" w:line="276" w:lineRule="auto"/>
              <w:contextualSpacing w:val="0"/>
              <w:jc w:val="center"/>
              <w:rPr>
                <w:color w:val="FFFFFF"/>
                <w:sz w:val="24"/>
                <w:szCs w:val="24"/>
              </w:rPr>
            </w:pPr>
            <w:r w:rsidRPr="005C6123">
              <w:rPr>
                <w:b/>
                <w:bCs/>
                <w:color w:val="FFFFFF"/>
                <w:sz w:val="14"/>
                <w:szCs w:val="14"/>
                <w:lang w:val="nb-NO"/>
              </w:rPr>
              <w:t>P</w:t>
            </w:r>
          </w:p>
        </w:tc>
        <w:tc>
          <w:tcPr>
            <w:tcW w:w="676" w:type="dxa"/>
            <w:gridSpan w:val="4"/>
            <w:tcBorders>
              <w:top w:val="nil"/>
              <w:bottom w:val="single" w:sz="2" w:space="0" w:color="2BB673" w:themeColor="text2"/>
            </w:tcBorders>
            <w:shd w:val="clear" w:color="auto" w:fill="155B39" w:themeFill="accent6"/>
            <w:vAlign w:val="center"/>
          </w:tcPr>
          <w:p w14:paraId="5E93B4DB" w14:textId="58256E81" w:rsidR="00AB1CB7" w:rsidRPr="005C6123" w:rsidRDefault="00AB1CB7" w:rsidP="00AB1CB7">
            <w:pPr>
              <w:pStyle w:val="ListParagraph"/>
              <w:spacing w:after="0" w:line="276" w:lineRule="auto"/>
              <w:contextualSpacing w:val="0"/>
              <w:jc w:val="center"/>
              <w:rPr>
                <w:color w:val="FFFFFF"/>
                <w:sz w:val="24"/>
                <w:szCs w:val="24"/>
              </w:rPr>
            </w:pPr>
            <w:r w:rsidRPr="005C6123">
              <w:rPr>
                <w:b/>
                <w:bCs/>
                <w:color w:val="FFFFFF"/>
                <w:sz w:val="14"/>
                <w:szCs w:val="14"/>
              </w:rPr>
              <w:t>G&amp;P</w:t>
            </w:r>
          </w:p>
        </w:tc>
        <w:tc>
          <w:tcPr>
            <w:tcW w:w="684" w:type="dxa"/>
            <w:gridSpan w:val="4"/>
            <w:tcBorders>
              <w:top w:val="nil"/>
              <w:bottom w:val="single" w:sz="2" w:space="0" w:color="2BB673" w:themeColor="text2"/>
            </w:tcBorders>
            <w:shd w:val="clear" w:color="auto" w:fill="155B39" w:themeFill="accent6"/>
            <w:vAlign w:val="center"/>
          </w:tcPr>
          <w:p w14:paraId="638E2AE5" w14:textId="2F0D2D3F" w:rsidR="00AB1CB7" w:rsidRPr="005C6123" w:rsidRDefault="00AB1CB7" w:rsidP="00AB1CB7">
            <w:pPr>
              <w:pStyle w:val="ListParagraph"/>
              <w:spacing w:after="0" w:line="276" w:lineRule="auto"/>
              <w:contextualSpacing w:val="0"/>
              <w:jc w:val="center"/>
              <w:rPr>
                <w:color w:val="FFFFFF"/>
                <w:sz w:val="24"/>
                <w:szCs w:val="24"/>
              </w:rPr>
            </w:pPr>
            <w:r w:rsidRPr="005C6123">
              <w:rPr>
                <w:b/>
                <w:bCs/>
                <w:color w:val="FFFFFF"/>
                <w:sz w:val="14"/>
                <w:szCs w:val="14"/>
              </w:rPr>
              <w:t>T&amp;S</w:t>
            </w:r>
          </w:p>
        </w:tc>
        <w:tc>
          <w:tcPr>
            <w:tcW w:w="689" w:type="dxa"/>
            <w:gridSpan w:val="2"/>
            <w:tcBorders>
              <w:top w:val="nil"/>
              <w:bottom w:val="single" w:sz="2" w:space="0" w:color="2BB673" w:themeColor="text2"/>
              <w:right w:val="single" w:sz="2" w:space="0" w:color="208855" w:themeColor="accent1" w:themeShade="BF"/>
            </w:tcBorders>
            <w:shd w:val="clear" w:color="auto" w:fill="155B39" w:themeFill="accent6"/>
            <w:vAlign w:val="center"/>
          </w:tcPr>
          <w:p w14:paraId="60107E43" w14:textId="278D9052" w:rsidR="00AB1CB7" w:rsidRPr="005C6123" w:rsidRDefault="00AB1CB7" w:rsidP="00AB1CB7">
            <w:pPr>
              <w:pStyle w:val="ListParagraph"/>
              <w:spacing w:after="0" w:line="276" w:lineRule="auto"/>
              <w:contextualSpacing w:val="0"/>
              <w:jc w:val="center"/>
              <w:rPr>
                <w:color w:val="FFFFFF"/>
                <w:sz w:val="24"/>
                <w:szCs w:val="24"/>
              </w:rPr>
            </w:pPr>
            <w:r w:rsidRPr="00A2317D">
              <w:rPr>
                <w:b/>
                <w:bCs/>
                <w:color w:val="FFFFFF"/>
                <w:sz w:val="14"/>
                <w:szCs w:val="14"/>
              </w:rPr>
              <w:t>D</w:t>
            </w:r>
          </w:p>
        </w:tc>
      </w:tr>
      <w:tr w:rsidR="00A0524C" w:rsidRPr="005C6123" w:rsidDel="00994E71" w14:paraId="3D6C53D1" w14:textId="77777777" w:rsidTr="0059177F">
        <w:trPr>
          <w:gridAfter w:val="1"/>
          <w:wAfter w:w="9" w:type="dxa"/>
          <w:trHeight w:val="686"/>
          <w:jc w:val="center"/>
        </w:trPr>
        <w:tc>
          <w:tcPr>
            <w:tcW w:w="6616" w:type="dxa"/>
            <w:gridSpan w:val="11"/>
            <w:tcBorders>
              <w:top w:val="single" w:sz="2" w:space="0" w:color="2BB673" w:themeColor="text2"/>
              <w:left w:val="single" w:sz="2" w:space="0" w:color="208855" w:themeColor="accent1" w:themeShade="BF"/>
              <w:bottom w:val="nil"/>
            </w:tcBorders>
            <w:shd w:val="clear" w:color="auto" w:fill="208855" w:themeFill="accent1" w:themeFillShade="BF"/>
            <w:vAlign w:val="center"/>
          </w:tcPr>
          <w:p w14:paraId="516290D4" w14:textId="77777777" w:rsidR="00A0524C" w:rsidRPr="005C6123" w:rsidRDefault="00A0524C" w:rsidP="005D2939">
            <w:pPr>
              <w:pStyle w:val="ListParagraph"/>
              <w:numPr>
                <w:ilvl w:val="0"/>
                <w:numId w:val="36"/>
              </w:numPr>
              <w:spacing w:after="0"/>
              <w:ind w:left="0" w:hanging="357"/>
              <w:contextualSpacing w:val="0"/>
              <w:rPr>
                <w:b/>
                <w:bCs/>
                <w:color w:val="FFFFFF"/>
              </w:rPr>
            </w:pPr>
            <w:r w:rsidRPr="00FB48A1">
              <w:rPr>
                <w:b/>
                <w:bCs/>
                <w:color w:val="FFFFFF"/>
              </w:rPr>
              <w:t>11. Component and equipment leaks</w:t>
            </w:r>
          </w:p>
        </w:tc>
        <w:tc>
          <w:tcPr>
            <w:tcW w:w="696" w:type="dxa"/>
            <w:gridSpan w:val="3"/>
            <w:tcBorders>
              <w:top w:val="single" w:sz="2" w:space="0" w:color="2BB673" w:themeColor="text2"/>
              <w:bottom w:val="nil"/>
            </w:tcBorders>
            <w:shd w:val="clear" w:color="auto" w:fill="155B39" w:themeFill="accent6"/>
            <w:vAlign w:val="center"/>
          </w:tcPr>
          <w:p w14:paraId="4D5AE93C" w14:textId="77777777" w:rsidR="00A0524C" w:rsidRPr="005C6123" w:rsidDel="00994E71" w:rsidRDefault="00A0524C" w:rsidP="00A0524C">
            <w:pPr>
              <w:pStyle w:val="ListParagraph"/>
              <w:spacing w:after="0" w:line="276" w:lineRule="auto"/>
              <w:contextualSpacing w:val="0"/>
              <w:jc w:val="center"/>
              <w:rPr>
                <w:color w:val="FFFFFF"/>
                <w:sz w:val="24"/>
                <w:szCs w:val="24"/>
              </w:rPr>
            </w:pPr>
            <w:r w:rsidRPr="005C6123">
              <w:rPr>
                <w:color w:val="FFFFFF"/>
                <w:sz w:val="24"/>
                <w:szCs w:val="24"/>
              </w:rPr>
              <w:sym w:font="Symbol" w:char="F0B7"/>
            </w:r>
          </w:p>
        </w:tc>
        <w:tc>
          <w:tcPr>
            <w:tcW w:w="676" w:type="dxa"/>
            <w:gridSpan w:val="4"/>
            <w:tcBorders>
              <w:top w:val="single" w:sz="2" w:space="0" w:color="2BB673" w:themeColor="text2"/>
              <w:bottom w:val="nil"/>
            </w:tcBorders>
            <w:shd w:val="clear" w:color="auto" w:fill="155B39" w:themeFill="accent6"/>
            <w:vAlign w:val="center"/>
          </w:tcPr>
          <w:p w14:paraId="33B282EE" w14:textId="77777777" w:rsidR="00A0524C" w:rsidRPr="005C6123" w:rsidDel="00994E71" w:rsidRDefault="00A0524C" w:rsidP="00A0524C">
            <w:pPr>
              <w:pStyle w:val="ListParagraph"/>
              <w:spacing w:after="0" w:line="276" w:lineRule="auto"/>
              <w:contextualSpacing w:val="0"/>
              <w:jc w:val="center"/>
              <w:rPr>
                <w:color w:val="FFFFFF"/>
                <w:szCs w:val="20"/>
              </w:rPr>
            </w:pPr>
            <w:r w:rsidRPr="005C6123">
              <w:rPr>
                <w:color w:val="FFFFFF"/>
                <w:sz w:val="24"/>
                <w:szCs w:val="24"/>
              </w:rPr>
              <w:sym w:font="Symbol" w:char="F0B7"/>
            </w:r>
          </w:p>
        </w:tc>
        <w:tc>
          <w:tcPr>
            <w:tcW w:w="684" w:type="dxa"/>
            <w:gridSpan w:val="4"/>
            <w:tcBorders>
              <w:top w:val="single" w:sz="2" w:space="0" w:color="2BB673" w:themeColor="text2"/>
              <w:bottom w:val="nil"/>
            </w:tcBorders>
            <w:shd w:val="clear" w:color="auto" w:fill="155B39" w:themeFill="accent6"/>
            <w:vAlign w:val="center"/>
          </w:tcPr>
          <w:p w14:paraId="6255C006" w14:textId="77777777" w:rsidR="00A0524C" w:rsidRPr="005C6123" w:rsidDel="00994E71" w:rsidRDefault="00A0524C" w:rsidP="00A0524C">
            <w:pPr>
              <w:pStyle w:val="ListParagraph"/>
              <w:spacing w:after="0" w:line="276" w:lineRule="auto"/>
              <w:contextualSpacing w:val="0"/>
              <w:jc w:val="center"/>
              <w:rPr>
                <w:color w:val="FFFFFF"/>
                <w:szCs w:val="20"/>
              </w:rPr>
            </w:pPr>
            <w:r w:rsidRPr="005C6123">
              <w:rPr>
                <w:color w:val="FFFFFF"/>
                <w:sz w:val="24"/>
                <w:szCs w:val="24"/>
              </w:rPr>
              <w:sym w:font="Symbol" w:char="F0B7"/>
            </w:r>
          </w:p>
        </w:tc>
        <w:tc>
          <w:tcPr>
            <w:tcW w:w="689" w:type="dxa"/>
            <w:gridSpan w:val="2"/>
            <w:tcBorders>
              <w:top w:val="single" w:sz="2" w:space="0" w:color="2BB673" w:themeColor="text2"/>
              <w:bottom w:val="nil"/>
              <w:right w:val="single" w:sz="2" w:space="0" w:color="208855" w:themeColor="accent1" w:themeShade="BF"/>
            </w:tcBorders>
            <w:shd w:val="clear" w:color="auto" w:fill="155B39" w:themeFill="accent6"/>
            <w:vAlign w:val="center"/>
          </w:tcPr>
          <w:p w14:paraId="0EB47EAC" w14:textId="77777777" w:rsidR="00A0524C" w:rsidRPr="005C6123" w:rsidDel="00994E71" w:rsidRDefault="00A0524C" w:rsidP="00A0524C">
            <w:pPr>
              <w:pStyle w:val="ListParagraph"/>
              <w:spacing w:after="0" w:line="276" w:lineRule="auto"/>
              <w:contextualSpacing w:val="0"/>
              <w:jc w:val="center"/>
              <w:rPr>
                <w:color w:val="FFFFFF"/>
                <w:szCs w:val="20"/>
              </w:rPr>
            </w:pPr>
            <w:r w:rsidRPr="005C6123">
              <w:rPr>
                <w:color w:val="FFFFFF"/>
                <w:sz w:val="24"/>
                <w:szCs w:val="24"/>
              </w:rPr>
              <w:sym w:font="Symbol" w:char="F0B7"/>
            </w:r>
          </w:p>
        </w:tc>
      </w:tr>
      <w:tr w:rsidR="00A0524C" w:rsidRPr="005C6123" w14:paraId="513EB09B" w14:textId="77777777" w:rsidTr="0059177F">
        <w:trPr>
          <w:gridAfter w:val="1"/>
          <w:wAfter w:w="9" w:type="dxa"/>
          <w:trHeight w:val="2242"/>
          <w:jc w:val="center"/>
        </w:trPr>
        <w:tc>
          <w:tcPr>
            <w:tcW w:w="6616" w:type="dxa"/>
            <w:gridSpan w:val="11"/>
            <w:tcBorders>
              <w:top w:val="single" w:sz="4" w:space="0" w:color="208855" w:themeColor="accent1" w:themeShade="BF"/>
              <w:left w:val="single" w:sz="4" w:space="0" w:color="208855" w:themeColor="accent1" w:themeShade="BF"/>
              <w:bottom w:val="nil"/>
            </w:tcBorders>
            <w:shd w:val="clear" w:color="auto" w:fill="D0F4E3" w:themeFill="accent1" w:themeFillTint="33"/>
          </w:tcPr>
          <w:p w14:paraId="7FD84FC4" w14:textId="77777777" w:rsidR="00A0524C" w:rsidRPr="005C6123" w:rsidRDefault="00A0524C" w:rsidP="005D2939">
            <w:pPr>
              <w:pStyle w:val="ListParagraph"/>
              <w:numPr>
                <w:ilvl w:val="0"/>
                <w:numId w:val="36"/>
              </w:numPr>
              <w:spacing w:before="100" w:beforeAutospacing="1" w:after="100" w:afterAutospacing="1" w:line="276" w:lineRule="auto"/>
              <w:ind w:left="0"/>
              <w:rPr>
                <w:bCs/>
                <w:sz w:val="16"/>
                <w:szCs w:val="16"/>
              </w:rPr>
            </w:pPr>
          </w:p>
          <w:p w14:paraId="2879000D" w14:textId="77777777" w:rsidR="00A0524C" w:rsidRPr="005C6123" w:rsidRDefault="00A0524C" w:rsidP="005D2939">
            <w:pPr>
              <w:pStyle w:val="ListParagraph"/>
              <w:numPr>
                <w:ilvl w:val="0"/>
                <w:numId w:val="36"/>
              </w:numPr>
              <w:spacing w:before="100" w:beforeAutospacing="1" w:after="100" w:afterAutospacing="1" w:line="276" w:lineRule="auto"/>
              <w:ind w:left="0"/>
              <w:rPr>
                <w:bCs/>
                <w:sz w:val="16"/>
                <w:szCs w:val="16"/>
              </w:rPr>
            </w:pPr>
            <w:r w:rsidRPr="005C6123">
              <w:rPr>
                <w:bCs/>
                <w:sz w:val="16"/>
                <w:szCs w:val="16"/>
              </w:rPr>
              <w:t xml:space="preserve">The potential variety of components or sources of unintentional leaks from operations at oil and gas installation and operations include flanges, screw and compression fittings, stem packing in valves, pump seals, compressor components, and through-valve leaks in pressure relief valves, open-ended lines, hatches, meters, open-ended lines and improperly operated storage tanks. Leaks can be found along the full gas value chain, including in upstream facilities, processing plants, compressor stations, metering stations, and along gas pipelines. This category also includes unintended emission due to e.g. excavating pipelines or plugged / abandoned wells which can also represent a source of gas leakage. Methane Emissions from equipment designed to vent as part of normal operations, such as gas-driven pneumatic controllers, are not considered leaks. </w:t>
            </w:r>
          </w:p>
        </w:tc>
        <w:tc>
          <w:tcPr>
            <w:tcW w:w="2745" w:type="dxa"/>
            <w:gridSpan w:val="13"/>
            <w:tcBorders>
              <w:top w:val="single" w:sz="4" w:space="0" w:color="208855" w:themeColor="accent1" w:themeShade="BF"/>
              <w:bottom w:val="nil"/>
              <w:right w:val="single" w:sz="4" w:space="0" w:color="208855" w:themeColor="accent1" w:themeShade="BF"/>
            </w:tcBorders>
            <w:shd w:val="clear" w:color="auto" w:fill="D0F4E3" w:themeFill="accent1" w:themeFillTint="33"/>
          </w:tcPr>
          <w:p w14:paraId="4503B14A"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u w:val="single"/>
              </w:rPr>
            </w:pPr>
          </w:p>
          <w:p w14:paraId="39B5310F" w14:textId="77777777" w:rsidR="00A0524C" w:rsidRPr="005C6123" w:rsidRDefault="00A0524C" w:rsidP="005D2939">
            <w:pPr>
              <w:pStyle w:val="ListParagraph"/>
              <w:numPr>
                <w:ilvl w:val="0"/>
                <w:numId w:val="36"/>
              </w:numPr>
              <w:spacing w:before="100" w:beforeAutospacing="1" w:after="100" w:afterAutospacing="1" w:line="276" w:lineRule="auto"/>
              <w:ind w:left="0"/>
              <w:rPr>
                <w:sz w:val="16"/>
                <w:szCs w:val="16"/>
              </w:rPr>
            </w:pPr>
            <w:r>
              <w:rPr>
                <w:noProof/>
                <w:sz w:val="16"/>
                <w:szCs w:val="16"/>
                <w:lang w:val="nb-NO" w:eastAsia="nb-NO"/>
              </w:rPr>
              <w:drawing>
                <wp:inline distT="0" distB="0" distL="0" distR="0" wp14:anchorId="6BD10D82" wp14:editId="4E001D47">
                  <wp:extent cx="1358900" cy="1219200"/>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8900" cy="1219200"/>
                          </a:xfrm>
                          <a:prstGeom prst="rect">
                            <a:avLst/>
                          </a:prstGeom>
                          <a:noFill/>
                          <a:ln>
                            <a:noFill/>
                          </a:ln>
                        </pic:spPr>
                      </pic:pic>
                    </a:graphicData>
                  </a:graphic>
                </wp:inline>
              </w:drawing>
            </w:r>
          </w:p>
          <w:p w14:paraId="7727E9BB" w14:textId="77777777" w:rsidR="00A0524C" w:rsidRPr="005C6123" w:rsidRDefault="00A0524C" w:rsidP="005D2939">
            <w:pPr>
              <w:pStyle w:val="ListParagraph"/>
              <w:keepNext/>
              <w:numPr>
                <w:ilvl w:val="0"/>
                <w:numId w:val="36"/>
              </w:numPr>
              <w:spacing w:before="100" w:beforeAutospacing="1" w:after="100" w:afterAutospacing="1" w:line="276" w:lineRule="auto"/>
              <w:ind w:left="0"/>
              <w:rPr>
                <w:color w:val="000000"/>
                <w:sz w:val="10"/>
                <w:szCs w:val="10"/>
              </w:rPr>
            </w:pPr>
            <w:r w:rsidRPr="005C6123">
              <w:rPr>
                <w:b/>
                <w:color w:val="000000"/>
                <w:sz w:val="10"/>
                <w:szCs w:val="10"/>
              </w:rPr>
              <w:t>I</w:t>
            </w:r>
            <w:r w:rsidRPr="005C6123">
              <w:rPr>
                <w:color w:val="000000"/>
                <w:sz w:val="10"/>
                <w:szCs w:val="10"/>
              </w:rPr>
              <w:t>mage Source: EDF.org</w:t>
            </w:r>
          </w:p>
        </w:tc>
      </w:tr>
      <w:tr w:rsidR="00A0524C" w:rsidRPr="00104E87" w14:paraId="7C1E0266" w14:textId="77777777" w:rsidTr="0059177F">
        <w:trPr>
          <w:gridAfter w:val="1"/>
          <w:wAfter w:w="9" w:type="dxa"/>
          <w:trHeight w:val="1601"/>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6D0A05F2" w14:textId="77777777" w:rsidR="00A0524C" w:rsidRPr="005C6123" w:rsidRDefault="00A0524C" w:rsidP="005D2939">
            <w:pPr>
              <w:pStyle w:val="ListParagraph"/>
              <w:numPr>
                <w:ilvl w:val="0"/>
                <w:numId w:val="36"/>
              </w:numPr>
              <w:spacing w:before="60" w:after="60" w:line="276" w:lineRule="auto"/>
              <w:ind w:left="0" w:hanging="357"/>
              <w:contextualSpacing w:val="0"/>
              <w:rPr>
                <w:b/>
                <w:bCs/>
                <w:sz w:val="16"/>
                <w:szCs w:val="16"/>
              </w:rPr>
            </w:pPr>
            <w:r w:rsidRPr="005C6123">
              <w:rPr>
                <w:b/>
                <w:bCs/>
                <w:sz w:val="16"/>
                <w:szCs w:val="16"/>
              </w:rPr>
              <w:t>Mitigation Techniques:</w:t>
            </w:r>
          </w:p>
          <w:p w14:paraId="3492F460" w14:textId="77777777" w:rsidR="00A0524C" w:rsidRPr="005C6123" w:rsidDel="00F662EB" w:rsidRDefault="00A0524C" w:rsidP="005D2939">
            <w:pPr>
              <w:pStyle w:val="ListParagraph"/>
              <w:numPr>
                <w:ilvl w:val="0"/>
                <w:numId w:val="62"/>
              </w:numPr>
              <w:spacing w:before="60" w:after="60" w:line="276" w:lineRule="auto"/>
              <w:ind w:left="176" w:hanging="176"/>
              <w:contextualSpacing w:val="0"/>
              <w:rPr>
                <w:bCs/>
                <w:sz w:val="16"/>
                <w:szCs w:val="16"/>
              </w:rPr>
            </w:pPr>
            <w:r w:rsidRPr="005C6123">
              <w:rPr>
                <w:bCs/>
                <w:sz w:val="16"/>
                <w:szCs w:val="16"/>
              </w:rPr>
              <w:t>Leak detection and repair (LDAR), variable emission reductions</w:t>
            </w:r>
          </w:p>
        </w:tc>
        <w:tc>
          <w:tcPr>
            <w:tcW w:w="2745" w:type="dxa"/>
            <w:gridSpan w:val="13"/>
            <w:tcBorders>
              <w:top w:val="nil"/>
              <w:bottom w:val="single" w:sz="4" w:space="0" w:color="208855" w:themeColor="accent1" w:themeShade="BF"/>
              <w:right w:val="single" w:sz="4" w:space="0" w:color="208855" w:themeColor="accent1" w:themeShade="BF"/>
            </w:tcBorders>
            <w:shd w:val="clear" w:color="auto" w:fill="auto"/>
          </w:tcPr>
          <w:p w14:paraId="04B5CA3D"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4D1C44F3" w14:textId="77777777" w:rsidR="00A0524C" w:rsidRPr="005C6123" w:rsidRDefault="000941A9" w:rsidP="00A0524C">
            <w:pPr>
              <w:spacing w:line="240" w:lineRule="auto"/>
              <w:rPr>
                <w:sz w:val="14"/>
                <w:szCs w:val="16"/>
                <w:lang w:val="en-US"/>
              </w:rPr>
            </w:pPr>
            <w:hyperlink r:id="rId52" w:history="1">
              <w:r w:rsidR="00A0524C" w:rsidRPr="005C6123">
                <w:rPr>
                  <w:rStyle w:val="Hyperlink"/>
                  <w:sz w:val="14"/>
                  <w:szCs w:val="16"/>
                  <w:lang w:val="en-US"/>
                </w:rPr>
                <w:t>http://www.ccacoalition.org/en/resources/technical-guidance-document-number-2-fugitive-component-and-equipment-leaks</w:t>
              </w:r>
            </w:hyperlink>
          </w:p>
          <w:p w14:paraId="508E005C" w14:textId="77777777" w:rsidR="00A0524C" w:rsidRPr="005C6123" w:rsidRDefault="00A0524C" w:rsidP="00A0524C">
            <w:pPr>
              <w:spacing w:line="240" w:lineRule="auto"/>
              <w:rPr>
                <w:sz w:val="14"/>
                <w:szCs w:val="16"/>
                <w:lang w:val="en-US"/>
              </w:rPr>
            </w:pPr>
            <w:r w:rsidRPr="005C6123">
              <w:rPr>
                <w:sz w:val="14"/>
                <w:szCs w:val="16"/>
                <w:lang w:val="en-US"/>
              </w:rPr>
              <w:t xml:space="preserve">Plugged / abandoned wells: </w:t>
            </w:r>
          </w:p>
          <w:p w14:paraId="72B09A57" w14:textId="77777777" w:rsidR="00A0524C" w:rsidRPr="005C6123" w:rsidRDefault="000941A9" w:rsidP="00A0524C">
            <w:pPr>
              <w:spacing w:line="240" w:lineRule="auto"/>
              <w:rPr>
                <w:sz w:val="14"/>
                <w:szCs w:val="16"/>
                <w:lang w:val="en-US"/>
              </w:rPr>
            </w:pPr>
            <w:hyperlink r:id="rId53" w:history="1">
              <w:r w:rsidR="00A0524C" w:rsidRPr="005C6123">
                <w:rPr>
                  <w:rStyle w:val="Hyperlink"/>
                  <w:sz w:val="14"/>
                  <w:szCs w:val="16"/>
                  <w:lang w:val="en-US"/>
                </w:rPr>
                <w:t>http://www.pnas.org/content/pnas/113/48/13636.full.pdf</w:t>
              </w:r>
            </w:hyperlink>
          </w:p>
        </w:tc>
      </w:tr>
      <w:tr w:rsidR="00A0524C" w:rsidRPr="005C6123" w14:paraId="075BEE43" w14:textId="77777777" w:rsidTr="0059177F">
        <w:trPr>
          <w:gridAfter w:val="1"/>
          <w:wAfter w:w="9" w:type="dxa"/>
          <w:trHeight w:val="188"/>
          <w:jc w:val="center"/>
        </w:trPr>
        <w:tc>
          <w:tcPr>
            <w:tcW w:w="2110" w:type="dxa"/>
            <w:gridSpan w:val="2"/>
            <w:tcBorders>
              <w:top w:val="single" w:sz="4" w:space="0" w:color="208855" w:themeColor="accent1" w:themeShade="BF"/>
              <w:right w:val="single" w:sz="4" w:space="0" w:color="208855" w:themeColor="accent1" w:themeShade="BF"/>
            </w:tcBorders>
            <w:shd w:val="clear" w:color="auto" w:fill="D0F4E3" w:themeFill="accent1" w:themeFillTint="33"/>
          </w:tcPr>
          <w:p w14:paraId="264EFA91"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47"/>
            </w:r>
          </w:p>
        </w:tc>
        <w:tc>
          <w:tcPr>
            <w:tcW w:w="2258" w:type="dxa"/>
            <w:gridSpan w:val="6"/>
            <w:tcBorders>
              <w:top w:val="single" w:sz="4" w:space="0" w:color="208855" w:themeColor="accent1" w:themeShade="BF"/>
              <w:left w:val="single" w:sz="4" w:space="0" w:color="208855" w:themeColor="accent1" w:themeShade="BF"/>
              <w:right w:val="single" w:sz="4" w:space="0" w:color="208855" w:themeColor="accent1" w:themeShade="BF"/>
            </w:tcBorders>
            <w:shd w:val="clear" w:color="auto" w:fill="D0F4E3" w:themeFill="accent1" w:themeFillTint="33"/>
          </w:tcPr>
          <w:p w14:paraId="3EEF5BBA"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Applicable</w:t>
            </w:r>
            <w:r w:rsidRPr="005C6123">
              <w:rPr>
                <w:sz w:val="15"/>
                <w:szCs w:val="15"/>
              </w:rPr>
              <w:t xml:space="preserve"> </w:t>
            </w:r>
            <w:r w:rsidRPr="005C6123">
              <w:rPr>
                <w:b/>
                <w:sz w:val="15"/>
                <w:szCs w:val="15"/>
              </w:rPr>
              <w:t>Emission Quantification equipment</w:t>
            </w:r>
            <w:r w:rsidRPr="005C6123">
              <w:rPr>
                <w:rStyle w:val="FootnoteReference"/>
                <w:b/>
                <w:sz w:val="15"/>
                <w:szCs w:val="15"/>
              </w:rPr>
              <w:footnoteReference w:id="148"/>
            </w:r>
          </w:p>
        </w:tc>
        <w:tc>
          <w:tcPr>
            <w:tcW w:w="4993" w:type="dxa"/>
            <w:gridSpan w:val="16"/>
            <w:tcBorders>
              <w:top w:val="single" w:sz="4" w:space="0" w:color="208855" w:themeColor="accent1" w:themeShade="BF"/>
              <w:left w:val="single" w:sz="4" w:space="0" w:color="208855" w:themeColor="accent1" w:themeShade="BF"/>
            </w:tcBorders>
            <w:shd w:val="clear" w:color="auto" w:fill="D0F4E3" w:themeFill="accent1" w:themeFillTint="33"/>
          </w:tcPr>
          <w:p w14:paraId="7F9EBA3F"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Typical quantification Methodologies</w:t>
            </w:r>
          </w:p>
        </w:tc>
      </w:tr>
      <w:tr w:rsidR="00A0524C" w:rsidRPr="00104E87" w14:paraId="3430EA34" w14:textId="77777777" w:rsidTr="0059177F">
        <w:trPr>
          <w:gridAfter w:val="1"/>
          <w:wAfter w:w="9" w:type="dxa"/>
          <w:trHeight w:val="972"/>
          <w:jc w:val="center"/>
        </w:trPr>
        <w:tc>
          <w:tcPr>
            <w:tcW w:w="2110" w:type="dxa"/>
            <w:gridSpan w:val="2"/>
            <w:tcBorders>
              <w:bottom w:val="nil"/>
              <w:right w:val="single" w:sz="4" w:space="0" w:color="208855" w:themeColor="accent1" w:themeShade="BF"/>
            </w:tcBorders>
            <w:shd w:val="clear" w:color="auto" w:fill="auto"/>
          </w:tcPr>
          <w:p w14:paraId="6CD03F0D" w14:textId="77777777" w:rsidR="00A0524C" w:rsidRPr="005C6123" w:rsidRDefault="00A0524C" w:rsidP="005D2939">
            <w:pPr>
              <w:pStyle w:val="ListParagraph"/>
              <w:numPr>
                <w:ilvl w:val="0"/>
                <w:numId w:val="42"/>
              </w:numPr>
              <w:spacing w:before="40" w:after="40" w:line="240" w:lineRule="auto"/>
              <w:ind w:left="179" w:hanging="142"/>
              <w:contextualSpacing w:val="0"/>
              <w:rPr>
                <w:bCs/>
                <w:color w:val="000000"/>
                <w:sz w:val="15"/>
                <w:szCs w:val="15"/>
              </w:rPr>
            </w:pPr>
            <w:r w:rsidRPr="005C6123">
              <w:rPr>
                <w:bCs/>
                <w:color w:val="000000"/>
                <w:sz w:val="15"/>
                <w:szCs w:val="15"/>
              </w:rPr>
              <w:t>Optical gas Imaging</w:t>
            </w:r>
          </w:p>
          <w:p w14:paraId="0C0FD734" w14:textId="77777777" w:rsidR="00A0524C" w:rsidRPr="005C6123" w:rsidRDefault="00A0524C" w:rsidP="005D2939">
            <w:pPr>
              <w:pStyle w:val="ListParagraph"/>
              <w:numPr>
                <w:ilvl w:val="0"/>
                <w:numId w:val="42"/>
              </w:numPr>
              <w:spacing w:before="40" w:after="40" w:line="240" w:lineRule="auto"/>
              <w:ind w:left="179" w:hanging="142"/>
              <w:contextualSpacing w:val="0"/>
              <w:rPr>
                <w:bCs/>
                <w:color w:val="000000"/>
                <w:sz w:val="15"/>
                <w:szCs w:val="15"/>
              </w:rPr>
            </w:pPr>
            <w:r w:rsidRPr="005C6123">
              <w:rPr>
                <w:rFonts w:eastAsia="Times New Roman"/>
                <w:bCs/>
                <w:color w:val="000000"/>
                <w:sz w:val="15"/>
                <w:szCs w:val="15"/>
              </w:rPr>
              <w:t>Laser leak detector</w:t>
            </w:r>
          </w:p>
          <w:p w14:paraId="56BF9492" w14:textId="77777777" w:rsidR="00A0524C" w:rsidRPr="005C6123" w:rsidRDefault="00A0524C" w:rsidP="005D2939">
            <w:pPr>
              <w:pStyle w:val="ListParagraph"/>
              <w:numPr>
                <w:ilvl w:val="0"/>
                <w:numId w:val="42"/>
              </w:numPr>
              <w:spacing w:before="40" w:after="40" w:line="240" w:lineRule="auto"/>
              <w:ind w:left="179" w:hanging="142"/>
              <w:contextualSpacing w:val="0"/>
              <w:rPr>
                <w:bCs/>
                <w:color w:val="000000"/>
                <w:sz w:val="15"/>
                <w:szCs w:val="15"/>
              </w:rPr>
            </w:pPr>
            <w:r w:rsidRPr="005C6123">
              <w:rPr>
                <w:rFonts w:eastAsia="Times New Roman"/>
                <w:bCs/>
                <w:color w:val="000000"/>
                <w:sz w:val="15"/>
                <w:szCs w:val="15"/>
              </w:rPr>
              <w:t>Soap Bubble Screening</w:t>
            </w:r>
          </w:p>
          <w:p w14:paraId="0EB3851A" w14:textId="77777777" w:rsidR="00A0524C" w:rsidRPr="005C6123" w:rsidRDefault="00A0524C" w:rsidP="005D2939">
            <w:pPr>
              <w:pStyle w:val="ListParagraph"/>
              <w:numPr>
                <w:ilvl w:val="0"/>
                <w:numId w:val="42"/>
              </w:numPr>
              <w:spacing w:before="40" w:after="40" w:line="240" w:lineRule="auto"/>
              <w:ind w:left="179" w:hanging="142"/>
              <w:contextualSpacing w:val="0"/>
              <w:rPr>
                <w:bCs/>
                <w:color w:val="000000"/>
                <w:sz w:val="15"/>
                <w:szCs w:val="15"/>
              </w:rPr>
            </w:pPr>
            <w:r w:rsidRPr="005C6123">
              <w:rPr>
                <w:rFonts w:eastAsia="Times New Roman"/>
                <w:bCs/>
                <w:color w:val="000000"/>
                <w:sz w:val="15"/>
                <w:szCs w:val="15"/>
              </w:rPr>
              <w:t>Organic Vapor Analyzers (OVAs) and Toxic Vapor Analyzers (TVAs)</w:t>
            </w:r>
          </w:p>
          <w:p w14:paraId="1805E4AE" w14:textId="77777777" w:rsidR="00A0524C" w:rsidRPr="005C6123" w:rsidRDefault="00A0524C" w:rsidP="005D2939">
            <w:pPr>
              <w:pStyle w:val="ListParagraph"/>
              <w:numPr>
                <w:ilvl w:val="0"/>
                <w:numId w:val="42"/>
              </w:numPr>
              <w:spacing w:before="40" w:after="40" w:line="240" w:lineRule="auto"/>
              <w:ind w:left="179" w:hanging="142"/>
              <w:contextualSpacing w:val="0"/>
              <w:rPr>
                <w:bCs/>
                <w:color w:val="000000"/>
                <w:sz w:val="15"/>
                <w:szCs w:val="15"/>
              </w:rPr>
            </w:pPr>
            <w:r w:rsidRPr="005C6123">
              <w:rPr>
                <w:rFonts w:eastAsia="Times New Roman"/>
                <w:bCs/>
                <w:color w:val="000000"/>
                <w:sz w:val="15"/>
                <w:szCs w:val="15"/>
              </w:rPr>
              <w:t>Acoustic Leak Detection</w:t>
            </w:r>
          </w:p>
        </w:tc>
        <w:tc>
          <w:tcPr>
            <w:tcW w:w="2258" w:type="dxa"/>
            <w:gridSpan w:val="6"/>
            <w:tcBorders>
              <w:left w:val="single" w:sz="4" w:space="0" w:color="208855" w:themeColor="accent1" w:themeShade="BF"/>
              <w:bottom w:val="nil"/>
              <w:right w:val="single" w:sz="4" w:space="0" w:color="208855" w:themeColor="accent1" w:themeShade="BF"/>
            </w:tcBorders>
            <w:shd w:val="clear" w:color="auto" w:fill="auto"/>
          </w:tcPr>
          <w:p w14:paraId="35229D76" w14:textId="77777777" w:rsidR="00A0524C" w:rsidRPr="005C6123" w:rsidRDefault="00A0524C" w:rsidP="005D2939">
            <w:pPr>
              <w:pStyle w:val="ListParagraph"/>
              <w:numPr>
                <w:ilvl w:val="0"/>
                <w:numId w:val="38"/>
              </w:numPr>
              <w:spacing w:before="40" w:after="40" w:line="240" w:lineRule="auto"/>
              <w:ind w:left="176" w:hanging="176"/>
              <w:contextualSpacing w:val="0"/>
              <w:rPr>
                <w:color w:val="000000"/>
                <w:sz w:val="15"/>
                <w:szCs w:val="15"/>
              </w:rPr>
            </w:pPr>
            <w:r w:rsidRPr="005C6123">
              <w:rPr>
                <w:color w:val="000000"/>
                <w:sz w:val="15"/>
                <w:szCs w:val="15"/>
              </w:rPr>
              <w:t>Calibrated Vent Bag</w:t>
            </w:r>
          </w:p>
          <w:p w14:paraId="0BFF7ED4" w14:textId="77777777" w:rsidR="00A0524C" w:rsidRPr="005C6123" w:rsidRDefault="00A0524C" w:rsidP="005D2939">
            <w:pPr>
              <w:pStyle w:val="ListParagraph"/>
              <w:numPr>
                <w:ilvl w:val="0"/>
                <w:numId w:val="38"/>
              </w:numPr>
              <w:spacing w:before="40" w:after="40" w:line="240" w:lineRule="auto"/>
              <w:ind w:left="176" w:hanging="176"/>
              <w:contextualSpacing w:val="0"/>
              <w:rPr>
                <w:color w:val="000000"/>
                <w:sz w:val="15"/>
                <w:szCs w:val="15"/>
              </w:rPr>
            </w:pPr>
            <w:r w:rsidRPr="005C6123">
              <w:rPr>
                <w:rFonts w:eastAsia="Times New Roman"/>
                <w:color w:val="000000"/>
                <w:sz w:val="15"/>
                <w:szCs w:val="15"/>
              </w:rPr>
              <w:t>High volume sampler</w:t>
            </w:r>
          </w:p>
          <w:p w14:paraId="63B13F04" w14:textId="77777777" w:rsidR="00A0524C" w:rsidRPr="005C6123" w:rsidRDefault="00A0524C" w:rsidP="005D2939">
            <w:pPr>
              <w:pStyle w:val="ListParagraph"/>
              <w:numPr>
                <w:ilvl w:val="0"/>
                <w:numId w:val="38"/>
              </w:numPr>
              <w:spacing w:before="40" w:after="40" w:line="240" w:lineRule="auto"/>
              <w:ind w:left="176" w:hanging="176"/>
              <w:contextualSpacing w:val="0"/>
              <w:rPr>
                <w:color w:val="000000"/>
                <w:sz w:val="15"/>
                <w:szCs w:val="15"/>
              </w:rPr>
            </w:pPr>
            <w:r w:rsidRPr="005C6123">
              <w:rPr>
                <w:rFonts w:eastAsia="Times New Roman"/>
                <w:color w:val="000000"/>
                <w:sz w:val="15"/>
                <w:szCs w:val="15"/>
              </w:rPr>
              <w:t>Vane anemometer</w:t>
            </w:r>
          </w:p>
          <w:p w14:paraId="21CB588B" w14:textId="77777777" w:rsidR="00A0524C" w:rsidRPr="005C6123" w:rsidRDefault="00A0524C" w:rsidP="005D2939">
            <w:pPr>
              <w:pStyle w:val="ListParagraph"/>
              <w:numPr>
                <w:ilvl w:val="0"/>
                <w:numId w:val="38"/>
              </w:numPr>
              <w:spacing w:before="40" w:after="40" w:line="240" w:lineRule="auto"/>
              <w:ind w:left="176" w:hanging="176"/>
              <w:contextualSpacing w:val="0"/>
              <w:rPr>
                <w:color w:val="000000"/>
                <w:sz w:val="15"/>
                <w:szCs w:val="15"/>
              </w:rPr>
            </w:pPr>
            <w:r w:rsidRPr="005C6123">
              <w:rPr>
                <w:rFonts w:eastAsia="Times New Roman"/>
                <w:color w:val="000000"/>
                <w:sz w:val="15"/>
                <w:szCs w:val="15"/>
              </w:rPr>
              <w:t>Hotwire anemometer</w:t>
            </w:r>
          </w:p>
          <w:p w14:paraId="1110890B" w14:textId="77777777" w:rsidR="00A0524C" w:rsidRPr="005C6123" w:rsidRDefault="00A0524C" w:rsidP="005D2939">
            <w:pPr>
              <w:pStyle w:val="ListParagraph"/>
              <w:numPr>
                <w:ilvl w:val="0"/>
                <w:numId w:val="38"/>
              </w:numPr>
              <w:spacing w:before="40" w:after="40" w:line="240" w:lineRule="auto"/>
              <w:ind w:left="176" w:hanging="176"/>
              <w:contextualSpacing w:val="0"/>
              <w:rPr>
                <w:color w:val="000000"/>
                <w:sz w:val="15"/>
                <w:szCs w:val="15"/>
              </w:rPr>
            </w:pPr>
            <w:r w:rsidRPr="005C6123">
              <w:rPr>
                <w:rFonts w:eastAsia="Times New Roman"/>
                <w:color w:val="000000"/>
                <w:sz w:val="15"/>
                <w:szCs w:val="15"/>
              </w:rPr>
              <w:t>Turbine meter</w:t>
            </w:r>
          </w:p>
          <w:p w14:paraId="4266157B" w14:textId="77777777" w:rsidR="00A0524C" w:rsidRPr="005C6123" w:rsidRDefault="00A0524C" w:rsidP="005D2939">
            <w:pPr>
              <w:pStyle w:val="ListParagraph"/>
              <w:numPr>
                <w:ilvl w:val="0"/>
                <w:numId w:val="38"/>
              </w:numPr>
              <w:spacing w:before="40" w:after="40" w:line="240" w:lineRule="auto"/>
              <w:ind w:left="176" w:hanging="176"/>
              <w:contextualSpacing w:val="0"/>
              <w:rPr>
                <w:color w:val="000000"/>
                <w:sz w:val="15"/>
                <w:szCs w:val="15"/>
              </w:rPr>
            </w:pPr>
            <w:r w:rsidRPr="005C6123">
              <w:rPr>
                <w:rFonts w:eastAsia="Times New Roman"/>
                <w:color w:val="000000"/>
                <w:sz w:val="15"/>
                <w:szCs w:val="15"/>
              </w:rPr>
              <w:t>Acoustic Detection Device (for through-valve leaks)</w:t>
            </w:r>
          </w:p>
        </w:tc>
        <w:tc>
          <w:tcPr>
            <w:tcW w:w="4993" w:type="dxa"/>
            <w:gridSpan w:val="16"/>
            <w:tcBorders>
              <w:left w:val="single" w:sz="4" w:space="0" w:color="208855" w:themeColor="accent1" w:themeShade="BF"/>
              <w:bottom w:val="nil"/>
            </w:tcBorders>
            <w:shd w:val="clear" w:color="auto" w:fill="auto"/>
          </w:tcPr>
          <w:p w14:paraId="6152E925" w14:textId="77777777" w:rsidR="00A0524C" w:rsidRPr="005C6123" w:rsidRDefault="00A0524C" w:rsidP="005D2939">
            <w:pPr>
              <w:pStyle w:val="ListParagraph"/>
              <w:numPr>
                <w:ilvl w:val="0"/>
                <w:numId w:val="40"/>
              </w:numPr>
              <w:spacing w:before="40" w:after="40" w:line="240" w:lineRule="auto"/>
              <w:ind w:left="179" w:hanging="142"/>
              <w:contextualSpacing w:val="0"/>
              <w:rPr>
                <w:sz w:val="15"/>
                <w:szCs w:val="15"/>
              </w:rPr>
            </w:pPr>
            <w:r w:rsidRPr="005C6123">
              <w:rPr>
                <w:sz w:val="15"/>
                <w:szCs w:val="15"/>
              </w:rPr>
              <w:t>Leak screening and direct emission rate measurement</w:t>
            </w:r>
          </w:p>
          <w:p w14:paraId="44C72C00" w14:textId="2BE5AD81" w:rsidR="00A0524C" w:rsidRPr="005C6123" w:rsidRDefault="00A0524C" w:rsidP="005D2939">
            <w:pPr>
              <w:pStyle w:val="ListParagraph"/>
              <w:numPr>
                <w:ilvl w:val="0"/>
                <w:numId w:val="40"/>
              </w:numPr>
              <w:spacing w:before="40" w:after="40" w:line="240" w:lineRule="auto"/>
              <w:ind w:left="179" w:hanging="142"/>
              <w:contextualSpacing w:val="0"/>
              <w:rPr>
                <w:sz w:val="15"/>
                <w:szCs w:val="15"/>
              </w:rPr>
            </w:pPr>
            <w:r w:rsidRPr="005C6123">
              <w:rPr>
                <w:sz w:val="15"/>
                <w:szCs w:val="15"/>
              </w:rPr>
              <w:t>Emission factors per component (in Sm</w:t>
            </w:r>
            <w:r w:rsidRPr="005C6123">
              <w:rPr>
                <w:sz w:val="15"/>
                <w:szCs w:val="15"/>
                <w:vertAlign w:val="superscript"/>
              </w:rPr>
              <w:t>3</w:t>
            </w:r>
            <w:r w:rsidRPr="005C6123">
              <w:rPr>
                <w:sz w:val="15"/>
                <w:szCs w:val="15"/>
              </w:rPr>
              <w:t>/component) or per throughput</w:t>
            </w:r>
            <w:r w:rsidR="00315A85" w:rsidRPr="005C6123">
              <w:rPr>
                <w:rStyle w:val="FootnoteReference"/>
                <w:sz w:val="15"/>
                <w:szCs w:val="15"/>
              </w:rPr>
              <w:footnoteReference w:id="149"/>
            </w:r>
          </w:p>
          <w:p w14:paraId="27EFC3A2" w14:textId="77777777" w:rsidR="00A0524C" w:rsidRPr="005C6123" w:rsidRDefault="00A0524C" w:rsidP="00A0524C">
            <w:pPr>
              <w:pStyle w:val="ListParagraph"/>
              <w:spacing w:before="40" w:after="40"/>
              <w:ind w:left="308"/>
              <w:contextualSpacing w:val="0"/>
              <w:rPr>
                <w:sz w:val="15"/>
                <w:szCs w:val="15"/>
              </w:rPr>
            </w:pPr>
          </w:p>
        </w:tc>
      </w:tr>
      <w:tr w:rsidR="00AB1CB7" w:rsidRPr="005C6123" w:rsidDel="00994E71" w14:paraId="3A9F7AED" w14:textId="77777777" w:rsidTr="0059177F">
        <w:trPr>
          <w:gridAfter w:val="1"/>
          <w:wAfter w:w="9" w:type="dxa"/>
          <w:trHeight w:val="538"/>
          <w:jc w:val="center"/>
        </w:trPr>
        <w:tc>
          <w:tcPr>
            <w:tcW w:w="6616" w:type="dxa"/>
            <w:gridSpan w:val="11"/>
            <w:tcBorders>
              <w:top w:val="nil"/>
              <w:left w:val="single" w:sz="2" w:space="0" w:color="208855" w:themeColor="accent1" w:themeShade="BF"/>
              <w:bottom w:val="single" w:sz="2" w:space="0" w:color="2BB673" w:themeColor="text2"/>
            </w:tcBorders>
            <w:shd w:val="clear" w:color="auto" w:fill="208855" w:themeFill="accent1" w:themeFillShade="BF"/>
            <w:vAlign w:val="center"/>
          </w:tcPr>
          <w:p w14:paraId="4654D814" w14:textId="5F76C813" w:rsidR="00AB1CB7" w:rsidRPr="00FB48A1" w:rsidRDefault="00AB1CB7" w:rsidP="00AB1CB7">
            <w:pPr>
              <w:pStyle w:val="ListParagraph"/>
              <w:numPr>
                <w:ilvl w:val="0"/>
                <w:numId w:val="36"/>
              </w:numPr>
              <w:spacing w:before="60" w:after="60"/>
              <w:ind w:left="0" w:hanging="357"/>
              <w:contextualSpacing w:val="0"/>
              <w:rPr>
                <w:b/>
                <w:bCs/>
                <w:color w:val="FFFFFF"/>
              </w:rPr>
            </w:pPr>
            <w:r w:rsidRPr="000941A9">
              <w:rPr>
                <w:b/>
                <w:bCs/>
                <w:color w:val="FFFFFF"/>
              </w:rPr>
              <w:t>Emission source categories along the value chain</w:t>
            </w:r>
          </w:p>
        </w:tc>
        <w:tc>
          <w:tcPr>
            <w:tcW w:w="696" w:type="dxa"/>
            <w:gridSpan w:val="3"/>
            <w:tcBorders>
              <w:top w:val="nil"/>
              <w:bottom w:val="single" w:sz="2" w:space="0" w:color="2BB673" w:themeColor="text2"/>
            </w:tcBorders>
            <w:shd w:val="clear" w:color="auto" w:fill="155B39" w:themeFill="accent6"/>
            <w:vAlign w:val="center"/>
          </w:tcPr>
          <w:p w14:paraId="3FF24D49" w14:textId="6AE65D23" w:rsidR="00AB1CB7" w:rsidRPr="005C6123" w:rsidRDefault="00AB1CB7" w:rsidP="00AB1CB7">
            <w:pPr>
              <w:pStyle w:val="ListParagraph"/>
              <w:spacing w:before="120" w:line="276" w:lineRule="auto"/>
              <w:jc w:val="center"/>
              <w:rPr>
                <w:color w:val="FFFFFF"/>
                <w:sz w:val="24"/>
                <w:szCs w:val="24"/>
              </w:rPr>
            </w:pPr>
            <w:r w:rsidRPr="005C6123">
              <w:rPr>
                <w:b/>
                <w:bCs/>
                <w:color w:val="FFFFFF"/>
                <w:sz w:val="14"/>
                <w:szCs w:val="14"/>
                <w:lang w:val="nb-NO"/>
              </w:rPr>
              <w:t>P</w:t>
            </w:r>
          </w:p>
        </w:tc>
        <w:tc>
          <w:tcPr>
            <w:tcW w:w="676" w:type="dxa"/>
            <w:gridSpan w:val="4"/>
            <w:tcBorders>
              <w:top w:val="nil"/>
              <w:bottom w:val="single" w:sz="2" w:space="0" w:color="2BB673" w:themeColor="text2"/>
            </w:tcBorders>
            <w:shd w:val="clear" w:color="auto" w:fill="155B39" w:themeFill="accent6"/>
            <w:vAlign w:val="center"/>
          </w:tcPr>
          <w:p w14:paraId="4D8BB113" w14:textId="228FF88F" w:rsidR="00AB1CB7" w:rsidRPr="005C6123" w:rsidRDefault="00AB1CB7" w:rsidP="00AB1CB7">
            <w:pPr>
              <w:pStyle w:val="ListParagraph"/>
              <w:spacing w:before="120" w:line="276" w:lineRule="auto"/>
              <w:jc w:val="center"/>
              <w:rPr>
                <w:color w:val="FFFFFF"/>
                <w:sz w:val="24"/>
                <w:szCs w:val="24"/>
              </w:rPr>
            </w:pPr>
            <w:r w:rsidRPr="005C6123">
              <w:rPr>
                <w:b/>
                <w:bCs/>
                <w:color w:val="FFFFFF"/>
                <w:sz w:val="14"/>
                <w:szCs w:val="14"/>
              </w:rPr>
              <w:t>G&amp;P</w:t>
            </w:r>
          </w:p>
        </w:tc>
        <w:tc>
          <w:tcPr>
            <w:tcW w:w="684" w:type="dxa"/>
            <w:gridSpan w:val="4"/>
            <w:tcBorders>
              <w:top w:val="nil"/>
              <w:bottom w:val="single" w:sz="2" w:space="0" w:color="2BB673" w:themeColor="text2"/>
            </w:tcBorders>
            <w:shd w:val="clear" w:color="auto" w:fill="155B39" w:themeFill="accent6"/>
            <w:vAlign w:val="center"/>
          </w:tcPr>
          <w:p w14:paraId="031511A7" w14:textId="083F4EB5" w:rsidR="00AB1CB7" w:rsidRPr="005C6123" w:rsidRDefault="00AB1CB7" w:rsidP="00AB1CB7">
            <w:pPr>
              <w:pStyle w:val="ListParagraph"/>
              <w:spacing w:before="120" w:line="276" w:lineRule="auto"/>
              <w:jc w:val="center"/>
              <w:rPr>
                <w:color w:val="FFFFFF"/>
                <w:sz w:val="24"/>
                <w:szCs w:val="24"/>
              </w:rPr>
            </w:pPr>
            <w:r w:rsidRPr="005C6123">
              <w:rPr>
                <w:b/>
                <w:bCs/>
                <w:color w:val="FFFFFF"/>
                <w:sz w:val="14"/>
                <w:szCs w:val="14"/>
              </w:rPr>
              <w:t>T&amp;S</w:t>
            </w:r>
          </w:p>
        </w:tc>
        <w:tc>
          <w:tcPr>
            <w:tcW w:w="689" w:type="dxa"/>
            <w:gridSpan w:val="2"/>
            <w:tcBorders>
              <w:top w:val="nil"/>
              <w:bottom w:val="single" w:sz="2" w:space="0" w:color="2BB673" w:themeColor="text2"/>
              <w:right w:val="single" w:sz="2" w:space="0" w:color="208855" w:themeColor="accent1" w:themeShade="BF"/>
            </w:tcBorders>
            <w:shd w:val="clear" w:color="auto" w:fill="155B39" w:themeFill="accent6"/>
            <w:vAlign w:val="center"/>
          </w:tcPr>
          <w:p w14:paraId="5A52EEC9" w14:textId="7FBB378A" w:rsidR="00AB1CB7" w:rsidRPr="005C6123" w:rsidDel="00994E71" w:rsidRDefault="00AB1CB7" w:rsidP="00AB1CB7">
            <w:pPr>
              <w:pStyle w:val="ListParagraph"/>
              <w:spacing w:before="120" w:after="0" w:line="276" w:lineRule="auto"/>
              <w:jc w:val="center"/>
              <w:rPr>
                <w:color w:val="FFFFFF"/>
                <w:szCs w:val="20"/>
              </w:rPr>
            </w:pPr>
            <w:r w:rsidRPr="00A2317D">
              <w:rPr>
                <w:b/>
                <w:bCs/>
                <w:color w:val="FFFFFF"/>
                <w:sz w:val="14"/>
                <w:szCs w:val="14"/>
              </w:rPr>
              <w:t>D</w:t>
            </w:r>
          </w:p>
        </w:tc>
      </w:tr>
      <w:tr w:rsidR="00A0524C" w:rsidRPr="005C6123" w:rsidDel="00994E71" w14:paraId="3E38ECBB" w14:textId="77777777" w:rsidTr="0059177F">
        <w:trPr>
          <w:gridAfter w:val="1"/>
          <w:wAfter w:w="9" w:type="dxa"/>
          <w:trHeight w:val="669"/>
          <w:jc w:val="center"/>
        </w:trPr>
        <w:tc>
          <w:tcPr>
            <w:tcW w:w="6616" w:type="dxa"/>
            <w:gridSpan w:val="11"/>
            <w:tcBorders>
              <w:top w:val="single" w:sz="2" w:space="0" w:color="2BB673" w:themeColor="text2"/>
              <w:left w:val="single" w:sz="2" w:space="0" w:color="208855" w:themeColor="accent1" w:themeShade="BF"/>
              <w:bottom w:val="nil"/>
            </w:tcBorders>
            <w:shd w:val="clear" w:color="auto" w:fill="208855" w:themeFill="accent1" w:themeFillShade="BF"/>
          </w:tcPr>
          <w:p w14:paraId="5395AA40" w14:textId="77777777" w:rsidR="00A0524C" w:rsidRPr="005C6123" w:rsidRDefault="00A0524C" w:rsidP="005D2939">
            <w:pPr>
              <w:pStyle w:val="ListParagraph"/>
              <w:numPr>
                <w:ilvl w:val="0"/>
                <w:numId w:val="36"/>
              </w:numPr>
              <w:spacing w:before="60" w:after="60"/>
              <w:ind w:left="0" w:hanging="357"/>
              <w:contextualSpacing w:val="0"/>
              <w:rPr>
                <w:b/>
                <w:bCs/>
                <w:color w:val="FFFFFF"/>
              </w:rPr>
            </w:pPr>
            <w:r w:rsidRPr="00FB48A1">
              <w:rPr>
                <w:b/>
                <w:bCs/>
                <w:color w:val="FFFFFF"/>
              </w:rPr>
              <w:t>12. Incomplete combustion (including Associated petroleum gas (APG) flaring, engines, turbines, fired heaters)</w:t>
            </w:r>
          </w:p>
        </w:tc>
        <w:tc>
          <w:tcPr>
            <w:tcW w:w="696" w:type="dxa"/>
            <w:gridSpan w:val="3"/>
            <w:tcBorders>
              <w:top w:val="single" w:sz="2" w:space="0" w:color="2BB673" w:themeColor="text2"/>
              <w:bottom w:val="nil"/>
            </w:tcBorders>
            <w:shd w:val="clear" w:color="auto" w:fill="155B39" w:themeFill="accent6"/>
            <w:vAlign w:val="center"/>
          </w:tcPr>
          <w:p w14:paraId="2FB13F87" w14:textId="77777777" w:rsidR="00A0524C" w:rsidRPr="005C6123" w:rsidDel="00994E71" w:rsidRDefault="00A0524C" w:rsidP="00A0524C">
            <w:pPr>
              <w:pStyle w:val="ListParagraph"/>
              <w:spacing w:before="120" w:line="276" w:lineRule="auto"/>
              <w:jc w:val="center"/>
              <w:rPr>
                <w:color w:val="FFFFFF"/>
                <w:sz w:val="24"/>
                <w:szCs w:val="24"/>
              </w:rPr>
            </w:pPr>
            <w:r w:rsidRPr="005C6123">
              <w:rPr>
                <w:color w:val="FFFFFF"/>
                <w:sz w:val="24"/>
                <w:szCs w:val="24"/>
              </w:rPr>
              <w:sym w:font="Symbol" w:char="F0B7"/>
            </w:r>
          </w:p>
        </w:tc>
        <w:tc>
          <w:tcPr>
            <w:tcW w:w="676" w:type="dxa"/>
            <w:gridSpan w:val="4"/>
            <w:tcBorders>
              <w:top w:val="single" w:sz="2" w:space="0" w:color="2BB673" w:themeColor="text2"/>
              <w:bottom w:val="nil"/>
            </w:tcBorders>
            <w:shd w:val="clear" w:color="auto" w:fill="155B39" w:themeFill="accent6"/>
            <w:vAlign w:val="center"/>
          </w:tcPr>
          <w:p w14:paraId="3DDEF58F" w14:textId="77777777" w:rsidR="00A0524C" w:rsidRPr="005C6123" w:rsidDel="00994E71" w:rsidRDefault="00A0524C" w:rsidP="00A0524C">
            <w:pPr>
              <w:pStyle w:val="ListParagraph"/>
              <w:spacing w:before="120" w:line="276" w:lineRule="auto"/>
              <w:jc w:val="center"/>
              <w:rPr>
                <w:color w:val="FFFFFF"/>
                <w:szCs w:val="20"/>
              </w:rPr>
            </w:pPr>
            <w:r w:rsidRPr="005C6123">
              <w:rPr>
                <w:color w:val="FFFFFF"/>
                <w:sz w:val="24"/>
                <w:szCs w:val="24"/>
              </w:rPr>
              <w:sym w:font="Symbol" w:char="F0B7"/>
            </w:r>
          </w:p>
        </w:tc>
        <w:tc>
          <w:tcPr>
            <w:tcW w:w="684" w:type="dxa"/>
            <w:gridSpan w:val="4"/>
            <w:tcBorders>
              <w:top w:val="single" w:sz="2" w:space="0" w:color="2BB673" w:themeColor="text2"/>
              <w:bottom w:val="nil"/>
            </w:tcBorders>
            <w:shd w:val="clear" w:color="auto" w:fill="155B39" w:themeFill="accent6"/>
            <w:vAlign w:val="center"/>
          </w:tcPr>
          <w:p w14:paraId="2D7F4EC9" w14:textId="77777777" w:rsidR="00A0524C" w:rsidRPr="005C6123" w:rsidDel="00994E71" w:rsidRDefault="00A0524C" w:rsidP="00A0524C">
            <w:pPr>
              <w:pStyle w:val="ListParagraph"/>
              <w:spacing w:before="120" w:line="276" w:lineRule="auto"/>
              <w:jc w:val="center"/>
              <w:rPr>
                <w:color w:val="FFFFFF"/>
                <w:szCs w:val="20"/>
              </w:rPr>
            </w:pPr>
            <w:r w:rsidRPr="005C6123">
              <w:rPr>
                <w:color w:val="FFFFFF"/>
                <w:sz w:val="24"/>
                <w:szCs w:val="24"/>
              </w:rPr>
              <w:sym w:font="Symbol" w:char="F0B7"/>
            </w:r>
          </w:p>
        </w:tc>
        <w:tc>
          <w:tcPr>
            <w:tcW w:w="689" w:type="dxa"/>
            <w:gridSpan w:val="2"/>
            <w:tcBorders>
              <w:top w:val="single" w:sz="2" w:space="0" w:color="2BB673" w:themeColor="text2"/>
              <w:bottom w:val="nil"/>
              <w:right w:val="single" w:sz="2" w:space="0" w:color="208855" w:themeColor="accent1" w:themeShade="BF"/>
            </w:tcBorders>
            <w:shd w:val="clear" w:color="auto" w:fill="155B39" w:themeFill="accent6"/>
            <w:vAlign w:val="center"/>
          </w:tcPr>
          <w:p w14:paraId="07FE34B6" w14:textId="77777777" w:rsidR="00A0524C" w:rsidRPr="005C6123" w:rsidDel="00994E71" w:rsidRDefault="00A0524C" w:rsidP="00A0524C">
            <w:pPr>
              <w:pStyle w:val="ListParagraph"/>
              <w:spacing w:before="120" w:line="276" w:lineRule="auto"/>
              <w:jc w:val="center"/>
              <w:rPr>
                <w:color w:val="FFFFFF"/>
                <w:szCs w:val="20"/>
              </w:rPr>
            </w:pPr>
          </w:p>
        </w:tc>
      </w:tr>
      <w:tr w:rsidR="00A0524C" w:rsidRPr="005C6123" w14:paraId="10C34592" w14:textId="77777777" w:rsidTr="0059177F">
        <w:trPr>
          <w:gridAfter w:val="1"/>
          <w:wAfter w:w="9" w:type="dxa"/>
          <w:trHeight w:val="95"/>
          <w:jc w:val="center"/>
        </w:trPr>
        <w:tc>
          <w:tcPr>
            <w:tcW w:w="6616" w:type="dxa"/>
            <w:gridSpan w:val="11"/>
            <w:tcBorders>
              <w:top w:val="single" w:sz="4" w:space="0" w:color="208855" w:themeColor="accent1" w:themeShade="BF"/>
              <w:left w:val="single" w:sz="4" w:space="0" w:color="208855" w:themeColor="accent1" w:themeShade="BF"/>
              <w:bottom w:val="nil"/>
            </w:tcBorders>
            <w:shd w:val="clear" w:color="auto" w:fill="D0F4E3" w:themeFill="accent1" w:themeFillTint="33"/>
          </w:tcPr>
          <w:p w14:paraId="28DE87C5" w14:textId="58444FDB" w:rsidR="00A0524C" w:rsidRPr="005C6123" w:rsidRDefault="00A0524C" w:rsidP="00A0524C">
            <w:pPr>
              <w:spacing w:before="160" w:line="240" w:lineRule="auto"/>
              <w:rPr>
                <w:b/>
                <w:bCs/>
                <w:lang w:val="en-US"/>
              </w:rPr>
            </w:pPr>
            <w:r w:rsidRPr="005C6123">
              <w:rPr>
                <w:bCs/>
                <w:sz w:val="16"/>
                <w:szCs w:val="16"/>
                <w:lang w:val="en-US"/>
              </w:rPr>
              <w:t>Methane emissions result from the incomplete combustion of natural gas, which allows some of the methane in the fuel to be emitted with the exhaust stream. While it is a small percentage, it can represent a significant source of emission in aggregate, especially in gas engines which emit 40 to 150 times more methane than gas turbines. Methane emissions from APG flares are the result of incomplete combustion of the waste gas. A number of external parameters including gas composition, gas velocity, wind velocity, atmospheric pressure and relative humidity play a significant role in affecting the combustion efficiency</w:t>
            </w:r>
            <w:r w:rsidR="00315A85">
              <w:rPr>
                <w:bCs/>
                <w:sz w:val="16"/>
                <w:szCs w:val="16"/>
                <w:lang w:val="en-US"/>
              </w:rPr>
              <w:t>.</w:t>
            </w:r>
            <w:r w:rsidRPr="005C6123">
              <w:rPr>
                <w:rStyle w:val="FootnoteReference"/>
                <w:bCs/>
                <w:sz w:val="16"/>
                <w:szCs w:val="16"/>
              </w:rPr>
              <w:footnoteReference w:id="150"/>
            </w:r>
            <w:r w:rsidRPr="005C6123">
              <w:rPr>
                <w:b/>
                <w:bCs/>
                <w:sz w:val="16"/>
                <w:szCs w:val="16"/>
                <w:lang w:val="en-US"/>
              </w:rPr>
              <w:t xml:space="preserve"> </w:t>
            </w:r>
          </w:p>
        </w:tc>
        <w:tc>
          <w:tcPr>
            <w:tcW w:w="2745" w:type="dxa"/>
            <w:gridSpan w:val="13"/>
            <w:tcBorders>
              <w:top w:val="single" w:sz="4" w:space="0" w:color="208855" w:themeColor="accent1" w:themeShade="BF"/>
              <w:bottom w:val="nil"/>
              <w:right w:val="single" w:sz="4" w:space="0" w:color="208855" w:themeColor="accent1" w:themeShade="BF"/>
            </w:tcBorders>
            <w:shd w:val="clear" w:color="auto" w:fill="D0F4E3" w:themeFill="accent1" w:themeFillTint="33"/>
          </w:tcPr>
          <w:p w14:paraId="7C0B4F21" w14:textId="77777777" w:rsidR="00A0524C" w:rsidRDefault="00A0524C" w:rsidP="00A0524C">
            <w:pPr>
              <w:pStyle w:val="ListParagraph"/>
              <w:spacing w:after="0" w:line="276" w:lineRule="auto"/>
              <w:rPr>
                <w:sz w:val="16"/>
                <w:szCs w:val="16"/>
                <w:u w:val="single"/>
              </w:rPr>
            </w:pPr>
          </w:p>
          <w:p w14:paraId="58E79887" w14:textId="77777777" w:rsidR="00A0524C" w:rsidRPr="005C6123" w:rsidRDefault="00A0524C" w:rsidP="00A0524C">
            <w:pPr>
              <w:pStyle w:val="ListParagraph"/>
              <w:spacing w:after="0" w:line="276" w:lineRule="auto"/>
              <w:rPr>
                <w:sz w:val="16"/>
                <w:szCs w:val="16"/>
              </w:rPr>
            </w:pPr>
            <w:r>
              <w:rPr>
                <w:noProof/>
                <w:sz w:val="16"/>
                <w:szCs w:val="16"/>
                <w:lang w:val="nb-NO" w:eastAsia="nb-NO"/>
              </w:rPr>
              <w:drawing>
                <wp:inline distT="0" distB="0" distL="0" distR="0" wp14:anchorId="756FF9BE" wp14:editId="63CCDCC4">
                  <wp:extent cx="1447800" cy="958850"/>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958850"/>
                          </a:xfrm>
                          <a:prstGeom prst="rect">
                            <a:avLst/>
                          </a:prstGeom>
                          <a:noFill/>
                          <a:ln>
                            <a:noFill/>
                          </a:ln>
                        </pic:spPr>
                      </pic:pic>
                    </a:graphicData>
                  </a:graphic>
                </wp:inline>
              </w:drawing>
            </w:r>
          </w:p>
          <w:p w14:paraId="47D3507A" w14:textId="77777777" w:rsidR="00A0524C" w:rsidRPr="005C6123" w:rsidRDefault="00A0524C" w:rsidP="005D2939">
            <w:pPr>
              <w:pStyle w:val="ListParagraph"/>
              <w:keepNext/>
              <w:numPr>
                <w:ilvl w:val="0"/>
                <w:numId w:val="36"/>
              </w:numPr>
              <w:spacing w:after="60" w:line="276" w:lineRule="auto"/>
              <w:ind w:left="0" w:hanging="357"/>
              <w:contextualSpacing w:val="0"/>
              <w:rPr>
                <w:color w:val="000000"/>
                <w:sz w:val="10"/>
                <w:szCs w:val="10"/>
              </w:rPr>
            </w:pPr>
            <w:r w:rsidRPr="005C6123">
              <w:rPr>
                <w:color w:val="000000"/>
                <w:sz w:val="10"/>
                <w:szCs w:val="10"/>
              </w:rPr>
              <w:t>Image Source: Sparrows group</w:t>
            </w:r>
          </w:p>
        </w:tc>
      </w:tr>
      <w:tr w:rsidR="00A0524C" w:rsidRPr="00104E87" w14:paraId="385D65D9" w14:textId="77777777" w:rsidTr="0059177F">
        <w:trPr>
          <w:gridAfter w:val="1"/>
          <w:wAfter w:w="9" w:type="dxa"/>
          <w:trHeight w:val="80"/>
          <w:jc w:val="center"/>
        </w:trPr>
        <w:tc>
          <w:tcPr>
            <w:tcW w:w="6616" w:type="dxa"/>
            <w:gridSpan w:val="11"/>
            <w:tcBorders>
              <w:top w:val="nil"/>
              <w:left w:val="single" w:sz="4" w:space="0" w:color="208855" w:themeColor="accent1" w:themeShade="BF"/>
              <w:bottom w:val="single" w:sz="4" w:space="0" w:color="208855" w:themeColor="accent1" w:themeShade="BF"/>
            </w:tcBorders>
            <w:shd w:val="clear" w:color="auto" w:fill="auto"/>
          </w:tcPr>
          <w:p w14:paraId="2E509F13" w14:textId="77777777" w:rsidR="00A0524C" w:rsidRPr="005C6123" w:rsidRDefault="00A0524C" w:rsidP="005D2939">
            <w:pPr>
              <w:pStyle w:val="ListParagraph"/>
              <w:numPr>
                <w:ilvl w:val="0"/>
                <w:numId w:val="36"/>
              </w:numPr>
              <w:spacing w:before="60" w:after="60" w:line="276" w:lineRule="auto"/>
              <w:ind w:left="0" w:hanging="357"/>
              <w:contextualSpacing w:val="0"/>
              <w:rPr>
                <w:b/>
                <w:bCs/>
                <w:sz w:val="16"/>
                <w:szCs w:val="16"/>
              </w:rPr>
            </w:pPr>
            <w:r w:rsidRPr="005C6123">
              <w:rPr>
                <w:b/>
                <w:bCs/>
                <w:sz w:val="16"/>
                <w:szCs w:val="16"/>
              </w:rPr>
              <w:t>Mitigation Techniques:</w:t>
            </w:r>
          </w:p>
          <w:p w14:paraId="65F355BF" w14:textId="77777777" w:rsidR="00A0524C" w:rsidRPr="005C6123" w:rsidRDefault="00A0524C" w:rsidP="005D2939">
            <w:pPr>
              <w:pStyle w:val="ListParagraph"/>
              <w:numPr>
                <w:ilvl w:val="0"/>
                <w:numId w:val="63"/>
              </w:numPr>
              <w:spacing w:before="60" w:after="60" w:line="276" w:lineRule="auto"/>
              <w:ind w:left="176" w:hanging="176"/>
              <w:contextualSpacing w:val="0"/>
              <w:rPr>
                <w:bCs/>
                <w:sz w:val="16"/>
                <w:szCs w:val="16"/>
              </w:rPr>
            </w:pPr>
            <w:r w:rsidRPr="005C6123">
              <w:rPr>
                <w:bCs/>
                <w:sz w:val="16"/>
                <w:szCs w:val="16"/>
              </w:rPr>
              <w:t>Increase combustion efficiency by upgrading to more efficient engines/turbines.</w:t>
            </w:r>
          </w:p>
          <w:p w14:paraId="432D62EB" w14:textId="77777777" w:rsidR="00A0524C" w:rsidRPr="005C6123" w:rsidRDefault="00A0524C" w:rsidP="005D2939">
            <w:pPr>
              <w:pStyle w:val="ListParagraph"/>
              <w:numPr>
                <w:ilvl w:val="0"/>
                <w:numId w:val="63"/>
              </w:numPr>
              <w:spacing w:before="60" w:after="60" w:line="276" w:lineRule="auto"/>
              <w:ind w:left="176" w:hanging="176"/>
              <w:contextualSpacing w:val="0"/>
              <w:rPr>
                <w:bCs/>
                <w:sz w:val="16"/>
                <w:szCs w:val="16"/>
              </w:rPr>
            </w:pPr>
            <w:r w:rsidRPr="005C6123">
              <w:rPr>
                <w:bCs/>
                <w:sz w:val="16"/>
                <w:szCs w:val="16"/>
              </w:rPr>
              <w:t>Flaring: Increase gas utilization, improve combustion efficiency (Changing flare tip, Install flare ignition systems)</w:t>
            </w:r>
            <w:r w:rsidRPr="005C6123">
              <w:rPr>
                <w:rStyle w:val="FootnoteReference"/>
                <w:bCs/>
                <w:sz w:val="16"/>
                <w:szCs w:val="16"/>
              </w:rPr>
              <w:footnoteReference w:id="151"/>
            </w:r>
          </w:p>
          <w:p w14:paraId="3F38A5BE" w14:textId="77777777" w:rsidR="00A0524C" w:rsidRPr="005C6123" w:rsidDel="00F662EB" w:rsidRDefault="00A0524C" w:rsidP="00A0524C">
            <w:pPr>
              <w:pStyle w:val="ListParagraph"/>
              <w:spacing w:before="100" w:beforeAutospacing="1" w:after="100" w:afterAutospacing="1" w:line="276" w:lineRule="auto"/>
              <w:rPr>
                <w:b/>
                <w:bCs/>
                <w:sz w:val="16"/>
                <w:szCs w:val="16"/>
                <w:u w:val="single"/>
              </w:rPr>
            </w:pPr>
          </w:p>
        </w:tc>
        <w:tc>
          <w:tcPr>
            <w:tcW w:w="2745" w:type="dxa"/>
            <w:gridSpan w:val="13"/>
            <w:tcBorders>
              <w:top w:val="nil"/>
              <w:bottom w:val="single" w:sz="4" w:space="0" w:color="208855" w:themeColor="accent1" w:themeShade="BF"/>
              <w:right w:val="single" w:sz="4" w:space="0" w:color="208855" w:themeColor="accent1" w:themeShade="BF"/>
            </w:tcBorders>
            <w:shd w:val="clear" w:color="auto" w:fill="auto"/>
          </w:tcPr>
          <w:p w14:paraId="7B3B31BA" w14:textId="77777777" w:rsidR="00A0524C" w:rsidRPr="005C6123" w:rsidRDefault="00A0524C" w:rsidP="00A0524C">
            <w:pPr>
              <w:spacing w:before="60" w:after="60" w:line="240" w:lineRule="auto"/>
              <w:rPr>
                <w:b/>
                <w:sz w:val="16"/>
                <w:szCs w:val="16"/>
                <w:lang w:val="en-US"/>
              </w:rPr>
            </w:pPr>
            <w:r w:rsidRPr="005C6123">
              <w:rPr>
                <w:b/>
                <w:sz w:val="16"/>
                <w:szCs w:val="16"/>
                <w:lang w:val="en-US"/>
              </w:rPr>
              <w:t>Further Information:</w:t>
            </w:r>
          </w:p>
          <w:p w14:paraId="28EFA641" w14:textId="77777777" w:rsidR="00A0524C" w:rsidRPr="005C6123" w:rsidRDefault="000941A9" w:rsidP="00A0524C">
            <w:pPr>
              <w:spacing w:line="240" w:lineRule="auto"/>
              <w:rPr>
                <w:sz w:val="14"/>
                <w:szCs w:val="16"/>
                <w:lang w:val="en-US"/>
              </w:rPr>
            </w:pPr>
            <w:hyperlink r:id="rId55" w:history="1">
              <w:r w:rsidR="00A0524C" w:rsidRPr="005C6123">
                <w:rPr>
                  <w:rStyle w:val="Hyperlink"/>
                  <w:sz w:val="14"/>
                  <w:szCs w:val="16"/>
                  <w:lang w:val="en-US"/>
                </w:rPr>
                <w:t>https://www.ipcc-nggip.iges.or.jp/public/2006gl/pdf/2_Volume2/V2_1_Ch1_Introduction.pdf</w:t>
              </w:r>
            </w:hyperlink>
          </w:p>
          <w:p w14:paraId="0CC9E4DB" w14:textId="77777777" w:rsidR="00A0524C" w:rsidRPr="005C6123" w:rsidRDefault="000941A9" w:rsidP="00A0524C">
            <w:pPr>
              <w:spacing w:line="240" w:lineRule="auto"/>
              <w:rPr>
                <w:sz w:val="14"/>
                <w:szCs w:val="16"/>
                <w:lang w:val="en-US"/>
              </w:rPr>
            </w:pPr>
            <w:hyperlink r:id="rId56" w:history="1">
              <w:r w:rsidR="00A0524C" w:rsidRPr="005C6123">
                <w:rPr>
                  <w:rStyle w:val="Hyperlink"/>
                  <w:sz w:val="14"/>
                  <w:szCs w:val="16"/>
                  <w:lang w:val="en-US"/>
                </w:rPr>
                <w:t>https://www3.epa.gov/airtoxics/flare/2012flaretechreport.pdf</w:t>
              </w:r>
            </w:hyperlink>
          </w:p>
        </w:tc>
      </w:tr>
      <w:tr w:rsidR="00A0524C" w:rsidRPr="005C6123" w14:paraId="1E6C7A25" w14:textId="77777777" w:rsidTr="0059177F">
        <w:trPr>
          <w:gridAfter w:val="1"/>
          <w:wAfter w:w="9" w:type="dxa"/>
          <w:trHeight w:val="188"/>
          <w:jc w:val="center"/>
        </w:trPr>
        <w:tc>
          <w:tcPr>
            <w:tcW w:w="2110" w:type="dxa"/>
            <w:gridSpan w:val="2"/>
            <w:tcBorders>
              <w:top w:val="single" w:sz="4" w:space="0" w:color="208855" w:themeColor="accent1" w:themeShade="BF"/>
              <w:right w:val="single" w:sz="4" w:space="0" w:color="208855" w:themeColor="accent1" w:themeShade="BF"/>
            </w:tcBorders>
            <w:shd w:val="clear" w:color="auto" w:fill="D0F4E3" w:themeFill="accent1" w:themeFillTint="33"/>
          </w:tcPr>
          <w:p w14:paraId="721909D3" w14:textId="77777777" w:rsidR="00A0524C" w:rsidRPr="005C6123" w:rsidRDefault="00A0524C" w:rsidP="005D2939">
            <w:pPr>
              <w:pStyle w:val="ListParagraph"/>
              <w:numPr>
                <w:ilvl w:val="0"/>
                <w:numId w:val="36"/>
              </w:numPr>
              <w:spacing w:before="60" w:after="60"/>
              <w:ind w:left="0" w:hanging="357"/>
              <w:contextualSpacing w:val="0"/>
              <w:rPr>
                <w:b/>
                <w:bCs/>
                <w:sz w:val="15"/>
                <w:szCs w:val="15"/>
              </w:rPr>
            </w:pPr>
            <w:r w:rsidRPr="005C6123">
              <w:rPr>
                <w:b/>
                <w:bCs/>
                <w:sz w:val="15"/>
                <w:szCs w:val="15"/>
              </w:rPr>
              <w:t>Applicable emission detection equipment</w:t>
            </w:r>
            <w:r w:rsidRPr="005C6123">
              <w:rPr>
                <w:rStyle w:val="FootnoteReference"/>
                <w:b/>
                <w:bCs/>
                <w:sz w:val="15"/>
                <w:szCs w:val="15"/>
              </w:rPr>
              <w:footnoteReference w:id="152"/>
            </w:r>
          </w:p>
        </w:tc>
        <w:tc>
          <w:tcPr>
            <w:tcW w:w="2258" w:type="dxa"/>
            <w:gridSpan w:val="6"/>
            <w:tcBorders>
              <w:top w:val="single" w:sz="4" w:space="0" w:color="208855" w:themeColor="accent1" w:themeShade="BF"/>
              <w:left w:val="single" w:sz="4" w:space="0" w:color="208855" w:themeColor="accent1" w:themeShade="BF"/>
              <w:right w:val="single" w:sz="4" w:space="0" w:color="208855" w:themeColor="accent1" w:themeShade="BF"/>
            </w:tcBorders>
            <w:shd w:val="clear" w:color="auto" w:fill="D0F4E3" w:themeFill="accent1" w:themeFillTint="33"/>
          </w:tcPr>
          <w:p w14:paraId="459AD53E"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Applicable Emission Quantification equipment</w:t>
            </w:r>
            <w:r w:rsidRPr="005C6123">
              <w:rPr>
                <w:rStyle w:val="FootnoteReference"/>
                <w:b/>
                <w:sz w:val="15"/>
                <w:szCs w:val="15"/>
              </w:rPr>
              <w:footnoteReference w:id="153"/>
            </w:r>
          </w:p>
        </w:tc>
        <w:tc>
          <w:tcPr>
            <w:tcW w:w="4993" w:type="dxa"/>
            <w:gridSpan w:val="16"/>
            <w:tcBorders>
              <w:top w:val="single" w:sz="4" w:space="0" w:color="208855" w:themeColor="accent1" w:themeShade="BF"/>
              <w:left w:val="single" w:sz="4" w:space="0" w:color="208855" w:themeColor="accent1" w:themeShade="BF"/>
            </w:tcBorders>
            <w:shd w:val="clear" w:color="auto" w:fill="D0F4E3" w:themeFill="accent1" w:themeFillTint="33"/>
          </w:tcPr>
          <w:p w14:paraId="5FF39373" w14:textId="77777777" w:rsidR="00A0524C" w:rsidRPr="005C6123" w:rsidRDefault="00A0524C" w:rsidP="005D2939">
            <w:pPr>
              <w:pStyle w:val="ListParagraph"/>
              <w:numPr>
                <w:ilvl w:val="0"/>
                <w:numId w:val="36"/>
              </w:numPr>
              <w:spacing w:before="60" w:after="60"/>
              <w:ind w:left="0" w:hanging="357"/>
              <w:contextualSpacing w:val="0"/>
              <w:rPr>
                <w:b/>
                <w:sz w:val="15"/>
                <w:szCs w:val="15"/>
              </w:rPr>
            </w:pPr>
            <w:r w:rsidRPr="005C6123">
              <w:rPr>
                <w:b/>
                <w:sz w:val="15"/>
                <w:szCs w:val="15"/>
              </w:rPr>
              <w:t>Typical quantification Methodologies</w:t>
            </w:r>
          </w:p>
        </w:tc>
      </w:tr>
      <w:tr w:rsidR="00A0524C" w:rsidRPr="00104E87" w14:paraId="750DDA83" w14:textId="77777777" w:rsidTr="0059177F">
        <w:trPr>
          <w:gridAfter w:val="1"/>
          <w:wAfter w:w="9" w:type="dxa"/>
          <w:trHeight w:val="483"/>
          <w:jc w:val="center"/>
        </w:trPr>
        <w:tc>
          <w:tcPr>
            <w:tcW w:w="2110" w:type="dxa"/>
            <w:gridSpan w:val="2"/>
            <w:tcBorders>
              <w:right w:val="single" w:sz="4" w:space="0" w:color="208855" w:themeColor="accent1" w:themeShade="BF"/>
            </w:tcBorders>
            <w:shd w:val="clear" w:color="auto" w:fill="auto"/>
          </w:tcPr>
          <w:p w14:paraId="4296AF57" w14:textId="77777777" w:rsidR="00A0524C" w:rsidRPr="005C6123" w:rsidRDefault="00A0524C" w:rsidP="005D2939">
            <w:pPr>
              <w:pStyle w:val="ListParagraph"/>
              <w:numPr>
                <w:ilvl w:val="0"/>
                <w:numId w:val="40"/>
              </w:numPr>
              <w:spacing w:before="40" w:after="40" w:line="276" w:lineRule="auto"/>
              <w:ind w:left="175" w:hanging="175"/>
              <w:contextualSpacing w:val="0"/>
              <w:rPr>
                <w:rFonts w:eastAsia="Times New Roman"/>
                <w:bCs/>
                <w:color w:val="000000"/>
                <w:sz w:val="15"/>
                <w:szCs w:val="15"/>
              </w:rPr>
            </w:pPr>
            <w:r w:rsidRPr="005C6123">
              <w:rPr>
                <w:rFonts w:eastAsia="Times New Roman"/>
                <w:bCs/>
                <w:color w:val="000000"/>
                <w:sz w:val="15"/>
                <w:szCs w:val="15"/>
              </w:rPr>
              <w:t>Not relevant</w:t>
            </w:r>
          </w:p>
        </w:tc>
        <w:tc>
          <w:tcPr>
            <w:tcW w:w="2258" w:type="dxa"/>
            <w:gridSpan w:val="6"/>
            <w:tcBorders>
              <w:left w:val="single" w:sz="4" w:space="0" w:color="208855" w:themeColor="accent1" w:themeShade="BF"/>
              <w:right w:val="single" w:sz="4" w:space="0" w:color="208855" w:themeColor="accent1" w:themeShade="BF"/>
            </w:tcBorders>
            <w:shd w:val="clear" w:color="auto" w:fill="auto"/>
          </w:tcPr>
          <w:p w14:paraId="29D1648A" w14:textId="77777777" w:rsidR="00A0524C" w:rsidRPr="005C6123" w:rsidRDefault="00A0524C" w:rsidP="005D2939">
            <w:pPr>
              <w:pStyle w:val="ListParagraph"/>
              <w:numPr>
                <w:ilvl w:val="0"/>
                <w:numId w:val="40"/>
              </w:numPr>
              <w:spacing w:before="40" w:after="40" w:line="240" w:lineRule="auto"/>
              <w:ind w:left="181" w:hanging="181"/>
              <w:contextualSpacing w:val="0"/>
              <w:rPr>
                <w:color w:val="000000"/>
                <w:sz w:val="15"/>
                <w:szCs w:val="15"/>
              </w:rPr>
            </w:pPr>
            <w:r w:rsidRPr="005C6123">
              <w:rPr>
                <w:rFonts w:eastAsia="Times New Roman"/>
                <w:color w:val="000000"/>
                <w:sz w:val="15"/>
                <w:szCs w:val="15"/>
              </w:rPr>
              <w:t>Direct quantification difficult or for research only</w:t>
            </w:r>
          </w:p>
        </w:tc>
        <w:tc>
          <w:tcPr>
            <w:tcW w:w="4993" w:type="dxa"/>
            <w:gridSpan w:val="16"/>
            <w:tcBorders>
              <w:left w:val="single" w:sz="4" w:space="0" w:color="208855" w:themeColor="accent1" w:themeShade="BF"/>
            </w:tcBorders>
            <w:shd w:val="clear" w:color="auto" w:fill="auto"/>
          </w:tcPr>
          <w:p w14:paraId="610AC3FE" w14:textId="77777777" w:rsidR="00A0524C" w:rsidRPr="005C6123" w:rsidRDefault="00A0524C" w:rsidP="005D2939">
            <w:pPr>
              <w:pStyle w:val="ListParagraph"/>
              <w:numPr>
                <w:ilvl w:val="0"/>
                <w:numId w:val="40"/>
              </w:numPr>
              <w:spacing w:before="40" w:after="40" w:line="240" w:lineRule="auto"/>
              <w:ind w:left="181" w:hanging="181"/>
              <w:contextualSpacing w:val="0"/>
              <w:rPr>
                <w:sz w:val="15"/>
                <w:szCs w:val="15"/>
              </w:rPr>
            </w:pPr>
            <w:r w:rsidRPr="005C6123">
              <w:rPr>
                <w:sz w:val="15"/>
                <w:szCs w:val="15"/>
              </w:rPr>
              <w:t>Engineering calculation based on throughput</w:t>
            </w:r>
          </w:p>
        </w:tc>
      </w:tr>
      <w:bookmarkEnd w:id="131"/>
    </w:tbl>
    <w:p w14:paraId="2F84BB5E" w14:textId="77777777" w:rsidR="00A0524C" w:rsidRPr="004A6627" w:rsidRDefault="00A0524C" w:rsidP="00A0524C">
      <w:pPr>
        <w:spacing w:before="120"/>
        <w:rPr>
          <w:lang w:val="en-GB"/>
        </w:rPr>
      </w:pPr>
    </w:p>
    <w:p w14:paraId="1214CEA8" w14:textId="5AF055FA" w:rsidR="00A0524C" w:rsidRDefault="00A0524C" w:rsidP="00582094">
      <w:pPr>
        <w:pStyle w:val="Heading1"/>
        <w:numPr>
          <w:ilvl w:val="0"/>
          <w:numId w:val="0"/>
        </w:numPr>
        <w:rPr>
          <w:lang w:val="fr-FR"/>
        </w:rPr>
      </w:pPr>
      <w:r w:rsidRPr="000941A9">
        <w:rPr>
          <w:lang w:val="fr-FR"/>
        </w:rPr>
        <w:br w:type="column"/>
      </w:r>
      <w:bookmarkStart w:id="133" w:name="_Toc531691012"/>
      <w:bookmarkStart w:id="134" w:name="_Toc531691046"/>
      <w:bookmarkStart w:id="135" w:name="_Toc3473012"/>
      <w:r w:rsidRPr="000941A9">
        <w:rPr>
          <w:lang w:val="fr-FR"/>
        </w:rPr>
        <w:lastRenderedPageBreak/>
        <w:t xml:space="preserve">Annex 2 Mature </w:t>
      </w:r>
      <w:r w:rsidRPr="00A1239B">
        <w:rPr>
          <w:lang w:val="en-GB"/>
        </w:rPr>
        <w:t xml:space="preserve">detection </w:t>
      </w:r>
      <w:r w:rsidRPr="000941A9">
        <w:rPr>
          <w:lang w:val="fr-FR"/>
        </w:rPr>
        <w:t>and quantification technologies</w:t>
      </w:r>
      <w:bookmarkEnd w:id="133"/>
      <w:bookmarkEnd w:id="134"/>
      <w:bookmarkEnd w:id="135"/>
    </w:p>
    <w:p w14:paraId="511F4571" w14:textId="77777777" w:rsidR="0059177F" w:rsidRPr="0059177F" w:rsidRDefault="0059177F" w:rsidP="0059177F">
      <w:pPr>
        <w:rPr>
          <w:lang w:val="fr-FR"/>
        </w:rPr>
      </w:pPr>
    </w:p>
    <w:p w14:paraId="4348BDC6" w14:textId="6ECFA385" w:rsidR="00A0524C" w:rsidRDefault="00A0524C" w:rsidP="00A0524C">
      <w:pPr>
        <w:spacing w:before="120"/>
        <w:rPr>
          <w:rFonts w:eastAsia="Calibri"/>
          <w:szCs w:val="20"/>
          <w:lang w:val="en-US"/>
        </w:rPr>
      </w:pPr>
      <w:r w:rsidRPr="007554E6">
        <w:rPr>
          <w:rFonts w:eastAsia="Calibri"/>
          <w:szCs w:val="20"/>
          <w:lang w:val="en-US"/>
        </w:rPr>
        <w:t>This Annex presents a very brief overview of various methane detection and quantification technologies currently available. This is primarily based on Climate and Clean Air Coalition’s Technical Guidance Document and EPA’s Star Program</w:t>
      </w:r>
      <w:r w:rsidR="00315A85">
        <w:rPr>
          <w:rFonts w:eastAsia="Calibri"/>
          <w:szCs w:val="20"/>
          <w:lang w:val="en-US"/>
        </w:rPr>
        <w:t>.</w:t>
      </w:r>
      <w:r w:rsidR="00315A85" w:rsidRPr="007554E6">
        <w:rPr>
          <w:rStyle w:val="FootnoteReference"/>
          <w:rFonts w:eastAsia="Calibri"/>
        </w:rPr>
        <w:footnoteReference w:id="154"/>
      </w:r>
      <w:r w:rsidR="00315A85">
        <w:rPr>
          <w:rFonts w:eastAsia="Calibri"/>
          <w:szCs w:val="20"/>
          <w:vertAlign w:val="superscript"/>
          <w:lang w:val="en-US"/>
        </w:rPr>
        <w:t xml:space="preserve">, </w:t>
      </w:r>
      <w:r w:rsidRPr="007554E6">
        <w:rPr>
          <w:rStyle w:val="FootnoteReference"/>
          <w:rFonts w:eastAsia="Calibri"/>
        </w:rPr>
        <w:footnoteReference w:id="155"/>
      </w:r>
      <w:r w:rsidRPr="007554E6">
        <w:rPr>
          <w:rFonts w:eastAsia="Calibri"/>
          <w:szCs w:val="20"/>
          <w:lang w:val="en-US"/>
        </w:rPr>
        <w:t xml:space="preserve"> </w:t>
      </w:r>
    </w:p>
    <w:p w14:paraId="2EC114A9" w14:textId="77777777" w:rsidR="0059177F" w:rsidRDefault="0059177F" w:rsidP="00A0524C">
      <w:pPr>
        <w:spacing w:before="120"/>
        <w:rPr>
          <w:rFonts w:eastAsia="Calibri"/>
          <w:szCs w:val="20"/>
          <w:lang w:val="en-US"/>
        </w:rPr>
      </w:pPr>
    </w:p>
    <w:p w14:paraId="21B082B4" w14:textId="77777777" w:rsidR="0059177F" w:rsidRPr="007554E6" w:rsidRDefault="0059177F" w:rsidP="00A0524C">
      <w:pPr>
        <w:spacing w:before="120"/>
        <w:rPr>
          <w:rFonts w:eastAsia="Calibri"/>
          <w:szCs w:val="20"/>
          <w:lang w:val="en-US"/>
        </w:rPr>
      </w:pPr>
    </w:p>
    <w:tbl>
      <w:tblPr>
        <w:tblW w:w="9214" w:type="dxa"/>
        <w:tblInd w:w="-10" w:type="dxa"/>
        <w:tblBorders>
          <w:top w:val="single" w:sz="4" w:space="0" w:color="208855"/>
          <w:left w:val="single" w:sz="4" w:space="0" w:color="208855"/>
          <w:bottom w:val="single" w:sz="4" w:space="0" w:color="208855"/>
          <w:right w:val="single" w:sz="4" w:space="0" w:color="208855"/>
          <w:insideH w:val="single" w:sz="4" w:space="0" w:color="208855"/>
          <w:insideV w:val="single" w:sz="4" w:space="0" w:color="208855"/>
        </w:tblBorders>
        <w:tblLayout w:type="fixed"/>
        <w:tblLook w:val="04A0" w:firstRow="1" w:lastRow="0" w:firstColumn="1" w:lastColumn="0" w:noHBand="0" w:noVBand="1"/>
      </w:tblPr>
      <w:tblGrid>
        <w:gridCol w:w="1987"/>
        <w:gridCol w:w="4533"/>
        <w:gridCol w:w="2694"/>
      </w:tblGrid>
      <w:tr w:rsidR="00A0524C" w:rsidRPr="005C6123" w14:paraId="5655F256" w14:textId="77777777" w:rsidTr="0059177F">
        <w:trPr>
          <w:trHeight w:val="413"/>
        </w:trPr>
        <w:tc>
          <w:tcPr>
            <w:tcW w:w="9214" w:type="dxa"/>
            <w:gridSpan w:val="3"/>
            <w:tcBorders>
              <w:top w:val="single" w:sz="8" w:space="0" w:color="52D696"/>
              <w:left w:val="single" w:sz="8" w:space="0" w:color="52D696"/>
              <w:bottom w:val="nil"/>
              <w:right w:val="single" w:sz="8" w:space="0" w:color="52D696"/>
            </w:tcBorders>
            <w:shd w:val="clear" w:color="auto" w:fill="155B39" w:themeFill="accent6"/>
            <w:vAlign w:val="center"/>
          </w:tcPr>
          <w:p w14:paraId="58A53E5A" w14:textId="77777777" w:rsidR="00A0524C" w:rsidRPr="005C6123" w:rsidRDefault="00A0524C" w:rsidP="005D2939">
            <w:pPr>
              <w:pStyle w:val="ListParagraph"/>
              <w:numPr>
                <w:ilvl w:val="0"/>
                <w:numId w:val="36"/>
              </w:numPr>
              <w:spacing w:before="120" w:after="120"/>
              <w:ind w:left="0" w:hanging="357"/>
              <w:contextualSpacing w:val="0"/>
              <w:rPr>
                <w:b/>
                <w:bCs/>
                <w:color w:val="FFFFFF"/>
                <w:sz w:val="24"/>
                <w:szCs w:val="24"/>
              </w:rPr>
            </w:pPr>
            <w:bookmarkStart w:id="136" w:name="_Hlk526431863"/>
            <w:r w:rsidRPr="005C6123">
              <w:rPr>
                <w:b/>
                <w:bCs/>
                <w:color w:val="FFFFFF"/>
                <w:sz w:val="24"/>
                <w:szCs w:val="24"/>
              </w:rPr>
              <w:t>Table 1: Mature detection equipment</w:t>
            </w:r>
          </w:p>
        </w:tc>
      </w:tr>
      <w:bookmarkEnd w:id="136"/>
      <w:tr w:rsidR="00A0524C" w:rsidRPr="00104E87" w14:paraId="145137A0" w14:textId="77777777" w:rsidTr="0059177F">
        <w:trPr>
          <w:trHeight w:val="413"/>
        </w:trPr>
        <w:tc>
          <w:tcPr>
            <w:tcW w:w="9214" w:type="dxa"/>
            <w:gridSpan w:val="3"/>
            <w:tcBorders>
              <w:top w:val="nil"/>
            </w:tcBorders>
            <w:shd w:val="clear" w:color="auto" w:fill="208855" w:themeFill="accent1" w:themeFillShade="BF"/>
            <w:vAlign w:val="center"/>
          </w:tcPr>
          <w:p w14:paraId="3A3EBFCF" w14:textId="77777777" w:rsidR="00A0524C" w:rsidRPr="005C6123" w:rsidDel="00994E71" w:rsidRDefault="00A0524C" w:rsidP="005D2939">
            <w:pPr>
              <w:pStyle w:val="ListParagraph"/>
              <w:numPr>
                <w:ilvl w:val="0"/>
                <w:numId w:val="36"/>
              </w:numPr>
              <w:spacing w:before="60" w:after="60"/>
              <w:ind w:left="0" w:hanging="357"/>
              <w:contextualSpacing w:val="0"/>
              <w:rPr>
                <w:b/>
                <w:bCs/>
              </w:rPr>
            </w:pPr>
            <w:r w:rsidRPr="00FB48A1">
              <w:rPr>
                <w:b/>
                <w:bCs/>
                <w:color w:val="FFFFFF"/>
              </w:rPr>
              <w:t>1. Optical Gas Imaging (Infrared Cameras)</w:t>
            </w:r>
          </w:p>
        </w:tc>
      </w:tr>
      <w:tr w:rsidR="00A0524C" w:rsidRPr="00104E87" w14:paraId="55245168" w14:textId="77777777" w:rsidTr="0059177F">
        <w:trPr>
          <w:trHeight w:val="3454"/>
        </w:trPr>
        <w:tc>
          <w:tcPr>
            <w:tcW w:w="6520" w:type="dxa"/>
            <w:gridSpan w:val="2"/>
            <w:tcBorders>
              <w:top w:val="single" w:sz="4" w:space="0" w:color="208855" w:themeColor="accent1" w:themeShade="BF"/>
              <w:left w:val="single" w:sz="4" w:space="0" w:color="208855" w:themeColor="accent1" w:themeShade="BF"/>
            </w:tcBorders>
            <w:shd w:val="clear" w:color="auto" w:fill="D0F4E3" w:themeFill="accent1" w:themeFillTint="33"/>
          </w:tcPr>
          <w:p w14:paraId="0ACFBD49" w14:textId="77777777" w:rsidR="00A0524C" w:rsidRPr="005C6123" w:rsidRDefault="00A0524C" w:rsidP="005D2939">
            <w:pPr>
              <w:pStyle w:val="ListParagraph"/>
              <w:numPr>
                <w:ilvl w:val="0"/>
                <w:numId w:val="36"/>
              </w:numPr>
              <w:spacing w:before="120" w:after="120"/>
              <w:ind w:left="0"/>
              <w:contextualSpacing w:val="0"/>
              <w:rPr>
                <w:b/>
                <w:bCs/>
                <w:sz w:val="16"/>
                <w:szCs w:val="16"/>
              </w:rPr>
            </w:pPr>
            <w:bookmarkStart w:id="137" w:name="_Hlk526506527"/>
            <w:r w:rsidRPr="005C6123">
              <w:rPr>
                <w:b/>
                <w:bCs/>
                <w:sz w:val="16"/>
                <w:szCs w:val="16"/>
              </w:rPr>
              <w:t>Technology</w:t>
            </w:r>
          </w:p>
          <w:p w14:paraId="5E9D49EC" w14:textId="77777777" w:rsidR="00A0524C" w:rsidRPr="005C6123" w:rsidRDefault="00A0524C" w:rsidP="00A0524C">
            <w:pPr>
              <w:spacing w:line="240" w:lineRule="auto"/>
              <w:rPr>
                <w:bCs/>
                <w:sz w:val="16"/>
                <w:szCs w:val="16"/>
                <w:lang w:val="en-US"/>
              </w:rPr>
            </w:pPr>
            <w:r w:rsidRPr="005C6123">
              <w:rPr>
                <w:bCs/>
                <w:sz w:val="16"/>
                <w:szCs w:val="16"/>
                <w:lang w:val="en-US"/>
              </w:rPr>
              <w:t>OGI infrared cameras are able to detect the presence of methane emissions from components and equipment at oil and gas facilities. They are equipped with catalytic oxidation and thermal conductivity sensors designed to detect hydrocarbons which absorb infrared light at specific wavelengths.</w:t>
            </w:r>
          </w:p>
          <w:p w14:paraId="5329C99C" w14:textId="77777777" w:rsidR="00A0524C" w:rsidRPr="005C6123" w:rsidRDefault="00A0524C" w:rsidP="00A0524C">
            <w:pPr>
              <w:pStyle w:val="ListParagraph"/>
              <w:tabs>
                <w:tab w:val="left" w:pos="494"/>
              </w:tabs>
              <w:spacing w:before="120" w:after="120"/>
              <w:contextualSpacing w:val="0"/>
              <w:rPr>
                <w:bCs/>
                <w:sz w:val="16"/>
                <w:szCs w:val="16"/>
              </w:rPr>
            </w:pPr>
            <w:r w:rsidRPr="005C6123">
              <w:rPr>
                <w:b/>
                <w:bCs/>
                <w:sz w:val="16"/>
                <w:szCs w:val="16"/>
              </w:rPr>
              <w:t>Operation / Detection</w:t>
            </w:r>
          </w:p>
          <w:p w14:paraId="05284E93" w14:textId="77777777" w:rsidR="00A0524C" w:rsidRPr="005C6123" w:rsidRDefault="00A0524C" w:rsidP="00A0524C">
            <w:pPr>
              <w:pStyle w:val="ListParagraph"/>
              <w:tabs>
                <w:tab w:val="left" w:pos="494"/>
              </w:tabs>
              <w:contextualSpacing w:val="0"/>
              <w:rPr>
                <w:b/>
                <w:bCs/>
                <w:sz w:val="16"/>
                <w:szCs w:val="16"/>
              </w:rPr>
            </w:pPr>
            <w:r w:rsidRPr="005C6123">
              <w:rPr>
                <w:bCs/>
                <w:sz w:val="16"/>
                <w:szCs w:val="16"/>
              </w:rPr>
              <w:t xml:space="preserve">OGI Cameras can be hand-held or remotely operated from ground-mounted installations or through mobile deployment (vehicular &amp; aerial). Hand-held units are however well suited to field surveys and considered a recommended detection method for a broad range of components. The camera is simple to use with point and detect features. An operator can scan the leak area in real time by viewing a live image of visible gas plumes on a screen. Several hand-held models also come equipped with recording capabilities for later analysis. </w:t>
            </w:r>
          </w:p>
        </w:tc>
        <w:tc>
          <w:tcPr>
            <w:tcW w:w="2694" w:type="dxa"/>
            <w:tcBorders>
              <w:top w:val="single" w:sz="4" w:space="0" w:color="208855" w:themeColor="accent1" w:themeShade="BF"/>
              <w:right w:val="single" w:sz="4" w:space="0" w:color="208855" w:themeColor="accent1" w:themeShade="BF"/>
            </w:tcBorders>
            <w:shd w:val="clear" w:color="auto" w:fill="D0F4E3" w:themeFill="accent1" w:themeFillTint="33"/>
          </w:tcPr>
          <w:p w14:paraId="765B1C44" w14:textId="77777777" w:rsidR="00A0524C" w:rsidRPr="005C6123" w:rsidRDefault="00A0524C" w:rsidP="00A0524C">
            <w:pPr>
              <w:pStyle w:val="ListParagraph"/>
              <w:spacing w:before="120" w:after="120" w:line="276" w:lineRule="auto"/>
              <w:contextualSpacing w:val="0"/>
              <w:rPr>
                <w:b/>
                <w:sz w:val="16"/>
                <w:szCs w:val="16"/>
              </w:rPr>
            </w:pPr>
            <w:r w:rsidRPr="005C6123">
              <w:rPr>
                <w:b/>
                <w:sz w:val="16"/>
                <w:szCs w:val="16"/>
              </w:rPr>
              <w:t>Handheld Infrared Optical Gas Imaging Camera</w:t>
            </w:r>
            <w:r w:rsidRPr="005C6123">
              <w:rPr>
                <w:rStyle w:val="FootnoteReference"/>
                <w:b/>
                <w:sz w:val="16"/>
                <w:szCs w:val="16"/>
              </w:rPr>
              <w:footnoteReference w:id="156"/>
            </w:r>
          </w:p>
          <w:p w14:paraId="205845C1" w14:textId="77777777" w:rsidR="00A0524C" w:rsidRPr="005C6123" w:rsidRDefault="00A0524C" w:rsidP="005D2939">
            <w:pPr>
              <w:pStyle w:val="ListParagraph"/>
              <w:numPr>
                <w:ilvl w:val="0"/>
                <w:numId w:val="36"/>
              </w:numPr>
              <w:spacing w:line="276" w:lineRule="auto"/>
              <w:ind w:left="0"/>
              <w:contextualSpacing w:val="0"/>
              <w:rPr>
                <w:sz w:val="16"/>
                <w:szCs w:val="16"/>
              </w:rPr>
            </w:pPr>
            <w:r>
              <w:rPr>
                <w:noProof/>
                <w:sz w:val="16"/>
                <w:szCs w:val="16"/>
                <w:lang w:val="nb-NO" w:eastAsia="nb-NO"/>
              </w:rPr>
              <w:drawing>
                <wp:inline distT="0" distB="0" distL="0" distR="0" wp14:anchorId="453E3706" wp14:editId="7ED1C9A0">
                  <wp:extent cx="1174750" cy="1111250"/>
                  <wp:effectExtent l="0" t="0" r="635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t="22192" r="24779" b="20219"/>
                          <a:stretch>
                            <a:fillRect/>
                          </a:stretch>
                        </pic:blipFill>
                        <pic:spPr bwMode="auto">
                          <a:xfrm>
                            <a:off x="0" y="0"/>
                            <a:ext cx="1174750" cy="1111250"/>
                          </a:xfrm>
                          <a:prstGeom prst="rect">
                            <a:avLst/>
                          </a:prstGeom>
                          <a:noFill/>
                          <a:ln>
                            <a:noFill/>
                          </a:ln>
                        </pic:spPr>
                      </pic:pic>
                    </a:graphicData>
                  </a:graphic>
                </wp:inline>
              </w:drawing>
            </w:r>
          </w:p>
          <w:p w14:paraId="7578CA10" w14:textId="77777777" w:rsidR="00A0524C" w:rsidRPr="005C6123" w:rsidRDefault="00A0524C" w:rsidP="00A0524C">
            <w:pPr>
              <w:spacing w:line="240" w:lineRule="auto"/>
              <w:rPr>
                <w:b/>
                <w:sz w:val="16"/>
                <w:szCs w:val="16"/>
                <w:lang w:val="en-US"/>
              </w:rPr>
            </w:pPr>
            <w:r w:rsidRPr="005C6123">
              <w:rPr>
                <w:b/>
                <w:sz w:val="16"/>
                <w:szCs w:val="16"/>
                <w:lang w:val="en-US"/>
              </w:rPr>
              <w:t>Investment Costs</w:t>
            </w:r>
          </w:p>
          <w:p w14:paraId="35ECB68F" w14:textId="77777777" w:rsidR="00A0524C" w:rsidRPr="005C6123" w:rsidRDefault="00A0524C" w:rsidP="00A0524C">
            <w:pPr>
              <w:spacing w:line="240" w:lineRule="auto"/>
              <w:rPr>
                <w:sz w:val="16"/>
                <w:szCs w:val="16"/>
                <w:lang w:val="en-US"/>
              </w:rPr>
            </w:pPr>
            <w:r w:rsidRPr="005C6123">
              <w:rPr>
                <w:sz w:val="16"/>
                <w:szCs w:val="16"/>
                <w:lang w:val="en-US"/>
              </w:rPr>
              <w:t>approx. $85,000 - $115,000 for handheld versions</w:t>
            </w:r>
          </w:p>
        </w:tc>
      </w:tr>
      <w:tr w:rsidR="00A0524C" w:rsidRPr="00104E87" w14:paraId="4BD1D178" w14:textId="77777777" w:rsidTr="0059177F">
        <w:trPr>
          <w:trHeight w:val="283"/>
        </w:trPr>
        <w:tc>
          <w:tcPr>
            <w:tcW w:w="1987" w:type="dxa"/>
            <w:shd w:val="clear" w:color="auto" w:fill="FFFFFF" w:themeFill="background1"/>
          </w:tcPr>
          <w:p w14:paraId="6D53EB3B" w14:textId="77777777" w:rsidR="00A0524C" w:rsidRPr="005C6123" w:rsidRDefault="00A0524C" w:rsidP="00A0524C">
            <w:pPr>
              <w:spacing w:before="40" w:after="40" w:line="240" w:lineRule="auto"/>
              <w:jc w:val="right"/>
              <w:rPr>
                <w:sz w:val="15"/>
                <w:szCs w:val="15"/>
                <w:lang w:val="en-US"/>
              </w:rPr>
            </w:pPr>
            <w:bookmarkStart w:id="138" w:name="_Hlk526506659"/>
            <w:bookmarkStart w:id="139" w:name="_Hlk526753337"/>
            <w:bookmarkEnd w:id="137"/>
            <w:r w:rsidRPr="005C6123">
              <w:rPr>
                <w:b/>
                <w:bCs/>
                <w:sz w:val="15"/>
                <w:szCs w:val="15"/>
                <w:lang w:val="en-US"/>
              </w:rPr>
              <w:t>Method of Usage:</w:t>
            </w:r>
          </w:p>
        </w:tc>
        <w:tc>
          <w:tcPr>
            <w:tcW w:w="7227" w:type="dxa"/>
            <w:gridSpan w:val="2"/>
            <w:shd w:val="clear" w:color="auto" w:fill="FFFFFF" w:themeFill="background1"/>
          </w:tcPr>
          <w:p w14:paraId="47741837" w14:textId="77777777" w:rsidR="00A0524C" w:rsidRPr="005C6123" w:rsidRDefault="00A0524C" w:rsidP="00A0524C">
            <w:pPr>
              <w:spacing w:before="40" w:after="40" w:line="240" w:lineRule="auto"/>
              <w:rPr>
                <w:sz w:val="15"/>
                <w:szCs w:val="15"/>
                <w:lang w:val="en-US"/>
              </w:rPr>
            </w:pPr>
            <w:r w:rsidRPr="005C6123">
              <w:rPr>
                <w:sz w:val="15"/>
                <w:szCs w:val="15"/>
                <w:lang w:val="en-US"/>
              </w:rPr>
              <w:t>Generally simple to operate, especially handheld versions. Remotely operated versions from mounting poles or for mobile deployment (vehicular &amp; aerial) also available</w:t>
            </w:r>
          </w:p>
        </w:tc>
      </w:tr>
      <w:tr w:rsidR="00A0524C" w:rsidRPr="00104E87" w14:paraId="26473F2A" w14:textId="77777777" w:rsidTr="0059177F">
        <w:trPr>
          <w:trHeight w:val="281"/>
        </w:trPr>
        <w:tc>
          <w:tcPr>
            <w:tcW w:w="1987" w:type="dxa"/>
            <w:shd w:val="clear" w:color="auto" w:fill="FFFFFF" w:themeFill="background1"/>
          </w:tcPr>
          <w:p w14:paraId="4B5DBA1E"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Applicability:</w:t>
            </w:r>
          </w:p>
        </w:tc>
        <w:tc>
          <w:tcPr>
            <w:tcW w:w="7227" w:type="dxa"/>
            <w:gridSpan w:val="2"/>
            <w:shd w:val="clear" w:color="auto" w:fill="FFFFFF" w:themeFill="background1"/>
          </w:tcPr>
          <w:p w14:paraId="65B9DC59" w14:textId="2C65F066" w:rsidR="00A0524C" w:rsidRPr="005C6123" w:rsidRDefault="00A0524C" w:rsidP="00A0524C">
            <w:pPr>
              <w:spacing w:before="40" w:after="40" w:line="240" w:lineRule="auto"/>
              <w:rPr>
                <w:sz w:val="15"/>
                <w:szCs w:val="15"/>
                <w:lang w:val="en-US"/>
              </w:rPr>
            </w:pPr>
            <w:r w:rsidRPr="005C6123">
              <w:rPr>
                <w:sz w:val="15"/>
                <w:szCs w:val="15"/>
                <w:lang w:val="en-US"/>
              </w:rPr>
              <w:t>Leaks and vents of all sizes, typically scans at a distance up to 500m away (small leaks can be detected only from short distance)</w:t>
            </w:r>
            <w:r w:rsidRPr="005C6123">
              <w:rPr>
                <w:sz w:val="15"/>
                <w:szCs w:val="15"/>
                <w:lang w:val="en-GB"/>
              </w:rPr>
              <w:t>)</w:t>
            </w:r>
            <w:r w:rsidR="00315A85">
              <w:rPr>
                <w:sz w:val="15"/>
                <w:szCs w:val="15"/>
                <w:lang w:val="en-GB"/>
              </w:rPr>
              <w:t>.</w:t>
            </w:r>
            <w:r w:rsidRPr="005C6123">
              <w:rPr>
                <w:rStyle w:val="FootnoteReference"/>
                <w:sz w:val="15"/>
                <w:szCs w:val="15"/>
                <w:lang w:val="en-GB"/>
              </w:rPr>
              <w:footnoteReference w:id="157"/>
            </w:r>
            <w:r w:rsidRPr="005C6123">
              <w:rPr>
                <w:sz w:val="15"/>
                <w:szCs w:val="15"/>
                <w:lang w:val="en-GB"/>
              </w:rPr>
              <w:t xml:space="preserve"> </w:t>
            </w:r>
            <w:r w:rsidRPr="005C6123">
              <w:rPr>
                <w:sz w:val="15"/>
                <w:szCs w:val="15"/>
                <w:lang w:val="en-US"/>
              </w:rPr>
              <w:t>A wide variety of hydrocarbon compounds can be detected using OGI cameras (not just methane) and knowledge of equipment may be required to specifically identify methane leaks</w:t>
            </w:r>
          </w:p>
        </w:tc>
      </w:tr>
      <w:tr w:rsidR="00A0524C" w:rsidRPr="00104E87" w14:paraId="700D7726" w14:textId="77777777" w:rsidTr="0059177F">
        <w:trPr>
          <w:trHeight w:val="214"/>
        </w:trPr>
        <w:tc>
          <w:tcPr>
            <w:tcW w:w="1987" w:type="dxa"/>
            <w:shd w:val="clear" w:color="auto" w:fill="FFFFFF" w:themeFill="background1"/>
          </w:tcPr>
          <w:p w14:paraId="164EF944"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 xml:space="preserve"> Detection Speed:</w:t>
            </w:r>
          </w:p>
        </w:tc>
        <w:tc>
          <w:tcPr>
            <w:tcW w:w="7227" w:type="dxa"/>
            <w:gridSpan w:val="2"/>
            <w:shd w:val="clear" w:color="auto" w:fill="FFFFFF" w:themeFill="background1"/>
          </w:tcPr>
          <w:p w14:paraId="6EBD525C" w14:textId="77777777" w:rsidR="00A0524C" w:rsidRPr="005C6123" w:rsidRDefault="00A0524C" w:rsidP="00A0524C">
            <w:pPr>
              <w:spacing w:before="40" w:after="40" w:line="240" w:lineRule="auto"/>
              <w:rPr>
                <w:sz w:val="15"/>
                <w:szCs w:val="15"/>
                <w:lang w:val="en-US"/>
              </w:rPr>
            </w:pPr>
            <w:r w:rsidRPr="005C6123">
              <w:rPr>
                <w:sz w:val="15"/>
                <w:szCs w:val="15"/>
                <w:lang w:val="en-US"/>
              </w:rPr>
              <w:t>Scans area in real time, capable of 100`s of components / hour</w:t>
            </w:r>
          </w:p>
        </w:tc>
      </w:tr>
      <w:tr w:rsidR="00A0524C" w:rsidRPr="00104E87" w14:paraId="57A85A6F" w14:textId="77777777" w:rsidTr="0059177F">
        <w:trPr>
          <w:trHeight w:val="281"/>
        </w:trPr>
        <w:tc>
          <w:tcPr>
            <w:tcW w:w="1987" w:type="dxa"/>
            <w:shd w:val="clear" w:color="auto" w:fill="FFFFFF" w:themeFill="background1"/>
          </w:tcPr>
          <w:p w14:paraId="4FA0E404" w14:textId="77777777" w:rsidR="00A0524C" w:rsidRPr="005C6123" w:rsidRDefault="00A0524C" w:rsidP="00A0524C">
            <w:pPr>
              <w:spacing w:before="40" w:after="40" w:line="240" w:lineRule="auto"/>
              <w:jc w:val="right"/>
              <w:rPr>
                <w:b/>
                <w:sz w:val="15"/>
                <w:szCs w:val="15"/>
                <w:lang w:val="en-US"/>
              </w:rPr>
            </w:pPr>
            <w:r w:rsidRPr="005C6123">
              <w:rPr>
                <w:b/>
                <w:sz w:val="15"/>
                <w:szCs w:val="15"/>
                <w:lang w:val="en-US"/>
              </w:rPr>
              <w:t>Climatic Constraints:</w:t>
            </w:r>
          </w:p>
        </w:tc>
        <w:tc>
          <w:tcPr>
            <w:tcW w:w="7227" w:type="dxa"/>
            <w:gridSpan w:val="2"/>
            <w:shd w:val="clear" w:color="auto" w:fill="FFFFFF" w:themeFill="background1"/>
          </w:tcPr>
          <w:p w14:paraId="6A5846FD" w14:textId="77777777" w:rsidR="00A0524C" w:rsidRPr="005C6123" w:rsidRDefault="00A0524C" w:rsidP="00A0524C">
            <w:pPr>
              <w:spacing w:before="40" w:after="40" w:line="240" w:lineRule="auto"/>
              <w:rPr>
                <w:sz w:val="15"/>
                <w:szCs w:val="15"/>
                <w:lang w:val="en-US"/>
              </w:rPr>
            </w:pPr>
            <w:r w:rsidRPr="005C6123">
              <w:rPr>
                <w:sz w:val="15"/>
                <w:szCs w:val="15"/>
                <w:lang w:val="en-US"/>
              </w:rPr>
              <w:t>Generally applicable for hot and cold environments, however climatic conditions affect the detection efficiency (temperature &amp; humidity)</w:t>
            </w:r>
            <w:r w:rsidRPr="005C6123">
              <w:rPr>
                <w:rStyle w:val="FootnoteReference"/>
                <w:sz w:val="15"/>
                <w:szCs w:val="15"/>
              </w:rPr>
              <w:footnoteReference w:id="158"/>
            </w:r>
          </w:p>
        </w:tc>
      </w:tr>
      <w:tr w:rsidR="00A0524C" w:rsidRPr="00104E87" w14:paraId="73725273" w14:textId="77777777" w:rsidTr="0059177F">
        <w:trPr>
          <w:trHeight w:val="281"/>
        </w:trPr>
        <w:tc>
          <w:tcPr>
            <w:tcW w:w="1987" w:type="dxa"/>
            <w:shd w:val="clear" w:color="auto" w:fill="FFFFFF" w:themeFill="background1"/>
          </w:tcPr>
          <w:p w14:paraId="70A23E32"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Safety Concerns:</w:t>
            </w:r>
          </w:p>
        </w:tc>
        <w:tc>
          <w:tcPr>
            <w:tcW w:w="7227" w:type="dxa"/>
            <w:gridSpan w:val="2"/>
            <w:shd w:val="clear" w:color="auto" w:fill="FFFFFF" w:themeFill="background1"/>
          </w:tcPr>
          <w:p w14:paraId="1B38F742" w14:textId="77777777" w:rsidR="00A0524C" w:rsidRPr="005C6123" w:rsidRDefault="00A0524C" w:rsidP="00A0524C">
            <w:pPr>
              <w:spacing w:before="40" w:after="40" w:line="240" w:lineRule="auto"/>
              <w:rPr>
                <w:sz w:val="15"/>
                <w:szCs w:val="15"/>
                <w:lang w:val="en-US"/>
              </w:rPr>
            </w:pPr>
            <w:r w:rsidRPr="005C6123">
              <w:rPr>
                <w:sz w:val="15"/>
                <w:szCs w:val="15"/>
                <w:lang w:val="en-US"/>
              </w:rPr>
              <w:t>Generally considered safe, however some cameras not certified intrinsically safe if hydrocarbon presence is significant (battery exposure)</w:t>
            </w:r>
          </w:p>
        </w:tc>
      </w:tr>
      <w:tr w:rsidR="00A0524C" w:rsidRPr="005C6123" w14:paraId="4D75379B" w14:textId="77777777" w:rsidTr="0059177F">
        <w:trPr>
          <w:trHeight w:val="241"/>
        </w:trPr>
        <w:tc>
          <w:tcPr>
            <w:tcW w:w="1987" w:type="dxa"/>
            <w:shd w:val="clear" w:color="auto" w:fill="FFFFFF" w:themeFill="background1"/>
          </w:tcPr>
          <w:p w14:paraId="03D1FDD1"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Service Requirements:</w:t>
            </w:r>
          </w:p>
        </w:tc>
        <w:tc>
          <w:tcPr>
            <w:tcW w:w="7227" w:type="dxa"/>
            <w:gridSpan w:val="2"/>
            <w:shd w:val="clear" w:color="auto" w:fill="FFFFFF" w:themeFill="background1"/>
          </w:tcPr>
          <w:p w14:paraId="2A02EE1A" w14:textId="77777777" w:rsidR="00A0524C" w:rsidRPr="005C6123" w:rsidRDefault="00A0524C" w:rsidP="00A0524C">
            <w:pPr>
              <w:spacing w:before="40" w:after="40" w:line="240" w:lineRule="auto"/>
              <w:rPr>
                <w:sz w:val="15"/>
                <w:szCs w:val="15"/>
                <w:lang w:val="en-US"/>
              </w:rPr>
            </w:pPr>
            <w:r w:rsidRPr="005C6123">
              <w:rPr>
                <w:sz w:val="15"/>
                <w:szCs w:val="15"/>
                <w:lang w:val="en-US"/>
              </w:rPr>
              <w:t>No calibration required</w:t>
            </w:r>
          </w:p>
        </w:tc>
      </w:tr>
      <w:tr w:rsidR="00A0524C" w:rsidRPr="005C6123" w14:paraId="28810450" w14:textId="77777777" w:rsidTr="0059177F">
        <w:trPr>
          <w:trHeight w:val="288"/>
        </w:trPr>
        <w:tc>
          <w:tcPr>
            <w:tcW w:w="1987" w:type="dxa"/>
            <w:tcBorders>
              <w:bottom w:val="single" w:sz="4" w:space="0" w:color="208855"/>
            </w:tcBorders>
            <w:shd w:val="clear" w:color="auto" w:fill="FFFFFF" w:themeFill="background1"/>
          </w:tcPr>
          <w:p w14:paraId="24E31F2F" w14:textId="77777777" w:rsidR="00A0524C" w:rsidRPr="005C6123" w:rsidRDefault="00A0524C" w:rsidP="00A0524C">
            <w:pPr>
              <w:spacing w:before="40" w:after="40" w:line="240" w:lineRule="auto"/>
              <w:jc w:val="right"/>
              <w:rPr>
                <w:b/>
                <w:bCs/>
                <w:sz w:val="15"/>
                <w:szCs w:val="15"/>
                <w:lang w:val="en-US"/>
              </w:rPr>
            </w:pPr>
            <w:r w:rsidRPr="005C6123">
              <w:rPr>
                <w:b/>
                <w:bCs/>
                <w:sz w:val="15"/>
                <w:szCs w:val="15"/>
                <w:lang w:val="en-US"/>
              </w:rPr>
              <w:t>Cost Considerations:</w:t>
            </w:r>
          </w:p>
        </w:tc>
        <w:tc>
          <w:tcPr>
            <w:tcW w:w="7227" w:type="dxa"/>
            <w:gridSpan w:val="2"/>
            <w:tcBorders>
              <w:bottom w:val="single" w:sz="4" w:space="0" w:color="208855"/>
            </w:tcBorders>
            <w:shd w:val="clear" w:color="auto" w:fill="FFFFFF" w:themeFill="background1"/>
          </w:tcPr>
          <w:p w14:paraId="38301ACD" w14:textId="77777777" w:rsidR="00A0524C" w:rsidRPr="005C6123" w:rsidRDefault="00A0524C" w:rsidP="00A0524C">
            <w:pPr>
              <w:spacing w:before="40" w:after="40" w:line="240" w:lineRule="auto"/>
              <w:rPr>
                <w:sz w:val="15"/>
                <w:szCs w:val="15"/>
                <w:lang w:val="en-US"/>
              </w:rPr>
            </w:pPr>
            <w:r w:rsidRPr="005C6123">
              <w:rPr>
                <w:sz w:val="15"/>
                <w:szCs w:val="15"/>
                <w:lang w:val="en-US"/>
              </w:rPr>
              <w:t>High initial purchase price</w:t>
            </w:r>
          </w:p>
        </w:tc>
      </w:tr>
      <w:tr w:rsidR="0059177F" w:rsidRPr="005C6123" w14:paraId="6F7CBAF7" w14:textId="77777777" w:rsidTr="0059177F">
        <w:trPr>
          <w:trHeight w:val="288"/>
        </w:trPr>
        <w:tc>
          <w:tcPr>
            <w:tcW w:w="1987" w:type="dxa"/>
            <w:tcBorders>
              <w:left w:val="nil"/>
              <w:bottom w:val="nil"/>
              <w:right w:val="nil"/>
            </w:tcBorders>
            <w:shd w:val="clear" w:color="auto" w:fill="FFFFFF" w:themeFill="background1"/>
          </w:tcPr>
          <w:p w14:paraId="330809C3" w14:textId="77777777" w:rsidR="0059177F" w:rsidRPr="005C6123" w:rsidRDefault="0059177F" w:rsidP="00A0524C">
            <w:pPr>
              <w:spacing w:before="40" w:after="40" w:line="240" w:lineRule="auto"/>
              <w:jc w:val="right"/>
              <w:rPr>
                <w:b/>
                <w:bCs/>
                <w:sz w:val="15"/>
                <w:szCs w:val="15"/>
                <w:lang w:val="en-US"/>
              </w:rPr>
            </w:pPr>
          </w:p>
        </w:tc>
        <w:tc>
          <w:tcPr>
            <w:tcW w:w="7227" w:type="dxa"/>
            <w:gridSpan w:val="2"/>
            <w:tcBorders>
              <w:left w:val="nil"/>
              <w:bottom w:val="nil"/>
              <w:right w:val="nil"/>
            </w:tcBorders>
            <w:shd w:val="clear" w:color="auto" w:fill="FFFFFF" w:themeFill="background1"/>
          </w:tcPr>
          <w:p w14:paraId="4C83C9C7" w14:textId="77777777" w:rsidR="0059177F" w:rsidRDefault="0059177F" w:rsidP="00A0524C">
            <w:pPr>
              <w:spacing w:before="40" w:after="40" w:line="240" w:lineRule="auto"/>
              <w:rPr>
                <w:sz w:val="15"/>
                <w:szCs w:val="15"/>
                <w:lang w:val="en-US"/>
              </w:rPr>
            </w:pPr>
          </w:p>
          <w:p w14:paraId="26D8416E" w14:textId="77777777" w:rsidR="0059177F" w:rsidRDefault="0059177F" w:rsidP="00A0524C">
            <w:pPr>
              <w:spacing w:before="40" w:after="40" w:line="240" w:lineRule="auto"/>
              <w:rPr>
                <w:sz w:val="15"/>
                <w:szCs w:val="15"/>
                <w:lang w:val="en-US"/>
              </w:rPr>
            </w:pPr>
          </w:p>
          <w:p w14:paraId="70C472FF" w14:textId="77777777" w:rsidR="0059177F" w:rsidRDefault="0059177F" w:rsidP="00A0524C">
            <w:pPr>
              <w:spacing w:before="40" w:after="40" w:line="240" w:lineRule="auto"/>
              <w:rPr>
                <w:sz w:val="15"/>
                <w:szCs w:val="15"/>
                <w:lang w:val="en-US"/>
              </w:rPr>
            </w:pPr>
          </w:p>
          <w:p w14:paraId="3292DF23" w14:textId="77777777" w:rsidR="0059177F" w:rsidRDefault="0059177F" w:rsidP="00A0524C">
            <w:pPr>
              <w:spacing w:before="40" w:after="40" w:line="240" w:lineRule="auto"/>
              <w:rPr>
                <w:sz w:val="15"/>
                <w:szCs w:val="15"/>
                <w:lang w:val="en-US"/>
              </w:rPr>
            </w:pPr>
          </w:p>
          <w:p w14:paraId="21EEAE27" w14:textId="77777777" w:rsidR="0059177F" w:rsidRDefault="0059177F" w:rsidP="00A0524C">
            <w:pPr>
              <w:spacing w:before="40" w:after="40" w:line="240" w:lineRule="auto"/>
              <w:rPr>
                <w:sz w:val="15"/>
                <w:szCs w:val="15"/>
                <w:lang w:val="en-US"/>
              </w:rPr>
            </w:pPr>
          </w:p>
          <w:p w14:paraId="6109E9F6" w14:textId="77777777" w:rsidR="0059177F" w:rsidRDefault="0059177F" w:rsidP="00A0524C">
            <w:pPr>
              <w:spacing w:before="40" w:after="40" w:line="240" w:lineRule="auto"/>
              <w:rPr>
                <w:sz w:val="15"/>
                <w:szCs w:val="15"/>
                <w:lang w:val="en-US"/>
              </w:rPr>
            </w:pPr>
          </w:p>
          <w:p w14:paraId="39262BE1" w14:textId="77777777" w:rsidR="0059177F" w:rsidRDefault="0059177F" w:rsidP="00A0524C">
            <w:pPr>
              <w:spacing w:before="40" w:after="40" w:line="240" w:lineRule="auto"/>
              <w:rPr>
                <w:sz w:val="15"/>
                <w:szCs w:val="15"/>
                <w:lang w:val="en-US"/>
              </w:rPr>
            </w:pPr>
          </w:p>
          <w:p w14:paraId="05955797" w14:textId="77777777" w:rsidR="0059177F" w:rsidRDefault="0059177F" w:rsidP="00A0524C">
            <w:pPr>
              <w:spacing w:before="40" w:after="40" w:line="240" w:lineRule="auto"/>
              <w:rPr>
                <w:sz w:val="15"/>
                <w:szCs w:val="15"/>
                <w:lang w:val="en-US"/>
              </w:rPr>
            </w:pPr>
          </w:p>
          <w:p w14:paraId="407C11B7" w14:textId="77777777" w:rsidR="0059177F" w:rsidRDefault="0059177F" w:rsidP="00A0524C">
            <w:pPr>
              <w:spacing w:before="40" w:after="40" w:line="240" w:lineRule="auto"/>
              <w:rPr>
                <w:sz w:val="15"/>
                <w:szCs w:val="15"/>
                <w:lang w:val="en-US"/>
              </w:rPr>
            </w:pPr>
          </w:p>
          <w:p w14:paraId="5E7926EA" w14:textId="77777777" w:rsidR="0059177F" w:rsidRDefault="0059177F" w:rsidP="00A0524C">
            <w:pPr>
              <w:spacing w:before="40" w:after="40" w:line="240" w:lineRule="auto"/>
              <w:rPr>
                <w:sz w:val="15"/>
                <w:szCs w:val="15"/>
                <w:lang w:val="en-US"/>
              </w:rPr>
            </w:pPr>
          </w:p>
          <w:p w14:paraId="111F2744" w14:textId="77777777" w:rsidR="0059177F" w:rsidRDefault="0059177F" w:rsidP="00A0524C">
            <w:pPr>
              <w:spacing w:before="40" w:after="40" w:line="240" w:lineRule="auto"/>
              <w:rPr>
                <w:sz w:val="15"/>
                <w:szCs w:val="15"/>
                <w:lang w:val="en-US"/>
              </w:rPr>
            </w:pPr>
          </w:p>
          <w:p w14:paraId="566B5A86" w14:textId="73320E21" w:rsidR="0059177F" w:rsidRPr="005C6123" w:rsidRDefault="0059177F" w:rsidP="00A0524C">
            <w:pPr>
              <w:spacing w:before="40" w:after="40" w:line="240" w:lineRule="auto"/>
              <w:rPr>
                <w:sz w:val="15"/>
                <w:szCs w:val="15"/>
                <w:lang w:val="en-US"/>
              </w:rPr>
            </w:pPr>
          </w:p>
        </w:tc>
      </w:tr>
      <w:tr w:rsidR="00A0524C" w:rsidRPr="005C6123" w:rsidDel="00994E71" w14:paraId="46348FD7" w14:textId="77777777" w:rsidTr="0059177F">
        <w:trPr>
          <w:trHeight w:val="413"/>
        </w:trPr>
        <w:tc>
          <w:tcPr>
            <w:tcW w:w="9214" w:type="dxa"/>
            <w:gridSpan w:val="3"/>
            <w:tcBorders>
              <w:top w:val="nil"/>
            </w:tcBorders>
            <w:shd w:val="clear" w:color="auto" w:fill="208855" w:themeFill="accent1" w:themeFillShade="BF"/>
            <w:vAlign w:val="center"/>
          </w:tcPr>
          <w:p w14:paraId="3B083DB8" w14:textId="77777777" w:rsidR="00A0524C" w:rsidRPr="005C6123" w:rsidDel="00994E71" w:rsidRDefault="00A0524C" w:rsidP="005D2939">
            <w:pPr>
              <w:pStyle w:val="ListParagraph"/>
              <w:numPr>
                <w:ilvl w:val="0"/>
                <w:numId w:val="36"/>
              </w:numPr>
              <w:spacing w:before="60" w:after="60"/>
              <w:ind w:left="0" w:hanging="357"/>
              <w:contextualSpacing w:val="0"/>
              <w:rPr>
                <w:b/>
                <w:bCs/>
                <w:color w:val="FFFFFF"/>
              </w:rPr>
            </w:pPr>
            <w:bookmarkStart w:id="140" w:name="_Hlk526501503"/>
            <w:bookmarkEnd w:id="138"/>
            <w:bookmarkEnd w:id="139"/>
            <w:r w:rsidRPr="00FB48A1">
              <w:rPr>
                <w:b/>
                <w:bCs/>
                <w:color w:val="FFFFFF"/>
              </w:rPr>
              <w:t>2. Laser Leak Detector</w:t>
            </w:r>
          </w:p>
        </w:tc>
      </w:tr>
      <w:tr w:rsidR="00A0524C" w:rsidRPr="005C6123" w14:paraId="562AC5C2" w14:textId="77777777" w:rsidTr="0059177F">
        <w:trPr>
          <w:trHeight w:val="703"/>
        </w:trPr>
        <w:tc>
          <w:tcPr>
            <w:tcW w:w="6520" w:type="dxa"/>
            <w:gridSpan w:val="2"/>
            <w:vMerge w:val="restart"/>
            <w:tcBorders>
              <w:top w:val="single" w:sz="4" w:space="0" w:color="208855" w:themeColor="accent1" w:themeShade="BF"/>
              <w:left w:val="single" w:sz="4" w:space="0" w:color="208855" w:themeColor="accent1" w:themeShade="BF"/>
            </w:tcBorders>
            <w:shd w:val="clear" w:color="auto" w:fill="D0F4E3" w:themeFill="accent1" w:themeFillTint="33"/>
            <w:vAlign w:val="center"/>
          </w:tcPr>
          <w:p w14:paraId="697EF655" w14:textId="77777777" w:rsidR="00A0524C" w:rsidRPr="005C6123" w:rsidRDefault="00A0524C" w:rsidP="005D2939">
            <w:pPr>
              <w:pStyle w:val="ListParagraph"/>
              <w:numPr>
                <w:ilvl w:val="0"/>
                <w:numId w:val="36"/>
              </w:numPr>
              <w:spacing w:before="120" w:after="120"/>
              <w:ind w:left="0"/>
              <w:contextualSpacing w:val="0"/>
              <w:rPr>
                <w:b/>
                <w:bCs/>
                <w:sz w:val="16"/>
                <w:szCs w:val="16"/>
              </w:rPr>
            </w:pPr>
            <w:r w:rsidRPr="005C6123">
              <w:rPr>
                <w:b/>
                <w:bCs/>
                <w:sz w:val="16"/>
                <w:szCs w:val="16"/>
              </w:rPr>
              <w:t>Technology</w:t>
            </w:r>
          </w:p>
          <w:p w14:paraId="46BD02CE" w14:textId="77777777" w:rsidR="00A0524C" w:rsidRPr="005C6123" w:rsidRDefault="00A0524C" w:rsidP="00A0524C">
            <w:pPr>
              <w:spacing w:line="240" w:lineRule="auto"/>
              <w:rPr>
                <w:b/>
                <w:sz w:val="16"/>
                <w:szCs w:val="16"/>
                <w:lang w:val="en-US"/>
              </w:rPr>
            </w:pPr>
            <w:r w:rsidRPr="005C6123">
              <w:rPr>
                <w:bCs/>
                <w:sz w:val="16"/>
                <w:szCs w:val="16"/>
                <w:lang w:val="en-US"/>
              </w:rPr>
              <w:t xml:space="preserve">Laser leak detectors are a proven method for locating methane emission sources in the oil and gas industry. A popular detector is the Remote Methane Leak Detector (RMLD), which uses a </w:t>
            </w:r>
            <w:proofErr w:type="spellStart"/>
            <w:r w:rsidRPr="005C6123">
              <w:rPr>
                <w:bCs/>
                <w:sz w:val="16"/>
                <w:szCs w:val="16"/>
                <w:lang w:val="en-US"/>
              </w:rPr>
              <w:t>tuneable</w:t>
            </w:r>
            <w:proofErr w:type="spellEnd"/>
            <w:r w:rsidRPr="005C6123">
              <w:rPr>
                <w:bCs/>
                <w:sz w:val="16"/>
                <w:szCs w:val="16"/>
                <w:lang w:val="en-US"/>
              </w:rPr>
              <w:t xml:space="preserve"> diode-infrared laser that is tuned to a frequency which is specifically absorbed by methane. As the laser beam from an RMLD device passes through a gas plume (and is reflected back to the camera) it will detect if methane is present in the beam path by comparing the strength of the outgoing and reflected beams.</w:t>
            </w:r>
          </w:p>
          <w:p w14:paraId="5C217033" w14:textId="77777777" w:rsidR="00A0524C" w:rsidRPr="005C6123" w:rsidRDefault="00A0524C" w:rsidP="00A0524C">
            <w:pPr>
              <w:pStyle w:val="ListParagraph"/>
              <w:tabs>
                <w:tab w:val="left" w:pos="494"/>
              </w:tabs>
              <w:contextualSpacing w:val="0"/>
              <w:rPr>
                <w:b/>
                <w:bCs/>
                <w:sz w:val="16"/>
                <w:szCs w:val="16"/>
              </w:rPr>
            </w:pPr>
            <w:r w:rsidRPr="005C6123">
              <w:rPr>
                <w:b/>
                <w:bCs/>
                <w:sz w:val="16"/>
                <w:szCs w:val="16"/>
              </w:rPr>
              <w:t>Operation / Detection</w:t>
            </w:r>
          </w:p>
          <w:p w14:paraId="09DA4CCA" w14:textId="77777777" w:rsidR="00A0524C" w:rsidRPr="005C6123" w:rsidRDefault="00A0524C" w:rsidP="00A0524C">
            <w:pPr>
              <w:pStyle w:val="ListParagraph"/>
              <w:tabs>
                <w:tab w:val="left" w:pos="494"/>
              </w:tabs>
              <w:contextualSpacing w:val="0"/>
              <w:rPr>
                <w:b/>
                <w:sz w:val="16"/>
                <w:szCs w:val="16"/>
              </w:rPr>
            </w:pPr>
            <w:r w:rsidRPr="005C6123">
              <w:rPr>
                <w:bCs/>
                <w:sz w:val="16"/>
                <w:szCs w:val="16"/>
              </w:rPr>
              <w:t xml:space="preserve">An operator points the </w:t>
            </w:r>
            <w:bookmarkStart w:id="141" w:name="_Hlk3372819"/>
            <w:r w:rsidRPr="005C6123">
              <w:rPr>
                <w:bCs/>
                <w:sz w:val="16"/>
                <w:szCs w:val="16"/>
              </w:rPr>
              <w:t xml:space="preserve">RMLD </w:t>
            </w:r>
            <w:bookmarkEnd w:id="141"/>
            <w:r w:rsidRPr="005C6123">
              <w:rPr>
                <w:bCs/>
                <w:sz w:val="16"/>
                <w:szCs w:val="16"/>
              </w:rPr>
              <w:t xml:space="preserve">device towards the equipment or general facilities from a distance along the sight line. The device uses an invisible infrared laser to detect the </w:t>
            </w:r>
            <w:r w:rsidRPr="005C6123">
              <w:rPr>
                <w:bCs/>
                <w:sz w:val="16"/>
                <w:szCs w:val="16"/>
              </w:rPr>
              <w:lastRenderedPageBreak/>
              <w:t>presence of methane coupled with a visible green spotter laser to help the operator confirm the emission source which is being pointed at. The operator turns the device on and off by suppressing a trigger button on the device. As the IR beam is being reflected back to the instrument receiver it is collected by the RMLD and the signal is processed into a methane concentration in parts per million per meter (ppm-m) of beam path length.</w:t>
            </w:r>
          </w:p>
        </w:tc>
        <w:tc>
          <w:tcPr>
            <w:tcW w:w="2694" w:type="dxa"/>
            <w:tcBorders>
              <w:top w:val="single" w:sz="4" w:space="0" w:color="208855" w:themeColor="accent1" w:themeShade="BF"/>
              <w:bottom w:val="nil"/>
              <w:right w:val="single" w:sz="4" w:space="0" w:color="208855" w:themeColor="accent1" w:themeShade="BF"/>
            </w:tcBorders>
            <w:shd w:val="clear" w:color="auto" w:fill="D0F4E3" w:themeFill="accent1" w:themeFillTint="33"/>
            <w:vAlign w:val="center"/>
          </w:tcPr>
          <w:p w14:paraId="16C0A951" w14:textId="77777777" w:rsidR="00A0524C" w:rsidRPr="00EA139D" w:rsidRDefault="00A0524C" w:rsidP="005D2939">
            <w:pPr>
              <w:pStyle w:val="ListParagraph"/>
              <w:numPr>
                <w:ilvl w:val="0"/>
                <w:numId w:val="36"/>
              </w:numPr>
              <w:spacing w:before="120" w:after="0" w:line="276" w:lineRule="auto"/>
              <w:ind w:left="0" w:hanging="357"/>
              <w:contextualSpacing w:val="0"/>
              <w:rPr>
                <w:sz w:val="16"/>
                <w:szCs w:val="16"/>
                <w:u w:val="single"/>
              </w:rPr>
            </w:pPr>
            <w:r w:rsidRPr="00EA139D">
              <w:rPr>
                <w:b/>
                <w:sz w:val="16"/>
                <w:szCs w:val="16"/>
              </w:rPr>
              <w:lastRenderedPageBreak/>
              <w:t>Laser Remote Methane Leak Detector</w:t>
            </w:r>
            <w:r w:rsidRPr="005C6123">
              <w:rPr>
                <w:rStyle w:val="FootnoteReference"/>
                <w:b/>
                <w:sz w:val="16"/>
                <w:szCs w:val="16"/>
              </w:rPr>
              <w:footnoteReference w:id="159"/>
            </w:r>
          </w:p>
          <w:p w14:paraId="782C4A49" w14:textId="77777777" w:rsidR="00A0524C" w:rsidRPr="005C6123" w:rsidRDefault="00A0524C" w:rsidP="005D2939">
            <w:pPr>
              <w:pStyle w:val="ListParagraph"/>
              <w:keepNext/>
              <w:numPr>
                <w:ilvl w:val="0"/>
                <w:numId w:val="36"/>
              </w:numPr>
              <w:spacing w:line="276" w:lineRule="auto"/>
              <w:ind w:left="0"/>
              <w:contextualSpacing w:val="0"/>
              <w:rPr>
                <w:b/>
                <w:bCs/>
                <w:sz w:val="10"/>
                <w:szCs w:val="10"/>
              </w:rPr>
            </w:pPr>
            <w:r>
              <w:rPr>
                <w:b/>
                <w:noProof/>
                <w:sz w:val="10"/>
                <w:szCs w:val="10"/>
                <w:lang w:val="nb-NO" w:eastAsia="nb-NO"/>
              </w:rPr>
              <w:drawing>
                <wp:inline distT="0" distB="0" distL="0" distR="0" wp14:anchorId="51310745" wp14:editId="60F0BD8D">
                  <wp:extent cx="1403350" cy="1289050"/>
                  <wp:effectExtent l="0" t="0" r="6350" b="635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r="22742"/>
                          <a:stretch>
                            <a:fillRect/>
                          </a:stretch>
                        </pic:blipFill>
                        <pic:spPr bwMode="auto">
                          <a:xfrm>
                            <a:off x="0" y="0"/>
                            <a:ext cx="1403350" cy="1289050"/>
                          </a:xfrm>
                          <a:prstGeom prst="rect">
                            <a:avLst/>
                          </a:prstGeom>
                          <a:noFill/>
                          <a:ln>
                            <a:noFill/>
                          </a:ln>
                        </pic:spPr>
                      </pic:pic>
                    </a:graphicData>
                  </a:graphic>
                </wp:inline>
              </w:drawing>
            </w:r>
          </w:p>
        </w:tc>
      </w:tr>
      <w:tr w:rsidR="00A0524C" w:rsidRPr="005C6123" w14:paraId="4B99DC4D" w14:textId="77777777" w:rsidTr="0059177F">
        <w:trPr>
          <w:trHeight w:val="703"/>
        </w:trPr>
        <w:tc>
          <w:tcPr>
            <w:tcW w:w="6520" w:type="dxa"/>
            <w:gridSpan w:val="2"/>
            <w:vMerge/>
            <w:shd w:val="clear" w:color="auto" w:fill="D0F4E3"/>
            <w:vAlign w:val="center"/>
          </w:tcPr>
          <w:p w14:paraId="41F18B67" w14:textId="77777777" w:rsidR="00A0524C" w:rsidRPr="005C6123" w:rsidDel="00F662EB" w:rsidRDefault="00A0524C" w:rsidP="00A0524C">
            <w:pPr>
              <w:spacing w:line="240" w:lineRule="auto"/>
              <w:rPr>
                <w:b/>
                <w:bCs/>
                <w:sz w:val="16"/>
                <w:szCs w:val="16"/>
                <w:lang w:val="en-US"/>
              </w:rPr>
            </w:pPr>
          </w:p>
        </w:tc>
        <w:tc>
          <w:tcPr>
            <w:tcW w:w="2694" w:type="dxa"/>
            <w:tcBorders>
              <w:top w:val="nil"/>
              <w:bottom w:val="single" w:sz="4" w:space="0" w:color="208855" w:themeColor="accent1" w:themeShade="BF"/>
              <w:right w:val="single" w:sz="4" w:space="0" w:color="208855" w:themeColor="accent1" w:themeShade="BF"/>
            </w:tcBorders>
            <w:shd w:val="clear" w:color="auto" w:fill="D0F4E3" w:themeFill="accent1" w:themeFillTint="33"/>
          </w:tcPr>
          <w:p w14:paraId="6A7DC5C8" w14:textId="77777777" w:rsidR="00A0524C" w:rsidRPr="005C6123" w:rsidRDefault="00A0524C" w:rsidP="00A0524C">
            <w:pPr>
              <w:shd w:val="clear" w:color="auto" w:fill="D0F4E3"/>
              <w:spacing w:line="240" w:lineRule="auto"/>
              <w:rPr>
                <w:b/>
                <w:sz w:val="16"/>
                <w:szCs w:val="16"/>
                <w:lang w:val="en-US"/>
              </w:rPr>
            </w:pPr>
            <w:r w:rsidRPr="005C6123">
              <w:rPr>
                <w:b/>
                <w:sz w:val="16"/>
                <w:szCs w:val="16"/>
                <w:lang w:val="en-US"/>
              </w:rPr>
              <w:t>Investment Cost</w:t>
            </w:r>
          </w:p>
          <w:p w14:paraId="761981EA" w14:textId="77777777" w:rsidR="00A0524C" w:rsidRPr="005C6123" w:rsidRDefault="00A0524C" w:rsidP="00A0524C">
            <w:pPr>
              <w:shd w:val="clear" w:color="auto" w:fill="D0F4E3"/>
              <w:spacing w:line="240" w:lineRule="auto"/>
              <w:rPr>
                <w:sz w:val="16"/>
                <w:szCs w:val="16"/>
                <w:lang w:val="en-US"/>
              </w:rPr>
            </w:pPr>
            <w:r w:rsidRPr="005C6123">
              <w:rPr>
                <w:sz w:val="16"/>
                <w:szCs w:val="16"/>
                <w:lang w:val="en-US"/>
              </w:rPr>
              <w:t>approx. $15,000</w:t>
            </w:r>
          </w:p>
        </w:tc>
      </w:tr>
      <w:tr w:rsidR="00A0524C" w:rsidRPr="00104E87" w14:paraId="5C8C3231" w14:textId="77777777" w:rsidTr="0059177F">
        <w:trPr>
          <w:trHeight w:val="283"/>
        </w:trPr>
        <w:tc>
          <w:tcPr>
            <w:tcW w:w="1987" w:type="dxa"/>
            <w:shd w:val="clear" w:color="auto" w:fill="FFFFFF" w:themeFill="background1"/>
          </w:tcPr>
          <w:p w14:paraId="68A55E32" w14:textId="77777777" w:rsidR="00A0524C" w:rsidRPr="005C6123" w:rsidRDefault="00A0524C" w:rsidP="00A0524C">
            <w:pPr>
              <w:spacing w:before="40" w:after="40" w:line="240" w:lineRule="auto"/>
              <w:jc w:val="right"/>
              <w:rPr>
                <w:sz w:val="15"/>
                <w:szCs w:val="15"/>
                <w:lang w:val="en-US"/>
              </w:rPr>
            </w:pPr>
            <w:bookmarkStart w:id="142" w:name="_Hlk526753861"/>
            <w:r w:rsidRPr="005C6123">
              <w:rPr>
                <w:b/>
                <w:bCs/>
                <w:sz w:val="15"/>
                <w:szCs w:val="15"/>
                <w:lang w:val="en-US"/>
              </w:rPr>
              <w:t>Method of Usage</w:t>
            </w:r>
          </w:p>
        </w:tc>
        <w:tc>
          <w:tcPr>
            <w:tcW w:w="7227" w:type="dxa"/>
            <w:gridSpan w:val="2"/>
            <w:shd w:val="clear" w:color="auto" w:fill="FFFFFF" w:themeFill="background1"/>
          </w:tcPr>
          <w:p w14:paraId="2B1B9768" w14:textId="63DE4853" w:rsidR="00A0524C" w:rsidRPr="005C6123" w:rsidRDefault="00A0524C" w:rsidP="00A0524C">
            <w:pPr>
              <w:spacing w:before="40" w:after="40" w:line="240" w:lineRule="auto"/>
              <w:rPr>
                <w:sz w:val="15"/>
                <w:szCs w:val="15"/>
                <w:lang w:val="en-US"/>
              </w:rPr>
            </w:pPr>
            <w:r w:rsidRPr="005C6123">
              <w:rPr>
                <w:sz w:val="15"/>
                <w:szCs w:val="15"/>
                <w:lang w:val="en-US"/>
              </w:rPr>
              <w:t>Generally simple to operate, especially handheld versions, however require a background surface to reflect back laser beam (not applicable for open fields</w:t>
            </w:r>
            <w:r w:rsidR="00315A85">
              <w:rPr>
                <w:sz w:val="15"/>
                <w:szCs w:val="15"/>
                <w:lang w:val="en-US"/>
              </w:rPr>
              <w:t>).</w:t>
            </w:r>
            <w:r w:rsidRPr="005C6123">
              <w:rPr>
                <w:rStyle w:val="FootnoteReference"/>
                <w:sz w:val="15"/>
                <w:szCs w:val="15"/>
              </w:rPr>
              <w:footnoteReference w:id="160"/>
            </w:r>
            <w:r w:rsidRPr="005C6123">
              <w:rPr>
                <w:sz w:val="15"/>
                <w:szCs w:val="15"/>
                <w:lang w:val="en-US"/>
              </w:rPr>
              <w:t xml:space="preserve"> Available in remotely operated models with mounting poles or through mobile deployment (vehicular &amp; aerial) - with automated alarm upon detection.</w:t>
            </w:r>
          </w:p>
        </w:tc>
      </w:tr>
      <w:tr w:rsidR="00A0524C" w:rsidRPr="00104E87" w14:paraId="0115C69C" w14:textId="77777777" w:rsidTr="0059177F">
        <w:trPr>
          <w:trHeight w:val="281"/>
        </w:trPr>
        <w:tc>
          <w:tcPr>
            <w:tcW w:w="1987" w:type="dxa"/>
            <w:shd w:val="clear" w:color="auto" w:fill="FFFFFF" w:themeFill="background1"/>
          </w:tcPr>
          <w:p w14:paraId="096E7199"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Applicability</w:t>
            </w:r>
          </w:p>
        </w:tc>
        <w:tc>
          <w:tcPr>
            <w:tcW w:w="7227" w:type="dxa"/>
            <w:gridSpan w:val="2"/>
            <w:shd w:val="clear" w:color="auto" w:fill="FFFFFF" w:themeFill="background1"/>
          </w:tcPr>
          <w:p w14:paraId="6D08AE5B" w14:textId="77777777" w:rsidR="00A0524C" w:rsidRPr="005C6123" w:rsidRDefault="00A0524C" w:rsidP="00A0524C">
            <w:pPr>
              <w:spacing w:before="40" w:after="40" w:line="240" w:lineRule="auto"/>
              <w:rPr>
                <w:sz w:val="15"/>
                <w:szCs w:val="15"/>
                <w:lang w:val="en-US"/>
              </w:rPr>
            </w:pPr>
            <w:r w:rsidRPr="005C6123">
              <w:rPr>
                <w:sz w:val="15"/>
                <w:szCs w:val="15"/>
                <w:lang w:val="en-US"/>
              </w:rPr>
              <w:t>Useful for detecting methane leaks originating from hard-to-reach sources or throughout difficult terrain. Allows the detection of methane in the beam path up to a distance of approximately 30m. Specifically tuned to detect methane and does not give a false reading for other hydrocarbons (No cross-sensitivity</w:t>
            </w:r>
            <w:r w:rsidRPr="005C6123">
              <w:rPr>
                <w:rStyle w:val="FootnoteReference"/>
                <w:sz w:val="15"/>
                <w:szCs w:val="15"/>
              </w:rPr>
              <w:footnoteReference w:id="161"/>
            </w:r>
            <w:r w:rsidRPr="005C6123">
              <w:rPr>
                <w:sz w:val="15"/>
                <w:szCs w:val="15"/>
                <w:lang w:val="en-US"/>
              </w:rPr>
              <w:t>)</w:t>
            </w:r>
          </w:p>
        </w:tc>
      </w:tr>
      <w:tr w:rsidR="00A0524C" w:rsidRPr="00104E87" w14:paraId="4AE2AEAA" w14:textId="77777777" w:rsidTr="0059177F">
        <w:trPr>
          <w:trHeight w:val="281"/>
        </w:trPr>
        <w:tc>
          <w:tcPr>
            <w:tcW w:w="1987" w:type="dxa"/>
            <w:shd w:val="clear" w:color="auto" w:fill="FFFFFF" w:themeFill="background1"/>
          </w:tcPr>
          <w:p w14:paraId="3B70F15D"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 xml:space="preserve"> Detection Speed</w:t>
            </w:r>
          </w:p>
        </w:tc>
        <w:tc>
          <w:tcPr>
            <w:tcW w:w="7227" w:type="dxa"/>
            <w:gridSpan w:val="2"/>
            <w:shd w:val="clear" w:color="auto" w:fill="FFFFFF" w:themeFill="background1"/>
          </w:tcPr>
          <w:p w14:paraId="76E85A72" w14:textId="5BAFFBEA" w:rsidR="00A0524C" w:rsidRPr="005C6123" w:rsidRDefault="00A0524C" w:rsidP="00A0524C">
            <w:pPr>
              <w:spacing w:before="40" w:after="40" w:line="240" w:lineRule="auto"/>
              <w:rPr>
                <w:sz w:val="15"/>
                <w:szCs w:val="15"/>
                <w:lang w:val="en-US"/>
              </w:rPr>
            </w:pPr>
            <w:r w:rsidRPr="005C6123">
              <w:rPr>
                <w:sz w:val="15"/>
                <w:szCs w:val="15"/>
                <w:lang w:val="en-US"/>
              </w:rPr>
              <w:t>Unit responds almost instantaneously, quickly scans area in real time and can cover large open areas, reducing the time spent on searching for leaks (as well as manpower), capable of 100`s of components</w:t>
            </w:r>
            <w:r w:rsidR="00315A85">
              <w:rPr>
                <w:sz w:val="15"/>
                <w:szCs w:val="15"/>
                <w:lang w:val="en-US"/>
              </w:rPr>
              <w:t>/</w:t>
            </w:r>
            <w:r w:rsidRPr="005C6123">
              <w:rPr>
                <w:sz w:val="15"/>
                <w:szCs w:val="15"/>
                <w:lang w:val="en-US"/>
              </w:rPr>
              <w:t xml:space="preserve"> hour</w:t>
            </w:r>
          </w:p>
        </w:tc>
      </w:tr>
      <w:tr w:rsidR="00A0524C" w:rsidRPr="00104E87" w14:paraId="7A111218" w14:textId="77777777" w:rsidTr="0059177F">
        <w:trPr>
          <w:trHeight w:val="281"/>
        </w:trPr>
        <w:tc>
          <w:tcPr>
            <w:tcW w:w="1987" w:type="dxa"/>
            <w:shd w:val="clear" w:color="auto" w:fill="FFFFFF" w:themeFill="background1"/>
          </w:tcPr>
          <w:p w14:paraId="75539548" w14:textId="77777777" w:rsidR="00A0524C" w:rsidRPr="005C6123" w:rsidRDefault="00A0524C" w:rsidP="00A0524C">
            <w:pPr>
              <w:spacing w:before="40" w:after="40" w:line="240" w:lineRule="auto"/>
              <w:jc w:val="right"/>
              <w:rPr>
                <w:b/>
                <w:sz w:val="15"/>
                <w:szCs w:val="15"/>
                <w:lang w:val="en-US"/>
              </w:rPr>
            </w:pPr>
            <w:r w:rsidRPr="005C6123">
              <w:rPr>
                <w:b/>
                <w:sz w:val="15"/>
                <w:szCs w:val="15"/>
                <w:lang w:val="en-US"/>
              </w:rPr>
              <w:t>Climatic Constraints</w:t>
            </w:r>
          </w:p>
        </w:tc>
        <w:tc>
          <w:tcPr>
            <w:tcW w:w="7227" w:type="dxa"/>
            <w:gridSpan w:val="2"/>
            <w:shd w:val="clear" w:color="auto" w:fill="FFFFFF" w:themeFill="background1"/>
          </w:tcPr>
          <w:p w14:paraId="2292F015" w14:textId="77777777" w:rsidR="00A0524C" w:rsidRPr="005C6123" w:rsidRDefault="00A0524C" w:rsidP="00A0524C">
            <w:pPr>
              <w:spacing w:before="40" w:after="40" w:line="240" w:lineRule="auto"/>
              <w:rPr>
                <w:sz w:val="15"/>
                <w:szCs w:val="15"/>
                <w:lang w:val="en-US"/>
              </w:rPr>
            </w:pPr>
            <w:r w:rsidRPr="005C6123">
              <w:rPr>
                <w:sz w:val="15"/>
                <w:szCs w:val="15"/>
                <w:lang w:val="en-US"/>
              </w:rPr>
              <w:t>Applicable for most conditions (-17 C to 50 C, 5 to 95% relative humidity), not affected by wind.</w:t>
            </w:r>
          </w:p>
        </w:tc>
      </w:tr>
      <w:tr w:rsidR="00A0524C" w:rsidRPr="005C6123" w14:paraId="58ABD946" w14:textId="77777777" w:rsidTr="0059177F">
        <w:trPr>
          <w:trHeight w:val="281"/>
        </w:trPr>
        <w:tc>
          <w:tcPr>
            <w:tcW w:w="1987" w:type="dxa"/>
            <w:shd w:val="clear" w:color="auto" w:fill="FFFFFF" w:themeFill="background1"/>
          </w:tcPr>
          <w:p w14:paraId="7BF012F5"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Safety Concerns</w:t>
            </w:r>
          </w:p>
        </w:tc>
        <w:tc>
          <w:tcPr>
            <w:tcW w:w="7227" w:type="dxa"/>
            <w:gridSpan w:val="2"/>
            <w:shd w:val="clear" w:color="auto" w:fill="FFFFFF" w:themeFill="background1"/>
          </w:tcPr>
          <w:p w14:paraId="4414451A" w14:textId="77777777" w:rsidR="00A0524C" w:rsidRPr="005C6123" w:rsidRDefault="00A0524C" w:rsidP="00A0524C">
            <w:pPr>
              <w:spacing w:before="40" w:after="40" w:line="240" w:lineRule="auto"/>
              <w:rPr>
                <w:sz w:val="15"/>
                <w:szCs w:val="15"/>
                <w:lang w:val="en-US"/>
              </w:rPr>
            </w:pPr>
            <w:r w:rsidRPr="005C6123">
              <w:rPr>
                <w:sz w:val="15"/>
                <w:szCs w:val="15"/>
                <w:lang w:val="en-US"/>
              </w:rPr>
              <w:t>Safe method of leak detection; measurements can be made remotely, keeping operators out of harm`s way. Most models certified intrinsically safe</w:t>
            </w:r>
            <w:r w:rsidRPr="005C6123">
              <w:rPr>
                <w:rStyle w:val="FootnoteReference"/>
                <w:sz w:val="15"/>
                <w:szCs w:val="15"/>
              </w:rPr>
              <w:footnoteReference w:id="162"/>
            </w:r>
            <w:r w:rsidRPr="005C6123">
              <w:rPr>
                <w:sz w:val="15"/>
                <w:szCs w:val="15"/>
                <w:lang w:val="en-US"/>
              </w:rPr>
              <w:t>.</w:t>
            </w:r>
          </w:p>
        </w:tc>
      </w:tr>
      <w:tr w:rsidR="00A0524C" w:rsidRPr="00104E87" w14:paraId="7031ED5B" w14:textId="77777777" w:rsidTr="0059177F">
        <w:trPr>
          <w:trHeight w:val="281"/>
        </w:trPr>
        <w:tc>
          <w:tcPr>
            <w:tcW w:w="1987" w:type="dxa"/>
            <w:shd w:val="clear" w:color="auto" w:fill="FFFFFF" w:themeFill="background1"/>
          </w:tcPr>
          <w:p w14:paraId="53BB42AC"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Service Requirements</w:t>
            </w:r>
          </w:p>
        </w:tc>
        <w:tc>
          <w:tcPr>
            <w:tcW w:w="7227" w:type="dxa"/>
            <w:gridSpan w:val="2"/>
            <w:shd w:val="clear" w:color="auto" w:fill="FFFFFF" w:themeFill="background1"/>
          </w:tcPr>
          <w:p w14:paraId="51F99E12" w14:textId="4875D85D" w:rsidR="00A0524C" w:rsidRPr="005C6123" w:rsidRDefault="00A0524C" w:rsidP="00A0524C">
            <w:pPr>
              <w:spacing w:before="40" w:after="40" w:line="240" w:lineRule="auto"/>
              <w:rPr>
                <w:sz w:val="15"/>
                <w:szCs w:val="15"/>
                <w:lang w:val="en-US"/>
              </w:rPr>
            </w:pPr>
            <w:r w:rsidRPr="005C6123">
              <w:rPr>
                <w:sz w:val="15"/>
                <w:szCs w:val="15"/>
                <w:lang w:val="en-US"/>
              </w:rPr>
              <w:t>Calibration is minimal</w:t>
            </w:r>
            <w:r w:rsidR="00315A85">
              <w:rPr>
                <w:sz w:val="15"/>
                <w:szCs w:val="15"/>
                <w:lang w:val="en-US"/>
              </w:rPr>
              <w:t>.</w:t>
            </w:r>
            <w:r w:rsidRPr="005C6123">
              <w:rPr>
                <w:rStyle w:val="FootnoteReference"/>
                <w:sz w:val="15"/>
                <w:szCs w:val="15"/>
              </w:rPr>
              <w:footnoteReference w:id="163"/>
            </w:r>
            <w:r w:rsidRPr="005C6123">
              <w:rPr>
                <w:sz w:val="15"/>
                <w:szCs w:val="15"/>
                <w:lang w:val="en-US"/>
              </w:rPr>
              <w:t xml:space="preserve"> Most models feature built-in self-test and calibration function which verifies operation and adjusts laser wavelength for maximum sensitivity</w:t>
            </w:r>
            <w:r w:rsidRPr="005C6123">
              <w:rPr>
                <w:rStyle w:val="FootnoteReference"/>
                <w:sz w:val="15"/>
                <w:szCs w:val="15"/>
              </w:rPr>
              <w:footnoteReference w:id="164"/>
            </w:r>
          </w:p>
        </w:tc>
      </w:tr>
      <w:tr w:rsidR="00A0524C" w:rsidRPr="00104E87" w14:paraId="017FA1C9" w14:textId="77777777" w:rsidTr="0059177F">
        <w:trPr>
          <w:trHeight w:val="281"/>
        </w:trPr>
        <w:tc>
          <w:tcPr>
            <w:tcW w:w="1987" w:type="dxa"/>
            <w:tcBorders>
              <w:bottom w:val="single" w:sz="2" w:space="0" w:color="208855" w:themeColor="accent1" w:themeShade="BF"/>
            </w:tcBorders>
            <w:shd w:val="clear" w:color="auto" w:fill="FFFFFF" w:themeFill="background1"/>
          </w:tcPr>
          <w:p w14:paraId="466BAD93" w14:textId="77777777" w:rsidR="00A0524C" w:rsidRPr="005C6123" w:rsidRDefault="00A0524C" w:rsidP="00A0524C">
            <w:pPr>
              <w:spacing w:before="40" w:after="40" w:line="240" w:lineRule="auto"/>
              <w:jc w:val="right"/>
              <w:rPr>
                <w:b/>
                <w:bCs/>
                <w:sz w:val="15"/>
                <w:szCs w:val="15"/>
                <w:lang w:val="en-US"/>
              </w:rPr>
            </w:pPr>
            <w:r w:rsidRPr="005C6123">
              <w:rPr>
                <w:b/>
                <w:bCs/>
                <w:sz w:val="15"/>
                <w:szCs w:val="15"/>
                <w:lang w:val="en-US"/>
              </w:rPr>
              <w:t>Cost Considerations</w:t>
            </w:r>
          </w:p>
        </w:tc>
        <w:tc>
          <w:tcPr>
            <w:tcW w:w="7227" w:type="dxa"/>
            <w:gridSpan w:val="2"/>
            <w:tcBorders>
              <w:bottom w:val="single" w:sz="2" w:space="0" w:color="208855" w:themeColor="accent1" w:themeShade="BF"/>
            </w:tcBorders>
            <w:shd w:val="clear" w:color="auto" w:fill="FFFFFF" w:themeFill="background1"/>
          </w:tcPr>
          <w:p w14:paraId="2BEEC170" w14:textId="77777777" w:rsidR="00A0524C" w:rsidRPr="005C6123" w:rsidRDefault="00A0524C" w:rsidP="00A0524C">
            <w:pPr>
              <w:spacing w:before="40" w:after="40" w:line="240" w:lineRule="auto"/>
              <w:rPr>
                <w:sz w:val="15"/>
                <w:szCs w:val="15"/>
                <w:lang w:val="en-US"/>
              </w:rPr>
            </w:pPr>
            <w:r w:rsidRPr="005C6123">
              <w:rPr>
                <w:sz w:val="15"/>
                <w:szCs w:val="15"/>
                <w:lang w:val="en-US"/>
              </w:rPr>
              <w:t>Relatively low-cost solution for methane leak detection</w:t>
            </w:r>
          </w:p>
        </w:tc>
      </w:tr>
      <w:bookmarkEnd w:id="140"/>
      <w:bookmarkEnd w:id="142"/>
      <w:tr w:rsidR="00A0524C" w:rsidRPr="005C6123" w:rsidDel="00994E71" w14:paraId="590F6247" w14:textId="77777777" w:rsidTr="0059177F">
        <w:trPr>
          <w:trHeight w:val="483"/>
        </w:trPr>
        <w:tc>
          <w:tcPr>
            <w:tcW w:w="9214" w:type="dxa"/>
            <w:gridSpan w:val="3"/>
            <w:tcBorders>
              <w:top w:val="nil"/>
            </w:tcBorders>
            <w:shd w:val="clear" w:color="auto" w:fill="208855" w:themeFill="accent1" w:themeFillShade="BF"/>
            <w:vAlign w:val="center"/>
          </w:tcPr>
          <w:p w14:paraId="186E430F" w14:textId="77777777" w:rsidR="00A0524C" w:rsidRPr="005C6123" w:rsidDel="00994E71" w:rsidRDefault="00A0524C" w:rsidP="005D2939">
            <w:pPr>
              <w:pStyle w:val="ListParagraph"/>
              <w:numPr>
                <w:ilvl w:val="0"/>
                <w:numId w:val="36"/>
              </w:numPr>
              <w:spacing w:before="60" w:after="60"/>
              <w:ind w:left="0" w:hanging="357"/>
              <w:contextualSpacing w:val="0"/>
              <w:rPr>
                <w:b/>
                <w:bCs/>
              </w:rPr>
            </w:pPr>
            <w:r w:rsidRPr="00FB48A1">
              <w:rPr>
                <w:b/>
                <w:bCs/>
                <w:color w:val="FFFFFF"/>
              </w:rPr>
              <w:t>3. Soap Bubble Screening</w:t>
            </w:r>
          </w:p>
        </w:tc>
      </w:tr>
      <w:tr w:rsidR="00A0524C" w:rsidRPr="005C6123" w14:paraId="29AF5C56" w14:textId="77777777" w:rsidTr="0059177F">
        <w:trPr>
          <w:trHeight w:val="2693"/>
        </w:trPr>
        <w:tc>
          <w:tcPr>
            <w:tcW w:w="6520" w:type="dxa"/>
            <w:gridSpan w:val="2"/>
            <w:tcBorders>
              <w:top w:val="single" w:sz="4" w:space="0" w:color="208855" w:themeColor="accent1" w:themeShade="BF"/>
              <w:left w:val="single" w:sz="4" w:space="0" w:color="208855" w:themeColor="accent1" w:themeShade="BF"/>
            </w:tcBorders>
            <w:shd w:val="clear" w:color="auto" w:fill="D0F4E3" w:themeFill="accent1" w:themeFillTint="33"/>
          </w:tcPr>
          <w:p w14:paraId="3E3A1C3E" w14:textId="77777777" w:rsidR="00A0524C" w:rsidRPr="005C6123" w:rsidRDefault="00A0524C" w:rsidP="005D2939">
            <w:pPr>
              <w:pStyle w:val="ListParagraph"/>
              <w:numPr>
                <w:ilvl w:val="0"/>
                <w:numId w:val="36"/>
              </w:numPr>
              <w:spacing w:before="120" w:after="120" w:line="276" w:lineRule="auto"/>
              <w:ind w:left="0"/>
              <w:contextualSpacing w:val="0"/>
              <w:rPr>
                <w:b/>
                <w:bCs/>
                <w:sz w:val="16"/>
                <w:szCs w:val="16"/>
              </w:rPr>
            </w:pPr>
            <w:r w:rsidRPr="005C6123">
              <w:rPr>
                <w:b/>
                <w:bCs/>
                <w:sz w:val="16"/>
                <w:szCs w:val="16"/>
              </w:rPr>
              <w:t>Technology</w:t>
            </w:r>
          </w:p>
          <w:p w14:paraId="565A3B9B" w14:textId="77777777" w:rsidR="00A0524C" w:rsidRPr="005C6123" w:rsidRDefault="00A0524C" w:rsidP="00A0524C">
            <w:pPr>
              <w:spacing w:line="240" w:lineRule="auto"/>
              <w:rPr>
                <w:b/>
                <w:bCs/>
                <w:lang w:val="en-US"/>
              </w:rPr>
            </w:pPr>
            <w:r w:rsidRPr="005C6123">
              <w:rPr>
                <w:bCs/>
                <w:sz w:val="16"/>
                <w:szCs w:val="16"/>
                <w:lang w:val="en-US"/>
              </w:rPr>
              <w:t>Soap bubble screening is a simple but relatively time-consuming process to detect methane leaks from smaller components. It uses the surface tension of soap bubbles applied on a suspected leak to detect gas leakages.</w:t>
            </w:r>
          </w:p>
          <w:p w14:paraId="5EAD9547" w14:textId="77777777" w:rsidR="00A0524C" w:rsidRPr="005C6123" w:rsidRDefault="00A0524C" w:rsidP="00A0524C">
            <w:pPr>
              <w:spacing w:before="120" w:line="240" w:lineRule="auto"/>
              <w:rPr>
                <w:bCs/>
                <w:sz w:val="16"/>
                <w:szCs w:val="16"/>
                <w:lang w:val="en-US"/>
              </w:rPr>
            </w:pPr>
            <w:r w:rsidRPr="005C6123">
              <w:rPr>
                <w:b/>
                <w:bCs/>
                <w:sz w:val="16"/>
                <w:szCs w:val="16"/>
                <w:lang w:val="en-US"/>
              </w:rPr>
              <w:t>Operation / Detection</w:t>
            </w:r>
          </w:p>
          <w:p w14:paraId="4444BB2E" w14:textId="77777777" w:rsidR="00A0524C" w:rsidRPr="005C6123" w:rsidRDefault="00A0524C" w:rsidP="00A0524C">
            <w:pPr>
              <w:spacing w:line="240" w:lineRule="auto"/>
              <w:rPr>
                <w:bCs/>
                <w:sz w:val="16"/>
                <w:szCs w:val="16"/>
                <w:lang w:val="en-US"/>
              </w:rPr>
            </w:pPr>
            <w:r w:rsidRPr="005C6123">
              <w:rPr>
                <w:bCs/>
                <w:sz w:val="16"/>
                <w:szCs w:val="16"/>
                <w:lang w:val="en-US"/>
              </w:rPr>
              <w:t xml:space="preserve">A combination of soap and water is applied onto small and accessible components such as flanges, valves, fittings and threaded connections. Bubbles will form on the surface in the presence of a leak and can be observed visually. </w:t>
            </w:r>
          </w:p>
        </w:tc>
        <w:tc>
          <w:tcPr>
            <w:tcW w:w="2694" w:type="dxa"/>
            <w:tcBorders>
              <w:top w:val="single" w:sz="4" w:space="0" w:color="208855" w:themeColor="accent1" w:themeShade="BF"/>
              <w:right w:val="single" w:sz="4" w:space="0" w:color="208855" w:themeColor="accent1" w:themeShade="BF"/>
            </w:tcBorders>
            <w:shd w:val="clear" w:color="auto" w:fill="D0F4E3" w:themeFill="accent1" w:themeFillTint="33"/>
            <w:vAlign w:val="center"/>
          </w:tcPr>
          <w:p w14:paraId="1BCDAD41" w14:textId="77777777" w:rsidR="00A0524C" w:rsidRPr="005C6123" w:rsidRDefault="00A0524C" w:rsidP="005D2939">
            <w:pPr>
              <w:pStyle w:val="ListParagraph"/>
              <w:numPr>
                <w:ilvl w:val="0"/>
                <w:numId w:val="36"/>
              </w:numPr>
              <w:spacing w:before="120" w:after="120" w:line="276" w:lineRule="auto"/>
              <w:ind w:left="0"/>
              <w:contextualSpacing w:val="0"/>
              <w:rPr>
                <w:b/>
                <w:sz w:val="16"/>
                <w:szCs w:val="16"/>
              </w:rPr>
            </w:pPr>
            <w:r w:rsidRPr="005C6123">
              <w:rPr>
                <w:b/>
                <w:sz w:val="16"/>
                <w:szCs w:val="16"/>
              </w:rPr>
              <w:t>Soap Bubble Screening</w:t>
            </w:r>
            <w:r w:rsidRPr="005C6123">
              <w:rPr>
                <w:rStyle w:val="FootnoteReference"/>
                <w:b/>
                <w:sz w:val="16"/>
                <w:szCs w:val="16"/>
              </w:rPr>
              <w:footnoteReference w:id="165"/>
            </w:r>
          </w:p>
          <w:p w14:paraId="3C7C4C6A" w14:textId="77777777" w:rsidR="00A0524C" w:rsidRPr="005C6123" w:rsidRDefault="00A0524C" w:rsidP="00A0524C">
            <w:pPr>
              <w:spacing w:before="120"/>
              <w:rPr>
                <w:sz w:val="16"/>
                <w:szCs w:val="16"/>
              </w:rPr>
            </w:pPr>
            <w:r>
              <w:rPr>
                <w:noProof/>
                <w:lang w:eastAsia="nb-NO"/>
              </w:rPr>
              <w:drawing>
                <wp:inline distT="0" distB="0" distL="0" distR="0" wp14:anchorId="0EA4C21C" wp14:editId="61B7779F">
                  <wp:extent cx="1155700" cy="800100"/>
                  <wp:effectExtent l="0" t="0" r="635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5700" cy="800100"/>
                          </a:xfrm>
                          <a:prstGeom prst="rect">
                            <a:avLst/>
                          </a:prstGeom>
                          <a:noFill/>
                          <a:ln>
                            <a:noFill/>
                          </a:ln>
                        </pic:spPr>
                      </pic:pic>
                    </a:graphicData>
                  </a:graphic>
                </wp:inline>
              </w:drawing>
            </w:r>
          </w:p>
          <w:p w14:paraId="078C4206" w14:textId="77777777" w:rsidR="00A0524C" w:rsidRPr="005C6123" w:rsidRDefault="00A0524C" w:rsidP="00A0524C">
            <w:pPr>
              <w:spacing w:before="120" w:line="240" w:lineRule="auto"/>
              <w:rPr>
                <w:sz w:val="16"/>
                <w:szCs w:val="16"/>
                <w:lang w:val="en-US"/>
              </w:rPr>
            </w:pPr>
            <w:r w:rsidRPr="005C6123">
              <w:rPr>
                <w:b/>
                <w:sz w:val="16"/>
                <w:szCs w:val="16"/>
                <w:lang w:val="en-US"/>
              </w:rPr>
              <w:t>Investment Cost</w:t>
            </w:r>
          </w:p>
          <w:p w14:paraId="2ACD868B" w14:textId="77777777" w:rsidR="00A0524C" w:rsidRPr="005C6123" w:rsidRDefault="00A0524C" w:rsidP="00A0524C">
            <w:pPr>
              <w:spacing w:line="240" w:lineRule="auto"/>
              <w:rPr>
                <w:sz w:val="16"/>
                <w:szCs w:val="16"/>
              </w:rPr>
            </w:pPr>
            <w:r w:rsidRPr="005C6123">
              <w:rPr>
                <w:sz w:val="16"/>
                <w:szCs w:val="16"/>
                <w:lang w:val="en-US"/>
              </w:rPr>
              <w:t xml:space="preserve">under $100 </w:t>
            </w:r>
          </w:p>
        </w:tc>
      </w:tr>
      <w:tr w:rsidR="00A0524C" w:rsidRPr="00104E87" w14:paraId="499F3948" w14:textId="77777777" w:rsidTr="0059177F">
        <w:trPr>
          <w:trHeight w:val="283"/>
        </w:trPr>
        <w:tc>
          <w:tcPr>
            <w:tcW w:w="1987" w:type="dxa"/>
            <w:shd w:val="clear" w:color="auto" w:fill="FFFFFF" w:themeFill="background1"/>
          </w:tcPr>
          <w:p w14:paraId="477620EA" w14:textId="77777777" w:rsidR="00A0524C" w:rsidRPr="005C6123" w:rsidRDefault="00A0524C" w:rsidP="00A0524C">
            <w:pPr>
              <w:spacing w:before="40" w:after="40" w:line="240" w:lineRule="auto"/>
              <w:jc w:val="right"/>
              <w:rPr>
                <w:sz w:val="15"/>
                <w:szCs w:val="15"/>
                <w:lang w:val="en-US"/>
              </w:rPr>
            </w:pPr>
            <w:bookmarkStart w:id="143" w:name="_Hlk526756474"/>
            <w:r w:rsidRPr="005C6123">
              <w:rPr>
                <w:b/>
                <w:bCs/>
                <w:sz w:val="15"/>
                <w:szCs w:val="15"/>
                <w:lang w:val="en-US"/>
              </w:rPr>
              <w:t>Method of Usage</w:t>
            </w:r>
          </w:p>
        </w:tc>
        <w:tc>
          <w:tcPr>
            <w:tcW w:w="7227" w:type="dxa"/>
            <w:gridSpan w:val="2"/>
            <w:shd w:val="clear" w:color="auto" w:fill="FFFFFF" w:themeFill="background1"/>
          </w:tcPr>
          <w:p w14:paraId="19D98A66" w14:textId="77777777" w:rsidR="00A0524C" w:rsidRPr="005C6123" w:rsidRDefault="00A0524C" w:rsidP="00A0524C">
            <w:pPr>
              <w:spacing w:before="40" w:after="40" w:line="240" w:lineRule="auto"/>
              <w:rPr>
                <w:sz w:val="15"/>
                <w:szCs w:val="15"/>
                <w:lang w:val="en-US"/>
              </w:rPr>
            </w:pPr>
            <w:r w:rsidRPr="005C6123">
              <w:rPr>
                <w:sz w:val="15"/>
                <w:szCs w:val="15"/>
                <w:lang w:val="en-US"/>
              </w:rPr>
              <w:t>Generally simple to and quick method, manual applicable of solution</w:t>
            </w:r>
          </w:p>
        </w:tc>
      </w:tr>
      <w:tr w:rsidR="00A0524C" w:rsidRPr="005C6123" w14:paraId="39A6ECCB" w14:textId="77777777" w:rsidTr="0059177F">
        <w:trPr>
          <w:trHeight w:val="281"/>
        </w:trPr>
        <w:tc>
          <w:tcPr>
            <w:tcW w:w="1987" w:type="dxa"/>
            <w:shd w:val="clear" w:color="auto" w:fill="FFFFFF" w:themeFill="background1"/>
          </w:tcPr>
          <w:p w14:paraId="7C654AE8"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Applicability</w:t>
            </w:r>
          </w:p>
        </w:tc>
        <w:tc>
          <w:tcPr>
            <w:tcW w:w="7227" w:type="dxa"/>
            <w:gridSpan w:val="2"/>
            <w:shd w:val="clear" w:color="auto" w:fill="FFFFFF" w:themeFill="background1"/>
          </w:tcPr>
          <w:p w14:paraId="54F7989F" w14:textId="77777777" w:rsidR="00A0524C" w:rsidRPr="005C6123" w:rsidRDefault="00A0524C" w:rsidP="00A0524C">
            <w:pPr>
              <w:spacing w:before="40" w:after="40" w:line="240" w:lineRule="auto"/>
              <w:rPr>
                <w:sz w:val="15"/>
                <w:szCs w:val="15"/>
                <w:lang w:val="en-US"/>
              </w:rPr>
            </w:pPr>
            <w:r w:rsidRPr="005C6123">
              <w:rPr>
                <w:sz w:val="15"/>
                <w:szCs w:val="15"/>
                <w:lang w:val="en-US"/>
              </w:rPr>
              <w:t>Effective for locating loose fittings and connections which can typically be eliminated on the spot, however not effective on large openings such as open-ended pipes or vents. Not effective for hard to reach components</w:t>
            </w:r>
          </w:p>
        </w:tc>
      </w:tr>
      <w:tr w:rsidR="00A0524C" w:rsidRPr="00104E87" w14:paraId="0C5C1B14" w14:textId="77777777" w:rsidTr="0059177F">
        <w:trPr>
          <w:trHeight w:val="281"/>
        </w:trPr>
        <w:tc>
          <w:tcPr>
            <w:tcW w:w="1987" w:type="dxa"/>
            <w:shd w:val="clear" w:color="auto" w:fill="FFFFFF" w:themeFill="background1"/>
          </w:tcPr>
          <w:p w14:paraId="53D70A33"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 xml:space="preserve"> Detection Speed</w:t>
            </w:r>
          </w:p>
        </w:tc>
        <w:tc>
          <w:tcPr>
            <w:tcW w:w="7227" w:type="dxa"/>
            <w:gridSpan w:val="2"/>
            <w:shd w:val="clear" w:color="auto" w:fill="FFFFFF" w:themeFill="background1"/>
          </w:tcPr>
          <w:p w14:paraId="7BAF3A4A" w14:textId="77777777" w:rsidR="00A0524C" w:rsidRPr="005C6123" w:rsidRDefault="00A0524C" w:rsidP="00A0524C">
            <w:pPr>
              <w:spacing w:before="40" w:after="40" w:line="240" w:lineRule="auto"/>
              <w:rPr>
                <w:sz w:val="15"/>
                <w:szCs w:val="15"/>
                <w:lang w:val="en-US"/>
              </w:rPr>
            </w:pPr>
            <w:r w:rsidRPr="005C6123">
              <w:rPr>
                <w:sz w:val="15"/>
                <w:szCs w:val="15"/>
                <w:lang w:val="en-US"/>
              </w:rPr>
              <w:t>Depending on man-power and facilities / component accessibility, around 1 fitting or connection every few minutes. Bubbles appear within seconds of application in case of leak detected.</w:t>
            </w:r>
          </w:p>
        </w:tc>
      </w:tr>
      <w:tr w:rsidR="00A0524C" w:rsidRPr="00104E87" w14:paraId="1076A31E" w14:textId="77777777" w:rsidTr="0059177F">
        <w:trPr>
          <w:trHeight w:val="281"/>
        </w:trPr>
        <w:tc>
          <w:tcPr>
            <w:tcW w:w="1987" w:type="dxa"/>
            <w:shd w:val="clear" w:color="auto" w:fill="FFFFFF" w:themeFill="background1"/>
          </w:tcPr>
          <w:p w14:paraId="44877AD9" w14:textId="77777777" w:rsidR="00A0524C" w:rsidRPr="005C6123" w:rsidRDefault="00A0524C" w:rsidP="00A0524C">
            <w:pPr>
              <w:spacing w:before="40" w:after="40" w:line="240" w:lineRule="auto"/>
              <w:jc w:val="right"/>
              <w:rPr>
                <w:b/>
                <w:sz w:val="15"/>
                <w:szCs w:val="15"/>
                <w:lang w:val="en-US"/>
              </w:rPr>
            </w:pPr>
            <w:r w:rsidRPr="005C6123">
              <w:rPr>
                <w:b/>
                <w:sz w:val="15"/>
                <w:szCs w:val="15"/>
                <w:lang w:val="en-US"/>
              </w:rPr>
              <w:t>Climatic Constraints</w:t>
            </w:r>
          </w:p>
        </w:tc>
        <w:tc>
          <w:tcPr>
            <w:tcW w:w="7227" w:type="dxa"/>
            <w:gridSpan w:val="2"/>
            <w:shd w:val="clear" w:color="auto" w:fill="FFFFFF" w:themeFill="background1"/>
          </w:tcPr>
          <w:p w14:paraId="1C80B399" w14:textId="77777777" w:rsidR="00A0524C" w:rsidRPr="005C6123" w:rsidRDefault="00A0524C" w:rsidP="00A0524C">
            <w:pPr>
              <w:spacing w:before="40" w:after="40" w:line="240" w:lineRule="auto"/>
              <w:rPr>
                <w:sz w:val="15"/>
                <w:szCs w:val="15"/>
                <w:lang w:val="en-US"/>
              </w:rPr>
            </w:pPr>
            <w:r w:rsidRPr="005C6123">
              <w:rPr>
                <w:sz w:val="15"/>
                <w:szCs w:val="15"/>
                <w:lang w:val="en-US"/>
              </w:rPr>
              <w:t xml:space="preserve">Cannot be used on equipment above the boiling point of water or below freezing temperature </w:t>
            </w:r>
          </w:p>
        </w:tc>
      </w:tr>
      <w:tr w:rsidR="00A0524C" w:rsidRPr="00104E87" w14:paraId="3A7A8E83" w14:textId="77777777" w:rsidTr="0059177F">
        <w:trPr>
          <w:trHeight w:val="281"/>
        </w:trPr>
        <w:tc>
          <w:tcPr>
            <w:tcW w:w="1987" w:type="dxa"/>
            <w:shd w:val="clear" w:color="auto" w:fill="FFFFFF" w:themeFill="background1"/>
          </w:tcPr>
          <w:p w14:paraId="325C61A8"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Safety Concerns</w:t>
            </w:r>
          </w:p>
        </w:tc>
        <w:tc>
          <w:tcPr>
            <w:tcW w:w="7227" w:type="dxa"/>
            <w:gridSpan w:val="2"/>
            <w:shd w:val="clear" w:color="auto" w:fill="FFFFFF" w:themeFill="background1"/>
          </w:tcPr>
          <w:p w14:paraId="1D1B46DF" w14:textId="77777777" w:rsidR="00A0524C" w:rsidRPr="005C6123" w:rsidRDefault="00A0524C" w:rsidP="00A0524C">
            <w:pPr>
              <w:spacing w:before="40" w:after="40" w:line="240" w:lineRule="auto"/>
              <w:rPr>
                <w:sz w:val="15"/>
                <w:szCs w:val="15"/>
                <w:lang w:val="en-US"/>
              </w:rPr>
            </w:pPr>
            <w:r w:rsidRPr="005C6123">
              <w:rPr>
                <w:sz w:val="15"/>
                <w:szCs w:val="15"/>
                <w:lang w:val="en-US"/>
              </w:rPr>
              <w:t>Generally considered safe, however some cameras not certified intrinsically safe if hydrocarbon presence is significant (battery exposure)</w:t>
            </w:r>
          </w:p>
        </w:tc>
      </w:tr>
      <w:tr w:rsidR="00A0524C" w:rsidRPr="005C6123" w14:paraId="38671784" w14:textId="77777777" w:rsidTr="0059177F">
        <w:trPr>
          <w:trHeight w:val="281"/>
        </w:trPr>
        <w:tc>
          <w:tcPr>
            <w:tcW w:w="1987" w:type="dxa"/>
            <w:shd w:val="clear" w:color="auto" w:fill="FFFFFF" w:themeFill="background1"/>
          </w:tcPr>
          <w:p w14:paraId="0ABA0598"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Service Requirements</w:t>
            </w:r>
          </w:p>
        </w:tc>
        <w:tc>
          <w:tcPr>
            <w:tcW w:w="7227" w:type="dxa"/>
            <w:gridSpan w:val="2"/>
            <w:shd w:val="clear" w:color="auto" w:fill="FFFFFF" w:themeFill="background1"/>
          </w:tcPr>
          <w:p w14:paraId="1D754F12" w14:textId="77777777" w:rsidR="00A0524C" w:rsidRPr="005C6123" w:rsidRDefault="00A0524C" w:rsidP="00A0524C">
            <w:pPr>
              <w:spacing w:before="40" w:after="40" w:line="240" w:lineRule="auto"/>
              <w:rPr>
                <w:sz w:val="15"/>
                <w:szCs w:val="15"/>
                <w:lang w:val="en-US"/>
              </w:rPr>
            </w:pPr>
            <w:r w:rsidRPr="005C6123">
              <w:rPr>
                <w:sz w:val="15"/>
                <w:szCs w:val="15"/>
                <w:lang w:val="en-US"/>
              </w:rPr>
              <w:t>N/A</w:t>
            </w:r>
          </w:p>
        </w:tc>
      </w:tr>
      <w:tr w:rsidR="00A0524C" w:rsidRPr="00104E87" w14:paraId="081194A0" w14:textId="77777777" w:rsidTr="0059177F">
        <w:trPr>
          <w:trHeight w:val="281"/>
        </w:trPr>
        <w:tc>
          <w:tcPr>
            <w:tcW w:w="1987" w:type="dxa"/>
            <w:tcBorders>
              <w:bottom w:val="single" w:sz="4" w:space="0" w:color="208855"/>
            </w:tcBorders>
            <w:shd w:val="clear" w:color="auto" w:fill="FFFFFF" w:themeFill="background1"/>
          </w:tcPr>
          <w:p w14:paraId="65FE02B6" w14:textId="77777777" w:rsidR="00A0524C" w:rsidRPr="005C6123" w:rsidRDefault="00A0524C" w:rsidP="00A0524C">
            <w:pPr>
              <w:spacing w:before="40" w:after="40" w:line="240" w:lineRule="auto"/>
              <w:jc w:val="right"/>
              <w:rPr>
                <w:b/>
                <w:bCs/>
                <w:sz w:val="15"/>
                <w:szCs w:val="15"/>
                <w:lang w:val="en-US"/>
              </w:rPr>
            </w:pPr>
            <w:r w:rsidRPr="005C6123">
              <w:rPr>
                <w:b/>
                <w:bCs/>
                <w:sz w:val="15"/>
                <w:szCs w:val="15"/>
                <w:lang w:val="en-US"/>
              </w:rPr>
              <w:t>Cost Considerations</w:t>
            </w:r>
          </w:p>
        </w:tc>
        <w:tc>
          <w:tcPr>
            <w:tcW w:w="7227" w:type="dxa"/>
            <w:gridSpan w:val="2"/>
            <w:tcBorders>
              <w:bottom w:val="single" w:sz="4" w:space="0" w:color="208855"/>
            </w:tcBorders>
            <w:shd w:val="clear" w:color="auto" w:fill="FFFFFF" w:themeFill="background1"/>
          </w:tcPr>
          <w:p w14:paraId="5CBADF33" w14:textId="77777777" w:rsidR="00A0524C" w:rsidRPr="005C6123" w:rsidRDefault="00A0524C" w:rsidP="00A0524C">
            <w:pPr>
              <w:spacing w:before="40" w:after="40" w:line="240" w:lineRule="auto"/>
              <w:rPr>
                <w:sz w:val="15"/>
                <w:szCs w:val="15"/>
                <w:lang w:val="en-US"/>
              </w:rPr>
            </w:pPr>
            <w:r w:rsidRPr="005C6123">
              <w:rPr>
                <w:sz w:val="15"/>
                <w:szCs w:val="15"/>
                <w:lang w:val="en-US"/>
              </w:rPr>
              <w:t>Relatively low capital-intensive solution for methane leak detection, however labor intensive</w:t>
            </w:r>
          </w:p>
        </w:tc>
      </w:tr>
      <w:bookmarkEnd w:id="143"/>
      <w:tr w:rsidR="00A0524C" w:rsidRPr="00104E87" w:rsidDel="00994E71" w14:paraId="27E7D395" w14:textId="77777777" w:rsidTr="0059177F">
        <w:trPr>
          <w:trHeight w:val="413"/>
        </w:trPr>
        <w:tc>
          <w:tcPr>
            <w:tcW w:w="9214" w:type="dxa"/>
            <w:gridSpan w:val="3"/>
            <w:tcBorders>
              <w:top w:val="nil"/>
            </w:tcBorders>
            <w:shd w:val="clear" w:color="auto" w:fill="208855" w:themeFill="accent1" w:themeFillShade="BF"/>
            <w:vAlign w:val="center"/>
          </w:tcPr>
          <w:p w14:paraId="257F8396" w14:textId="77777777" w:rsidR="00A0524C" w:rsidRPr="005C6123" w:rsidDel="00994E71" w:rsidRDefault="00A0524C" w:rsidP="00A0524C">
            <w:pPr>
              <w:spacing w:before="60" w:after="60" w:line="240" w:lineRule="auto"/>
              <w:rPr>
                <w:b/>
                <w:bCs/>
                <w:lang w:val="en-US"/>
              </w:rPr>
            </w:pPr>
            <w:r w:rsidRPr="00FB48A1">
              <w:rPr>
                <w:b/>
                <w:bCs/>
                <w:color w:val="FFFFFF"/>
                <w:lang w:val="en-US"/>
              </w:rPr>
              <w:t>4. Organic Vapor Analyzers (OVAs) and Toxic Vapor Analyzers (TVAs)</w:t>
            </w:r>
          </w:p>
        </w:tc>
      </w:tr>
      <w:tr w:rsidR="00A0524C" w:rsidRPr="005C6123" w14:paraId="10784531" w14:textId="77777777" w:rsidTr="0059177F">
        <w:trPr>
          <w:trHeight w:val="3700"/>
        </w:trPr>
        <w:tc>
          <w:tcPr>
            <w:tcW w:w="6520" w:type="dxa"/>
            <w:gridSpan w:val="2"/>
            <w:tcBorders>
              <w:top w:val="single" w:sz="4" w:space="0" w:color="208855" w:themeColor="accent1" w:themeShade="BF"/>
              <w:left w:val="single" w:sz="4" w:space="0" w:color="208855" w:themeColor="accent1" w:themeShade="BF"/>
            </w:tcBorders>
            <w:shd w:val="clear" w:color="auto" w:fill="D0F4E3" w:themeFill="accent1" w:themeFillTint="33"/>
          </w:tcPr>
          <w:p w14:paraId="03ACB68D" w14:textId="77777777" w:rsidR="00A0524C" w:rsidRPr="005C6123" w:rsidRDefault="00A0524C" w:rsidP="00A0524C">
            <w:pPr>
              <w:spacing w:before="120" w:line="240" w:lineRule="auto"/>
              <w:rPr>
                <w:bCs/>
                <w:sz w:val="16"/>
                <w:szCs w:val="16"/>
                <w:lang w:val="en-US"/>
              </w:rPr>
            </w:pPr>
            <w:r w:rsidRPr="005C6123">
              <w:rPr>
                <w:b/>
                <w:bCs/>
                <w:sz w:val="16"/>
                <w:szCs w:val="16"/>
                <w:lang w:val="en-US"/>
              </w:rPr>
              <w:t>Technology</w:t>
            </w:r>
          </w:p>
          <w:p w14:paraId="13E3F446" w14:textId="77777777" w:rsidR="00A0524C" w:rsidRPr="005C6123" w:rsidRDefault="00A0524C" w:rsidP="00A0524C">
            <w:pPr>
              <w:spacing w:line="240" w:lineRule="auto"/>
              <w:rPr>
                <w:bCs/>
                <w:sz w:val="16"/>
                <w:szCs w:val="16"/>
                <w:lang w:val="en-US"/>
              </w:rPr>
            </w:pPr>
            <w:r w:rsidRPr="005C6123">
              <w:rPr>
                <w:bCs/>
                <w:sz w:val="16"/>
                <w:szCs w:val="16"/>
                <w:lang w:val="en-US"/>
              </w:rPr>
              <w:t xml:space="preserve">OVAs and TVAs are portable hydrocarbon detectors which can effectively be used to detect methane leaks. The devices consist of </w:t>
            </w:r>
            <w:bookmarkStart w:id="144" w:name="_Hlk3372996"/>
            <w:r w:rsidRPr="005C6123">
              <w:rPr>
                <w:bCs/>
                <w:sz w:val="16"/>
                <w:szCs w:val="16"/>
                <w:lang w:val="en-US"/>
              </w:rPr>
              <w:t xml:space="preserve">a flame ionization detector </w:t>
            </w:r>
            <w:bookmarkEnd w:id="144"/>
            <w:r w:rsidRPr="005C6123">
              <w:rPr>
                <w:bCs/>
                <w:sz w:val="16"/>
                <w:szCs w:val="16"/>
                <w:lang w:val="en-US"/>
              </w:rPr>
              <w:t xml:space="preserve">(FID) which is particularly sensitive to methane, and which is capable of measuring organic vapor concentrations ranging from 9 to 10000 ppm. TVAs furthermore combine a FID with a </w:t>
            </w:r>
            <w:bookmarkStart w:id="145" w:name="_Hlk3373042"/>
            <w:r w:rsidRPr="005C6123">
              <w:rPr>
                <w:bCs/>
                <w:sz w:val="16"/>
                <w:szCs w:val="16"/>
                <w:lang w:val="en-US"/>
              </w:rPr>
              <w:t>photoionization detector</w:t>
            </w:r>
            <w:bookmarkEnd w:id="145"/>
            <w:r w:rsidRPr="005C6123">
              <w:rPr>
                <w:bCs/>
                <w:sz w:val="16"/>
                <w:szCs w:val="16"/>
                <w:lang w:val="en-US"/>
              </w:rPr>
              <w:t xml:space="preserve"> (PID), which is sensitive to other hydrocarbons but insensitive to methane, to measure the total organic vapor concentrations over 10000ppm. </w:t>
            </w:r>
          </w:p>
          <w:p w14:paraId="2B1EEBFC" w14:textId="77777777" w:rsidR="00A0524C" w:rsidRPr="005C6123" w:rsidRDefault="00A0524C" w:rsidP="00A0524C">
            <w:pPr>
              <w:spacing w:before="120" w:line="240" w:lineRule="auto"/>
              <w:rPr>
                <w:bCs/>
                <w:sz w:val="16"/>
                <w:szCs w:val="16"/>
                <w:lang w:val="en-US"/>
              </w:rPr>
            </w:pPr>
            <w:r w:rsidRPr="005C6123">
              <w:rPr>
                <w:b/>
                <w:bCs/>
                <w:sz w:val="16"/>
                <w:szCs w:val="16"/>
                <w:lang w:val="en-US"/>
              </w:rPr>
              <w:t>Operation / Detection</w:t>
            </w:r>
          </w:p>
          <w:p w14:paraId="5C4FF21F" w14:textId="77777777" w:rsidR="00A0524C" w:rsidRPr="005C6123" w:rsidRDefault="00A0524C" w:rsidP="00A0524C">
            <w:pPr>
              <w:spacing w:line="240" w:lineRule="auto"/>
              <w:rPr>
                <w:bCs/>
                <w:sz w:val="16"/>
                <w:szCs w:val="16"/>
                <w:lang w:val="en-US"/>
              </w:rPr>
            </w:pPr>
            <w:r w:rsidRPr="005C6123">
              <w:rPr>
                <w:bCs/>
                <w:sz w:val="16"/>
                <w:szCs w:val="16"/>
                <w:lang w:val="en-US"/>
              </w:rPr>
              <w:t>Screening using these devices is performed by placing the suction probe in close proximity (no more than 1cm) of a seal or opening where a methane leak can occur. The OVA or TVA suck in the air and measures the concentration of hydrocarbons as the device is slowly moved along the opening or seal.</w:t>
            </w:r>
          </w:p>
          <w:p w14:paraId="0208655C" w14:textId="77777777" w:rsidR="00A0524C" w:rsidRPr="005C6123" w:rsidRDefault="00A0524C" w:rsidP="00A0524C">
            <w:pPr>
              <w:spacing w:line="240" w:lineRule="auto"/>
              <w:rPr>
                <w:bCs/>
                <w:sz w:val="16"/>
                <w:szCs w:val="16"/>
                <w:lang w:val="en-US"/>
              </w:rPr>
            </w:pPr>
            <w:r w:rsidRPr="005C6123">
              <w:rPr>
                <w:bCs/>
                <w:sz w:val="16"/>
                <w:szCs w:val="16"/>
                <w:lang w:val="en-US"/>
              </w:rPr>
              <w:t>Once a maximum concentration reading is determined the device records a leak screening value (in ppm) for the component being tested.</w:t>
            </w:r>
          </w:p>
        </w:tc>
        <w:tc>
          <w:tcPr>
            <w:tcW w:w="2694" w:type="dxa"/>
            <w:tcBorders>
              <w:top w:val="single" w:sz="4" w:space="0" w:color="208855" w:themeColor="accent1" w:themeShade="BF"/>
              <w:right w:val="single" w:sz="4" w:space="0" w:color="208855" w:themeColor="accent1" w:themeShade="BF"/>
            </w:tcBorders>
            <w:shd w:val="clear" w:color="auto" w:fill="D0F4E3" w:themeFill="accent1" w:themeFillTint="33"/>
            <w:vAlign w:val="center"/>
          </w:tcPr>
          <w:p w14:paraId="17252296" w14:textId="77777777" w:rsidR="00A0524C" w:rsidRPr="005C6123" w:rsidRDefault="00A0524C" w:rsidP="005D2939">
            <w:pPr>
              <w:pStyle w:val="ListParagraph"/>
              <w:numPr>
                <w:ilvl w:val="0"/>
                <w:numId w:val="36"/>
              </w:numPr>
              <w:spacing w:before="120" w:after="120" w:line="276" w:lineRule="auto"/>
              <w:ind w:left="0"/>
              <w:contextualSpacing w:val="0"/>
              <w:rPr>
                <w:sz w:val="16"/>
                <w:szCs w:val="16"/>
                <w:u w:val="single"/>
              </w:rPr>
            </w:pPr>
            <w:r w:rsidRPr="005C6123">
              <w:rPr>
                <w:b/>
                <w:sz w:val="16"/>
                <w:szCs w:val="16"/>
              </w:rPr>
              <w:t>OVA / TVA Screening</w:t>
            </w:r>
            <w:r w:rsidRPr="005C6123">
              <w:rPr>
                <w:rStyle w:val="FootnoteReference"/>
                <w:b/>
                <w:sz w:val="16"/>
                <w:szCs w:val="16"/>
              </w:rPr>
              <w:footnoteReference w:id="166"/>
            </w:r>
          </w:p>
          <w:p w14:paraId="06AC95C3" w14:textId="77777777" w:rsidR="00A0524C" w:rsidRPr="005C6123" w:rsidRDefault="00A0524C" w:rsidP="00A0524C">
            <w:pPr>
              <w:rPr>
                <w:sz w:val="16"/>
                <w:szCs w:val="16"/>
              </w:rPr>
            </w:pPr>
            <w:r>
              <w:rPr>
                <w:noProof/>
                <w:lang w:eastAsia="nb-NO"/>
              </w:rPr>
              <w:drawing>
                <wp:inline distT="0" distB="0" distL="0" distR="0" wp14:anchorId="56750B97" wp14:editId="634A9138">
                  <wp:extent cx="1295400" cy="1397000"/>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5400" cy="1397000"/>
                          </a:xfrm>
                          <a:prstGeom prst="rect">
                            <a:avLst/>
                          </a:prstGeom>
                          <a:noFill/>
                          <a:ln>
                            <a:noFill/>
                          </a:ln>
                        </pic:spPr>
                      </pic:pic>
                    </a:graphicData>
                  </a:graphic>
                </wp:inline>
              </w:drawing>
            </w:r>
          </w:p>
          <w:p w14:paraId="25FA05F9" w14:textId="77777777" w:rsidR="00A0524C" w:rsidRPr="005C6123" w:rsidRDefault="00A0524C" w:rsidP="00A0524C">
            <w:pPr>
              <w:spacing w:before="120" w:line="240" w:lineRule="auto"/>
              <w:rPr>
                <w:b/>
                <w:sz w:val="16"/>
                <w:szCs w:val="16"/>
                <w:lang w:val="en-US"/>
              </w:rPr>
            </w:pPr>
            <w:r w:rsidRPr="005C6123">
              <w:rPr>
                <w:b/>
                <w:sz w:val="16"/>
                <w:szCs w:val="16"/>
                <w:lang w:val="en-US"/>
              </w:rPr>
              <w:t>Investment Cost</w:t>
            </w:r>
          </w:p>
          <w:p w14:paraId="03C3FAC7" w14:textId="77777777" w:rsidR="00A0524C" w:rsidRPr="005C6123" w:rsidRDefault="00A0524C" w:rsidP="00A0524C">
            <w:pPr>
              <w:spacing w:line="240" w:lineRule="auto"/>
              <w:rPr>
                <w:sz w:val="16"/>
                <w:szCs w:val="16"/>
              </w:rPr>
            </w:pPr>
            <w:r w:rsidRPr="005C6123">
              <w:rPr>
                <w:sz w:val="16"/>
                <w:szCs w:val="16"/>
                <w:lang w:val="en-US"/>
              </w:rPr>
              <w:t>under $10,000</w:t>
            </w:r>
            <w:r w:rsidRPr="005C6123">
              <w:rPr>
                <w:rStyle w:val="FootnoteReference"/>
                <w:sz w:val="16"/>
                <w:szCs w:val="16"/>
              </w:rPr>
              <w:footnoteReference w:id="167"/>
            </w:r>
          </w:p>
        </w:tc>
      </w:tr>
      <w:tr w:rsidR="00A0524C" w:rsidRPr="005C6123" w14:paraId="0E8A283D" w14:textId="77777777" w:rsidTr="0059177F">
        <w:trPr>
          <w:trHeight w:val="283"/>
        </w:trPr>
        <w:tc>
          <w:tcPr>
            <w:tcW w:w="1987" w:type="dxa"/>
            <w:shd w:val="clear" w:color="auto" w:fill="FFFFFF" w:themeFill="background1"/>
          </w:tcPr>
          <w:p w14:paraId="7103124F" w14:textId="77777777" w:rsidR="00A0524C" w:rsidRPr="005C6123" w:rsidRDefault="00A0524C" w:rsidP="00A0524C">
            <w:pPr>
              <w:spacing w:before="40" w:after="40" w:line="240" w:lineRule="auto"/>
              <w:jc w:val="right"/>
              <w:rPr>
                <w:sz w:val="15"/>
                <w:szCs w:val="15"/>
                <w:lang w:val="en-US"/>
              </w:rPr>
            </w:pPr>
            <w:bookmarkStart w:id="146" w:name="_Hlk526757365"/>
            <w:r w:rsidRPr="005C6123">
              <w:rPr>
                <w:b/>
                <w:bCs/>
                <w:sz w:val="15"/>
                <w:szCs w:val="15"/>
                <w:lang w:val="en-US"/>
              </w:rPr>
              <w:t>Method of Usage</w:t>
            </w:r>
          </w:p>
        </w:tc>
        <w:tc>
          <w:tcPr>
            <w:tcW w:w="7227" w:type="dxa"/>
            <w:gridSpan w:val="2"/>
            <w:shd w:val="clear" w:color="auto" w:fill="FFFFFF" w:themeFill="background1"/>
          </w:tcPr>
          <w:p w14:paraId="1DE252AB" w14:textId="77777777" w:rsidR="00A0524C" w:rsidRPr="005C6123" w:rsidRDefault="00A0524C" w:rsidP="00A0524C">
            <w:pPr>
              <w:spacing w:before="40" w:after="40" w:line="240" w:lineRule="auto"/>
              <w:rPr>
                <w:sz w:val="15"/>
                <w:szCs w:val="15"/>
                <w:lang w:val="en-US"/>
              </w:rPr>
            </w:pPr>
            <w:r w:rsidRPr="005C6123">
              <w:rPr>
                <w:sz w:val="15"/>
                <w:szCs w:val="15"/>
                <w:lang w:val="en-US"/>
              </w:rPr>
              <w:t>Manual operation requiring an operator to test each component. No remote capabilities.</w:t>
            </w:r>
          </w:p>
        </w:tc>
      </w:tr>
      <w:tr w:rsidR="00A0524C" w:rsidRPr="00104E87" w14:paraId="6B6ED461" w14:textId="77777777" w:rsidTr="0059177F">
        <w:trPr>
          <w:trHeight w:val="281"/>
        </w:trPr>
        <w:tc>
          <w:tcPr>
            <w:tcW w:w="1987" w:type="dxa"/>
            <w:shd w:val="clear" w:color="auto" w:fill="FFFFFF" w:themeFill="background1"/>
          </w:tcPr>
          <w:p w14:paraId="653675E3"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Applicability</w:t>
            </w:r>
          </w:p>
        </w:tc>
        <w:tc>
          <w:tcPr>
            <w:tcW w:w="7227" w:type="dxa"/>
            <w:gridSpan w:val="2"/>
            <w:shd w:val="clear" w:color="auto" w:fill="FFFFFF" w:themeFill="background1"/>
          </w:tcPr>
          <w:p w14:paraId="75557B79" w14:textId="77777777" w:rsidR="00A0524C" w:rsidRPr="005C6123" w:rsidRDefault="00A0524C" w:rsidP="00A0524C">
            <w:pPr>
              <w:spacing w:before="40" w:after="40" w:line="240" w:lineRule="auto"/>
              <w:rPr>
                <w:sz w:val="15"/>
                <w:szCs w:val="15"/>
                <w:lang w:val="en-US"/>
              </w:rPr>
            </w:pPr>
            <w:r w:rsidRPr="005C6123">
              <w:rPr>
                <w:sz w:val="15"/>
                <w:szCs w:val="15"/>
                <w:lang w:val="en-US"/>
              </w:rPr>
              <w:t>Particularly effective with fittings and connections, however not effective on large openings such as open-ended pipes or vents. Not effective for hard to reach components and required direct access to the emission point. Errors can occur in pinpointing exact leak points in adjustment leaking components</w:t>
            </w:r>
          </w:p>
        </w:tc>
      </w:tr>
      <w:tr w:rsidR="00A0524C" w:rsidRPr="00104E87" w14:paraId="3DEB85C6" w14:textId="77777777" w:rsidTr="0059177F">
        <w:trPr>
          <w:trHeight w:val="281"/>
        </w:trPr>
        <w:tc>
          <w:tcPr>
            <w:tcW w:w="1987" w:type="dxa"/>
            <w:shd w:val="clear" w:color="auto" w:fill="FFFFFF" w:themeFill="background1"/>
          </w:tcPr>
          <w:p w14:paraId="15D67E28"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 xml:space="preserve"> Detection Speed</w:t>
            </w:r>
          </w:p>
        </w:tc>
        <w:tc>
          <w:tcPr>
            <w:tcW w:w="7227" w:type="dxa"/>
            <w:gridSpan w:val="2"/>
            <w:shd w:val="clear" w:color="auto" w:fill="FFFFFF" w:themeFill="background1"/>
          </w:tcPr>
          <w:p w14:paraId="60B2942E" w14:textId="77777777" w:rsidR="00A0524C" w:rsidRPr="005C6123" w:rsidRDefault="00A0524C" w:rsidP="00A0524C">
            <w:pPr>
              <w:spacing w:before="40" w:after="40" w:line="240" w:lineRule="auto"/>
              <w:rPr>
                <w:sz w:val="15"/>
                <w:szCs w:val="15"/>
                <w:lang w:val="en-US"/>
              </w:rPr>
            </w:pPr>
            <w:r w:rsidRPr="005C6123">
              <w:rPr>
                <w:sz w:val="15"/>
                <w:szCs w:val="15"/>
                <w:lang w:val="en-US"/>
              </w:rPr>
              <w:t>Depending on man-power and facilities / component accessibility, around 1 fitting or connection every few minutes. Quick response time, however overall relatively slow, operators can survey approximately 40 components per hour</w:t>
            </w:r>
            <w:r w:rsidRPr="005C6123">
              <w:rPr>
                <w:rStyle w:val="FootnoteReference"/>
                <w:sz w:val="15"/>
                <w:szCs w:val="15"/>
              </w:rPr>
              <w:footnoteReference w:id="168"/>
            </w:r>
          </w:p>
        </w:tc>
      </w:tr>
      <w:tr w:rsidR="00A0524C" w:rsidRPr="00104E87" w14:paraId="4DCD6913" w14:textId="77777777" w:rsidTr="0059177F">
        <w:trPr>
          <w:trHeight w:val="281"/>
        </w:trPr>
        <w:tc>
          <w:tcPr>
            <w:tcW w:w="1987" w:type="dxa"/>
            <w:shd w:val="clear" w:color="auto" w:fill="FFFFFF" w:themeFill="background1"/>
          </w:tcPr>
          <w:p w14:paraId="0F77C756" w14:textId="77777777" w:rsidR="00A0524C" w:rsidRPr="005C6123" w:rsidRDefault="00A0524C" w:rsidP="00A0524C">
            <w:pPr>
              <w:spacing w:before="40" w:after="40" w:line="240" w:lineRule="auto"/>
              <w:jc w:val="right"/>
              <w:rPr>
                <w:b/>
                <w:sz w:val="15"/>
                <w:szCs w:val="15"/>
                <w:lang w:val="en-US"/>
              </w:rPr>
            </w:pPr>
            <w:r w:rsidRPr="005C6123">
              <w:rPr>
                <w:b/>
                <w:sz w:val="15"/>
                <w:szCs w:val="15"/>
                <w:lang w:val="en-US"/>
              </w:rPr>
              <w:t>Climatic Constraints</w:t>
            </w:r>
          </w:p>
        </w:tc>
        <w:tc>
          <w:tcPr>
            <w:tcW w:w="7227" w:type="dxa"/>
            <w:gridSpan w:val="2"/>
            <w:shd w:val="clear" w:color="auto" w:fill="FFFFFF" w:themeFill="background1"/>
          </w:tcPr>
          <w:p w14:paraId="0126EFE2" w14:textId="77777777" w:rsidR="00A0524C" w:rsidRPr="005C6123" w:rsidRDefault="00A0524C" w:rsidP="00A0524C">
            <w:pPr>
              <w:spacing w:before="40" w:after="40" w:line="240" w:lineRule="auto"/>
              <w:rPr>
                <w:sz w:val="15"/>
                <w:szCs w:val="15"/>
                <w:lang w:val="en-US"/>
              </w:rPr>
            </w:pPr>
            <w:r w:rsidRPr="005C6123">
              <w:rPr>
                <w:sz w:val="15"/>
                <w:szCs w:val="15"/>
                <w:lang w:val="en-US"/>
              </w:rPr>
              <w:t>Cannot be used below freezing point (temperature range of 0 C to 50 C)</w:t>
            </w:r>
            <w:r w:rsidRPr="005C6123">
              <w:rPr>
                <w:rStyle w:val="FootnoteReference"/>
                <w:sz w:val="15"/>
                <w:szCs w:val="15"/>
              </w:rPr>
              <w:footnoteReference w:id="169"/>
            </w:r>
            <w:r w:rsidRPr="005C6123">
              <w:rPr>
                <w:sz w:val="15"/>
                <w:szCs w:val="15"/>
                <w:lang w:val="en-US"/>
              </w:rPr>
              <w:t xml:space="preserve"> </w:t>
            </w:r>
          </w:p>
        </w:tc>
      </w:tr>
      <w:tr w:rsidR="00A0524C" w:rsidRPr="00104E87" w14:paraId="6F5A6ADE" w14:textId="77777777" w:rsidTr="0059177F">
        <w:trPr>
          <w:trHeight w:val="281"/>
        </w:trPr>
        <w:tc>
          <w:tcPr>
            <w:tcW w:w="1987" w:type="dxa"/>
            <w:shd w:val="clear" w:color="auto" w:fill="FFFFFF" w:themeFill="background1"/>
          </w:tcPr>
          <w:p w14:paraId="5C44CBAD"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Safety Concerns</w:t>
            </w:r>
          </w:p>
        </w:tc>
        <w:tc>
          <w:tcPr>
            <w:tcW w:w="7227" w:type="dxa"/>
            <w:gridSpan w:val="2"/>
            <w:shd w:val="clear" w:color="auto" w:fill="FFFFFF" w:themeFill="background1"/>
          </w:tcPr>
          <w:p w14:paraId="5646A5FB" w14:textId="77777777" w:rsidR="00A0524C" w:rsidRPr="005C6123" w:rsidRDefault="00A0524C" w:rsidP="00A0524C">
            <w:pPr>
              <w:spacing w:before="40" w:after="40" w:line="240" w:lineRule="auto"/>
              <w:rPr>
                <w:sz w:val="15"/>
                <w:szCs w:val="15"/>
                <w:lang w:val="en-US"/>
              </w:rPr>
            </w:pPr>
            <w:r w:rsidRPr="005C6123">
              <w:rPr>
                <w:sz w:val="15"/>
                <w:szCs w:val="15"/>
                <w:lang w:val="en-US"/>
              </w:rPr>
              <w:t>Operator required to be directly next to emission source for detection</w:t>
            </w:r>
          </w:p>
        </w:tc>
      </w:tr>
      <w:tr w:rsidR="00A0524C" w:rsidRPr="005C6123" w14:paraId="267BDB80" w14:textId="77777777" w:rsidTr="0059177F">
        <w:trPr>
          <w:trHeight w:val="281"/>
        </w:trPr>
        <w:tc>
          <w:tcPr>
            <w:tcW w:w="1987" w:type="dxa"/>
            <w:shd w:val="clear" w:color="auto" w:fill="FFFFFF" w:themeFill="background1"/>
          </w:tcPr>
          <w:p w14:paraId="7AC2BAEF"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Service Requirements</w:t>
            </w:r>
          </w:p>
        </w:tc>
        <w:tc>
          <w:tcPr>
            <w:tcW w:w="7227" w:type="dxa"/>
            <w:gridSpan w:val="2"/>
            <w:shd w:val="clear" w:color="auto" w:fill="FFFFFF" w:themeFill="background1"/>
          </w:tcPr>
          <w:p w14:paraId="1B8A5F6F" w14:textId="77777777" w:rsidR="00A0524C" w:rsidRPr="005C6123" w:rsidRDefault="00A0524C" w:rsidP="00A0524C">
            <w:pPr>
              <w:spacing w:before="40" w:after="40" w:line="240" w:lineRule="auto"/>
              <w:rPr>
                <w:sz w:val="15"/>
                <w:szCs w:val="15"/>
                <w:lang w:val="en-US"/>
              </w:rPr>
            </w:pPr>
            <w:r w:rsidRPr="005C6123">
              <w:rPr>
                <w:sz w:val="15"/>
                <w:szCs w:val="15"/>
                <w:lang w:val="en-US"/>
              </w:rPr>
              <w:t>Requires frequent calibration</w:t>
            </w:r>
          </w:p>
        </w:tc>
      </w:tr>
      <w:tr w:rsidR="00A0524C" w:rsidRPr="00104E87" w14:paraId="1BAAE6FB" w14:textId="77777777" w:rsidTr="0059177F">
        <w:trPr>
          <w:trHeight w:val="281"/>
        </w:trPr>
        <w:tc>
          <w:tcPr>
            <w:tcW w:w="1987" w:type="dxa"/>
            <w:tcBorders>
              <w:bottom w:val="single" w:sz="2" w:space="0" w:color="208855" w:themeColor="accent1" w:themeShade="BF"/>
            </w:tcBorders>
            <w:shd w:val="clear" w:color="auto" w:fill="FFFFFF" w:themeFill="background1"/>
          </w:tcPr>
          <w:p w14:paraId="78A07D7C" w14:textId="77777777" w:rsidR="00A0524C" w:rsidRPr="005C6123" w:rsidRDefault="00A0524C" w:rsidP="00A0524C">
            <w:pPr>
              <w:spacing w:before="40" w:after="40" w:line="240" w:lineRule="auto"/>
              <w:jc w:val="right"/>
              <w:rPr>
                <w:b/>
                <w:bCs/>
                <w:sz w:val="15"/>
                <w:szCs w:val="15"/>
                <w:lang w:val="en-US"/>
              </w:rPr>
            </w:pPr>
            <w:r w:rsidRPr="005C6123">
              <w:rPr>
                <w:b/>
                <w:bCs/>
                <w:sz w:val="15"/>
                <w:szCs w:val="15"/>
                <w:lang w:val="en-US"/>
              </w:rPr>
              <w:t>Cost Considerations</w:t>
            </w:r>
          </w:p>
        </w:tc>
        <w:tc>
          <w:tcPr>
            <w:tcW w:w="7227" w:type="dxa"/>
            <w:gridSpan w:val="2"/>
            <w:tcBorders>
              <w:bottom w:val="single" w:sz="2" w:space="0" w:color="208855" w:themeColor="accent1" w:themeShade="BF"/>
            </w:tcBorders>
            <w:shd w:val="clear" w:color="auto" w:fill="FFFFFF" w:themeFill="background1"/>
          </w:tcPr>
          <w:p w14:paraId="3FFB02E5" w14:textId="77777777" w:rsidR="00A0524C" w:rsidRPr="005C6123" w:rsidRDefault="00A0524C" w:rsidP="00A0524C">
            <w:pPr>
              <w:spacing w:before="40" w:after="40" w:line="240" w:lineRule="auto"/>
              <w:rPr>
                <w:sz w:val="15"/>
                <w:szCs w:val="15"/>
                <w:lang w:val="en-US"/>
              </w:rPr>
            </w:pPr>
            <w:r w:rsidRPr="005C6123">
              <w:rPr>
                <w:sz w:val="15"/>
                <w:szCs w:val="15"/>
                <w:lang w:val="en-US"/>
              </w:rPr>
              <w:t>Relatively low capex solution for methane leak detection, however limited applicability and labor intensive</w:t>
            </w:r>
          </w:p>
        </w:tc>
      </w:tr>
      <w:bookmarkEnd w:id="146"/>
      <w:tr w:rsidR="00A0524C" w:rsidRPr="005C6123" w:rsidDel="00994E71" w14:paraId="7638094F" w14:textId="77777777" w:rsidTr="0059177F">
        <w:tc>
          <w:tcPr>
            <w:tcW w:w="9214" w:type="dxa"/>
            <w:gridSpan w:val="3"/>
            <w:tcBorders>
              <w:top w:val="nil"/>
            </w:tcBorders>
            <w:shd w:val="clear" w:color="auto" w:fill="208855" w:themeFill="accent1" w:themeFillShade="BF"/>
            <w:vAlign w:val="center"/>
          </w:tcPr>
          <w:p w14:paraId="066BF238" w14:textId="77777777" w:rsidR="00A0524C" w:rsidRPr="005C6123" w:rsidDel="00994E71" w:rsidRDefault="00A0524C" w:rsidP="00A0524C">
            <w:pPr>
              <w:spacing w:before="120" w:line="240" w:lineRule="auto"/>
              <w:rPr>
                <w:b/>
                <w:bCs/>
                <w:color w:val="FFFFFF"/>
                <w:lang w:val="en-US"/>
              </w:rPr>
            </w:pPr>
            <w:r w:rsidRPr="00FB48A1">
              <w:rPr>
                <w:b/>
                <w:bCs/>
                <w:color w:val="FFFFFF"/>
                <w:lang w:val="en-US"/>
              </w:rPr>
              <w:t>5. Acoustic Leak Detection</w:t>
            </w:r>
          </w:p>
        </w:tc>
      </w:tr>
      <w:tr w:rsidR="00A0524C" w:rsidRPr="00104E87" w14:paraId="740D2199" w14:textId="77777777" w:rsidTr="0059177F">
        <w:tc>
          <w:tcPr>
            <w:tcW w:w="6520" w:type="dxa"/>
            <w:gridSpan w:val="2"/>
            <w:tcBorders>
              <w:top w:val="single" w:sz="4" w:space="0" w:color="208855" w:themeColor="accent1" w:themeShade="BF"/>
              <w:left w:val="single" w:sz="4" w:space="0" w:color="208855" w:themeColor="accent1" w:themeShade="BF"/>
            </w:tcBorders>
            <w:shd w:val="clear" w:color="auto" w:fill="D0F4E3" w:themeFill="accent1" w:themeFillTint="33"/>
          </w:tcPr>
          <w:p w14:paraId="5ECA1A07" w14:textId="77777777" w:rsidR="00A0524C" w:rsidRPr="005C6123" w:rsidRDefault="00A0524C" w:rsidP="00A0524C">
            <w:pPr>
              <w:spacing w:before="120" w:line="240" w:lineRule="auto"/>
              <w:rPr>
                <w:bCs/>
                <w:sz w:val="16"/>
                <w:szCs w:val="16"/>
                <w:lang w:val="en-US"/>
              </w:rPr>
            </w:pPr>
            <w:r w:rsidRPr="005C6123">
              <w:rPr>
                <w:b/>
                <w:bCs/>
                <w:sz w:val="16"/>
                <w:szCs w:val="16"/>
                <w:lang w:val="en-US"/>
              </w:rPr>
              <w:t>Technology</w:t>
            </w:r>
          </w:p>
          <w:p w14:paraId="0A5561FA" w14:textId="77777777" w:rsidR="00A0524C" w:rsidRPr="005C6123" w:rsidRDefault="00A0524C" w:rsidP="00A0524C">
            <w:pPr>
              <w:spacing w:line="240" w:lineRule="auto"/>
              <w:rPr>
                <w:bCs/>
                <w:sz w:val="16"/>
                <w:szCs w:val="16"/>
                <w:lang w:val="en-US"/>
              </w:rPr>
            </w:pPr>
            <w:r w:rsidRPr="005C6123">
              <w:rPr>
                <w:bCs/>
                <w:sz w:val="16"/>
                <w:szCs w:val="16"/>
                <w:lang w:val="en-US"/>
              </w:rPr>
              <w:t>Acoustic leak detectors capture the acoustic signal of pressurized gas escaping a valve plug or gate that is not tightly sealed. They can detect either low or high frequency audio signals and are useful for detecting internal through valve leaks or airborne ultrasonic signals from blowdown valves and pressure relief valves (ultrasonic signals at a frequency of 20 - 100 kHz). Most detectors typically have frequency tuning capabilities which allow the sensor to be tuned to a specific leak.</w:t>
            </w:r>
          </w:p>
          <w:p w14:paraId="089C68B9" w14:textId="77777777" w:rsidR="00A0524C" w:rsidRPr="005C6123" w:rsidRDefault="00A0524C" w:rsidP="00A0524C">
            <w:pPr>
              <w:spacing w:before="120" w:line="240" w:lineRule="auto"/>
              <w:rPr>
                <w:bCs/>
                <w:sz w:val="16"/>
                <w:szCs w:val="16"/>
                <w:lang w:val="en-US"/>
              </w:rPr>
            </w:pPr>
            <w:r w:rsidRPr="005C6123">
              <w:rPr>
                <w:b/>
                <w:bCs/>
                <w:sz w:val="16"/>
                <w:szCs w:val="16"/>
                <w:lang w:val="en-US"/>
              </w:rPr>
              <w:t>Operation / Detection</w:t>
            </w:r>
          </w:p>
          <w:p w14:paraId="736A3DD2" w14:textId="6B82912F" w:rsidR="00A0524C" w:rsidRPr="005C6123" w:rsidRDefault="00A0524C" w:rsidP="005D2939">
            <w:pPr>
              <w:pStyle w:val="ListParagraph"/>
              <w:numPr>
                <w:ilvl w:val="0"/>
                <w:numId w:val="36"/>
              </w:numPr>
              <w:ind w:left="0"/>
              <w:contextualSpacing w:val="0"/>
              <w:rPr>
                <w:b/>
                <w:sz w:val="16"/>
                <w:szCs w:val="16"/>
              </w:rPr>
            </w:pPr>
            <w:r w:rsidRPr="005C6123">
              <w:rPr>
                <w:bCs/>
                <w:sz w:val="16"/>
                <w:szCs w:val="16"/>
              </w:rPr>
              <w:t>Acoustic leak detectors are generally equipped with a handheld sensor which is pointed at a possible leak source. To detect a signal, an operator places the acoustic sensor directly on the tested equipment and the intensity reading will reflect whether a through valve leak has been detected. The operator can also gain a relative idea of a leak´s size as a louder reading will generally indicate a higher leak rate. For airborne ultrasonic signals, an ultrasonic leak detector is pointed at a possible leak source up to 30 meters away and by listening for an increase in sound intensity through the headphones.</w:t>
            </w:r>
            <w:r w:rsidR="004150E7" w:rsidRPr="005C6123">
              <w:rPr>
                <w:rStyle w:val="FootnoteReference"/>
                <w:bCs/>
                <w:sz w:val="16"/>
                <w:szCs w:val="16"/>
              </w:rPr>
              <w:footnoteReference w:id="170"/>
            </w:r>
            <w:r w:rsidRPr="005C6123">
              <w:rPr>
                <w:bCs/>
                <w:sz w:val="16"/>
                <w:szCs w:val="16"/>
              </w:rPr>
              <w:t xml:space="preserve"> Ultrasonic leak detectors can also be installed on mounting poles typically around 2m above the ground around a facility and send a signal to a control system indicating the onset of a leak.</w:t>
            </w:r>
          </w:p>
        </w:tc>
        <w:tc>
          <w:tcPr>
            <w:tcW w:w="2694" w:type="dxa"/>
            <w:tcBorders>
              <w:top w:val="single" w:sz="4" w:space="0" w:color="208855" w:themeColor="accent1" w:themeShade="BF"/>
              <w:right w:val="single" w:sz="4" w:space="0" w:color="208855" w:themeColor="accent1" w:themeShade="BF"/>
            </w:tcBorders>
            <w:shd w:val="clear" w:color="auto" w:fill="D0F4E3" w:themeFill="accent1" w:themeFillTint="33"/>
          </w:tcPr>
          <w:p w14:paraId="4DD29F78" w14:textId="77777777" w:rsidR="00A0524C" w:rsidRPr="005C6123" w:rsidRDefault="00A0524C" w:rsidP="005D2939">
            <w:pPr>
              <w:pStyle w:val="ListParagraph"/>
              <w:numPr>
                <w:ilvl w:val="0"/>
                <w:numId w:val="36"/>
              </w:numPr>
              <w:spacing w:before="120" w:after="120" w:line="276" w:lineRule="auto"/>
              <w:ind w:left="0"/>
              <w:contextualSpacing w:val="0"/>
              <w:rPr>
                <w:b/>
                <w:sz w:val="16"/>
                <w:szCs w:val="16"/>
              </w:rPr>
            </w:pPr>
            <w:r w:rsidRPr="005C6123">
              <w:rPr>
                <w:b/>
                <w:sz w:val="16"/>
                <w:szCs w:val="16"/>
              </w:rPr>
              <w:t>Acoustic leak screening</w:t>
            </w:r>
            <w:r w:rsidRPr="005C6123">
              <w:rPr>
                <w:rStyle w:val="FootnoteReference"/>
                <w:b/>
                <w:sz w:val="16"/>
                <w:szCs w:val="16"/>
              </w:rPr>
              <w:footnoteReference w:id="171"/>
            </w:r>
          </w:p>
          <w:p w14:paraId="243C93F0" w14:textId="77777777" w:rsidR="00A0524C" w:rsidRPr="005C6123" w:rsidRDefault="00A0524C" w:rsidP="00A0524C">
            <w:pPr>
              <w:keepNext/>
              <w:rPr>
                <w:sz w:val="16"/>
                <w:szCs w:val="16"/>
              </w:rPr>
            </w:pPr>
            <w:r>
              <w:rPr>
                <w:noProof/>
                <w:lang w:eastAsia="nb-NO"/>
              </w:rPr>
              <w:drawing>
                <wp:inline distT="0" distB="0" distL="0" distR="0" wp14:anchorId="3EB20ABA" wp14:editId="4F52654D">
                  <wp:extent cx="1276350" cy="1187450"/>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6350" cy="1187450"/>
                          </a:xfrm>
                          <a:prstGeom prst="rect">
                            <a:avLst/>
                          </a:prstGeom>
                          <a:noFill/>
                          <a:ln>
                            <a:noFill/>
                          </a:ln>
                        </pic:spPr>
                      </pic:pic>
                    </a:graphicData>
                  </a:graphic>
                </wp:inline>
              </w:drawing>
            </w:r>
          </w:p>
          <w:p w14:paraId="430433C1" w14:textId="77777777" w:rsidR="00A0524C" w:rsidRPr="005C6123" w:rsidRDefault="00A0524C" w:rsidP="00A0524C">
            <w:pPr>
              <w:spacing w:line="240" w:lineRule="auto"/>
              <w:rPr>
                <w:b/>
                <w:sz w:val="16"/>
                <w:szCs w:val="16"/>
                <w:lang w:val="en-US"/>
              </w:rPr>
            </w:pPr>
            <w:r w:rsidRPr="005C6123">
              <w:rPr>
                <w:b/>
                <w:sz w:val="16"/>
                <w:szCs w:val="16"/>
                <w:lang w:val="en-US"/>
              </w:rPr>
              <w:t>Investment Costs</w:t>
            </w:r>
          </w:p>
          <w:p w14:paraId="13425D97" w14:textId="77777777" w:rsidR="00A0524C" w:rsidRPr="005C6123" w:rsidRDefault="00A0524C" w:rsidP="00A0524C">
            <w:pPr>
              <w:spacing w:line="240" w:lineRule="auto"/>
              <w:rPr>
                <w:sz w:val="16"/>
                <w:szCs w:val="16"/>
                <w:lang w:val="en-GB"/>
              </w:rPr>
            </w:pPr>
            <w:r w:rsidRPr="005C6123">
              <w:rPr>
                <w:sz w:val="16"/>
                <w:szCs w:val="16"/>
                <w:lang w:val="en-US"/>
              </w:rPr>
              <w:t>$1,000 - $20,000 depending on instrument sensitivity, size, and any associated equipment or associated parts</w:t>
            </w:r>
            <w:r w:rsidRPr="005C6123">
              <w:rPr>
                <w:rStyle w:val="FootnoteReference"/>
                <w:sz w:val="16"/>
                <w:szCs w:val="16"/>
              </w:rPr>
              <w:footnoteReference w:id="172"/>
            </w:r>
          </w:p>
        </w:tc>
      </w:tr>
      <w:tr w:rsidR="00A0524C" w:rsidRPr="00104E87" w14:paraId="3E68F1B0" w14:textId="77777777" w:rsidTr="0059177F">
        <w:trPr>
          <w:trHeight w:val="283"/>
        </w:trPr>
        <w:tc>
          <w:tcPr>
            <w:tcW w:w="1987" w:type="dxa"/>
            <w:shd w:val="clear" w:color="auto" w:fill="FFFFFF" w:themeFill="background1"/>
          </w:tcPr>
          <w:p w14:paraId="36CEF02E" w14:textId="77777777" w:rsidR="00A0524C" w:rsidRPr="005C6123" w:rsidRDefault="00A0524C" w:rsidP="00A0524C">
            <w:pPr>
              <w:spacing w:before="40" w:after="40" w:line="240" w:lineRule="auto"/>
              <w:jc w:val="right"/>
              <w:rPr>
                <w:sz w:val="15"/>
                <w:szCs w:val="15"/>
                <w:lang w:val="en-US"/>
              </w:rPr>
            </w:pPr>
            <w:bookmarkStart w:id="147" w:name="_Hlk526759461"/>
            <w:r w:rsidRPr="005C6123">
              <w:rPr>
                <w:b/>
                <w:bCs/>
                <w:sz w:val="15"/>
                <w:szCs w:val="15"/>
                <w:lang w:val="en-US"/>
              </w:rPr>
              <w:lastRenderedPageBreak/>
              <w:t>Method of Usage</w:t>
            </w:r>
          </w:p>
        </w:tc>
        <w:tc>
          <w:tcPr>
            <w:tcW w:w="7227" w:type="dxa"/>
            <w:gridSpan w:val="2"/>
            <w:shd w:val="clear" w:color="auto" w:fill="FFFFFF" w:themeFill="background1"/>
          </w:tcPr>
          <w:p w14:paraId="3BE0E975" w14:textId="77777777" w:rsidR="00A0524C" w:rsidRPr="005C6123" w:rsidRDefault="00A0524C" w:rsidP="00A0524C">
            <w:pPr>
              <w:spacing w:before="40" w:after="40" w:line="240" w:lineRule="auto"/>
              <w:rPr>
                <w:sz w:val="15"/>
                <w:szCs w:val="15"/>
                <w:lang w:val="en-US"/>
              </w:rPr>
            </w:pPr>
            <w:r w:rsidRPr="005C6123">
              <w:rPr>
                <w:sz w:val="15"/>
                <w:szCs w:val="15"/>
                <w:lang w:val="en-US"/>
              </w:rPr>
              <w:t>Manual operation requiring an operator to test each component with hand-held units. Available in remotely operated models on mounting poles (with automated alarm upon detection).</w:t>
            </w:r>
          </w:p>
        </w:tc>
      </w:tr>
      <w:tr w:rsidR="00A0524C" w:rsidRPr="00104E87" w14:paraId="105895B9" w14:textId="77777777" w:rsidTr="0059177F">
        <w:trPr>
          <w:trHeight w:val="281"/>
        </w:trPr>
        <w:tc>
          <w:tcPr>
            <w:tcW w:w="1987" w:type="dxa"/>
            <w:shd w:val="clear" w:color="auto" w:fill="FFFFFF" w:themeFill="background1"/>
          </w:tcPr>
          <w:p w14:paraId="5B0CD204"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Applicability</w:t>
            </w:r>
          </w:p>
        </w:tc>
        <w:tc>
          <w:tcPr>
            <w:tcW w:w="7227" w:type="dxa"/>
            <w:gridSpan w:val="2"/>
            <w:shd w:val="clear" w:color="auto" w:fill="FFFFFF" w:themeFill="background1"/>
          </w:tcPr>
          <w:p w14:paraId="15E1BE92" w14:textId="640901C9" w:rsidR="00A0524C" w:rsidRPr="005C6123" w:rsidRDefault="00A0524C" w:rsidP="00A0524C">
            <w:pPr>
              <w:spacing w:before="40" w:after="40" w:line="240" w:lineRule="auto"/>
              <w:rPr>
                <w:sz w:val="15"/>
                <w:szCs w:val="15"/>
                <w:lang w:val="en-US"/>
              </w:rPr>
            </w:pPr>
            <w:r w:rsidRPr="005C6123">
              <w:rPr>
                <w:sz w:val="15"/>
                <w:szCs w:val="15"/>
                <w:lang w:val="en-US"/>
              </w:rPr>
              <w:t>Particularly useful for inaccessible components, larger leaks and pressurized gas. Not as useful for smaller leaks or low-pressure gas (150 psi is required for ultrasonic leak detectors)</w:t>
            </w:r>
            <w:r w:rsidR="004150E7">
              <w:rPr>
                <w:sz w:val="15"/>
                <w:szCs w:val="15"/>
                <w:lang w:val="en-US"/>
              </w:rPr>
              <w:t>.</w:t>
            </w:r>
            <w:r w:rsidRPr="005C6123">
              <w:rPr>
                <w:rStyle w:val="FootnoteReference"/>
                <w:sz w:val="15"/>
                <w:szCs w:val="15"/>
              </w:rPr>
              <w:footnoteReference w:id="173"/>
            </w:r>
            <w:r w:rsidRPr="005C6123">
              <w:rPr>
                <w:sz w:val="15"/>
                <w:szCs w:val="15"/>
                <w:lang w:val="en-US"/>
              </w:rPr>
              <w:t xml:space="preserve"> </w:t>
            </w:r>
          </w:p>
        </w:tc>
      </w:tr>
      <w:tr w:rsidR="00A0524C" w:rsidRPr="00104E87" w14:paraId="18575334" w14:textId="77777777" w:rsidTr="0059177F">
        <w:trPr>
          <w:trHeight w:val="281"/>
        </w:trPr>
        <w:tc>
          <w:tcPr>
            <w:tcW w:w="1987" w:type="dxa"/>
            <w:shd w:val="clear" w:color="auto" w:fill="FFFFFF" w:themeFill="background1"/>
          </w:tcPr>
          <w:p w14:paraId="317493E7"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 xml:space="preserve"> Detection Speed</w:t>
            </w:r>
          </w:p>
        </w:tc>
        <w:tc>
          <w:tcPr>
            <w:tcW w:w="7227" w:type="dxa"/>
            <w:gridSpan w:val="2"/>
            <w:shd w:val="clear" w:color="auto" w:fill="FFFFFF" w:themeFill="background1"/>
          </w:tcPr>
          <w:p w14:paraId="605AD983" w14:textId="77777777" w:rsidR="00A0524C" w:rsidRPr="005C6123" w:rsidRDefault="00A0524C" w:rsidP="00A0524C">
            <w:pPr>
              <w:spacing w:before="40" w:after="40" w:line="240" w:lineRule="auto"/>
              <w:rPr>
                <w:sz w:val="15"/>
                <w:szCs w:val="15"/>
                <w:lang w:val="en-US"/>
              </w:rPr>
            </w:pPr>
            <w:r w:rsidRPr="005C6123">
              <w:rPr>
                <w:sz w:val="15"/>
                <w:szCs w:val="15"/>
                <w:lang w:val="en-US"/>
              </w:rPr>
              <w:t>With hand-held models, speed depends on man-power. Automated pole-mounted systems available with rapid response speed and will sound alarm instantly upon detection.</w:t>
            </w:r>
          </w:p>
        </w:tc>
      </w:tr>
      <w:tr w:rsidR="00A0524C" w:rsidRPr="00104E87" w14:paraId="73695540" w14:textId="77777777" w:rsidTr="0059177F">
        <w:trPr>
          <w:trHeight w:val="281"/>
        </w:trPr>
        <w:tc>
          <w:tcPr>
            <w:tcW w:w="1987" w:type="dxa"/>
            <w:shd w:val="clear" w:color="auto" w:fill="FFFFFF" w:themeFill="background1"/>
          </w:tcPr>
          <w:p w14:paraId="691FB8D8" w14:textId="77777777" w:rsidR="00A0524C" w:rsidRPr="005C6123" w:rsidRDefault="00A0524C" w:rsidP="00A0524C">
            <w:pPr>
              <w:spacing w:before="40" w:after="40" w:line="240" w:lineRule="auto"/>
              <w:jc w:val="right"/>
              <w:rPr>
                <w:b/>
                <w:sz w:val="15"/>
                <w:szCs w:val="15"/>
                <w:lang w:val="en-US"/>
              </w:rPr>
            </w:pPr>
            <w:r w:rsidRPr="005C6123">
              <w:rPr>
                <w:b/>
                <w:sz w:val="15"/>
                <w:szCs w:val="15"/>
                <w:lang w:val="en-US"/>
              </w:rPr>
              <w:t>Climatic Constraints</w:t>
            </w:r>
          </w:p>
        </w:tc>
        <w:tc>
          <w:tcPr>
            <w:tcW w:w="7227" w:type="dxa"/>
            <w:gridSpan w:val="2"/>
            <w:shd w:val="clear" w:color="auto" w:fill="FFFFFF" w:themeFill="background1"/>
          </w:tcPr>
          <w:p w14:paraId="01033733" w14:textId="77777777" w:rsidR="00A0524C" w:rsidRPr="005C6123" w:rsidRDefault="00A0524C" w:rsidP="00A0524C">
            <w:pPr>
              <w:spacing w:before="40" w:after="40" w:line="240" w:lineRule="auto"/>
              <w:rPr>
                <w:sz w:val="15"/>
                <w:szCs w:val="15"/>
                <w:lang w:val="en-US"/>
              </w:rPr>
            </w:pPr>
            <w:r w:rsidRPr="005C6123">
              <w:rPr>
                <w:sz w:val="15"/>
                <w:szCs w:val="15"/>
                <w:lang w:val="en-US"/>
              </w:rPr>
              <w:t>Particularly suitable for windy conditions as the technology is not affected by wind effects. Sensitive to background noise, however can be tuned to specific frequencies of a leak.</w:t>
            </w:r>
          </w:p>
        </w:tc>
      </w:tr>
      <w:tr w:rsidR="00A0524C" w:rsidRPr="00104E87" w14:paraId="3A93B4CA" w14:textId="77777777" w:rsidTr="0059177F">
        <w:trPr>
          <w:trHeight w:val="281"/>
        </w:trPr>
        <w:tc>
          <w:tcPr>
            <w:tcW w:w="1987" w:type="dxa"/>
            <w:shd w:val="clear" w:color="auto" w:fill="FFFFFF" w:themeFill="background1"/>
          </w:tcPr>
          <w:p w14:paraId="2AF85B28"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Safety Concerns</w:t>
            </w:r>
          </w:p>
        </w:tc>
        <w:tc>
          <w:tcPr>
            <w:tcW w:w="7227" w:type="dxa"/>
            <w:gridSpan w:val="2"/>
            <w:shd w:val="clear" w:color="auto" w:fill="FFFFFF" w:themeFill="background1"/>
          </w:tcPr>
          <w:p w14:paraId="14CDE9EC" w14:textId="77777777" w:rsidR="00A0524C" w:rsidRPr="005C6123" w:rsidRDefault="00A0524C" w:rsidP="00A0524C">
            <w:pPr>
              <w:spacing w:before="40" w:after="40" w:line="240" w:lineRule="auto"/>
              <w:rPr>
                <w:sz w:val="15"/>
                <w:szCs w:val="15"/>
                <w:lang w:val="en-US"/>
              </w:rPr>
            </w:pPr>
            <w:r w:rsidRPr="005C6123">
              <w:rPr>
                <w:sz w:val="15"/>
                <w:szCs w:val="15"/>
                <w:lang w:val="en-US"/>
              </w:rPr>
              <w:t>Hand-held units may require operator to be in close proximity of gas leak, pole-mounted systems don\t require operator in the vicinity of equipment.</w:t>
            </w:r>
          </w:p>
        </w:tc>
      </w:tr>
      <w:tr w:rsidR="00A0524C" w:rsidRPr="005C6123" w14:paraId="594206CD" w14:textId="77777777" w:rsidTr="0059177F">
        <w:trPr>
          <w:trHeight w:val="281"/>
        </w:trPr>
        <w:tc>
          <w:tcPr>
            <w:tcW w:w="1987" w:type="dxa"/>
            <w:shd w:val="clear" w:color="auto" w:fill="FFFFFF" w:themeFill="background1"/>
          </w:tcPr>
          <w:p w14:paraId="4F8B69BF"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Service Requirements</w:t>
            </w:r>
          </w:p>
        </w:tc>
        <w:tc>
          <w:tcPr>
            <w:tcW w:w="7227" w:type="dxa"/>
            <w:gridSpan w:val="2"/>
            <w:shd w:val="clear" w:color="auto" w:fill="FFFFFF" w:themeFill="background1"/>
          </w:tcPr>
          <w:p w14:paraId="32649F5A" w14:textId="77777777" w:rsidR="00A0524C" w:rsidRPr="005C6123" w:rsidRDefault="00A0524C" w:rsidP="00A0524C">
            <w:pPr>
              <w:spacing w:before="40" w:after="40" w:line="240" w:lineRule="auto"/>
              <w:rPr>
                <w:sz w:val="15"/>
                <w:szCs w:val="15"/>
                <w:lang w:val="en-US"/>
              </w:rPr>
            </w:pPr>
            <w:r w:rsidRPr="005C6123">
              <w:rPr>
                <w:sz w:val="15"/>
                <w:szCs w:val="15"/>
                <w:lang w:val="en-US"/>
              </w:rPr>
              <w:t>No routine calibration required.</w:t>
            </w:r>
          </w:p>
        </w:tc>
      </w:tr>
      <w:tr w:rsidR="00A0524C" w:rsidRPr="00104E87" w14:paraId="77CF7095" w14:textId="77777777" w:rsidTr="0059177F">
        <w:trPr>
          <w:trHeight w:val="281"/>
        </w:trPr>
        <w:tc>
          <w:tcPr>
            <w:tcW w:w="1987" w:type="dxa"/>
            <w:tcBorders>
              <w:bottom w:val="single" w:sz="2" w:space="0" w:color="208855" w:themeColor="accent1" w:themeShade="BF"/>
            </w:tcBorders>
            <w:shd w:val="clear" w:color="auto" w:fill="FFFFFF" w:themeFill="background1"/>
          </w:tcPr>
          <w:p w14:paraId="550BCEC6" w14:textId="77777777" w:rsidR="00A0524C" w:rsidRPr="005C6123" w:rsidRDefault="00A0524C" w:rsidP="00A0524C">
            <w:pPr>
              <w:spacing w:before="40" w:after="40" w:line="240" w:lineRule="auto"/>
              <w:jc w:val="right"/>
              <w:rPr>
                <w:b/>
                <w:bCs/>
                <w:sz w:val="15"/>
                <w:szCs w:val="15"/>
                <w:lang w:val="en-US"/>
              </w:rPr>
            </w:pPr>
            <w:r w:rsidRPr="005C6123">
              <w:rPr>
                <w:b/>
                <w:bCs/>
                <w:sz w:val="15"/>
                <w:szCs w:val="15"/>
                <w:lang w:val="en-US"/>
              </w:rPr>
              <w:t>Cost Considerations</w:t>
            </w:r>
          </w:p>
        </w:tc>
        <w:tc>
          <w:tcPr>
            <w:tcW w:w="7227" w:type="dxa"/>
            <w:gridSpan w:val="2"/>
            <w:tcBorders>
              <w:bottom w:val="single" w:sz="2" w:space="0" w:color="208855" w:themeColor="accent1" w:themeShade="BF"/>
            </w:tcBorders>
            <w:shd w:val="clear" w:color="auto" w:fill="FFFFFF" w:themeFill="background1"/>
          </w:tcPr>
          <w:p w14:paraId="410855C6" w14:textId="77777777" w:rsidR="00A0524C" w:rsidRPr="005C6123" w:rsidRDefault="00A0524C" w:rsidP="00A0524C">
            <w:pPr>
              <w:spacing w:before="40" w:after="40" w:line="240" w:lineRule="auto"/>
              <w:rPr>
                <w:sz w:val="15"/>
                <w:szCs w:val="15"/>
                <w:lang w:val="en-US"/>
              </w:rPr>
            </w:pPr>
            <w:r w:rsidRPr="005C6123">
              <w:rPr>
                <w:sz w:val="15"/>
                <w:szCs w:val="15"/>
                <w:lang w:val="en-US"/>
              </w:rPr>
              <w:t>Relatively low capex solution for methane leak detection, however limited applicability and labor intensive with hand-held unit.</w:t>
            </w:r>
          </w:p>
        </w:tc>
      </w:tr>
      <w:bookmarkEnd w:id="147"/>
      <w:tr w:rsidR="00A0524C" w:rsidRPr="005C6123" w:rsidDel="00994E71" w14:paraId="7A8EDE4C" w14:textId="77777777" w:rsidTr="0059177F">
        <w:trPr>
          <w:trHeight w:val="413"/>
        </w:trPr>
        <w:tc>
          <w:tcPr>
            <w:tcW w:w="9214" w:type="dxa"/>
            <w:gridSpan w:val="3"/>
            <w:tcBorders>
              <w:top w:val="nil"/>
            </w:tcBorders>
            <w:shd w:val="clear" w:color="auto" w:fill="208855" w:themeFill="accent1" w:themeFillShade="BF"/>
            <w:vAlign w:val="center"/>
          </w:tcPr>
          <w:p w14:paraId="6C1EF44B" w14:textId="77777777" w:rsidR="00A0524C" w:rsidRPr="005C6123" w:rsidDel="00994E71" w:rsidRDefault="00A0524C" w:rsidP="005D2939">
            <w:pPr>
              <w:pStyle w:val="ListParagraph"/>
              <w:numPr>
                <w:ilvl w:val="0"/>
                <w:numId w:val="36"/>
              </w:numPr>
              <w:spacing w:before="60" w:after="60"/>
              <w:ind w:left="0" w:hanging="357"/>
              <w:contextualSpacing w:val="0"/>
              <w:rPr>
                <w:b/>
                <w:bCs/>
              </w:rPr>
            </w:pPr>
            <w:r w:rsidRPr="00FB48A1">
              <w:rPr>
                <w:b/>
                <w:bCs/>
                <w:color w:val="FFFFFF"/>
              </w:rPr>
              <w:t>7. Spectrometer Sensors</w:t>
            </w:r>
          </w:p>
        </w:tc>
      </w:tr>
      <w:tr w:rsidR="00A0524C" w:rsidRPr="00104E87" w14:paraId="44ED8FF3" w14:textId="77777777" w:rsidTr="0059177F">
        <w:trPr>
          <w:trHeight w:val="3102"/>
        </w:trPr>
        <w:tc>
          <w:tcPr>
            <w:tcW w:w="6520" w:type="dxa"/>
            <w:gridSpan w:val="2"/>
            <w:tcBorders>
              <w:top w:val="single" w:sz="4" w:space="0" w:color="208855" w:themeColor="accent1" w:themeShade="BF"/>
              <w:left w:val="single" w:sz="4" w:space="0" w:color="208855" w:themeColor="accent1" w:themeShade="BF"/>
            </w:tcBorders>
            <w:shd w:val="clear" w:color="auto" w:fill="D0F4E3" w:themeFill="accent1" w:themeFillTint="33"/>
          </w:tcPr>
          <w:p w14:paraId="55F30FF4" w14:textId="77777777" w:rsidR="00A0524C" w:rsidRPr="005C6123" w:rsidRDefault="00A0524C" w:rsidP="00A0524C">
            <w:pPr>
              <w:spacing w:before="120" w:line="240" w:lineRule="auto"/>
              <w:rPr>
                <w:bCs/>
                <w:sz w:val="16"/>
                <w:szCs w:val="16"/>
                <w:lang w:val="en-US"/>
              </w:rPr>
            </w:pPr>
            <w:r w:rsidRPr="005C6123">
              <w:rPr>
                <w:b/>
                <w:bCs/>
                <w:sz w:val="16"/>
                <w:szCs w:val="16"/>
                <w:lang w:val="en-US"/>
              </w:rPr>
              <w:t>Technology</w:t>
            </w:r>
          </w:p>
          <w:p w14:paraId="68B7F7B4" w14:textId="77777777" w:rsidR="00A0524C" w:rsidRPr="005C6123" w:rsidRDefault="00A0524C" w:rsidP="00A0524C">
            <w:pPr>
              <w:spacing w:line="240" w:lineRule="auto"/>
              <w:rPr>
                <w:bCs/>
                <w:sz w:val="16"/>
                <w:szCs w:val="16"/>
                <w:lang w:val="en-US"/>
              </w:rPr>
            </w:pPr>
            <w:r w:rsidRPr="005C6123">
              <w:rPr>
                <w:bCs/>
                <w:sz w:val="16"/>
                <w:szCs w:val="16"/>
                <w:lang w:val="en-US"/>
              </w:rPr>
              <w:t xml:space="preserve">Spectrometer sensors are able to detect large methane concentrations from the air by measuring the wavelengths of reflected sunlight that has been absorbed by methane molecules in the air. </w:t>
            </w:r>
          </w:p>
          <w:p w14:paraId="74A69C17" w14:textId="77777777" w:rsidR="00A0524C" w:rsidRPr="005C6123" w:rsidRDefault="00A0524C" w:rsidP="00A0524C">
            <w:pPr>
              <w:spacing w:before="120" w:line="240" w:lineRule="auto"/>
              <w:rPr>
                <w:bCs/>
                <w:sz w:val="16"/>
                <w:szCs w:val="16"/>
                <w:lang w:val="en-US"/>
              </w:rPr>
            </w:pPr>
            <w:r w:rsidRPr="005C6123">
              <w:rPr>
                <w:b/>
                <w:bCs/>
                <w:sz w:val="16"/>
                <w:szCs w:val="16"/>
                <w:lang w:val="en-US"/>
              </w:rPr>
              <w:t>Operation</w:t>
            </w:r>
          </w:p>
          <w:p w14:paraId="36BF072E" w14:textId="77777777" w:rsidR="00A0524C" w:rsidRPr="005C6123" w:rsidRDefault="00A0524C" w:rsidP="00A0524C">
            <w:pPr>
              <w:spacing w:line="240" w:lineRule="auto"/>
              <w:rPr>
                <w:b/>
                <w:bCs/>
                <w:sz w:val="16"/>
                <w:szCs w:val="16"/>
                <w:lang w:val="en-US"/>
              </w:rPr>
            </w:pPr>
            <w:r w:rsidRPr="005C6123">
              <w:rPr>
                <w:bCs/>
                <w:sz w:val="16"/>
                <w:szCs w:val="16"/>
                <w:lang w:val="en-US"/>
              </w:rPr>
              <w:t>A sensor is typically flown from fixed wing or rotary aircraft and can rapidly spot the sources of methane emissions over large areas. It simultaneously collects optical images to allow positive identification of any emissions sources. Up to 800km of pipeline or 30,000 acres of wells can be surveyed in a single day, drastically reducing time required for inspecting large areas and pipelines. The sensors detect only larger methane emissions from the air and overlay them with a map using GPS coordinates to provide an aerial overview of larger methane emission leaks over a larger area or longer distance.</w:t>
            </w:r>
          </w:p>
        </w:tc>
        <w:tc>
          <w:tcPr>
            <w:tcW w:w="2694" w:type="dxa"/>
            <w:tcBorders>
              <w:top w:val="single" w:sz="4" w:space="0" w:color="208855" w:themeColor="accent1" w:themeShade="BF"/>
              <w:right w:val="single" w:sz="4" w:space="0" w:color="208855" w:themeColor="accent1" w:themeShade="BF"/>
            </w:tcBorders>
            <w:shd w:val="clear" w:color="auto" w:fill="D0F4E3" w:themeFill="accent1" w:themeFillTint="33"/>
          </w:tcPr>
          <w:p w14:paraId="59834E0B" w14:textId="77777777" w:rsidR="00A0524C" w:rsidRPr="005C6123" w:rsidRDefault="00A0524C" w:rsidP="005D2939">
            <w:pPr>
              <w:pStyle w:val="ListParagraph"/>
              <w:numPr>
                <w:ilvl w:val="0"/>
                <w:numId w:val="36"/>
              </w:numPr>
              <w:spacing w:before="120" w:after="120" w:line="276" w:lineRule="auto"/>
              <w:ind w:left="0"/>
              <w:contextualSpacing w:val="0"/>
              <w:rPr>
                <w:b/>
                <w:sz w:val="16"/>
                <w:szCs w:val="16"/>
              </w:rPr>
            </w:pPr>
            <w:r w:rsidRPr="005C6123">
              <w:rPr>
                <w:b/>
                <w:sz w:val="16"/>
                <w:szCs w:val="16"/>
              </w:rPr>
              <w:t>Spectrometer screening</w:t>
            </w:r>
            <w:r w:rsidRPr="005C6123">
              <w:rPr>
                <w:rStyle w:val="FootnoteReference"/>
                <w:b/>
                <w:sz w:val="16"/>
                <w:szCs w:val="16"/>
              </w:rPr>
              <w:footnoteReference w:id="174"/>
            </w:r>
          </w:p>
          <w:p w14:paraId="1D55F023" w14:textId="77777777" w:rsidR="00A0524C" w:rsidRPr="005C6123" w:rsidRDefault="00A0524C" w:rsidP="005D2939">
            <w:pPr>
              <w:pStyle w:val="ListParagraph"/>
              <w:keepNext/>
              <w:numPr>
                <w:ilvl w:val="0"/>
                <w:numId w:val="36"/>
              </w:numPr>
              <w:spacing w:line="276" w:lineRule="auto"/>
              <w:ind w:left="0"/>
              <w:contextualSpacing w:val="0"/>
              <w:rPr>
                <w:b/>
                <w:bCs/>
                <w:sz w:val="10"/>
                <w:szCs w:val="10"/>
              </w:rPr>
            </w:pPr>
            <w:r>
              <w:rPr>
                <w:b/>
                <w:noProof/>
                <w:sz w:val="10"/>
                <w:szCs w:val="10"/>
                <w:lang w:val="nb-NO" w:eastAsia="nb-NO"/>
              </w:rPr>
              <w:drawing>
                <wp:inline distT="0" distB="0" distL="0" distR="0" wp14:anchorId="27050BBF" wp14:editId="07A070E3">
                  <wp:extent cx="1447800" cy="1035050"/>
                  <wp:effectExtent l="0" t="0" r="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7800" cy="1035050"/>
                          </a:xfrm>
                          <a:prstGeom prst="rect">
                            <a:avLst/>
                          </a:prstGeom>
                          <a:noFill/>
                          <a:ln>
                            <a:noFill/>
                          </a:ln>
                        </pic:spPr>
                      </pic:pic>
                    </a:graphicData>
                  </a:graphic>
                </wp:inline>
              </w:drawing>
            </w:r>
          </w:p>
          <w:p w14:paraId="04EA3706" w14:textId="77777777" w:rsidR="00A0524C" w:rsidRPr="005C6123" w:rsidRDefault="00A0524C" w:rsidP="00A0524C">
            <w:pPr>
              <w:spacing w:line="240" w:lineRule="auto"/>
              <w:rPr>
                <w:b/>
                <w:sz w:val="16"/>
                <w:szCs w:val="16"/>
                <w:lang w:val="en-US"/>
              </w:rPr>
            </w:pPr>
            <w:r w:rsidRPr="005C6123">
              <w:rPr>
                <w:b/>
                <w:sz w:val="16"/>
                <w:szCs w:val="16"/>
                <w:lang w:val="en-US"/>
              </w:rPr>
              <w:t xml:space="preserve">(Investment) Cost </w:t>
            </w:r>
          </w:p>
          <w:p w14:paraId="284D9F86" w14:textId="77777777" w:rsidR="00A0524C" w:rsidRPr="005C6123" w:rsidRDefault="00A0524C" w:rsidP="00A0524C">
            <w:pPr>
              <w:spacing w:line="240" w:lineRule="auto"/>
              <w:rPr>
                <w:sz w:val="16"/>
                <w:szCs w:val="16"/>
                <w:lang w:val="en-US"/>
              </w:rPr>
            </w:pPr>
            <w:r w:rsidRPr="005C6123">
              <w:rPr>
                <w:sz w:val="16"/>
                <w:szCs w:val="16"/>
                <w:lang w:val="en-US"/>
              </w:rPr>
              <w:t>High cost and depends on several factors including location and areal extent surveyed</w:t>
            </w:r>
          </w:p>
        </w:tc>
      </w:tr>
      <w:tr w:rsidR="00A0524C" w:rsidRPr="00104E87" w14:paraId="2894405C" w14:textId="77777777" w:rsidTr="0059177F">
        <w:trPr>
          <w:trHeight w:val="283"/>
        </w:trPr>
        <w:tc>
          <w:tcPr>
            <w:tcW w:w="1987" w:type="dxa"/>
            <w:shd w:val="clear" w:color="auto" w:fill="FFFFFF" w:themeFill="background1"/>
          </w:tcPr>
          <w:p w14:paraId="68B846ED"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Method of Usage</w:t>
            </w:r>
          </w:p>
        </w:tc>
        <w:tc>
          <w:tcPr>
            <w:tcW w:w="7227" w:type="dxa"/>
            <w:gridSpan w:val="2"/>
            <w:shd w:val="clear" w:color="auto" w:fill="FFFFFF" w:themeFill="background1"/>
          </w:tcPr>
          <w:p w14:paraId="0085D049" w14:textId="77777777" w:rsidR="00A0524C" w:rsidRPr="005C6123" w:rsidRDefault="00A0524C" w:rsidP="00A0524C">
            <w:pPr>
              <w:spacing w:before="40" w:after="40" w:line="240" w:lineRule="auto"/>
              <w:rPr>
                <w:sz w:val="15"/>
                <w:szCs w:val="15"/>
                <w:lang w:val="en-US"/>
              </w:rPr>
            </w:pPr>
            <w:r w:rsidRPr="005C6123">
              <w:rPr>
                <w:sz w:val="15"/>
                <w:szCs w:val="15"/>
                <w:lang w:val="en-US"/>
              </w:rPr>
              <w:t>Screening requires spectrometer sensor to be attached to aircraft and flown over surveying area.</w:t>
            </w:r>
          </w:p>
        </w:tc>
      </w:tr>
      <w:tr w:rsidR="00A0524C" w:rsidRPr="00104E87" w14:paraId="5AC76526" w14:textId="77777777" w:rsidTr="0059177F">
        <w:trPr>
          <w:trHeight w:val="281"/>
        </w:trPr>
        <w:tc>
          <w:tcPr>
            <w:tcW w:w="1987" w:type="dxa"/>
            <w:shd w:val="clear" w:color="auto" w:fill="FFFFFF" w:themeFill="background1"/>
          </w:tcPr>
          <w:p w14:paraId="5A75D9F8"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Applicability</w:t>
            </w:r>
          </w:p>
        </w:tc>
        <w:tc>
          <w:tcPr>
            <w:tcW w:w="7227" w:type="dxa"/>
            <w:gridSpan w:val="2"/>
            <w:shd w:val="clear" w:color="auto" w:fill="FFFFFF" w:themeFill="background1"/>
          </w:tcPr>
          <w:p w14:paraId="7637EE8C" w14:textId="77777777" w:rsidR="00A0524C" w:rsidRPr="005C6123" w:rsidRDefault="00A0524C" w:rsidP="00A0524C">
            <w:pPr>
              <w:spacing w:before="40" w:after="40" w:line="240" w:lineRule="auto"/>
              <w:rPr>
                <w:sz w:val="15"/>
                <w:szCs w:val="15"/>
                <w:lang w:val="en-US"/>
              </w:rPr>
            </w:pPr>
            <w:r w:rsidRPr="005C6123">
              <w:rPr>
                <w:sz w:val="15"/>
                <w:szCs w:val="15"/>
                <w:lang w:val="en-US"/>
              </w:rPr>
              <w:t>Particularly useful to cover large areas quickly and identify super-emitters. Also useful for surveying pipelines over a long distance and reduces the requirement for manual labor-intensive detection screening to identify large leaks. Not useful for smaller leaks and cannot detect specific emission sources that may make up the total facility emissions.</w:t>
            </w:r>
          </w:p>
        </w:tc>
      </w:tr>
      <w:tr w:rsidR="00A0524C" w:rsidRPr="00104E87" w14:paraId="503120AC" w14:textId="77777777" w:rsidTr="0059177F">
        <w:trPr>
          <w:trHeight w:val="281"/>
        </w:trPr>
        <w:tc>
          <w:tcPr>
            <w:tcW w:w="1987" w:type="dxa"/>
            <w:shd w:val="clear" w:color="auto" w:fill="FFFFFF" w:themeFill="background1"/>
          </w:tcPr>
          <w:p w14:paraId="2E80390C"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 xml:space="preserve"> Detection Speed</w:t>
            </w:r>
          </w:p>
        </w:tc>
        <w:tc>
          <w:tcPr>
            <w:tcW w:w="7227" w:type="dxa"/>
            <w:gridSpan w:val="2"/>
            <w:shd w:val="clear" w:color="auto" w:fill="FFFFFF" w:themeFill="background1"/>
          </w:tcPr>
          <w:p w14:paraId="08195DD3" w14:textId="77777777" w:rsidR="00A0524C" w:rsidRPr="005C6123" w:rsidRDefault="00A0524C" w:rsidP="00A0524C">
            <w:pPr>
              <w:spacing w:before="40" w:after="40" w:line="240" w:lineRule="auto"/>
              <w:rPr>
                <w:sz w:val="15"/>
                <w:szCs w:val="15"/>
                <w:lang w:val="en-US"/>
              </w:rPr>
            </w:pPr>
            <w:r w:rsidRPr="005C6123">
              <w:rPr>
                <w:sz w:val="15"/>
                <w:szCs w:val="15"/>
                <w:lang w:val="en-US"/>
              </w:rPr>
              <w:t>Can cover large areas quickly, and effectively reduce the screening time per facility.</w:t>
            </w:r>
          </w:p>
        </w:tc>
      </w:tr>
      <w:tr w:rsidR="00A0524C" w:rsidRPr="00104E87" w14:paraId="2096BA40" w14:textId="77777777" w:rsidTr="0059177F">
        <w:trPr>
          <w:trHeight w:val="281"/>
        </w:trPr>
        <w:tc>
          <w:tcPr>
            <w:tcW w:w="1987" w:type="dxa"/>
            <w:shd w:val="clear" w:color="auto" w:fill="FFFFFF" w:themeFill="background1"/>
          </w:tcPr>
          <w:p w14:paraId="07BF4918" w14:textId="77777777" w:rsidR="00A0524C" w:rsidRPr="005C6123" w:rsidRDefault="00A0524C" w:rsidP="00A0524C">
            <w:pPr>
              <w:spacing w:before="40" w:after="40" w:line="240" w:lineRule="auto"/>
              <w:jc w:val="right"/>
              <w:rPr>
                <w:b/>
                <w:sz w:val="15"/>
                <w:szCs w:val="15"/>
                <w:lang w:val="en-US"/>
              </w:rPr>
            </w:pPr>
            <w:r w:rsidRPr="005C6123">
              <w:rPr>
                <w:b/>
                <w:sz w:val="15"/>
                <w:szCs w:val="15"/>
                <w:lang w:val="en-US"/>
              </w:rPr>
              <w:t>Climatic Constraints</w:t>
            </w:r>
          </w:p>
        </w:tc>
        <w:tc>
          <w:tcPr>
            <w:tcW w:w="7227" w:type="dxa"/>
            <w:gridSpan w:val="2"/>
            <w:shd w:val="clear" w:color="auto" w:fill="FFFFFF" w:themeFill="background1"/>
          </w:tcPr>
          <w:p w14:paraId="5063D2B1" w14:textId="77777777" w:rsidR="00A0524C" w:rsidRPr="005C6123" w:rsidRDefault="00A0524C" w:rsidP="00A0524C">
            <w:pPr>
              <w:spacing w:before="40" w:after="40" w:line="240" w:lineRule="auto"/>
              <w:rPr>
                <w:sz w:val="15"/>
                <w:szCs w:val="15"/>
                <w:lang w:val="en-US"/>
              </w:rPr>
            </w:pPr>
            <w:r w:rsidRPr="005C6123">
              <w:rPr>
                <w:sz w:val="15"/>
                <w:szCs w:val="15"/>
                <w:lang w:val="en-US"/>
              </w:rPr>
              <w:t>Constrained by sunlight required for spectrometer and favorable weather for aircraft operation.</w:t>
            </w:r>
          </w:p>
        </w:tc>
      </w:tr>
      <w:tr w:rsidR="00A0524C" w:rsidRPr="00104E87" w14:paraId="5ECE09E6" w14:textId="77777777" w:rsidTr="0059177F">
        <w:trPr>
          <w:trHeight w:val="281"/>
        </w:trPr>
        <w:tc>
          <w:tcPr>
            <w:tcW w:w="1987" w:type="dxa"/>
            <w:shd w:val="clear" w:color="auto" w:fill="FFFFFF" w:themeFill="background1"/>
          </w:tcPr>
          <w:p w14:paraId="5173FCF2"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Safety Concerns:</w:t>
            </w:r>
          </w:p>
        </w:tc>
        <w:tc>
          <w:tcPr>
            <w:tcW w:w="7227" w:type="dxa"/>
            <w:gridSpan w:val="2"/>
            <w:shd w:val="clear" w:color="auto" w:fill="FFFFFF" w:themeFill="background1"/>
          </w:tcPr>
          <w:p w14:paraId="69BBA5A1" w14:textId="77777777" w:rsidR="00A0524C" w:rsidRPr="005C6123" w:rsidRDefault="00A0524C" w:rsidP="00A0524C">
            <w:pPr>
              <w:spacing w:before="40" w:after="40" w:line="240" w:lineRule="auto"/>
              <w:rPr>
                <w:sz w:val="15"/>
                <w:szCs w:val="15"/>
                <w:lang w:val="en-US"/>
              </w:rPr>
            </w:pPr>
            <w:r w:rsidRPr="005C6123">
              <w:rPr>
                <w:sz w:val="15"/>
                <w:szCs w:val="15"/>
                <w:lang w:val="en-US"/>
              </w:rPr>
              <w:t>Aircraft needs to be flown directly over oil and gas facilities, however provide the ability to screen unsafe-to-monitor components that may otherwise be rarely surveyed</w:t>
            </w:r>
            <w:r w:rsidRPr="005C6123">
              <w:rPr>
                <w:rStyle w:val="FootnoteReference"/>
                <w:sz w:val="15"/>
                <w:szCs w:val="15"/>
              </w:rPr>
              <w:footnoteReference w:id="175"/>
            </w:r>
          </w:p>
        </w:tc>
      </w:tr>
      <w:tr w:rsidR="00A0524C" w:rsidRPr="005C6123" w14:paraId="37E846F8" w14:textId="77777777" w:rsidTr="0059177F">
        <w:trPr>
          <w:trHeight w:val="281"/>
        </w:trPr>
        <w:tc>
          <w:tcPr>
            <w:tcW w:w="1987" w:type="dxa"/>
            <w:shd w:val="clear" w:color="auto" w:fill="FFFFFF" w:themeFill="background1"/>
          </w:tcPr>
          <w:p w14:paraId="215E926D" w14:textId="77777777" w:rsidR="00A0524C" w:rsidRPr="005C6123" w:rsidRDefault="00A0524C" w:rsidP="00A0524C">
            <w:pPr>
              <w:spacing w:before="40" w:after="40" w:line="240" w:lineRule="auto"/>
              <w:jc w:val="right"/>
              <w:rPr>
                <w:sz w:val="15"/>
                <w:szCs w:val="15"/>
                <w:lang w:val="en-US"/>
              </w:rPr>
            </w:pPr>
            <w:r w:rsidRPr="005C6123">
              <w:rPr>
                <w:b/>
                <w:bCs/>
                <w:sz w:val="15"/>
                <w:szCs w:val="15"/>
                <w:lang w:val="en-US"/>
              </w:rPr>
              <w:t>Service Requirements:</w:t>
            </w:r>
          </w:p>
        </w:tc>
        <w:tc>
          <w:tcPr>
            <w:tcW w:w="7227" w:type="dxa"/>
            <w:gridSpan w:val="2"/>
            <w:shd w:val="clear" w:color="auto" w:fill="FFFFFF" w:themeFill="background1"/>
          </w:tcPr>
          <w:p w14:paraId="44241938" w14:textId="77777777" w:rsidR="00A0524C" w:rsidRPr="005C6123" w:rsidRDefault="00A0524C" w:rsidP="00A0524C">
            <w:pPr>
              <w:spacing w:before="40" w:after="40" w:line="240" w:lineRule="auto"/>
              <w:rPr>
                <w:sz w:val="15"/>
                <w:szCs w:val="15"/>
                <w:lang w:val="en-US"/>
              </w:rPr>
            </w:pPr>
            <w:r w:rsidRPr="005C6123">
              <w:rPr>
                <w:sz w:val="15"/>
                <w:szCs w:val="15"/>
                <w:lang w:val="en-US"/>
              </w:rPr>
              <w:t>N/A (service providers)</w:t>
            </w:r>
          </w:p>
        </w:tc>
      </w:tr>
      <w:tr w:rsidR="00A0524C" w:rsidRPr="00104E87" w14:paraId="18D98278" w14:textId="77777777" w:rsidTr="0059177F">
        <w:trPr>
          <w:trHeight w:val="281"/>
        </w:trPr>
        <w:tc>
          <w:tcPr>
            <w:tcW w:w="1987" w:type="dxa"/>
            <w:shd w:val="clear" w:color="auto" w:fill="FFFFFF" w:themeFill="background1"/>
          </w:tcPr>
          <w:p w14:paraId="64F778D3" w14:textId="77777777" w:rsidR="00A0524C" w:rsidRPr="005C6123" w:rsidRDefault="00A0524C" w:rsidP="00A0524C">
            <w:pPr>
              <w:spacing w:before="40" w:after="40" w:line="240" w:lineRule="auto"/>
              <w:jc w:val="right"/>
              <w:rPr>
                <w:b/>
                <w:bCs/>
                <w:sz w:val="15"/>
                <w:szCs w:val="15"/>
                <w:lang w:val="en-US"/>
              </w:rPr>
            </w:pPr>
            <w:r w:rsidRPr="005C6123">
              <w:rPr>
                <w:b/>
                <w:bCs/>
                <w:sz w:val="15"/>
                <w:szCs w:val="15"/>
                <w:lang w:val="en-US"/>
              </w:rPr>
              <w:t>Cost Considerations:</w:t>
            </w:r>
          </w:p>
        </w:tc>
        <w:tc>
          <w:tcPr>
            <w:tcW w:w="7227" w:type="dxa"/>
            <w:gridSpan w:val="2"/>
            <w:shd w:val="clear" w:color="auto" w:fill="FFFFFF" w:themeFill="background1"/>
          </w:tcPr>
          <w:p w14:paraId="04E3239A" w14:textId="77777777" w:rsidR="00A0524C" w:rsidRPr="005C6123" w:rsidRDefault="00A0524C" w:rsidP="00A0524C">
            <w:pPr>
              <w:spacing w:before="40" w:after="40" w:line="240" w:lineRule="auto"/>
              <w:rPr>
                <w:sz w:val="15"/>
                <w:szCs w:val="15"/>
                <w:lang w:val="en-US"/>
              </w:rPr>
            </w:pPr>
            <w:r w:rsidRPr="005C6123">
              <w:rPr>
                <w:sz w:val="15"/>
                <w:szCs w:val="15"/>
                <w:lang w:val="en-US"/>
              </w:rPr>
              <w:t>May provide maximum impact at minimum cost for detecting large leaks, nonetheless expensive method for screening for methane leaks.</w:t>
            </w:r>
          </w:p>
        </w:tc>
      </w:tr>
    </w:tbl>
    <w:p w14:paraId="6B6EFFEC" w14:textId="0A0F3236" w:rsidR="00A0524C" w:rsidRDefault="00A0524C" w:rsidP="00A0524C">
      <w:pPr>
        <w:rPr>
          <w:lang w:val="en-GB"/>
        </w:rPr>
      </w:pPr>
    </w:p>
    <w:p w14:paraId="0405FC4A" w14:textId="77777777" w:rsidR="0059177F" w:rsidRDefault="0059177F" w:rsidP="00A0524C">
      <w:pPr>
        <w:rPr>
          <w:lang w:val="en-GB"/>
        </w:rPr>
      </w:pPr>
    </w:p>
    <w:p w14:paraId="4C44FA2F" w14:textId="61421004" w:rsidR="00AD4C55" w:rsidRDefault="00AD4C55" w:rsidP="00A0524C">
      <w:pPr>
        <w:rPr>
          <w:lang w:val="en-GB"/>
        </w:rPr>
      </w:pPr>
    </w:p>
    <w:p w14:paraId="3E6D5FEA" w14:textId="77777777" w:rsidR="00AD4C55" w:rsidRPr="000D5AF6" w:rsidRDefault="00AD4C55" w:rsidP="00A0524C">
      <w:pPr>
        <w:rPr>
          <w:lang w:val="en-GB"/>
        </w:rPr>
      </w:pPr>
    </w:p>
    <w:tbl>
      <w:tblPr>
        <w:tblW w:w="9204" w:type="dxa"/>
        <w:tblBorders>
          <w:top w:val="single" w:sz="4" w:space="0" w:color="208855"/>
          <w:left w:val="single" w:sz="4" w:space="0" w:color="208855"/>
          <w:bottom w:val="single" w:sz="4" w:space="0" w:color="208855"/>
          <w:right w:val="single" w:sz="4" w:space="0" w:color="208855"/>
          <w:insideH w:val="single" w:sz="4" w:space="0" w:color="208855"/>
          <w:insideV w:val="single" w:sz="4" w:space="0" w:color="208855"/>
        </w:tblBorders>
        <w:tblLayout w:type="fixed"/>
        <w:tblLook w:val="04A0" w:firstRow="1" w:lastRow="0" w:firstColumn="1" w:lastColumn="0" w:noHBand="0" w:noVBand="1"/>
      </w:tblPr>
      <w:tblGrid>
        <w:gridCol w:w="1838"/>
        <w:gridCol w:w="4389"/>
        <w:gridCol w:w="2977"/>
      </w:tblGrid>
      <w:tr w:rsidR="00A0524C" w:rsidRPr="005C6123" w14:paraId="324DFEBC" w14:textId="77777777" w:rsidTr="00A0524C">
        <w:trPr>
          <w:trHeight w:val="609"/>
        </w:trPr>
        <w:tc>
          <w:tcPr>
            <w:tcW w:w="9204" w:type="dxa"/>
            <w:gridSpan w:val="3"/>
            <w:tcBorders>
              <w:top w:val="single" w:sz="8" w:space="0" w:color="52D696"/>
              <w:left w:val="single" w:sz="8" w:space="0" w:color="52D696"/>
              <w:bottom w:val="nil"/>
              <w:right w:val="single" w:sz="8" w:space="0" w:color="52D696"/>
            </w:tcBorders>
            <w:shd w:val="clear" w:color="auto" w:fill="155B39" w:themeFill="accent6"/>
            <w:vAlign w:val="center"/>
          </w:tcPr>
          <w:p w14:paraId="1C5CE1C5" w14:textId="77777777" w:rsidR="00A0524C" w:rsidRPr="005C6123" w:rsidRDefault="00A0524C" w:rsidP="00A0524C">
            <w:pPr>
              <w:spacing w:before="120" w:line="240" w:lineRule="auto"/>
              <w:rPr>
                <w:b/>
                <w:bCs/>
                <w:color w:val="FFFFFF"/>
                <w:sz w:val="24"/>
                <w:szCs w:val="24"/>
                <w:lang w:val="en-GB"/>
              </w:rPr>
            </w:pPr>
            <w:r w:rsidRPr="005C6123">
              <w:rPr>
                <w:b/>
                <w:bCs/>
                <w:color w:val="FFFFFF"/>
                <w:sz w:val="24"/>
                <w:szCs w:val="24"/>
                <w:lang w:val="en-GB"/>
              </w:rPr>
              <w:t>Table 2 Mature quantification equipment</w:t>
            </w:r>
          </w:p>
        </w:tc>
      </w:tr>
      <w:tr w:rsidR="00A0524C" w:rsidRPr="005C6123" w14:paraId="24CDD5D4" w14:textId="77777777" w:rsidTr="00A0524C">
        <w:tc>
          <w:tcPr>
            <w:tcW w:w="9204" w:type="dxa"/>
            <w:gridSpan w:val="3"/>
            <w:tcBorders>
              <w:top w:val="nil"/>
              <w:left w:val="nil"/>
              <w:bottom w:val="nil"/>
              <w:right w:val="nil"/>
            </w:tcBorders>
            <w:shd w:val="clear" w:color="auto" w:fill="208855" w:themeFill="accent1" w:themeFillShade="BF"/>
            <w:vAlign w:val="center"/>
          </w:tcPr>
          <w:p w14:paraId="753246AA" w14:textId="77777777" w:rsidR="00A0524C" w:rsidRPr="005C6123" w:rsidDel="00994E71" w:rsidRDefault="00A0524C" w:rsidP="00A0524C">
            <w:pPr>
              <w:spacing w:before="120" w:line="240" w:lineRule="auto"/>
              <w:rPr>
                <w:b/>
                <w:bCs/>
              </w:rPr>
            </w:pPr>
            <w:r w:rsidRPr="00FB48A1">
              <w:rPr>
                <w:b/>
                <w:bCs/>
                <w:color w:val="FFFFFF"/>
                <w:lang w:val="en-US"/>
              </w:rPr>
              <w:t>1. Calibrated Vent Bag</w:t>
            </w:r>
          </w:p>
        </w:tc>
      </w:tr>
      <w:tr w:rsidR="00A0524C" w:rsidRPr="005C6123" w14:paraId="5E4BF147" w14:textId="77777777" w:rsidTr="00A0524C">
        <w:tc>
          <w:tcPr>
            <w:tcW w:w="6227" w:type="dxa"/>
            <w:gridSpan w:val="2"/>
            <w:tcBorders>
              <w:top w:val="nil"/>
              <w:left w:val="single" w:sz="4" w:space="0" w:color="208855" w:themeColor="accent1" w:themeShade="BF"/>
            </w:tcBorders>
            <w:shd w:val="clear" w:color="auto" w:fill="D0F4E3" w:themeFill="accent1" w:themeFillTint="33"/>
          </w:tcPr>
          <w:p w14:paraId="0790F96A" w14:textId="77777777" w:rsidR="00A0524C" w:rsidRPr="005C6123" w:rsidRDefault="00A0524C" w:rsidP="005D2939">
            <w:pPr>
              <w:pStyle w:val="ListParagraph"/>
              <w:numPr>
                <w:ilvl w:val="0"/>
                <w:numId w:val="36"/>
              </w:numPr>
              <w:spacing w:before="120" w:after="120"/>
              <w:ind w:left="0" w:hanging="357"/>
              <w:contextualSpacing w:val="0"/>
              <w:rPr>
                <w:b/>
                <w:bCs/>
                <w:sz w:val="16"/>
                <w:szCs w:val="16"/>
              </w:rPr>
            </w:pPr>
            <w:r w:rsidRPr="005C6123">
              <w:rPr>
                <w:b/>
                <w:bCs/>
                <w:sz w:val="16"/>
                <w:szCs w:val="16"/>
              </w:rPr>
              <w:t>Technology</w:t>
            </w:r>
          </w:p>
          <w:p w14:paraId="5FBD115A" w14:textId="05057485" w:rsidR="00A0524C" w:rsidRDefault="00A0524C" w:rsidP="00A0524C">
            <w:pPr>
              <w:spacing w:line="240" w:lineRule="auto"/>
              <w:rPr>
                <w:bCs/>
                <w:sz w:val="16"/>
                <w:szCs w:val="16"/>
                <w:lang w:val="en-US"/>
              </w:rPr>
            </w:pPr>
            <w:r w:rsidRPr="005C6123">
              <w:rPr>
                <w:bCs/>
                <w:sz w:val="16"/>
                <w:szCs w:val="16"/>
                <w:lang w:val="en-US"/>
              </w:rPr>
              <w:t>Calibrated vent bags (also known as calibrated volume bag) are non-elastic bags of calibrated volume when fully inflated, made from antistatic plastic with a neck shaped for easy sealing around a leak or vent pipe.</w:t>
            </w:r>
          </w:p>
          <w:p w14:paraId="3D53C3FF" w14:textId="77777777" w:rsidR="00AD4C55" w:rsidRPr="005C6123" w:rsidRDefault="00AD4C55" w:rsidP="00A0524C">
            <w:pPr>
              <w:spacing w:line="240" w:lineRule="auto"/>
              <w:rPr>
                <w:bCs/>
                <w:sz w:val="16"/>
                <w:szCs w:val="16"/>
                <w:lang w:val="en-US"/>
              </w:rPr>
            </w:pPr>
          </w:p>
          <w:p w14:paraId="734F8C39" w14:textId="77777777" w:rsidR="00A0524C" w:rsidRPr="005C6123" w:rsidRDefault="00A0524C" w:rsidP="00A0524C">
            <w:pPr>
              <w:spacing w:line="240" w:lineRule="auto"/>
              <w:rPr>
                <w:b/>
                <w:bCs/>
                <w:sz w:val="16"/>
                <w:szCs w:val="16"/>
                <w:lang w:val="en-US"/>
              </w:rPr>
            </w:pPr>
            <w:r w:rsidRPr="005C6123">
              <w:rPr>
                <w:b/>
                <w:bCs/>
                <w:sz w:val="16"/>
                <w:szCs w:val="16"/>
                <w:lang w:val="en-US"/>
              </w:rPr>
              <w:lastRenderedPageBreak/>
              <w:t>Measurement</w:t>
            </w:r>
          </w:p>
          <w:p w14:paraId="4DC36170" w14:textId="77777777" w:rsidR="00A0524C" w:rsidRPr="005C6123" w:rsidRDefault="00A0524C" w:rsidP="00A0524C">
            <w:pPr>
              <w:spacing w:line="240" w:lineRule="auto"/>
              <w:rPr>
                <w:b/>
                <w:bCs/>
                <w:lang w:val="en-GB"/>
              </w:rPr>
            </w:pPr>
            <w:r w:rsidRPr="005C6123">
              <w:rPr>
                <w:bCs/>
                <w:sz w:val="16"/>
                <w:szCs w:val="16"/>
                <w:lang w:val="en-US"/>
              </w:rPr>
              <w:t>Measurement is made by timing the bag expansion to full capacity. The temperature of the gas is measured to allow correction of volume to standard conditions. Additionally, gas composition should be analyzed to determine the methane content of the vented gas because in some cases air may also be entrained in the vent, resulting in a mixture of gas and air.</w:t>
            </w:r>
          </w:p>
        </w:tc>
        <w:tc>
          <w:tcPr>
            <w:tcW w:w="2977" w:type="dxa"/>
            <w:tcBorders>
              <w:top w:val="nil"/>
              <w:right w:val="single" w:sz="4" w:space="0" w:color="208855" w:themeColor="accent1" w:themeShade="BF"/>
            </w:tcBorders>
            <w:shd w:val="clear" w:color="auto" w:fill="D0F4E3" w:themeFill="accent1" w:themeFillTint="33"/>
          </w:tcPr>
          <w:p w14:paraId="5B7DF3E8" w14:textId="77777777" w:rsidR="00A0524C" w:rsidRPr="005C6123" w:rsidRDefault="00A0524C" w:rsidP="005D2939">
            <w:pPr>
              <w:pStyle w:val="ListParagraph"/>
              <w:numPr>
                <w:ilvl w:val="0"/>
                <w:numId w:val="36"/>
              </w:numPr>
              <w:spacing w:before="120" w:after="120" w:line="276" w:lineRule="auto"/>
              <w:ind w:left="0"/>
              <w:contextualSpacing w:val="0"/>
              <w:rPr>
                <w:b/>
                <w:sz w:val="16"/>
                <w:szCs w:val="16"/>
              </w:rPr>
            </w:pPr>
            <w:r w:rsidRPr="005C6123">
              <w:rPr>
                <w:b/>
                <w:sz w:val="16"/>
                <w:szCs w:val="16"/>
              </w:rPr>
              <w:lastRenderedPageBreak/>
              <w:t>Calibrated vent bag operation</w:t>
            </w:r>
            <w:r w:rsidRPr="005C6123">
              <w:rPr>
                <w:rStyle w:val="FootnoteReference"/>
                <w:b/>
                <w:sz w:val="16"/>
                <w:szCs w:val="16"/>
              </w:rPr>
              <w:footnoteReference w:id="176"/>
            </w:r>
          </w:p>
          <w:p w14:paraId="0A02EC8B" w14:textId="77777777" w:rsidR="00A0524C" w:rsidRPr="005C6123" w:rsidRDefault="00A0524C" w:rsidP="00A0524C">
            <w:pPr>
              <w:pStyle w:val="ListParagraph"/>
              <w:spacing w:line="276" w:lineRule="auto"/>
              <w:ind w:left="34"/>
              <w:contextualSpacing w:val="0"/>
              <w:rPr>
                <w:b/>
                <w:sz w:val="10"/>
                <w:szCs w:val="10"/>
              </w:rPr>
            </w:pPr>
            <w:r>
              <w:rPr>
                <w:noProof/>
                <w:sz w:val="16"/>
                <w:szCs w:val="16"/>
                <w:lang w:val="nb-NO" w:eastAsia="nb-NO"/>
              </w:rPr>
              <w:lastRenderedPageBreak/>
              <w:drawing>
                <wp:inline distT="0" distB="0" distL="0" distR="0" wp14:anchorId="3117676B" wp14:editId="69E73B20">
                  <wp:extent cx="984250" cy="1123950"/>
                  <wp:effectExtent l="0" t="0" r="635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t="8437" b="4855"/>
                          <a:stretch>
                            <a:fillRect/>
                          </a:stretch>
                        </pic:blipFill>
                        <pic:spPr bwMode="auto">
                          <a:xfrm>
                            <a:off x="0" y="0"/>
                            <a:ext cx="984250" cy="1123950"/>
                          </a:xfrm>
                          <a:prstGeom prst="rect">
                            <a:avLst/>
                          </a:prstGeom>
                          <a:noFill/>
                          <a:ln>
                            <a:noFill/>
                          </a:ln>
                        </pic:spPr>
                      </pic:pic>
                    </a:graphicData>
                  </a:graphic>
                </wp:inline>
              </w:drawing>
            </w:r>
          </w:p>
          <w:p w14:paraId="2D393B22" w14:textId="77777777" w:rsidR="00A0524C" w:rsidRPr="005C6123" w:rsidRDefault="00A0524C" w:rsidP="00A0524C">
            <w:pPr>
              <w:spacing w:before="120" w:line="240" w:lineRule="auto"/>
              <w:rPr>
                <w:sz w:val="18"/>
                <w:szCs w:val="18"/>
                <w:lang w:val="en-US"/>
              </w:rPr>
            </w:pPr>
            <w:r w:rsidRPr="005C6123">
              <w:rPr>
                <w:b/>
                <w:sz w:val="16"/>
                <w:szCs w:val="16"/>
                <w:lang w:val="en-US"/>
              </w:rPr>
              <w:t>Investment Cost</w:t>
            </w:r>
          </w:p>
          <w:p w14:paraId="079E4865" w14:textId="77777777" w:rsidR="00A0524C" w:rsidRPr="005C6123" w:rsidRDefault="00A0524C" w:rsidP="00A0524C">
            <w:pPr>
              <w:rPr>
                <w:b/>
                <w:sz w:val="10"/>
                <w:szCs w:val="10"/>
              </w:rPr>
            </w:pPr>
            <w:r w:rsidRPr="005C6123">
              <w:rPr>
                <w:sz w:val="16"/>
                <w:szCs w:val="16"/>
              </w:rPr>
              <w:t>Approximately $50 each</w:t>
            </w:r>
            <w:r w:rsidRPr="005C6123">
              <w:rPr>
                <w:rStyle w:val="FootnoteReference"/>
                <w:sz w:val="16"/>
                <w:szCs w:val="16"/>
              </w:rPr>
              <w:footnoteReference w:id="177"/>
            </w:r>
          </w:p>
        </w:tc>
      </w:tr>
      <w:tr w:rsidR="00A0524C" w:rsidRPr="00104E87" w14:paraId="5665E790"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22741F8A" w14:textId="77777777" w:rsidR="00A0524C" w:rsidRPr="005C6123" w:rsidRDefault="00A0524C" w:rsidP="00A0524C">
            <w:pPr>
              <w:pStyle w:val="ListParagraph"/>
              <w:spacing w:before="40" w:after="40"/>
              <w:ind w:left="170"/>
              <w:contextualSpacing w:val="0"/>
              <w:jc w:val="right"/>
              <w:rPr>
                <w:b/>
                <w:bCs/>
                <w:sz w:val="15"/>
                <w:szCs w:val="15"/>
              </w:rPr>
            </w:pPr>
            <w:r w:rsidRPr="005C6123">
              <w:rPr>
                <w:b/>
                <w:bCs/>
                <w:sz w:val="15"/>
                <w:szCs w:val="15"/>
                <w:lang w:val="en-GB"/>
              </w:rPr>
              <w:lastRenderedPageBreak/>
              <w:t>Method of Usage</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5BEAB671" w14:textId="77777777" w:rsidR="00A0524C" w:rsidRPr="005C6123" w:rsidRDefault="00A0524C" w:rsidP="00A0524C">
            <w:pPr>
              <w:spacing w:before="40" w:after="40" w:line="240" w:lineRule="auto"/>
              <w:rPr>
                <w:sz w:val="15"/>
                <w:szCs w:val="15"/>
                <w:lang w:val="en-GB"/>
              </w:rPr>
            </w:pPr>
            <w:r w:rsidRPr="005C6123">
              <w:rPr>
                <w:sz w:val="15"/>
                <w:szCs w:val="15"/>
                <w:lang w:val="en-GB"/>
              </w:rPr>
              <w:t>Operator manually places vent bag around a vent pipe and rate is measured by operator directly at source. Stop-watch and manual measurement of gas temperature also required at source.</w:t>
            </w:r>
          </w:p>
        </w:tc>
      </w:tr>
      <w:tr w:rsidR="00A0524C" w:rsidRPr="004150E7" w14:paraId="3E27AFE1"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1E716957"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rPr>
              <w:t>Applicability</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7FE2E2E7" w14:textId="3E51E56A"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 xml:space="preserve">Requires access to emission source and useful for quantifying large methane leaks/vents ranging from </w:t>
            </w:r>
            <w:r w:rsidRPr="005C6123">
              <w:rPr>
                <w:sz w:val="15"/>
                <w:szCs w:val="15"/>
              </w:rPr>
              <w:t>17m</w:t>
            </w:r>
            <w:r w:rsidRPr="005C6123">
              <w:rPr>
                <w:sz w:val="15"/>
                <w:szCs w:val="15"/>
                <w:vertAlign w:val="superscript"/>
              </w:rPr>
              <w:t>3</w:t>
            </w:r>
            <w:r w:rsidRPr="005C6123">
              <w:rPr>
                <w:sz w:val="15"/>
                <w:szCs w:val="15"/>
              </w:rPr>
              <w:t xml:space="preserve"> / hour to 408 m</w:t>
            </w:r>
            <w:r w:rsidRPr="005C6123">
              <w:rPr>
                <w:sz w:val="15"/>
                <w:szCs w:val="15"/>
                <w:vertAlign w:val="superscript"/>
              </w:rPr>
              <w:t xml:space="preserve">3 </w:t>
            </w:r>
            <w:r w:rsidRPr="005C6123">
              <w:rPr>
                <w:sz w:val="15"/>
                <w:szCs w:val="15"/>
              </w:rPr>
              <w:t>/ hour with an accuracy of +/- 10%</w:t>
            </w:r>
            <w:r w:rsidR="004150E7">
              <w:rPr>
                <w:sz w:val="15"/>
                <w:szCs w:val="15"/>
              </w:rPr>
              <w:t>.</w:t>
            </w:r>
            <w:r w:rsidRPr="005C6123">
              <w:rPr>
                <w:rStyle w:val="FootnoteReference"/>
                <w:sz w:val="15"/>
                <w:szCs w:val="15"/>
              </w:rPr>
              <w:footnoteReference w:id="178"/>
            </w:r>
            <w:r w:rsidRPr="005C6123">
              <w:rPr>
                <w:sz w:val="15"/>
                <w:szCs w:val="15"/>
              </w:rPr>
              <w:t xml:space="preserve"> Not suitable for smaller emission points</w:t>
            </w:r>
          </w:p>
        </w:tc>
      </w:tr>
      <w:tr w:rsidR="00A0524C" w:rsidRPr="00104E87" w14:paraId="4DD4FFCB"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13931D3D"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rPr>
              <w:t>Quantification Speed</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0DD5601D"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Requires operator to record the time required to fill the vent bag using a stop-watch. Not time effective and only capable of quantifying a few leaks per hour.</w:t>
            </w:r>
          </w:p>
        </w:tc>
      </w:tr>
      <w:tr w:rsidR="00A0524C" w:rsidRPr="00104E87" w14:paraId="44E3E544"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7F65DE9E"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sz w:val="15"/>
                <w:szCs w:val="15"/>
                <w:lang w:val="en-GB"/>
              </w:rPr>
              <w:t>Climatic Constraints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021A455E" w14:textId="6252DE14"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Can measure</w:t>
            </w:r>
            <w:r w:rsidRPr="005C6123">
              <w:rPr>
                <w:sz w:val="15"/>
                <w:szCs w:val="15"/>
              </w:rPr>
              <w:t xml:space="preserve"> over a range of 0</w:t>
            </w:r>
            <w:r w:rsidRPr="005C6123">
              <w:rPr>
                <w:sz w:val="15"/>
                <w:szCs w:val="15"/>
              </w:rPr>
              <w:sym w:font="Symbol" w:char="F0B0"/>
            </w:r>
            <w:r w:rsidRPr="005C6123">
              <w:rPr>
                <w:sz w:val="15"/>
                <w:szCs w:val="15"/>
              </w:rPr>
              <w:t>C to 49</w:t>
            </w:r>
            <w:r w:rsidRPr="005C6123">
              <w:rPr>
                <w:sz w:val="15"/>
                <w:szCs w:val="15"/>
              </w:rPr>
              <w:sym w:font="Symbol" w:char="F0B0"/>
            </w:r>
            <w:r w:rsidRPr="005C6123">
              <w:rPr>
                <w:sz w:val="15"/>
                <w:szCs w:val="15"/>
              </w:rPr>
              <w:t>C, difficult to use in adverse weather conditions, particularly windy conditions.</w:t>
            </w:r>
            <w:r w:rsidR="004150E7" w:rsidRPr="005C6123">
              <w:rPr>
                <w:rStyle w:val="FootnoteReference"/>
                <w:sz w:val="15"/>
                <w:szCs w:val="15"/>
              </w:rPr>
              <w:footnoteReference w:id="179"/>
            </w:r>
            <w:r w:rsidRPr="005C6123">
              <w:rPr>
                <w:sz w:val="15"/>
                <w:szCs w:val="15"/>
              </w:rPr>
              <w:t xml:space="preserve"> </w:t>
            </w:r>
          </w:p>
        </w:tc>
      </w:tr>
      <w:tr w:rsidR="00A0524C" w:rsidRPr="00104E87" w14:paraId="3B1475F7"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75DF2B6F"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Safety Concerns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0D9227FB"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Requires operator to be located in close proximity to the leak.</w:t>
            </w:r>
          </w:p>
        </w:tc>
      </w:tr>
      <w:tr w:rsidR="00A0524C" w:rsidRPr="00104E87" w14:paraId="5BD2DE7D"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1AFE5DE6"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Service Requirements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2B64F9E0"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Not required, vent bag can be used approximately 100 times if handled with care.</w:t>
            </w:r>
          </w:p>
        </w:tc>
      </w:tr>
      <w:tr w:rsidR="00A0524C" w:rsidRPr="00104E87" w14:paraId="75F06002" w14:textId="77777777" w:rsidTr="00A0524C">
        <w:tc>
          <w:tcPr>
            <w:tcW w:w="1838" w:type="dxa"/>
            <w:tcBorders>
              <w:top w:val="single" w:sz="4" w:space="0" w:color="208855" w:themeColor="accent1" w:themeShade="BF"/>
              <w:left w:val="single" w:sz="4" w:space="0" w:color="208855" w:themeColor="accent1" w:themeShade="BF"/>
              <w:bottom w:val="single" w:sz="2" w:space="0" w:color="208855" w:themeColor="accent1" w:themeShade="BF"/>
            </w:tcBorders>
            <w:shd w:val="clear" w:color="auto" w:fill="auto"/>
          </w:tcPr>
          <w:p w14:paraId="43AE52A0"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Cost Considerations</w:t>
            </w:r>
          </w:p>
        </w:tc>
        <w:tc>
          <w:tcPr>
            <w:tcW w:w="7366" w:type="dxa"/>
            <w:gridSpan w:val="2"/>
            <w:tcBorders>
              <w:top w:val="single" w:sz="4" w:space="0" w:color="208855" w:themeColor="accent1" w:themeShade="BF"/>
              <w:bottom w:val="single" w:sz="2" w:space="0" w:color="208855" w:themeColor="accent1" w:themeShade="BF"/>
              <w:right w:val="single" w:sz="4" w:space="0" w:color="208855" w:themeColor="accent1" w:themeShade="BF"/>
            </w:tcBorders>
            <w:shd w:val="clear" w:color="auto" w:fill="auto"/>
          </w:tcPr>
          <w:p w14:paraId="11A4AF93"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Low cost method, approximately US$ 50 purchase cost per bag and available in various sizes, main expense lies in labour cost (usually 2 operators required).</w:t>
            </w:r>
          </w:p>
        </w:tc>
      </w:tr>
      <w:tr w:rsidR="00A0524C" w:rsidRPr="005C6123" w:rsidDel="00994E71" w14:paraId="176FE914" w14:textId="77777777" w:rsidTr="00A0524C">
        <w:tc>
          <w:tcPr>
            <w:tcW w:w="9204" w:type="dxa"/>
            <w:gridSpan w:val="3"/>
            <w:tcBorders>
              <w:top w:val="nil"/>
            </w:tcBorders>
            <w:shd w:val="clear" w:color="auto" w:fill="208855" w:themeFill="accent1" w:themeFillShade="BF"/>
            <w:vAlign w:val="center"/>
          </w:tcPr>
          <w:p w14:paraId="21A0231E" w14:textId="77777777" w:rsidR="00A0524C" w:rsidRPr="005C6123" w:rsidDel="00994E71" w:rsidRDefault="00A0524C" w:rsidP="00A0524C">
            <w:pPr>
              <w:tabs>
                <w:tab w:val="left" w:pos="810"/>
              </w:tabs>
              <w:spacing w:before="120"/>
              <w:jc w:val="both"/>
              <w:rPr>
                <w:b/>
                <w:bCs/>
                <w:color w:val="FFFFFF"/>
              </w:rPr>
            </w:pPr>
            <w:r w:rsidRPr="00FB48A1">
              <w:rPr>
                <w:b/>
                <w:bCs/>
                <w:color w:val="FFFFFF"/>
                <w:lang w:val="en-US"/>
              </w:rPr>
              <w:t>2. High Volume Sampler</w:t>
            </w:r>
          </w:p>
        </w:tc>
      </w:tr>
      <w:tr w:rsidR="00A0524C" w:rsidRPr="00104E87" w14:paraId="720516A5" w14:textId="77777777" w:rsidTr="00A0524C">
        <w:tc>
          <w:tcPr>
            <w:tcW w:w="6227" w:type="dxa"/>
            <w:gridSpan w:val="2"/>
            <w:tcBorders>
              <w:top w:val="single" w:sz="4" w:space="0" w:color="208855" w:themeColor="accent1" w:themeShade="BF"/>
              <w:left w:val="single" w:sz="4" w:space="0" w:color="208855" w:themeColor="accent1" w:themeShade="BF"/>
            </w:tcBorders>
            <w:shd w:val="clear" w:color="auto" w:fill="D0F4E3" w:themeFill="accent1" w:themeFillTint="33"/>
          </w:tcPr>
          <w:p w14:paraId="3B4D5A11" w14:textId="77777777" w:rsidR="00A0524C" w:rsidRPr="005C6123" w:rsidRDefault="00A0524C" w:rsidP="005D2939">
            <w:pPr>
              <w:pStyle w:val="ListParagraph"/>
              <w:numPr>
                <w:ilvl w:val="0"/>
                <w:numId w:val="36"/>
              </w:numPr>
              <w:spacing w:before="120" w:after="120" w:line="276" w:lineRule="auto"/>
              <w:ind w:left="0"/>
              <w:contextualSpacing w:val="0"/>
              <w:rPr>
                <w:b/>
                <w:bCs/>
                <w:sz w:val="16"/>
                <w:szCs w:val="16"/>
              </w:rPr>
            </w:pPr>
            <w:r w:rsidRPr="005C6123">
              <w:rPr>
                <w:b/>
                <w:bCs/>
                <w:sz w:val="16"/>
                <w:szCs w:val="16"/>
              </w:rPr>
              <w:t>Technology</w:t>
            </w:r>
          </w:p>
          <w:p w14:paraId="218501B0" w14:textId="77777777" w:rsidR="00A0524C" w:rsidRPr="005C6123" w:rsidRDefault="00A0524C" w:rsidP="00A0524C">
            <w:pPr>
              <w:spacing w:line="240" w:lineRule="auto"/>
              <w:rPr>
                <w:bCs/>
                <w:sz w:val="16"/>
                <w:szCs w:val="16"/>
                <w:lang w:val="en-US"/>
              </w:rPr>
            </w:pPr>
            <w:r w:rsidRPr="005C6123">
              <w:rPr>
                <w:bCs/>
                <w:sz w:val="16"/>
                <w:szCs w:val="16"/>
                <w:lang w:val="en-US"/>
              </w:rPr>
              <w:t>The High-volume sampler is an air suction pump with a combustible hydrocarbon concentration measurement designed to capture the total amount of the emissions from a leaking component or vent line.</w:t>
            </w:r>
            <w:r w:rsidRPr="005C6123">
              <w:rPr>
                <w:b/>
                <w:bCs/>
                <w:lang w:val="en-GB"/>
              </w:rPr>
              <w:t xml:space="preserve"> </w:t>
            </w:r>
            <w:r w:rsidRPr="005C6123">
              <w:rPr>
                <w:bCs/>
                <w:sz w:val="16"/>
                <w:szCs w:val="16"/>
                <w:lang w:val="en-US"/>
              </w:rPr>
              <w:t>A dual-element hydrocarbon detector (i.e., catalytic-oxidation/ thermal-conductivity) measures combustible hydrocarbon concentrations in the captured air stream. The calibrated air flow and hydrocarbon concentration is converted to a volumetric flow rate.</w:t>
            </w:r>
          </w:p>
          <w:p w14:paraId="069E89AB" w14:textId="77777777" w:rsidR="00A0524C" w:rsidRPr="005C6123" w:rsidRDefault="00A0524C" w:rsidP="00A0524C">
            <w:pPr>
              <w:spacing w:before="120" w:line="240" w:lineRule="auto"/>
              <w:rPr>
                <w:bCs/>
                <w:sz w:val="16"/>
                <w:szCs w:val="16"/>
                <w:lang w:val="en-US"/>
              </w:rPr>
            </w:pPr>
            <w:r w:rsidRPr="005C6123">
              <w:rPr>
                <w:b/>
                <w:bCs/>
                <w:sz w:val="16"/>
                <w:szCs w:val="16"/>
                <w:lang w:val="en-US"/>
              </w:rPr>
              <w:t>Measurement</w:t>
            </w:r>
          </w:p>
          <w:p w14:paraId="0B14189A" w14:textId="77777777" w:rsidR="00A0524C" w:rsidRPr="005C6123" w:rsidRDefault="00A0524C" w:rsidP="00A0524C">
            <w:pPr>
              <w:spacing w:line="240" w:lineRule="auto"/>
              <w:rPr>
                <w:b/>
                <w:bCs/>
                <w:lang w:val="en-GB"/>
              </w:rPr>
            </w:pPr>
            <w:r w:rsidRPr="005C6123">
              <w:rPr>
                <w:bCs/>
                <w:sz w:val="16"/>
                <w:szCs w:val="16"/>
                <w:lang w:val="en-US"/>
              </w:rPr>
              <w:t>The operator places the suction pump on a component, which sucks in the air and analyses if any traces of hydrocarbon is present by measuring the concentration. A thermal anemometer is also inserted directly into the main sample line which monitors the mass flow rate of the sampled air-hydrocarbon gas mixture. A background sample-collection line and hydrocarbon detector allow the sample readings to be corrected for ambient gas concentrations.</w:t>
            </w:r>
          </w:p>
        </w:tc>
        <w:tc>
          <w:tcPr>
            <w:tcW w:w="2977" w:type="dxa"/>
            <w:tcBorders>
              <w:top w:val="single" w:sz="4" w:space="0" w:color="208855" w:themeColor="accent1" w:themeShade="BF"/>
              <w:right w:val="single" w:sz="4" w:space="0" w:color="208855" w:themeColor="accent1" w:themeShade="BF"/>
            </w:tcBorders>
            <w:shd w:val="clear" w:color="auto" w:fill="D0F4E3" w:themeFill="accent1" w:themeFillTint="33"/>
          </w:tcPr>
          <w:p w14:paraId="1D007742" w14:textId="77777777" w:rsidR="00A0524C" w:rsidRPr="005C6123" w:rsidRDefault="00A0524C" w:rsidP="005D2939">
            <w:pPr>
              <w:pStyle w:val="ListParagraph"/>
              <w:numPr>
                <w:ilvl w:val="0"/>
                <w:numId w:val="36"/>
              </w:numPr>
              <w:spacing w:before="120" w:after="120" w:line="276" w:lineRule="auto"/>
              <w:ind w:left="0" w:hanging="357"/>
              <w:contextualSpacing w:val="0"/>
              <w:rPr>
                <w:sz w:val="16"/>
                <w:szCs w:val="16"/>
                <w:u w:val="single"/>
              </w:rPr>
            </w:pPr>
            <w:r w:rsidRPr="005C6123">
              <w:rPr>
                <w:b/>
                <w:sz w:val="16"/>
                <w:szCs w:val="16"/>
              </w:rPr>
              <w:t>High volume sampling</w:t>
            </w:r>
            <w:r w:rsidRPr="005C6123">
              <w:rPr>
                <w:rStyle w:val="FootnoteReference"/>
                <w:b/>
                <w:sz w:val="16"/>
                <w:szCs w:val="16"/>
              </w:rPr>
              <w:footnoteReference w:id="180"/>
            </w:r>
          </w:p>
          <w:p w14:paraId="35EBD201" w14:textId="77777777" w:rsidR="00A0524C" w:rsidRPr="005C6123" w:rsidRDefault="00A0524C" w:rsidP="005D2939">
            <w:pPr>
              <w:pStyle w:val="ListParagraph"/>
              <w:numPr>
                <w:ilvl w:val="0"/>
                <w:numId w:val="36"/>
              </w:numPr>
              <w:spacing w:line="276" w:lineRule="auto"/>
              <w:ind w:left="0"/>
              <w:contextualSpacing w:val="0"/>
              <w:rPr>
                <w:b/>
                <w:bCs/>
                <w:sz w:val="16"/>
                <w:szCs w:val="16"/>
              </w:rPr>
            </w:pPr>
            <w:r>
              <w:rPr>
                <w:b/>
                <w:noProof/>
                <w:sz w:val="16"/>
                <w:szCs w:val="16"/>
                <w:lang w:val="nb-NO" w:eastAsia="nb-NO"/>
              </w:rPr>
              <w:drawing>
                <wp:inline distT="0" distB="0" distL="0" distR="0" wp14:anchorId="66D430DC" wp14:editId="756359E3">
                  <wp:extent cx="1066800" cy="1028700"/>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t="11812" b="13705"/>
                          <a:stretch>
                            <a:fillRect/>
                          </a:stretch>
                        </pic:blipFill>
                        <pic:spPr bwMode="auto">
                          <a:xfrm>
                            <a:off x="0" y="0"/>
                            <a:ext cx="1066800" cy="1028700"/>
                          </a:xfrm>
                          <a:prstGeom prst="rect">
                            <a:avLst/>
                          </a:prstGeom>
                          <a:noFill/>
                          <a:ln>
                            <a:noFill/>
                          </a:ln>
                        </pic:spPr>
                      </pic:pic>
                    </a:graphicData>
                  </a:graphic>
                </wp:inline>
              </w:drawing>
            </w:r>
          </w:p>
          <w:p w14:paraId="32E43E97" w14:textId="77777777" w:rsidR="00A0524C" w:rsidRPr="005C6123" w:rsidRDefault="00A0524C" w:rsidP="00A0524C">
            <w:pPr>
              <w:spacing w:line="240" w:lineRule="auto"/>
              <w:rPr>
                <w:b/>
                <w:sz w:val="16"/>
                <w:szCs w:val="16"/>
                <w:lang w:val="en-US"/>
              </w:rPr>
            </w:pPr>
            <w:r w:rsidRPr="005C6123">
              <w:rPr>
                <w:b/>
                <w:sz w:val="16"/>
                <w:szCs w:val="16"/>
                <w:lang w:val="en-US"/>
              </w:rPr>
              <w:t>Investment Costs:</w:t>
            </w:r>
          </w:p>
          <w:p w14:paraId="7941F29B" w14:textId="77777777" w:rsidR="00A0524C" w:rsidRPr="005C6123" w:rsidRDefault="00A0524C" w:rsidP="00A0524C">
            <w:pPr>
              <w:spacing w:line="240" w:lineRule="auto"/>
              <w:rPr>
                <w:sz w:val="10"/>
                <w:szCs w:val="10"/>
                <w:lang w:val="en-GB"/>
              </w:rPr>
            </w:pPr>
            <w:r w:rsidRPr="005C6123">
              <w:rPr>
                <w:sz w:val="16"/>
                <w:szCs w:val="16"/>
                <w:lang w:val="en-US"/>
              </w:rPr>
              <w:t>Approx. $17,500 + $1,200 (calibration kit)</w:t>
            </w:r>
            <w:r w:rsidRPr="005C6123">
              <w:rPr>
                <w:rStyle w:val="FootnoteReference"/>
                <w:sz w:val="16"/>
                <w:szCs w:val="16"/>
              </w:rPr>
              <w:footnoteReference w:id="181"/>
            </w:r>
          </w:p>
        </w:tc>
      </w:tr>
      <w:tr w:rsidR="00A0524C" w:rsidRPr="00104E87" w14:paraId="4B30084C"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4842BF56" w14:textId="77777777" w:rsidR="00A0524C" w:rsidRPr="005C6123" w:rsidRDefault="00A0524C" w:rsidP="00A0524C">
            <w:pPr>
              <w:pStyle w:val="ListParagraph"/>
              <w:spacing w:before="40" w:after="40"/>
              <w:ind w:left="170"/>
              <w:contextualSpacing w:val="0"/>
              <w:jc w:val="right"/>
              <w:rPr>
                <w:b/>
                <w:bCs/>
                <w:sz w:val="15"/>
                <w:szCs w:val="15"/>
              </w:rPr>
            </w:pPr>
            <w:r w:rsidRPr="005C6123">
              <w:rPr>
                <w:b/>
                <w:bCs/>
                <w:sz w:val="15"/>
                <w:szCs w:val="15"/>
                <w:lang w:val="en-GB"/>
              </w:rPr>
              <w:t>Method of Usage</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43B328C6" w14:textId="77777777" w:rsidR="00A0524C" w:rsidRPr="005C6123" w:rsidRDefault="00A0524C" w:rsidP="00A0524C">
            <w:pPr>
              <w:spacing w:before="40" w:after="40" w:line="240" w:lineRule="auto"/>
              <w:rPr>
                <w:sz w:val="15"/>
                <w:szCs w:val="15"/>
                <w:lang w:val="en-GB"/>
              </w:rPr>
            </w:pPr>
            <w:r w:rsidRPr="005C6123">
              <w:rPr>
                <w:sz w:val="15"/>
                <w:szCs w:val="15"/>
                <w:lang w:val="en-GB"/>
              </w:rPr>
              <w:t>Operator manually places suction pump over suspected leak and rate is measured directly at source. Care needs to be taken to ensure against increased dilution of the emission with ambient air</w:t>
            </w:r>
          </w:p>
        </w:tc>
      </w:tr>
      <w:tr w:rsidR="00A0524C" w:rsidRPr="004150E7" w14:paraId="7D7B89A4"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0CBB39AF"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rPr>
              <w:t>Applicability</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05A09B89" w14:textId="71E1E928"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 xml:space="preserve">Requires access to emission source and useful for quantifying small leaks/vents ranging from </w:t>
            </w:r>
            <w:r w:rsidRPr="005C6123">
              <w:rPr>
                <w:sz w:val="15"/>
                <w:szCs w:val="15"/>
              </w:rPr>
              <w:t>0.02m</w:t>
            </w:r>
            <w:r w:rsidRPr="005C6123">
              <w:rPr>
                <w:sz w:val="15"/>
                <w:szCs w:val="15"/>
                <w:vertAlign w:val="superscript"/>
              </w:rPr>
              <w:t>3</w:t>
            </w:r>
            <w:r w:rsidRPr="005C6123">
              <w:rPr>
                <w:sz w:val="15"/>
                <w:szCs w:val="15"/>
              </w:rPr>
              <w:t xml:space="preserve"> / hour to18 m</w:t>
            </w:r>
            <w:r w:rsidRPr="005C6123">
              <w:rPr>
                <w:sz w:val="15"/>
                <w:szCs w:val="15"/>
                <w:vertAlign w:val="superscript"/>
              </w:rPr>
              <w:t xml:space="preserve">3 </w:t>
            </w:r>
            <w:r w:rsidRPr="005C6123">
              <w:rPr>
                <w:sz w:val="15"/>
                <w:szCs w:val="15"/>
              </w:rPr>
              <w:t>/ hour with an accuracy of +/- 10%</w:t>
            </w:r>
            <w:r w:rsidR="004150E7">
              <w:rPr>
                <w:sz w:val="15"/>
                <w:szCs w:val="15"/>
              </w:rPr>
              <w:t>.</w:t>
            </w:r>
            <w:r w:rsidRPr="005C6123">
              <w:rPr>
                <w:rStyle w:val="FootnoteReference"/>
                <w:sz w:val="15"/>
                <w:szCs w:val="15"/>
              </w:rPr>
              <w:footnoteReference w:id="182"/>
            </w:r>
            <w:r w:rsidRPr="005C6123">
              <w:rPr>
                <w:sz w:val="15"/>
                <w:szCs w:val="15"/>
              </w:rPr>
              <w:t xml:space="preserve"> Measures combustible hydrocarbon concentrations in the captured air stream ranging from 0.01% to 100% with a reliable range of uncertainty</w:t>
            </w:r>
            <w:r w:rsidR="004150E7">
              <w:rPr>
                <w:sz w:val="15"/>
                <w:szCs w:val="15"/>
              </w:rPr>
              <w:t>.</w:t>
            </w:r>
            <w:r w:rsidRPr="005C6123">
              <w:rPr>
                <w:rStyle w:val="FootnoteReference"/>
                <w:sz w:val="15"/>
                <w:szCs w:val="15"/>
              </w:rPr>
              <w:footnoteReference w:id="183"/>
            </w:r>
            <w:r w:rsidRPr="005C6123">
              <w:rPr>
                <w:sz w:val="15"/>
                <w:szCs w:val="15"/>
              </w:rPr>
              <w:t xml:space="preserve"> Does not distinguish between methane and heavier hydrocarbons.</w:t>
            </w:r>
          </w:p>
        </w:tc>
      </w:tr>
      <w:tr w:rsidR="00A0524C" w:rsidRPr="00104E87" w14:paraId="192864F4"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075C6599"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rPr>
              <w:t>Quantification Speed</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7EB24C5C"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Relatively time effective and essentially capable of quantifying multiple leaks per hour, however still requires manual operation of each measurement which can be relatively time consuming.</w:t>
            </w:r>
          </w:p>
        </w:tc>
      </w:tr>
      <w:tr w:rsidR="00A0524C" w:rsidRPr="00104E87" w14:paraId="651A39AE"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3DB59E1C"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sz w:val="15"/>
                <w:szCs w:val="15"/>
                <w:lang w:val="en-GB"/>
              </w:rPr>
              <w:t>Climatic Constraints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7B7F7E39" w14:textId="76EF8B40"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Can measure</w:t>
            </w:r>
            <w:r w:rsidRPr="005C6123">
              <w:rPr>
                <w:sz w:val="15"/>
                <w:szCs w:val="15"/>
              </w:rPr>
              <w:t xml:space="preserve"> over a temperature range of 0</w:t>
            </w:r>
            <w:r w:rsidRPr="005C6123">
              <w:rPr>
                <w:sz w:val="15"/>
                <w:szCs w:val="15"/>
              </w:rPr>
              <w:sym w:font="Symbol" w:char="F0B0"/>
            </w:r>
            <w:r w:rsidRPr="005C6123">
              <w:rPr>
                <w:sz w:val="15"/>
                <w:szCs w:val="15"/>
              </w:rPr>
              <w:t>C to 50</w:t>
            </w:r>
            <w:r w:rsidRPr="005C6123">
              <w:rPr>
                <w:sz w:val="15"/>
                <w:szCs w:val="15"/>
              </w:rPr>
              <w:sym w:font="Symbol" w:char="F0B0"/>
            </w:r>
            <w:r w:rsidRPr="005C6123">
              <w:rPr>
                <w:sz w:val="15"/>
                <w:szCs w:val="15"/>
              </w:rPr>
              <w:t>C, ideally suited to usage in favorable weather conditions</w:t>
            </w:r>
            <w:r w:rsidR="004150E7">
              <w:rPr>
                <w:sz w:val="15"/>
                <w:szCs w:val="15"/>
              </w:rPr>
              <w:t>.</w:t>
            </w:r>
            <w:r w:rsidR="004150E7" w:rsidRPr="005C6123">
              <w:rPr>
                <w:rStyle w:val="FootnoteReference"/>
                <w:sz w:val="15"/>
                <w:szCs w:val="15"/>
              </w:rPr>
              <w:footnoteReference w:id="184"/>
            </w:r>
          </w:p>
        </w:tc>
      </w:tr>
      <w:tr w:rsidR="00A0524C" w:rsidRPr="00104E87" w14:paraId="6ACF232F"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3A23B47C"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lastRenderedPageBreak/>
              <w:t>Safety Concerns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06CFBE96"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Device is intrinsically safe (equipped with grounding wire to dissipate any static charge). Requires operator to be located in close proximity to the leak.</w:t>
            </w:r>
          </w:p>
        </w:tc>
      </w:tr>
      <w:tr w:rsidR="00A0524C" w:rsidRPr="00104E87" w14:paraId="5F7A91C4"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27859FBD"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Service Requirements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4C4DCB3C" w14:textId="77777777" w:rsidR="00A0524C" w:rsidRPr="005C6123" w:rsidRDefault="00A0524C" w:rsidP="00A0524C">
            <w:pPr>
              <w:spacing w:before="40" w:after="40" w:line="240" w:lineRule="auto"/>
              <w:rPr>
                <w:sz w:val="15"/>
                <w:szCs w:val="15"/>
                <w:lang w:val="en-GB"/>
              </w:rPr>
            </w:pPr>
            <w:r w:rsidRPr="005C6123">
              <w:rPr>
                <w:sz w:val="15"/>
                <w:szCs w:val="15"/>
                <w:lang w:val="en-GB"/>
              </w:rPr>
              <w:t>Considerable calibration &amp; maintenance required. Calibration prior to each measurement campaign.</w:t>
            </w:r>
          </w:p>
        </w:tc>
      </w:tr>
      <w:tr w:rsidR="00A0524C" w:rsidRPr="00104E87" w14:paraId="6F3A279A" w14:textId="77777777" w:rsidTr="00A0524C">
        <w:tc>
          <w:tcPr>
            <w:tcW w:w="1838" w:type="dxa"/>
            <w:tcBorders>
              <w:top w:val="single" w:sz="4" w:space="0" w:color="208855" w:themeColor="accent1" w:themeShade="BF"/>
              <w:left w:val="single" w:sz="4" w:space="0" w:color="208855" w:themeColor="accent1" w:themeShade="BF"/>
              <w:bottom w:val="single" w:sz="2" w:space="0" w:color="208855" w:themeColor="accent1" w:themeShade="BF"/>
            </w:tcBorders>
            <w:shd w:val="clear" w:color="auto" w:fill="auto"/>
          </w:tcPr>
          <w:p w14:paraId="7C36E54A"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Cost Considerations</w:t>
            </w:r>
          </w:p>
        </w:tc>
        <w:tc>
          <w:tcPr>
            <w:tcW w:w="7366" w:type="dxa"/>
            <w:gridSpan w:val="2"/>
            <w:tcBorders>
              <w:top w:val="single" w:sz="4" w:space="0" w:color="208855" w:themeColor="accent1" w:themeShade="BF"/>
              <w:bottom w:val="single" w:sz="2" w:space="0" w:color="208855" w:themeColor="accent1" w:themeShade="BF"/>
              <w:right w:val="single" w:sz="4" w:space="0" w:color="208855" w:themeColor="accent1" w:themeShade="BF"/>
            </w:tcBorders>
            <w:shd w:val="clear" w:color="auto" w:fill="auto"/>
          </w:tcPr>
          <w:p w14:paraId="610746F6"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Relatively expensive method for quantifying leaks, especially when also considering labour costs.</w:t>
            </w:r>
          </w:p>
        </w:tc>
      </w:tr>
      <w:tr w:rsidR="00A0524C" w:rsidRPr="005C6123" w:rsidDel="00994E71" w14:paraId="2C4C2124" w14:textId="77777777" w:rsidTr="00A0524C">
        <w:tc>
          <w:tcPr>
            <w:tcW w:w="9204" w:type="dxa"/>
            <w:gridSpan w:val="3"/>
            <w:tcBorders>
              <w:top w:val="nil"/>
            </w:tcBorders>
            <w:shd w:val="clear" w:color="auto" w:fill="208855" w:themeFill="accent1" w:themeFillShade="BF"/>
            <w:vAlign w:val="center"/>
          </w:tcPr>
          <w:p w14:paraId="250E2FCA" w14:textId="77777777" w:rsidR="00A0524C" w:rsidRPr="005C6123" w:rsidDel="00994E71" w:rsidRDefault="00A0524C" w:rsidP="00A0524C">
            <w:pPr>
              <w:spacing w:before="120" w:line="240" w:lineRule="auto"/>
              <w:rPr>
                <w:b/>
                <w:bCs/>
              </w:rPr>
            </w:pPr>
            <w:r w:rsidRPr="00FB48A1">
              <w:rPr>
                <w:b/>
                <w:bCs/>
                <w:color w:val="FFFFFF"/>
                <w:lang w:val="en-US"/>
              </w:rPr>
              <w:t>3. Flow Meters</w:t>
            </w:r>
          </w:p>
        </w:tc>
      </w:tr>
      <w:tr w:rsidR="00A0524C" w:rsidRPr="00104E87" w14:paraId="264E7EE3" w14:textId="77777777" w:rsidTr="00A0524C">
        <w:tc>
          <w:tcPr>
            <w:tcW w:w="6227" w:type="dxa"/>
            <w:gridSpan w:val="2"/>
            <w:tcBorders>
              <w:top w:val="single" w:sz="4" w:space="0" w:color="208855" w:themeColor="accent1" w:themeShade="BF"/>
              <w:left w:val="single" w:sz="4" w:space="0" w:color="208855" w:themeColor="accent1" w:themeShade="BF"/>
            </w:tcBorders>
            <w:shd w:val="clear" w:color="auto" w:fill="D0F4E3" w:themeFill="accent1" w:themeFillTint="33"/>
          </w:tcPr>
          <w:p w14:paraId="7FA023DD" w14:textId="77777777" w:rsidR="00A0524C" w:rsidRPr="005C6123" w:rsidRDefault="00A0524C" w:rsidP="00A0524C">
            <w:pPr>
              <w:pStyle w:val="ListParagraph"/>
              <w:spacing w:before="120" w:after="120"/>
              <w:contextualSpacing w:val="0"/>
              <w:rPr>
                <w:bCs/>
                <w:sz w:val="16"/>
                <w:szCs w:val="16"/>
              </w:rPr>
            </w:pPr>
            <w:r w:rsidRPr="005C6123">
              <w:rPr>
                <w:b/>
                <w:bCs/>
                <w:sz w:val="16"/>
                <w:szCs w:val="16"/>
              </w:rPr>
              <w:t>Technology</w:t>
            </w:r>
          </w:p>
          <w:p w14:paraId="3D8CC18F" w14:textId="77777777" w:rsidR="00A0524C" w:rsidRPr="005C6123" w:rsidRDefault="00A0524C" w:rsidP="00A0524C">
            <w:pPr>
              <w:spacing w:line="240" w:lineRule="auto"/>
              <w:rPr>
                <w:sz w:val="16"/>
                <w:szCs w:val="16"/>
                <w:lang w:val="en-US"/>
              </w:rPr>
            </w:pPr>
            <w:r w:rsidRPr="005C6123">
              <w:rPr>
                <w:sz w:val="16"/>
                <w:szCs w:val="16"/>
                <w:lang w:val="en-US"/>
              </w:rPr>
              <w:t>There are several flow meter technologies that can be used including</w:t>
            </w:r>
            <w:r w:rsidRPr="005C6123">
              <w:rPr>
                <w:sz w:val="16"/>
                <w:szCs w:val="16"/>
                <w:lang w:val="en-GB"/>
              </w:rPr>
              <w:t>:</w:t>
            </w:r>
            <w:r w:rsidRPr="005C6123">
              <w:rPr>
                <w:rStyle w:val="FootnoteReference"/>
                <w:sz w:val="16"/>
                <w:szCs w:val="16"/>
              </w:rPr>
              <w:footnoteReference w:id="185"/>
            </w:r>
            <w:r w:rsidRPr="005C6123">
              <w:rPr>
                <w:sz w:val="16"/>
                <w:szCs w:val="16"/>
                <w:lang w:val="en-US"/>
              </w:rPr>
              <w:t xml:space="preserve"> </w:t>
            </w:r>
          </w:p>
          <w:p w14:paraId="5BEA508E" w14:textId="77777777" w:rsidR="00A0524C" w:rsidRPr="005C6123" w:rsidRDefault="00A0524C" w:rsidP="005D2939">
            <w:pPr>
              <w:pStyle w:val="ListParagraph"/>
              <w:numPr>
                <w:ilvl w:val="0"/>
                <w:numId w:val="48"/>
              </w:numPr>
              <w:spacing w:before="120" w:after="120" w:line="240" w:lineRule="auto"/>
              <w:ind w:left="444" w:hanging="283"/>
              <w:rPr>
                <w:b/>
                <w:bCs/>
                <w:sz w:val="16"/>
                <w:szCs w:val="16"/>
              </w:rPr>
            </w:pPr>
            <w:r w:rsidRPr="005C6123">
              <w:rPr>
                <w:b/>
                <w:bCs/>
                <w:sz w:val="16"/>
                <w:szCs w:val="16"/>
              </w:rPr>
              <w:t xml:space="preserve">Positive displacement flow meters </w:t>
            </w:r>
            <w:r w:rsidRPr="005C6123">
              <w:rPr>
                <w:bCs/>
                <w:sz w:val="16"/>
                <w:szCs w:val="16"/>
              </w:rPr>
              <w:t>which measures volumetric flow by requiring gas to mechanically displace components</w:t>
            </w:r>
          </w:p>
          <w:p w14:paraId="47214DF9" w14:textId="77777777" w:rsidR="00A0524C" w:rsidRPr="005C6123" w:rsidRDefault="00A0524C" w:rsidP="005D2939">
            <w:pPr>
              <w:pStyle w:val="ListParagraph"/>
              <w:numPr>
                <w:ilvl w:val="0"/>
                <w:numId w:val="48"/>
              </w:numPr>
              <w:spacing w:before="120" w:after="120" w:line="240" w:lineRule="auto"/>
              <w:ind w:left="444" w:hanging="283"/>
              <w:rPr>
                <w:b/>
                <w:bCs/>
                <w:sz w:val="16"/>
                <w:szCs w:val="16"/>
              </w:rPr>
            </w:pPr>
            <w:r w:rsidRPr="005C6123">
              <w:rPr>
                <w:b/>
                <w:bCs/>
                <w:sz w:val="16"/>
                <w:szCs w:val="16"/>
              </w:rPr>
              <w:t xml:space="preserve">Thermal mass flow meters </w:t>
            </w:r>
            <w:r w:rsidRPr="005C6123">
              <w:rPr>
                <w:bCs/>
                <w:sz w:val="16"/>
                <w:szCs w:val="16"/>
              </w:rPr>
              <w:t>which measures mass flow based on heat transfer from a heated element</w:t>
            </w:r>
          </w:p>
          <w:p w14:paraId="63B922FF" w14:textId="77777777" w:rsidR="00A0524C" w:rsidRPr="005C6123" w:rsidRDefault="00A0524C" w:rsidP="005D2939">
            <w:pPr>
              <w:pStyle w:val="ListParagraph"/>
              <w:numPr>
                <w:ilvl w:val="0"/>
                <w:numId w:val="48"/>
              </w:numPr>
              <w:spacing w:before="120" w:after="120" w:line="240" w:lineRule="auto"/>
              <w:ind w:left="444" w:hanging="283"/>
              <w:rPr>
                <w:b/>
                <w:bCs/>
                <w:sz w:val="16"/>
                <w:szCs w:val="16"/>
              </w:rPr>
            </w:pPr>
            <w:r w:rsidRPr="005C6123">
              <w:rPr>
                <w:b/>
                <w:bCs/>
                <w:sz w:val="16"/>
                <w:szCs w:val="16"/>
              </w:rPr>
              <w:t xml:space="preserve">Turbine flow meters </w:t>
            </w:r>
            <w:r w:rsidRPr="005C6123">
              <w:rPr>
                <w:bCs/>
                <w:sz w:val="16"/>
                <w:szCs w:val="16"/>
              </w:rPr>
              <w:t>measure volumetric flow based on the gas flowing passed a free spinning rotor</w:t>
            </w:r>
          </w:p>
          <w:p w14:paraId="50806CCC" w14:textId="77777777" w:rsidR="00A0524C" w:rsidRPr="005C6123" w:rsidRDefault="00A0524C" w:rsidP="005D2939">
            <w:pPr>
              <w:pStyle w:val="ListParagraph"/>
              <w:numPr>
                <w:ilvl w:val="0"/>
                <w:numId w:val="48"/>
              </w:numPr>
              <w:spacing w:before="120" w:after="120" w:line="240" w:lineRule="auto"/>
              <w:ind w:left="444" w:hanging="283"/>
              <w:rPr>
                <w:b/>
                <w:bCs/>
                <w:sz w:val="16"/>
                <w:szCs w:val="16"/>
              </w:rPr>
            </w:pPr>
            <w:r w:rsidRPr="005C6123">
              <w:rPr>
                <w:b/>
                <w:bCs/>
                <w:sz w:val="16"/>
                <w:szCs w:val="16"/>
              </w:rPr>
              <w:t xml:space="preserve">Ultrasonic flow meters </w:t>
            </w:r>
            <w:r w:rsidRPr="005C6123">
              <w:rPr>
                <w:bCs/>
                <w:sz w:val="16"/>
                <w:szCs w:val="16"/>
              </w:rPr>
              <w:t>which measure the difference in transit time of pulses that travel between two transducers</w:t>
            </w:r>
          </w:p>
          <w:p w14:paraId="69DAB7FB" w14:textId="77777777" w:rsidR="00A0524C" w:rsidRPr="005C6123" w:rsidRDefault="00A0524C" w:rsidP="00A0524C">
            <w:pPr>
              <w:spacing w:line="240" w:lineRule="auto"/>
              <w:rPr>
                <w:sz w:val="16"/>
                <w:szCs w:val="16"/>
                <w:lang w:val="en-GB"/>
              </w:rPr>
            </w:pPr>
            <w:r w:rsidRPr="005C6123">
              <w:rPr>
                <w:sz w:val="16"/>
                <w:szCs w:val="16"/>
                <w:lang w:val="en-US"/>
              </w:rPr>
              <w:t xml:space="preserve">Other flow meters could also be used to quantify flow rates in cold-venting or flare lines including </w:t>
            </w:r>
            <w:proofErr w:type="spellStart"/>
            <w:r w:rsidRPr="005C6123">
              <w:rPr>
                <w:sz w:val="16"/>
                <w:szCs w:val="16"/>
                <w:lang w:val="en-US"/>
              </w:rPr>
              <w:t>coriolis</w:t>
            </w:r>
            <w:proofErr w:type="spellEnd"/>
            <w:r w:rsidRPr="005C6123">
              <w:rPr>
                <w:sz w:val="16"/>
                <w:szCs w:val="16"/>
                <w:lang w:val="en-US"/>
              </w:rPr>
              <w:t>, differential pressure and vortex flow meters.</w:t>
            </w:r>
          </w:p>
          <w:p w14:paraId="06D10B47" w14:textId="77777777" w:rsidR="00A0524C" w:rsidRPr="005C6123" w:rsidRDefault="00A0524C" w:rsidP="00A0524C">
            <w:pPr>
              <w:spacing w:line="240" w:lineRule="auto"/>
              <w:rPr>
                <w:b/>
                <w:lang w:val="en-GB"/>
              </w:rPr>
            </w:pPr>
            <w:r w:rsidRPr="005C6123">
              <w:rPr>
                <w:b/>
                <w:bCs/>
                <w:sz w:val="16"/>
                <w:szCs w:val="16"/>
                <w:lang w:val="en-GB"/>
              </w:rPr>
              <w:t>Measurement</w:t>
            </w:r>
          </w:p>
          <w:p w14:paraId="1CAA5645" w14:textId="77777777" w:rsidR="00A0524C" w:rsidRPr="005C6123" w:rsidRDefault="00A0524C" w:rsidP="00A0524C">
            <w:pPr>
              <w:spacing w:before="120" w:line="240" w:lineRule="auto"/>
              <w:rPr>
                <w:bCs/>
                <w:sz w:val="16"/>
                <w:szCs w:val="16"/>
                <w:lang w:val="en-US"/>
              </w:rPr>
            </w:pPr>
            <w:r w:rsidRPr="005C6123">
              <w:rPr>
                <w:bCs/>
                <w:sz w:val="16"/>
                <w:szCs w:val="16"/>
                <w:lang w:val="en-US"/>
              </w:rPr>
              <w:t>Flow meters quantify gas flow in-line on pipes or at open-ended lines and are generally either inserted or directly mounted onto piping.</w:t>
            </w:r>
            <w:r w:rsidRPr="005C6123">
              <w:rPr>
                <w:sz w:val="16"/>
                <w:szCs w:val="16"/>
                <w:lang w:val="en-US"/>
              </w:rPr>
              <w:t xml:space="preserve"> </w:t>
            </w:r>
          </w:p>
        </w:tc>
        <w:tc>
          <w:tcPr>
            <w:tcW w:w="2977" w:type="dxa"/>
            <w:tcBorders>
              <w:top w:val="single" w:sz="4" w:space="0" w:color="208855" w:themeColor="accent1" w:themeShade="BF"/>
              <w:right w:val="single" w:sz="4" w:space="0" w:color="208855" w:themeColor="accent1" w:themeShade="BF"/>
            </w:tcBorders>
            <w:shd w:val="clear" w:color="auto" w:fill="D0F4E3" w:themeFill="accent1" w:themeFillTint="33"/>
          </w:tcPr>
          <w:p w14:paraId="4DBC66BD" w14:textId="77777777" w:rsidR="00A0524C" w:rsidRPr="005C6123" w:rsidRDefault="00A0524C" w:rsidP="005D2939">
            <w:pPr>
              <w:pStyle w:val="ListParagraph"/>
              <w:numPr>
                <w:ilvl w:val="0"/>
                <w:numId w:val="36"/>
              </w:numPr>
              <w:spacing w:before="120" w:after="120" w:line="276" w:lineRule="auto"/>
              <w:ind w:left="0" w:hanging="357"/>
              <w:contextualSpacing w:val="0"/>
              <w:rPr>
                <w:sz w:val="16"/>
                <w:szCs w:val="16"/>
                <w:u w:val="single"/>
              </w:rPr>
            </w:pPr>
            <w:r w:rsidRPr="005C6123">
              <w:rPr>
                <w:b/>
                <w:sz w:val="16"/>
                <w:szCs w:val="16"/>
              </w:rPr>
              <w:t>Flow meter in operation (turbine meter)</w:t>
            </w:r>
            <w:r w:rsidRPr="005C6123">
              <w:rPr>
                <w:rStyle w:val="FootnoteReference"/>
                <w:b/>
                <w:sz w:val="16"/>
                <w:szCs w:val="16"/>
              </w:rPr>
              <w:footnoteReference w:id="186"/>
            </w:r>
          </w:p>
          <w:p w14:paraId="4FBE3A0D" w14:textId="77777777" w:rsidR="00A0524C" w:rsidRPr="005C6123" w:rsidRDefault="00A0524C" w:rsidP="00A0524C">
            <w:pPr>
              <w:keepNext/>
              <w:rPr>
                <w:sz w:val="16"/>
                <w:szCs w:val="16"/>
              </w:rPr>
            </w:pPr>
            <w:r>
              <w:rPr>
                <w:noProof/>
                <w:lang w:eastAsia="nb-NO"/>
              </w:rPr>
              <w:drawing>
                <wp:inline distT="0" distB="0" distL="0" distR="0" wp14:anchorId="7F7C3DDD" wp14:editId="5C5E56C5">
                  <wp:extent cx="1206500" cy="933450"/>
                  <wp:effectExtent l="0" t="0" r="0" b="0"/>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0" cy="933450"/>
                          </a:xfrm>
                          <a:prstGeom prst="rect">
                            <a:avLst/>
                          </a:prstGeom>
                          <a:noFill/>
                          <a:ln>
                            <a:noFill/>
                          </a:ln>
                        </pic:spPr>
                      </pic:pic>
                    </a:graphicData>
                  </a:graphic>
                </wp:inline>
              </w:drawing>
            </w:r>
          </w:p>
          <w:p w14:paraId="4FC5D2F2" w14:textId="77777777" w:rsidR="00A0524C" w:rsidRPr="005C6123" w:rsidRDefault="00A0524C" w:rsidP="00A0524C">
            <w:pPr>
              <w:spacing w:before="120" w:line="240" w:lineRule="auto"/>
              <w:rPr>
                <w:sz w:val="16"/>
                <w:szCs w:val="16"/>
                <w:lang w:val="en-US"/>
              </w:rPr>
            </w:pPr>
            <w:r w:rsidRPr="005C6123">
              <w:rPr>
                <w:b/>
                <w:sz w:val="16"/>
                <w:szCs w:val="16"/>
                <w:lang w:val="en-US"/>
              </w:rPr>
              <w:t>Investment Cost</w:t>
            </w:r>
          </w:p>
          <w:p w14:paraId="733A8007" w14:textId="3CEBF7D6" w:rsidR="00A0524C" w:rsidRPr="005C6123" w:rsidRDefault="00A0524C" w:rsidP="00A0524C">
            <w:pPr>
              <w:spacing w:line="240" w:lineRule="auto"/>
              <w:rPr>
                <w:sz w:val="16"/>
                <w:szCs w:val="16"/>
                <w:lang w:val="en-GB"/>
              </w:rPr>
            </w:pPr>
            <w:r w:rsidRPr="005C6123">
              <w:rPr>
                <w:sz w:val="16"/>
                <w:szCs w:val="16"/>
                <w:lang w:val="en-US"/>
              </w:rPr>
              <w:t>Dependent on type of meter (e.g. turbine meter approximately US$4,000, thermal mass flow meter US$4,500- US$8,500</w:t>
            </w:r>
            <w:r w:rsidR="004150E7">
              <w:rPr>
                <w:sz w:val="16"/>
                <w:szCs w:val="16"/>
                <w:lang w:val="en-US"/>
              </w:rPr>
              <w:t>)</w:t>
            </w:r>
            <w:r w:rsidRPr="005C6123">
              <w:rPr>
                <w:rStyle w:val="FootnoteReference"/>
                <w:sz w:val="16"/>
                <w:szCs w:val="16"/>
              </w:rPr>
              <w:footnoteReference w:id="187"/>
            </w:r>
          </w:p>
        </w:tc>
      </w:tr>
      <w:tr w:rsidR="00A0524C" w:rsidRPr="00104E87" w14:paraId="637F1199"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2C668523" w14:textId="77777777" w:rsidR="00A0524C" w:rsidRPr="005C6123" w:rsidRDefault="00A0524C" w:rsidP="00A0524C">
            <w:pPr>
              <w:spacing w:before="40" w:after="40" w:line="240" w:lineRule="auto"/>
              <w:ind w:left="360"/>
              <w:jc w:val="right"/>
              <w:rPr>
                <w:b/>
                <w:bCs/>
                <w:sz w:val="15"/>
                <w:szCs w:val="15"/>
              </w:rPr>
            </w:pPr>
            <w:bookmarkStart w:id="148" w:name="_Hlk526773341"/>
            <w:r w:rsidRPr="005C6123">
              <w:rPr>
                <w:b/>
                <w:bCs/>
                <w:sz w:val="15"/>
                <w:szCs w:val="15"/>
                <w:lang w:val="en-GB"/>
              </w:rPr>
              <w:t>Method of Usage</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740E4BCE" w14:textId="77777777" w:rsidR="00A0524C" w:rsidRPr="005C6123" w:rsidRDefault="00A0524C" w:rsidP="00A0524C">
            <w:pPr>
              <w:spacing w:before="40" w:after="40" w:line="240" w:lineRule="auto"/>
              <w:rPr>
                <w:sz w:val="15"/>
                <w:szCs w:val="15"/>
                <w:lang w:val="en-GB"/>
              </w:rPr>
            </w:pPr>
            <w:r w:rsidRPr="005C6123">
              <w:rPr>
                <w:sz w:val="15"/>
                <w:szCs w:val="15"/>
                <w:lang w:val="en-GB"/>
              </w:rPr>
              <w:t xml:space="preserve">Flow meters are either inserted in the gas flow from an open-ended pipe or through a port in a gas flow pipeline or flare line (e.g. thermal mass flow meter), mounted directly on piping (e.g. turbine meter) or can be in some types even be clipped on externally on piping (e.g. clip-on version of ultrasonic meter). </w:t>
            </w:r>
          </w:p>
        </w:tc>
      </w:tr>
      <w:tr w:rsidR="00A0524C" w:rsidRPr="00104E87" w14:paraId="1C290A08"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1CD30CDA" w14:textId="77777777" w:rsidR="00A0524C" w:rsidRPr="005C6123" w:rsidRDefault="00A0524C" w:rsidP="00A0524C">
            <w:pPr>
              <w:spacing w:before="40" w:after="40" w:line="240" w:lineRule="auto"/>
              <w:ind w:left="720" w:hanging="360"/>
              <w:jc w:val="right"/>
              <w:rPr>
                <w:b/>
                <w:bCs/>
                <w:sz w:val="15"/>
                <w:szCs w:val="15"/>
                <w:lang w:val="en-GB"/>
              </w:rPr>
            </w:pPr>
            <w:r w:rsidRPr="005C6123">
              <w:rPr>
                <w:b/>
                <w:bCs/>
                <w:sz w:val="15"/>
                <w:szCs w:val="15"/>
              </w:rPr>
              <w:t>Applicability</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67A0BABE" w14:textId="77777777" w:rsidR="00A0524C" w:rsidRPr="005C6123" w:rsidRDefault="00A0524C" w:rsidP="00A0524C">
            <w:pPr>
              <w:spacing w:before="40" w:after="40" w:line="240" w:lineRule="auto"/>
              <w:rPr>
                <w:sz w:val="15"/>
                <w:szCs w:val="15"/>
                <w:lang w:val="en-US"/>
              </w:rPr>
            </w:pPr>
            <w:r w:rsidRPr="005C6123">
              <w:rPr>
                <w:bCs/>
                <w:sz w:val="15"/>
                <w:szCs w:val="15"/>
                <w:lang w:val="en-US"/>
              </w:rPr>
              <w:t>Useful for measuring larger gas flows in open-ended pipes and other gas lines such as flare lines. Not applicable for leaks (e.g. flanges and valves). Depending on technology used, flow meters are able to measure smaller gas flows (e.g. from 8m</w:t>
            </w:r>
            <w:r w:rsidRPr="005C6123">
              <w:rPr>
                <w:bCs/>
                <w:sz w:val="15"/>
                <w:szCs w:val="15"/>
                <w:vertAlign w:val="superscript"/>
                <w:lang w:val="en-US"/>
              </w:rPr>
              <w:t>3</w:t>
            </w:r>
            <w:r w:rsidRPr="005C6123">
              <w:rPr>
                <w:bCs/>
                <w:sz w:val="15"/>
                <w:szCs w:val="15"/>
                <w:lang w:val="en-US"/>
              </w:rPr>
              <w:t>/</w:t>
            </w:r>
            <w:proofErr w:type="spellStart"/>
            <w:r w:rsidRPr="005C6123">
              <w:rPr>
                <w:bCs/>
                <w:sz w:val="15"/>
                <w:szCs w:val="15"/>
                <w:lang w:val="en-US"/>
              </w:rPr>
              <w:t>hr</w:t>
            </w:r>
            <w:proofErr w:type="spellEnd"/>
            <w:r w:rsidRPr="005C6123">
              <w:rPr>
                <w:bCs/>
                <w:sz w:val="15"/>
                <w:szCs w:val="15"/>
                <w:lang w:val="en-US"/>
              </w:rPr>
              <w:t xml:space="preserve"> for thermal mass flow meters) to extremely large flow (e.g. ultrasonic meters). Accuracy depends on type and model, however can be generally considered high especially relative to other quantification technologies.</w:t>
            </w:r>
          </w:p>
        </w:tc>
      </w:tr>
      <w:tr w:rsidR="00A0524C" w:rsidRPr="00104E87" w14:paraId="37C8C090"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6D7283CF" w14:textId="77777777" w:rsidR="00A0524C" w:rsidRPr="005C6123" w:rsidRDefault="00A0524C" w:rsidP="00A0524C">
            <w:pPr>
              <w:spacing w:before="40" w:after="40" w:line="240" w:lineRule="auto"/>
              <w:ind w:left="720" w:hanging="360"/>
              <w:jc w:val="right"/>
              <w:rPr>
                <w:b/>
                <w:bCs/>
                <w:sz w:val="15"/>
                <w:szCs w:val="15"/>
                <w:lang w:val="en-GB"/>
              </w:rPr>
            </w:pPr>
            <w:r w:rsidRPr="005C6123">
              <w:rPr>
                <w:b/>
                <w:bCs/>
                <w:sz w:val="15"/>
                <w:szCs w:val="15"/>
                <w:lang w:val="en-GB"/>
              </w:rPr>
              <w:t xml:space="preserve"> </w:t>
            </w:r>
            <w:r w:rsidRPr="005C6123">
              <w:rPr>
                <w:b/>
                <w:bCs/>
                <w:sz w:val="15"/>
                <w:szCs w:val="15"/>
              </w:rPr>
              <w:t>Quantification Speed</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5D379129"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Real time measurement in cases it is permanently installed. When portable flowmeter is used, the quantification speed is rather low due to the time required for mounting the meter.</w:t>
            </w:r>
          </w:p>
        </w:tc>
      </w:tr>
      <w:tr w:rsidR="00A0524C" w:rsidRPr="00104E87" w14:paraId="24168EA5"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2B903905"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sz w:val="15"/>
                <w:szCs w:val="15"/>
                <w:lang w:val="en-GB"/>
              </w:rPr>
              <w:t>Climatic Constraints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56E82D16"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 xml:space="preserve">Depending on type of flow meter. Generally applicable for </w:t>
            </w:r>
            <w:r w:rsidRPr="005C6123">
              <w:rPr>
                <w:sz w:val="15"/>
                <w:szCs w:val="15"/>
              </w:rPr>
              <w:t xml:space="preserve">a wide range of conditions. </w:t>
            </w:r>
          </w:p>
        </w:tc>
      </w:tr>
      <w:tr w:rsidR="00A0524C" w:rsidRPr="00104E87" w14:paraId="5B29388B"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106B07C4" w14:textId="77777777" w:rsidR="00A0524C" w:rsidRPr="005C6123" w:rsidRDefault="00A0524C" w:rsidP="00A0524C">
            <w:pPr>
              <w:spacing w:before="40" w:after="40" w:line="240" w:lineRule="auto"/>
              <w:ind w:left="720" w:hanging="360"/>
              <w:jc w:val="right"/>
              <w:rPr>
                <w:b/>
                <w:bCs/>
                <w:sz w:val="15"/>
                <w:szCs w:val="15"/>
                <w:lang w:val="en-GB"/>
              </w:rPr>
            </w:pPr>
            <w:r w:rsidRPr="005C6123">
              <w:rPr>
                <w:b/>
                <w:bCs/>
                <w:sz w:val="15"/>
                <w:szCs w:val="15"/>
                <w:lang w:val="en-GB"/>
              </w:rPr>
              <w:t>Safety Concerns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7515AA0A"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Doesn`t require operator to be close to source, unless for taking manual reading in some meter types (e.g. some turbine meters)</w:t>
            </w:r>
          </w:p>
        </w:tc>
      </w:tr>
      <w:tr w:rsidR="00A0524C" w:rsidRPr="00104E87" w14:paraId="7A1C4586"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576B1086"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Service Requirements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4165D153" w14:textId="77777777" w:rsidR="00A0524C" w:rsidRPr="005C6123" w:rsidRDefault="00A0524C" w:rsidP="00A0524C">
            <w:pPr>
              <w:spacing w:before="40" w:after="40" w:line="240" w:lineRule="auto"/>
              <w:rPr>
                <w:sz w:val="15"/>
                <w:szCs w:val="15"/>
                <w:lang w:val="en-GB"/>
              </w:rPr>
            </w:pPr>
            <w:r w:rsidRPr="005C6123">
              <w:rPr>
                <w:sz w:val="15"/>
                <w:szCs w:val="15"/>
                <w:lang w:val="en-GB"/>
              </w:rPr>
              <w:t>Depending on flow meter either routine calibration required as per manufacturer, some types come with lifetime calibration (e.g. Ultrasonic flow meters)</w:t>
            </w:r>
          </w:p>
        </w:tc>
      </w:tr>
      <w:tr w:rsidR="00A0524C" w:rsidRPr="00104E87" w14:paraId="7EDF85E5" w14:textId="77777777" w:rsidTr="0059177F">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29A426DC"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Cost Considerations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19737F18"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Depending on meter, but generally considered cost efficient especially for high flow measurement.</w:t>
            </w:r>
          </w:p>
        </w:tc>
      </w:tr>
      <w:tr w:rsidR="0059177F" w:rsidRPr="00104E87" w14:paraId="39CCFD22" w14:textId="77777777" w:rsidTr="0059177F">
        <w:tc>
          <w:tcPr>
            <w:tcW w:w="1838" w:type="dxa"/>
            <w:tcBorders>
              <w:top w:val="single" w:sz="4" w:space="0" w:color="208855" w:themeColor="accent1" w:themeShade="BF"/>
              <w:left w:val="nil"/>
              <w:bottom w:val="nil"/>
              <w:right w:val="nil"/>
            </w:tcBorders>
            <w:shd w:val="clear" w:color="auto" w:fill="auto"/>
          </w:tcPr>
          <w:p w14:paraId="712BD89B" w14:textId="77777777" w:rsidR="0059177F" w:rsidRPr="005C6123" w:rsidRDefault="0059177F" w:rsidP="00A0524C">
            <w:pPr>
              <w:pStyle w:val="ListParagraph"/>
              <w:spacing w:before="40" w:after="40"/>
              <w:ind w:left="170"/>
              <w:contextualSpacing w:val="0"/>
              <w:jc w:val="right"/>
              <w:rPr>
                <w:b/>
                <w:bCs/>
                <w:sz w:val="15"/>
                <w:szCs w:val="15"/>
                <w:lang w:val="en-GB"/>
              </w:rPr>
            </w:pPr>
          </w:p>
        </w:tc>
        <w:tc>
          <w:tcPr>
            <w:tcW w:w="7366" w:type="dxa"/>
            <w:gridSpan w:val="2"/>
            <w:tcBorders>
              <w:top w:val="single" w:sz="4" w:space="0" w:color="208855" w:themeColor="accent1" w:themeShade="BF"/>
              <w:left w:val="nil"/>
              <w:bottom w:val="nil"/>
              <w:right w:val="nil"/>
            </w:tcBorders>
            <w:shd w:val="clear" w:color="auto" w:fill="auto"/>
          </w:tcPr>
          <w:p w14:paraId="7AE334A5" w14:textId="77777777" w:rsidR="0059177F" w:rsidRDefault="0059177F" w:rsidP="0059177F">
            <w:pPr>
              <w:spacing w:before="40" w:after="40"/>
              <w:rPr>
                <w:sz w:val="15"/>
                <w:szCs w:val="15"/>
                <w:lang w:val="en-GB"/>
              </w:rPr>
            </w:pPr>
          </w:p>
          <w:p w14:paraId="16A0C966" w14:textId="77777777" w:rsidR="0059177F" w:rsidRDefault="0059177F" w:rsidP="0059177F">
            <w:pPr>
              <w:spacing w:before="40" w:after="40"/>
              <w:rPr>
                <w:sz w:val="15"/>
                <w:szCs w:val="15"/>
                <w:lang w:val="en-GB"/>
              </w:rPr>
            </w:pPr>
          </w:p>
          <w:p w14:paraId="0D397A5B" w14:textId="77777777" w:rsidR="0059177F" w:rsidRDefault="0059177F" w:rsidP="0059177F">
            <w:pPr>
              <w:spacing w:before="40" w:after="40"/>
              <w:rPr>
                <w:sz w:val="15"/>
                <w:szCs w:val="15"/>
                <w:lang w:val="en-GB"/>
              </w:rPr>
            </w:pPr>
          </w:p>
          <w:p w14:paraId="33532552" w14:textId="77777777" w:rsidR="0059177F" w:rsidRDefault="0059177F" w:rsidP="0059177F">
            <w:pPr>
              <w:spacing w:before="40" w:after="40"/>
              <w:rPr>
                <w:sz w:val="15"/>
                <w:szCs w:val="15"/>
                <w:lang w:val="en-GB"/>
              </w:rPr>
            </w:pPr>
          </w:p>
          <w:p w14:paraId="3A21B296" w14:textId="7117A649" w:rsidR="0059177F" w:rsidRPr="0059177F" w:rsidRDefault="0059177F" w:rsidP="0059177F">
            <w:pPr>
              <w:spacing w:before="40" w:after="40"/>
              <w:rPr>
                <w:sz w:val="15"/>
                <w:szCs w:val="15"/>
                <w:lang w:val="en-GB"/>
              </w:rPr>
            </w:pPr>
          </w:p>
        </w:tc>
      </w:tr>
      <w:bookmarkEnd w:id="148"/>
      <w:tr w:rsidR="00A0524C" w:rsidRPr="005C6123" w:rsidDel="00994E71" w14:paraId="5E001A13" w14:textId="77777777" w:rsidTr="0059177F">
        <w:tc>
          <w:tcPr>
            <w:tcW w:w="9204" w:type="dxa"/>
            <w:gridSpan w:val="3"/>
            <w:tcBorders>
              <w:top w:val="nil"/>
            </w:tcBorders>
            <w:shd w:val="clear" w:color="auto" w:fill="208855" w:themeFill="accent1" w:themeFillShade="BF"/>
            <w:vAlign w:val="center"/>
          </w:tcPr>
          <w:p w14:paraId="60209BA6" w14:textId="087CCAE3" w:rsidR="00A0524C" w:rsidRPr="005C6123" w:rsidDel="00994E71" w:rsidRDefault="00AD4C55" w:rsidP="00A0524C">
            <w:pPr>
              <w:spacing w:before="120" w:line="240" w:lineRule="auto"/>
              <w:rPr>
                <w:b/>
                <w:bCs/>
              </w:rPr>
            </w:pPr>
            <w:r>
              <w:rPr>
                <w:b/>
                <w:bCs/>
                <w:color w:val="FFFFFF"/>
                <w:lang w:val="en-US"/>
              </w:rPr>
              <w:t>4</w:t>
            </w:r>
            <w:r w:rsidR="00A0524C" w:rsidRPr="00FB48A1">
              <w:rPr>
                <w:b/>
                <w:bCs/>
                <w:color w:val="FFFFFF"/>
                <w:lang w:val="en-US"/>
              </w:rPr>
              <w:t>. Vane Anemometer</w:t>
            </w:r>
          </w:p>
        </w:tc>
      </w:tr>
      <w:tr w:rsidR="00A0524C" w:rsidRPr="00104E87" w14:paraId="2D38B114" w14:textId="77777777" w:rsidTr="00A0524C">
        <w:tc>
          <w:tcPr>
            <w:tcW w:w="6227" w:type="dxa"/>
            <w:gridSpan w:val="2"/>
            <w:tcBorders>
              <w:top w:val="single" w:sz="4" w:space="0" w:color="208855" w:themeColor="accent1" w:themeShade="BF"/>
              <w:left w:val="single" w:sz="4" w:space="0" w:color="208855" w:themeColor="accent1" w:themeShade="BF"/>
            </w:tcBorders>
            <w:shd w:val="clear" w:color="auto" w:fill="D0F4E3" w:themeFill="accent1" w:themeFillTint="33"/>
          </w:tcPr>
          <w:p w14:paraId="44F544E3" w14:textId="77777777" w:rsidR="00A0524C" w:rsidRPr="005C6123" w:rsidRDefault="00A0524C" w:rsidP="005D2939">
            <w:pPr>
              <w:pStyle w:val="ListParagraph"/>
              <w:numPr>
                <w:ilvl w:val="0"/>
                <w:numId w:val="36"/>
              </w:numPr>
              <w:spacing w:before="120" w:after="120"/>
              <w:ind w:left="0"/>
              <w:contextualSpacing w:val="0"/>
              <w:rPr>
                <w:bCs/>
                <w:sz w:val="16"/>
                <w:szCs w:val="16"/>
              </w:rPr>
            </w:pPr>
            <w:r w:rsidRPr="005C6123">
              <w:rPr>
                <w:b/>
                <w:bCs/>
                <w:sz w:val="16"/>
                <w:szCs w:val="16"/>
              </w:rPr>
              <w:t>Technology</w:t>
            </w:r>
          </w:p>
          <w:p w14:paraId="10608738" w14:textId="77777777" w:rsidR="00A0524C" w:rsidRPr="005C6123" w:rsidRDefault="00A0524C" w:rsidP="00A0524C">
            <w:pPr>
              <w:spacing w:before="120" w:line="240" w:lineRule="auto"/>
              <w:rPr>
                <w:bCs/>
                <w:sz w:val="16"/>
                <w:szCs w:val="16"/>
                <w:lang w:val="en-US"/>
              </w:rPr>
            </w:pPr>
            <w:r w:rsidRPr="005C6123">
              <w:rPr>
                <w:bCs/>
                <w:sz w:val="16"/>
                <w:szCs w:val="16"/>
                <w:lang w:val="en-US"/>
              </w:rPr>
              <w:t xml:space="preserve">Vane anemometer consists of a vane wheel flow velocity sensor and a handheld unit which displays the measured velocity of the gas passing through the device’s vane wheel. The number of fan blade revolutions are detected with a magnetic pick-up and correlated to a flow velocity. </w:t>
            </w:r>
          </w:p>
          <w:p w14:paraId="62301F25" w14:textId="77777777" w:rsidR="00A0524C" w:rsidRPr="005C6123" w:rsidRDefault="00A0524C" w:rsidP="00A0524C">
            <w:pPr>
              <w:spacing w:before="120" w:line="240" w:lineRule="auto"/>
              <w:rPr>
                <w:bCs/>
                <w:sz w:val="16"/>
                <w:szCs w:val="16"/>
                <w:lang w:val="en-US"/>
              </w:rPr>
            </w:pPr>
            <w:r w:rsidRPr="005C6123">
              <w:rPr>
                <w:b/>
                <w:bCs/>
                <w:sz w:val="16"/>
                <w:szCs w:val="16"/>
                <w:lang w:val="en-US"/>
              </w:rPr>
              <w:t>Measurement</w:t>
            </w:r>
          </w:p>
          <w:p w14:paraId="6B27CA4C" w14:textId="77777777" w:rsidR="00A0524C" w:rsidRPr="005C6123" w:rsidRDefault="00A0524C" w:rsidP="00A0524C">
            <w:pPr>
              <w:spacing w:before="120" w:line="240" w:lineRule="auto"/>
              <w:rPr>
                <w:b/>
                <w:bCs/>
                <w:lang w:val="en-GB"/>
              </w:rPr>
            </w:pPr>
            <w:r w:rsidRPr="005C6123">
              <w:rPr>
                <w:bCs/>
                <w:sz w:val="16"/>
                <w:szCs w:val="16"/>
                <w:lang w:val="en-US"/>
              </w:rPr>
              <w:t xml:space="preserve">The vane anemometer is placed at the center of the vent pipe opening or inserting into it through a port in the vent pipe. Measurements should be taken at the center of the pipe, close to the open end of the vent and the temperature of the gas stream </w:t>
            </w:r>
            <w:r w:rsidRPr="005C6123">
              <w:rPr>
                <w:bCs/>
                <w:sz w:val="16"/>
                <w:szCs w:val="16"/>
                <w:lang w:val="en-US"/>
              </w:rPr>
              <w:lastRenderedPageBreak/>
              <w:t>should be measured. The maximum velocity of gas being vented is then recorded. Using the pipe’s diameter, the cross-sectional area of the pipe can be calculated. The cross-sectional area is then multiplied by the measured flow velocity, to estimate the volumetric flow rate of emissions through the vent.</w:t>
            </w:r>
          </w:p>
        </w:tc>
        <w:tc>
          <w:tcPr>
            <w:tcW w:w="2977" w:type="dxa"/>
            <w:tcBorders>
              <w:top w:val="single" w:sz="4" w:space="0" w:color="208855" w:themeColor="accent1" w:themeShade="BF"/>
              <w:right w:val="single" w:sz="4" w:space="0" w:color="208855" w:themeColor="accent1" w:themeShade="BF"/>
            </w:tcBorders>
            <w:shd w:val="clear" w:color="auto" w:fill="D0F4E3" w:themeFill="accent1" w:themeFillTint="33"/>
          </w:tcPr>
          <w:p w14:paraId="7088A91D" w14:textId="77777777" w:rsidR="00A0524C" w:rsidRPr="005C6123" w:rsidRDefault="00A0524C" w:rsidP="005D2939">
            <w:pPr>
              <w:pStyle w:val="ListParagraph"/>
              <w:numPr>
                <w:ilvl w:val="0"/>
                <w:numId w:val="36"/>
              </w:numPr>
              <w:spacing w:before="120" w:after="120" w:line="276" w:lineRule="auto"/>
              <w:ind w:left="0" w:hanging="357"/>
              <w:contextualSpacing w:val="0"/>
              <w:rPr>
                <w:b/>
                <w:sz w:val="16"/>
                <w:szCs w:val="16"/>
                <w:u w:val="single"/>
              </w:rPr>
            </w:pPr>
            <w:r w:rsidRPr="005C6123">
              <w:rPr>
                <w:b/>
                <w:sz w:val="16"/>
                <w:szCs w:val="16"/>
                <w:lang w:val="en-GB"/>
              </w:rPr>
              <w:lastRenderedPageBreak/>
              <w:t>Vane Anemometer measuring gas flow from an open-ended line</w:t>
            </w:r>
            <w:r w:rsidRPr="005C6123">
              <w:rPr>
                <w:rStyle w:val="FootnoteReference"/>
                <w:b/>
                <w:sz w:val="16"/>
                <w:szCs w:val="16"/>
                <w:lang w:val="en-GB"/>
              </w:rPr>
              <w:footnoteReference w:id="188"/>
            </w:r>
          </w:p>
          <w:p w14:paraId="45CC9FC4" w14:textId="77777777" w:rsidR="00A0524C" w:rsidRPr="005C6123" w:rsidRDefault="00A0524C" w:rsidP="00A0524C">
            <w:pPr>
              <w:spacing w:line="240" w:lineRule="auto"/>
              <w:rPr>
                <w:b/>
                <w:sz w:val="16"/>
                <w:szCs w:val="16"/>
              </w:rPr>
            </w:pPr>
            <w:r>
              <w:rPr>
                <w:b/>
                <w:noProof/>
                <w:sz w:val="16"/>
                <w:szCs w:val="16"/>
                <w:lang w:eastAsia="nb-NO"/>
              </w:rPr>
              <w:lastRenderedPageBreak/>
              <w:drawing>
                <wp:inline distT="0" distB="0" distL="0" distR="0" wp14:anchorId="2A33BDC7" wp14:editId="1E043896">
                  <wp:extent cx="1092200" cy="1098550"/>
                  <wp:effectExtent l="0" t="0" r="0" b="635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2200" cy="1098550"/>
                          </a:xfrm>
                          <a:prstGeom prst="rect">
                            <a:avLst/>
                          </a:prstGeom>
                          <a:noFill/>
                          <a:ln>
                            <a:noFill/>
                          </a:ln>
                        </pic:spPr>
                      </pic:pic>
                    </a:graphicData>
                  </a:graphic>
                </wp:inline>
              </w:drawing>
            </w:r>
          </w:p>
          <w:p w14:paraId="561A0123" w14:textId="77777777" w:rsidR="00A0524C" w:rsidRPr="005C6123" w:rsidRDefault="00A0524C" w:rsidP="00A0524C">
            <w:pPr>
              <w:spacing w:before="120" w:line="240" w:lineRule="auto"/>
              <w:rPr>
                <w:b/>
                <w:sz w:val="16"/>
                <w:szCs w:val="16"/>
                <w:lang w:val="en-US"/>
              </w:rPr>
            </w:pPr>
            <w:r w:rsidRPr="005C6123">
              <w:rPr>
                <w:b/>
                <w:sz w:val="16"/>
                <w:szCs w:val="16"/>
                <w:lang w:val="en-US"/>
              </w:rPr>
              <w:t>Investment Cost</w:t>
            </w:r>
          </w:p>
          <w:p w14:paraId="3EAA7AE0" w14:textId="77777777" w:rsidR="00A0524C" w:rsidRPr="005C6123" w:rsidRDefault="00A0524C" w:rsidP="00A0524C">
            <w:pPr>
              <w:spacing w:line="240" w:lineRule="auto"/>
              <w:rPr>
                <w:b/>
                <w:sz w:val="16"/>
                <w:szCs w:val="16"/>
                <w:lang w:val="en-GB"/>
              </w:rPr>
            </w:pPr>
            <w:r w:rsidRPr="005C6123">
              <w:rPr>
                <w:sz w:val="16"/>
                <w:szCs w:val="16"/>
                <w:lang w:val="en-US"/>
              </w:rPr>
              <w:t>A device can range from $1,400 to $5,500.</w:t>
            </w:r>
          </w:p>
        </w:tc>
      </w:tr>
      <w:tr w:rsidR="00A0524C" w:rsidRPr="00104E87" w14:paraId="7E2624E6"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72EE0D9A" w14:textId="77777777" w:rsidR="00A0524C" w:rsidRPr="005C6123" w:rsidRDefault="00A0524C" w:rsidP="00A0524C">
            <w:pPr>
              <w:pStyle w:val="ListParagraph"/>
              <w:spacing w:before="40" w:after="40"/>
              <w:ind w:left="170"/>
              <w:contextualSpacing w:val="0"/>
              <w:jc w:val="right"/>
              <w:rPr>
                <w:b/>
                <w:bCs/>
                <w:sz w:val="15"/>
                <w:szCs w:val="15"/>
              </w:rPr>
            </w:pPr>
            <w:bookmarkStart w:id="149" w:name="_Hlk526775037"/>
            <w:r w:rsidRPr="005C6123">
              <w:rPr>
                <w:b/>
                <w:bCs/>
                <w:sz w:val="15"/>
                <w:szCs w:val="15"/>
                <w:lang w:val="en-GB"/>
              </w:rPr>
              <w:lastRenderedPageBreak/>
              <w:t>Method of Usage</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318CB5C5" w14:textId="77777777" w:rsidR="00A0524C" w:rsidRPr="005C6123" w:rsidRDefault="00A0524C" w:rsidP="00A0524C">
            <w:pPr>
              <w:spacing w:before="40" w:after="40" w:line="240" w:lineRule="auto"/>
              <w:rPr>
                <w:sz w:val="15"/>
                <w:szCs w:val="15"/>
                <w:lang w:val="en-GB"/>
              </w:rPr>
            </w:pPr>
            <w:r w:rsidRPr="005C6123">
              <w:rPr>
                <w:sz w:val="15"/>
                <w:szCs w:val="15"/>
                <w:lang w:val="en-GB"/>
              </w:rPr>
              <w:t>Vane anemometers are held by an operator on the opening of a vent line and manually held in place to take a reading of the velocity</w:t>
            </w:r>
          </w:p>
        </w:tc>
      </w:tr>
      <w:tr w:rsidR="00A0524C" w:rsidRPr="00104E87" w14:paraId="71DDA989"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18627FB2"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rPr>
              <w:t>Applicability</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15C9981F" w14:textId="67520174" w:rsidR="00A0524C" w:rsidRPr="005C6123" w:rsidRDefault="00A0524C" w:rsidP="00A0524C">
            <w:pPr>
              <w:spacing w:before="40" w:after="40" w:line="240" w:lineRule="auto"/>
              <w:rPr>
                <w:sz w:val="15"/>
                <w:szCs w:val="15"/>
                <w:lang w:val="en-GB"/>
              </w:rPr>
            </w:pPr>
            <w:r w:rsidRPr="005C6123">
              <w:rPr>
                <w:sz w:val="15"/>
                <w:szCs w:val="15"/>
                <w:lang w:val="en-US"/>
              </w:rPr>
              <w:t>Requires direct access to open-ended lines of process streams, and only suitable for larger leaks/vents (</w:t>
            </w:r>
            <w:r w:rsidRPr="005C6123">
              <w:rPr>
                <w:sz w:val="15"/>
                <w:szCs w:val="15"/>
                <w:lang w:val="en-GB"/>
              </w:rPr>
              <w:t>Typically measuring range of gas flow velocity is 0.4 to 80 m / sec with an uncertainty of 0.9 to 1.5)</w:t>
            </w:r>
            <w:r w:rsidR="004150E7">
              <w:rPr>
                <w:sz w:val="15"/>
                <w:szCs w:val="15"/>
                <w:lang w:val="en-GB"/>
              </w:rPr>
              <w:t>.</w:t>
            </w:r>
            <w:r w:rsidRPr="005C6123">
              <w:rPr>
                <w:rStyle w:val="FootnoteReference"/>
                <w:sz w:val="15"/>
                <w:szCs w:val="15"/>
              </w:rPr>
              <w:footnoteReference w:id="189"/>
            </w:r>
            <w:r w:rsidRPr="005C6123">
              <w:rPr>
                <w:sz w:val="15"/>
                <w:szCs w:val="15"/>
                <w:lang w:val="en-GB"/>
              </w:rPr>
              <w:t xml:space="preserve"> Recommended to avoid usage when device exerts a backpressure on the measured vent.</w:t>
            </w:r>
          </w:p>
        </w:tc>
      </w:tr>
      <w:tr w:rsidR="00A0524C" w:rsidRPr="00104E87" w14:paraId="140A4A48"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5FBDE986"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rPr>
              <w:t>Quantification Speed</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13B4A428"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Velocity measured instantly, however accessing source may take time and limit the number of lines to be measures per hour.</w:t>
            </w:r>
          </w:p>
        </w:tc>
      </w:tr>
      <w:tr w:rsidR="00A0524C" w:rsidRPr="00104E87" w14:paraId="48B60532"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69D06506"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sz w:val="15"/>
                <w:szCs w:val="15"/>
                <w:lang w:val="en-GB"/>
              </w:rPr>
              <w:t>Climatic Constraints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7AC09235"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Ideal in low wind environments, working temperature for wheel sensor -15°C to 260°C, handheld sensor 0°C to 50°C</w:t>
            </w:r>
            <w:r w:rsidRPr="005C6123">
              <w:rPr>
                <w:rStyle w:val="FootnoteReference"/>
                <w:sz w:val="15"/>
                <w:szCs w:val="15"/>
                <w:lang w:val="en-GB"/>
              </w:rPr>
              <w:footnoteReference w:id="190"/>
            </w:r>
          </w:p>
        </w:tc>
      </w:tr>
      <w:tr w:rsidR="00A0524C" w:rsidRPr="00104E87" w14:paraId="46A4B123"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09F23871"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Safety Concerns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2C6C0265" w14:textId="77777777" w:rsidR="00A0524C" w:rsidRPr="005C6123" w:rsidRDefault="00A0524C" w:rsidP="004150E7">
            <w:pPr>
              <w:pStyle w:val="ListParagraph"/>
              <w:spacing w:before="40" w:after="40"/>
              <w:ind w:left="36"/>
              <w:contextualSpacing w:val="0"/>
              <w:rPr>
                <w:sz w:val="15"/>
                <w:szCs w:val="15"/>
                <w:lang w:val="en-GB"/>
              </w:rPr>
            </w:pPr>
            <w:r w:rsidRPr="005C6123">
              <w:rPr>
                <w:sz w:val="15"/>
                <w:szCs w:val="15"/>
                <w:lang w:val="en-GB"/>
              </w:rPr>
              <w:t>Requires operator to be close to source and depending on source typically at elevated heights.</w:t>
            </w:r>
          </w:p>
        </w:tc>
      </w:tr>
      <w:tr w:rsidR="00A0524C" w:rsidRPr="005C6123" w14:paraId="4AA07DA8"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372C5A64"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Service Requirements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3B947D87" w14:textId="500EAB7C" w:rsidR="00A0524C" w:rsidRPr="005C6123" w:rsidRDefault="004150E7" w:rsidP="00A0524C">
            <w:pPr>
              <w:spacing w:before="40" w:after="40" w:line="240" w:lineRule="auto"/>
              <w:rPr>
                <w:sz w:val="15"/>
                <w:szCs w:val="15"/>
                <w:lang w:val="en-GB"/>
              </w:rPr>
            </w:pPr>
            <w:r>
              <w:rPr>
                <w:sz w:val="15"/>
                <w:szCs w:val="15"/>
                <w:lang w:val="en-GB"/>
              </w:rPr>
              <w:t xml:space="preserve"> </w:t>
            </w:r>
            <w:r w:rsidR="00A0524C" w:rsidRPr="005C6123">
              <w:rPr>
                <w:sz w:val="15"/>
                <w:szCs w:val="15"/>
                <w:lang w:val="en-GB"/>
              </w:rPr>
              <w:t>Requires routine calibration</w:t>
            </w:r>
          </w:p>
        </w:tc>
      </w:tr>
      <w:tr w:rsidR="00A0524C" w:rsidRPr="00104E87" w14:paraId="7D095067" w14:textId="77777777" w:rsidTr="00A0524C">
        <w:tc>
          <w:tcPr>
            <w:tcW w:w="1838" w:type="dxa"/>
            <w:tcBorders>
              <w:top w:val="single" w:sz="4" w:space="0" w:color="208855" w:themeColor="accent1" w:themeShade="BF"/>
              <w:left w:val="single" w:sz="4" w:space="0" w:color="208855" w:themeColor="accent1" w:themeShade="BF"/>
              <w:bottom w:val="single" w:sz="2" w:space="0" w:color="208855" w:themeColor="accent1" w:themeShade="BF"/>
            </w:tcBorders>
            <w:shd w:val="clear" w:color="auto" w:fill="auto"/>
          </w:tcPr>
          <w:p w14:paraId="0A01792A"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Cost Considerations</w:t>
            </w:r>
          </w:p>
        </w:tc>
        <w:tc>
          <w:tcPr>
            <w:tcW w:w="7366" w:type="dxa"/>
            <w:gridSpan w:val="2"/>
            <w:tcBorders>
              <w:top w:val="single" w:sz="4" w:space="0" w:color="208855" w:themeColor="accent1" w:themeShade="BF"/>
              <w:bottom w:val="single" w:sz="2" w:space="0" w:color="208855" w:themeColor="accent1" w:themeShade="BF"/>
              <w:right w:val="single" w:sz="4" w:space="0" w:color="208855" w:themeColor="accent1" w:themeShade="BF"/>
            </w:tcBorders>
            <w:shd w:val="clear" w:color="auto" w:fill="auto"/>
          </w:tcPr>
          <w:p w14:paraId="7591FFA5"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Low cost and low maintenance</w:t>
            </w:r>
          </w:p>
        </w:tc>
      </w:tr>
      <w:bookmarkEnd w:id="149"/>
      <w:tr w:rsidR="00A0524C" w:rsidRPr="005C6123" w:rsidDel="00994E71" w14:paraId="68CE8E75" w14:textId="77777777" w:rsidTr="00A0524C">
        <w:tc>
          <w:tcPr>
            <w:tcW w:w="9204" w:type="dxa"/>
            <w:gridSpan w:val="3"/>
            <w:tcBorders>
              <w:top w:val="nil"/>
            </w:tcBorders>
            <w:shd w:val="clear" w:color="auto" w:fill="208855" w:themeFill="accent1" w:themeFillShade="BF"/>
            <w:vAlign w:val="center"/>
          </w:tcPr>
          <w:p w14:paraId="695E7C2C" w14:textId="6E194592" w:rsidR="00A0524C" w:rsidRPr="005C6123" w:rsidDel="00994E71" w:rsidRDefault="00AD4C55" w:rsidP="00A0524C">
            <w:pPr>
              <w:spacing w:before="120" w:line="240" w:lineRule="auto"/>
              <w:rPr>
                <w:b/>
                <w:bCs/>
              </w:rPr>
            </w:pPr>
            <w:r>
              <w:rPr>
                <w:b/>
                <w:bCs/>
                <w:color w:val="FFFFFF"/>
                <w:lang w:val="en-US"/>
              </w:rPr>
              <w:t>5</w:t>
            </w:r>
            <w:r w:rsidR="00A0524C" w:rsidRPr="00FB48A1">
              <w:rPr>
                <w:b/>
                <w:bCs/>
                <w:color w:val="FFFFFF"/>
                <w:lang w:val="en-US"/>
              </w:rPr>
              <w:t>. Hotwire Anemometer</w:t>
            </w:r>
          </w:p>
        </w:tc>
      </w:tr>
      <w:tr w:rsidR="00A0524C" w:rsidRPr="005C6123" w14:paraId="4F991E0F" w14:textId="77777777" w:rsidTr="00A0524C">
        <w:tc>
          <w:tcPr>
            <w:tcW w:w="6227" w:type="dxa"/>
            <w:gridSpan w:val="2"/>
            <w:tcBorders>
              <w:top w:val="single" w:sz="4" w:space="0" w:color="208855" w:themeColor="accent1" w:themeShade="BF"/>
              <w:left w:val="single" w:sz="4" w:space="0" w:color="208855" w:themeColor="accent1" w:themeShade="BF"/>
            </w:tcBorders>
            <w:shd w:val="clear" w:color="auto" w:fill="D0F4E3" w:themeFill="accent1" w:themeFillTint="33"/>
          </w:tcPr>
          <w:p w14:paraId="573BFC9D" w14:textId="77777777" w:rsidR="00A0524C" w:rsidRPr="005C6123" w:rsidRDefault="00A0524C" w:rsidP="00A0524C">
            <w:pPr>
              <w:spacing w:before="120" w:line="240" w:lineRule="auto"/>
              <w:rPr>
                <w:bCs/>
                <w:sz w:val="16"/>
                <w:szCs w:val="16"/>
                <w:lang w:val="en-US"/>
              </w:rPr>
            </w:pPr>
            <w:r w:rsidRPr="005C6123">
              <w:rPr>
                <w:b/>
                <w:bCs/>
                <w:sz w:val="16"/>
                <w:szCs w:val="16"/>
                <w:lang w:val="en-GB"/>
              </w:rPr>
              <w:t>Technology</w:t>
            </w:r>
          </w:p>
          <w:p w14:paraId="3356F245" w14:textId="77777777" w:rsidR="00A0524C" w:rsidRPr="005C6123" w:rsidRDefault="00A0524C" w:rsidP="00A0524C">
            <w:pPr>
              <w:spacing w:line="240" w:lineRule="auto"/>
              <w:rPr>
                <w:bCs/>
                <w:sz w:val="16"/>
                <w:szCs w:val="16"/>
                <w:lang w:val="en-US"/>
              </w:rPr>
            </w:pPr>
            <w:r w:rsidRPr="005C6123">
              <w:rPr>
                <w:bCs/>
                <w:sz w:val="16"/>
                <w:szCs w:val="16"/>
                <w:lang w:val="en-US"/>
              </w:rPr>
              <w:t>A hotwire anemometer is similar to a vane anemometer, however based on a heated hot-wire that is inserted into a flowing gas stream to measure gas flow velocity. The exposed hot-wire is either heated up by a constant electric current or maintained at a constant temperature when inserted into a flowing gas stream. As it operates on the principle of heat transfer, this device specifically measures the electrical current passing through the wire as the heat is conducted away due to the gas flow. The gas velocity can then be measured as the heat lost through convection is proportional to the gas flow.</w:t>
            </w:r>
          </w:p>
          <w:p w14:paraId="299915BD" w14:textId="77777777" w:rsidR="00A0524C" w:rsidRPr="005C6123" w:rsidRDefault="00A0524C" w:rsidP="00A0524C">
            <w:pPr>
              <w:spacing w:line="240" w:lineRule="auto"/>
              <w:rPr>
                <w:bCs/>
                <w:sz w:val="16"/>
                <w:szCs w:val="16"/>
                <w:lang w:val="en-US"/>
              </w:rPr>
            </w:pPr>
            <w:r w:rsidRPr="005C6123">
              <w:rPr>
                <w:b/>
                <w:bCs/>
                <w:sz w:val="16"/>
                <w:szCs w:val="16"/>
                <w:lang w:val="en-US"/>
              </w:rPr>
              <w:t>Measurement</w:t>
            </w:r>
          </w:p>
          <w:p w14:paraId="70E3B0E0" w14:textId="77777777" w:rsidR="00A0524C" w:rsidRPr="005C6123" w:rsidRDefault="00A0524C" w:rsidP="00A0524C">
            <w:pPr>
              <w:spacing w:line="240" w:lineRule="auto"/>
              <w:rPr>
                <w:bCs/>
                <w:sz w:val="16"/>
                <w:szCs w:val="16"/>
                <w:lang w:val="en-US"/>
              </w:rPr>
            </w:pPr>
            <w:r w:rsidRPr="005C6123">
              <w:rPr>
                <w:bCs/>
                <w:sz w:val="16"/>
                <w:szCs w:val="16"/>
                <w:lang w:val="en-US"/>
              </w:rPr>
              <w:t>The heated hotwire is inserted through a port in a gas flow pipeline or is positioned at the center of a vent close to the open end. The temperature drop is then measured and the gas flow velocity is calculated. This can then be translated into a volumetric flowrate by multiplying the value by the cross-sectional area of flow in m</w:t>
            </w:r>
            <w:r w:rsidRPr="005C6123">
              <w:rPr>
                <w:bCs/>
                <w:sz w:val="16"/>
                <w:szCs w:val="16"/>
                <w:vertAlign w:val="superscript"/>
                <w:lang w:val="en-US"/>
              </w:rPr>
              <w:t>2</w:t>
            </w:r>
            <w:r w:rsidRPr="005C6123">
              <w:rPr>
                <w:bCs/>
                <w:sz w:val="16"/>
                <w:szCs w:val="16"/>
                <w:lang w:val="en-US"/>
              </w:rPr>
              <w:t>.</w:t>
            </w:r>
          </w:p>
        </w:tc>
        <w:tc>
          <w:tcPr>
            <w:tcW w:w="2977" w:type="dxa"/>
            <w:tcBorders>
              <w:top w:val="single" w:sz="4" w:space="0" w:color="208855" w:themeColor="accent1" w:themeShade="BF"/>
              <w:right w:val="single" w:sz="4" w:space="0" w:color="208855" w:themeColor="accent1" w:themeShade="BF"/>
            </w:tcBorders>
            <w:shd w:val="clear" w:color="auto" w:fill="D0F4E3" w:themeFill="accent1" w:themeFillTint="33"/>
          </w:tcPr>
          <w:p w14:paraId="6A056A92" w14:textId="08F80702" w:rsidR="00A0524C" w:rsidRPr="005C6123" w:rsidRDefault="00A0524C" w:rsidP="005D2939">
            <w:pPr>
              <w:pStyle w:val="ListParagraph"/>
              <w:numPr>
                <w:ilvl w:val="0"/>
                <w:numId w:val="36"/>
              </w:numPr>
              <w:spacing w:before="120" w:after="120" w:line="276" w:lineRule="auto"/>
              <w:ind w:left="0"/>
              <w:contextualSpacing w:val="0"/>
            </w:pPr>
            <w:r w:rsidRPr="005C6123">
              <w:rPr>
                <w:b/>
                <w:sz w:val="16"/>
                <w:szCs w:val="16"/>
              </w:rPr>
              <w:t>Hotwire anemometer in use</w:t>
            </w:r>
            <w:r w:rsidRPr="005C6123">
              <w:rPr>
                <w:rStyle w:val="FootnoteReference"/>
                <w:b/>
                <w:sz w:val="16"/>
                <w:szCs w:val="16"/>
              </w:rPr>
              <w:footnoteReference w:id="191"/>
            </w:r>
          </w:p>
          <w:p w14:paraId="6CD66423" w14:textId="77777777" w:rsidR="00A0524C" w:rsidRPr="005C6123" w:rsidRDefault="00A0524C" w:rsidP="00A0524C">
            <w:pPr>
              <w:spacing w:line="240" w:lineRule="auto"/>
              <w:rPr>
                <w:sz w:val="16"/>
                <w:szCs w:val="16"/>
              </w:rPr>
            </w:pPr>
            <w:r>
              <w:rPr>
                <w:noProof/>
                <w:sz w:val="16"/>
                <w:szCs w:val="16"/>
                <w:lang w:eastAsia="nb-NO"/>
              </w:rPr>
              <w:drawing>
                <wp:inline distT="0" distB="0" distL="0" distR="0" wp14:anchorId="22FB9C4C" wp14:editId="29A7E63A">
                  <wp:extent cx="1079500" cy="990600"/>
                  <wp:effectExtent l="0" t="0" r="6350"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9500" cy="990600"/>
                          </a:xfrm>
                          <a:prstGeom prst="rect">
                            <a:avLst/>
                          </a:prstGeom>
                          <a:noFill/>
                          <a:ln>
                            <a:noFill/>
                          </a:ln>
                        </pic:spPr>
                      </pic:pic>
                    </a:graphicData>
                  </a:graphic>
                </wp:inline>
              </w:drawing>
            </w:r>
          </w:p>
          <w:p w14:paraId="77CC91A4" w14:textId="77777777" w:rsidR="00A0524C" w:rsidRPr="005C6123" w:rsidRDefault="00A0524C" w:rsidP="00A0524C">
            <w:pPr>
              <w:spacing w:line="240" w:lineRule="auto"/>
              <w:rPr>
                <w:b/>
                <w:sz w:val="16"/>
                <w:szCs w:val="16"/>
                <w:lang w:val="en-US"/>
              </w:rPr>
            </w:pPr>
            <w:r w:rsidRPr="005C6123">
              <w:rPr>
                <w:b/>
                <w:sz w:val="16"/>
                <w:szCs w:val="16"/>
                <w:lang w:val="en-US"/>
              </w:rPr>
              <w:t>Investment Costs</w:t>
            </w:r>
          </w:p>
          <w:p w14:paraId="7DFC3563" w14:textId="77777777" w:rsidR="00A0524C" w:rsidRPr="005C6123" w:rsidRDefault="00A0524C" w:rsidP="00A0524C">
            <w:pPr>
              <w:spacing w:line="240" w:lineRule="auto"/>
              <w:rPr>
                <w:sz w:val="16"/>
                <w:szCs w:val="16"/>
              </w:rPr>
            </w:pPr>
            <w:r w:rsidRPr="005C6123">
              <w:rPr>
                <w:sz w:val="16"/>
                <w:szCs w:val="16"/>
                <w:lang w:val="en-US"/>
              </w:rPr>
              <w:t>Approx. $1,400 to $5,500</w:t>
            </w:r>
            <w:r w:rsidRPr="005C6123">
              <w:rPr>
                <w:rStyle w:val="FootnoteReference"/>
                <w:sz w:val="16"/>
                <w:szCs w:val="16"/>
              </w:rPr>
              <w:footnoteReference w:id="192"/>
            </w:r>
          </w:p>
        </w:tc>
      </w:tr>
      <w:tr w:rsidR="00A0524C" w:rsidRPr="00104E87" w14:paraId="386883FC"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40231278" w14:textId="77777777" w:rsidR="00A0524C" w:rsidRPr="005C6123" w:rsidRDefault="00A0524C" w:rsidP="00A0524C">
            <w:pPr>
              <w:pStyle w:val="ListParagraph"/>
              <w:spacing w:before="40" w:after="40"/>
              <w:ind w:left="170"/>
              <w:contextualSpacing w:val="0"/>
              <w:jc w:val="right"/>
              <w:rPr>
                <w:b/>
                <w:bCs/>
                <w:sz w:val="15"/>
                <w:szCs w:val="15"/>
              </w:rPr>
            </w:pPr>
            <w:r w:rsidRPr="005C6123">
              <w:rPr>
                <w:b/>
                <w:bCs/>
                <w:sz w:val="15"/>
                <w:szCs w:val="15"/>
                <w:lang w:val="en-GB"/>
              </w:rPr>
              <w:t>Method of Usage</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1C886A73" w14:textId="77777777" w:rsidR="00A0524C" w:rsidRPr="005C6123" w:rsidRDefault="00A0524C" w:rsidP="00A0524C">
            <w:pPr>
              <w:spacing w:before="40" w:after="40" w:line="240" w:lineRule="auto"/>
              <w:rPr>
                <w:sz w:val="15"/>
                <w:szCs w:val="15"/>
                <w:lang w:val="en-GB"/>
              </w:rPr>
            </w:pPr>
            <w:r w:rsidRPr="005C6123">
              <w:rPr>
                <w:sz w:val="15"/>
                <w:szCs w:val="15"/>
                <w:lang w:val="en-GB"/>
              </w:rPr>
              <w:t>Hotwire anemometers are inserted by an operator into a port in a gas flow pipeline or positioned at the opening of a vent and manually held in place to take a reading.</w:t>
            </w:r>
          </w:p>
        </w:tc>
      </w:tr>
      <w:tr w:rsidR="00A0524C" w:rsidRPr="00104E87" w14:paraId="25CB8C90"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1C9C3BF5"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rPr>
              <w:t>Applicability</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30B4DE93" w14:textId="47EC8299" w:rsidR="00A0524C" w:rsidRPr="005C6123" w:rsidRDefault="00A0524C" w:rsidP="00A0524C">
            <w:pPr>
              <w:spacing w:before="40" w:after="40" w:line="240" w:lineRule="auto"/>
              <w:rPr>
                <w:sz w:val="15"/>
                <w:szCs w:val="15"/>
                <w:lang w:val="en-GB"/>
              </w:rPr>
            </w:pPr>
            <w:r w:rsidRPr="005C6123">
              <w:rPr>
                <w:sz w:val="15"/>
                <w:szCs w:val="15"/>
                <w:lang w:val="en-US"/>
              </w:rPr>
              <w:t xml:space="preserve">Requires direct access to the process stream and only suitable for </w:t>
            </w:r>
            <w:r w:rsidRPr="005C6123">
              <w:rPr>
                <w:sz w:val="15"/>
                <w:szCs w:val="15"/>
                <w:lang w:val="en-GB"/>
              </w:rPr>
              <w:t>measuring gas flow velocities of 0.2 to 200 m/sec</w:t>
            </w:r>
            <w:r w:rsidR="004150E7">
              <w:rPr>
                <w:sz w:val="15"/>
                <w:szCs w:val="15"/>
                <w:lang w:val="en-GB"/>
              </w:rPr>
              <w:t xml:space="preserve"> </w:t>
            </w:r>
            <w:r w:rsidRPr="005C6123">
              <w:rPr>
                <w:sz w:val="15"/>
                <w:szCs w:val="15"/>
                <w:lang w:val="en-GB"/>
              </w:rPr>
              <w:t>in vents, open ended lines, and flow in closed pipes of known cross sectional area (e.g. flare lines).</w:t>
            </w:r>
            <w:r w:rsidR="004150E7" w:rsidRPr="005C6123">
              <w:rPr>
                <w:rStyle w:val="FootnoteReference"/>
                <w:sz w:val="15"/>
                <w:szCs w:val="15"/>
                <w:lang w:val="en-GB"/>
              </w:rPr>
              <w:footnoteReference w:id="193"/>
            </w:r>
            <w:r w:rsidR="004150E7" w:rsidRPr="005C6123">
              <w:rPr>
                <w:sz w:val="15"/>
                <w:szCs w:val="15"/>
                <w:lang w:val="en-GB"/>
              </w:rPr>
              <w:t xml:space="preserve"> </w:t>
            </w:r>
            <w:r w:rsidRPr="005C6123">
              <w:rPr>
                <w:sz w:val="15"/>
                <w:szCs w:val="15"/>
                <w:lang w:val="en-GB"/>
              </w:rPr>
              <w:t>Doe</w:t>
            </w:r>
            <w:r w:rsidR="004150E7">
              <w:rPr>
                <w:sz w:val="15"/>
                <w:szCs w:val="15"/>
                <w:lang w:val="en-GB"/>
              </w:rPr>
              <w:t>s not</w:t>
            </w:r>
            <w:r w:rsidRPr="005C6123">
              <w:rPr>
                <w:sz w:val="15"/>
                <w:szCs w:val="15"/>
                <w:lang w:val="en-GB"/>
              </w:rPr>
              <w:t xml:space="preserve"> require the complete capture of gas and also applicable to gas streams with liquid droplets and sticky entrained particulates which would damage a vane anemometer. </w:t>
            </w:r>
          </w:p>
        </w:tc>
      </w:tr>
      <w:tr w:rsidR="00A0524C" w:rsidRPr="00104E87" w14:paraId="5F138E35"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0CDC3E04"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rPr>
              <w:t>Quantification Speed</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7843E0CA"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Velocity measured instantly, however accessing source may take time and limit the number of lines to be measures per hour.</w:t>
            </w:r>
          </w:p>
        </w:tc>
      </w:tr>
      <w:tr w:rsidR="00A0524C" w:rsidRPr="00104E87" w14:paraId="76D35228"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0C436598"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sz w:val="15"/>
                <w:szCs w:val="15"/>
                <w:lang w:val="en-GB"/>
              </w:rPr>
              <w:t>Climatic Constraints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109D1FA2"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Not affected by wind, measures at temperatures of -10°C to 140°C. Furthermore, limited to a maximum working pressure of 16 bar above atmospheric pressure.</w:t>
            </w:r>
          </w:p>
        </w:tc>
      </w:tr>
      <w:tr w:rsidR="00A0524C" w:rsidRPr="00104E87" w14:paraId="4152269C"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2403AD3D"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Safety Concern</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3C19B56F"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Requires operator to be close to source and depending on source typically at elevated heights.</w:t>
            </w:r>
          </w:p>
        </w:tc>
      </w:tr>
      <w:tr w:rsidR="00A0524C" w:rsidRPr="005C6123" w14:paraId="5D74F063"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07A00CDC"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lastRenderedPageBreak/>
              <w:t>Service Requirements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221A13C3" w14:textId="77777777" w:rsidR="00A0524C" w:rsidRPr="005C6123" w:rsidRDefault="00A0524C" w:rsidP="00A0524C">
            <w:pPr>
              <w:spacing w:before="40" w:after="40" w:line="240" w:lineRule="auto"/>
              <w:rPr>
                <w:sz w:val="15"/>
                <w:szCs w:val="15"/>
                <w:lang w:val="en-GB"/>
              </w:rPr>
            </w:pPr>
            <w:r w:rsidRPr="005C6123">
              <w:rPr>
                <w:sz w:val="15"/>
                <w:szCs w:val="15"/>
                <w:lang w:val="en-GB"/>
              </w:rPr>
              <w:t>Requires routine calibration</w:t>
            </w:r>
          </w:p>
        </w:tc>
      </w:tr>
      <w:tr w:rsidR="00A0524C" w:rsidRPr="00104E87" w14:paraId="65F932DB" w14:textId="77777777" w:rsidTr="00A0524C">
        <w:tc>
          <w:tcPr>
            <w:tcW w:w="1838" w:type="dxa"/>
            <w:tcBorders>
              <w:top w:val="single" w:sz="4" w:space="0" w:color="208855" w:themeColor="accent1" w:themeShade="BF"/>
              <w:left w:val="single" w:sz="4" w:space="0" w:color="208855" w:themeColor="accent1" w:themeShade="BF"/>
              <w:bottom w:val="single" w:sz="2" w:space="0" w:color="208855" w:themeColor="accent1" w:themeShade="BF"/>
            </w:tcBorders>
            <w:shd w:val="clear" w:color="auto" w:fill="auto"/>
          </w:tcPr>
          <w:p w14:paraId="6A36E9EB"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Cost Considerations</w:t>
            </w:r>
          </w:p>
        </w:tc>
        <w:tc>
          <w:tcPr>
            <w:tcW w:w="7366" w:type="dxa"/>
            <w:gridSpan w:val="2"/>
            <w:tcBorders>
              <w:top w:val="single" w:sz="4" w:space="0" w:color="208855" w:themeColor="accent1" w:themeShade="BF"/>
              <w:bottom w:val="single" w:sz="2" w:space="0" w:color="208855" w:themeColor="accent1" w:themeShade="BF"/>
              <w:right w:val="single" w:sz="4" w:space="0" w:color="208855" w:themeColor="accent1" w:themeShade="BF"/>
            </w:tcBorders>
            <w:shd w:val="clear" w:color="auto" w:fill="auto"/>
          </w:tcPr>
          <w:p w14:paraId="57B8C20C"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Low cost and low maintenance</w:t>
            </w:r>
          </w:p>
        </w:tc>
      </w:tr>
      <w:tr w:rsidR="00A0524C" w:rsidRPr="00104E87" w14:paraId="1ABE7AB2" w14:textId="77777777" w:rsidTr="00A0524C">
        <w:tc>
          <w:tcPr>
            <w:tcW w:w="9204" w:type="dxa"/>
            <w:gridSpan w:val="3"/>
            <w:tcBorders>
              <w:top w:val="nil"/>
              <w:left w:val="single" w:sz="4" w:space="0" w:color="208855" w:themeColor="accent1" w:themeShade="BF"/>
              <w:bottom w:val="single" w:sz="2" w:space="0" w:color="208855" w:themeColor="accent1" w:themeShade="BF"/>
              <w:right w:val="single" w:sz="4" w:space="0" w:color="208855" w:themeColor="accent1" w:themeShade="BF"/>
            </w:tcBorders>
            <w:shd w:val="clear" w:color="auto" w:fill="208855" w:themeFill="accent1" w:themeFillShade="BF"/>
          </w:tcPr>
          <w:p w14:paraId="2420D600" w14:textId="363B4583" w:rsidR="00A0524C" w:rsidRPr="005C6123" w:rsidRDefault="00AD4C55" w:rsidP="00A0524C">
            <w:pPr>
              <w:pStyle w:val="ListParagraph"/>
              <w:tabs>
                <w:tab w:val="left" w:pos="1187"/>
              </w:tabs>
              <w:spacing w:before="120" w:after="120"/>
              <w:ind w:left="36"/>
              <w:contextualSpacing w:val="0"/>
              <w:rPr>
                <w:b/>
                <w:bCs/>
                <w:color w:val="FFFFFF"/>
                <w:szCs w:val="20"/>
              </w:rPr>
            </w:pPr>
            <w:r>
              <w:rPr>
                <w:b/>
                <w:bCs/>
                <w:color w:val="FFFFFF"/>
              </w:rPr>
              <w:t>6</w:t>
            </w:r>
            <w:r w:rsidR="00A0524C" w:rsidRPr="00FB48A1">
              <w:rPr>
                <w:b/>
                <w:bCs/>
                <w:color w:val="FFFFFF"/>
              </w:rPr>
              <w:t>. Method 21 (and using correlation equations to estimate emission rates)</w:t>
            </w:r>
          </w:p>
        </w:tc>
      </w:tr>
      <w:tr w:rsidR="00A0524C" w:rsidRPr="005C6123" w14:paraId="732DC7F4" w14:textId="77777777" w:rsidTr="00A0524C">
        <w:tc>
          <w:tcPr>
            <w:tcW w:w="6227" w:type="dxa"/>
            <w:gridSpan w:val="2"/>
            <w:tcBorders>
              <w:top w:val="single" w:sz="2" w:space="0" w:color="208855" w:themeColor="accent1" w:themeShade="BF"/>
              <w:left w:val="single" w:sz="2" w:space="0" w:color="208855" w:themeColor="accent1" w:themeShade="BF"/>
              <w:bottom w:val="single" w:sz="2" w:space="0" w:color="208855" w:themeColor="accent1" w:themeShade="BF"/>
            </w:tcBorders>
            <w:shd w:val="clear" w:color="auto" w:fill="D0F4E3" w:themeFill="accent1" w:themeFillTint="33"/>
          </w:tcPr>
          <w:p w14:paraId="1875B716" w14:textId="77777777" w:rsidR="00A0524C" w:rsidRPr="005C6123" w:rsidRDefault="00A0524C" w:rsidP="00A0524C">
            <w:pPr>
              <w:spacing w:before="120" w:line="240" w:lineRule="auto"/>
              <w:rPr>
                <w:bCs/>
                <w:sz w:val="16"/>
                <w:szCs w:val="16"/>
                <w:lang w:val="en-US"/>
              </w:rPr>
            </w:pPr>
            <w:r w:rsidRPr="005C6123">
              <w:rPr>
                <w:b/>
                <w:bCs/>
                <w:sz w:val="16"/>
                <w:szCs w:val="16"/>
                <w:lang w:val="en-GB"/>
              </w:rPr>
              <w:t>Procedure</w:t>
            </w:r>
          </w:p>
          <w:p w14:paraId="76FD9836" w14:textId="77777777" w:rsidR="00A0524C" w:rsidRPr="005C6123" w:rsidRDefault="00A0524C" w:rsidP="00A0524C">
            <w:pPr>
              <w:spacing w:line="240" w:lineRule="auto"/>
              <w:rPr>
                <w:b/>
                <w:color w:val="000000"/>
                <w:sz w:val="16"/>
                <w:szCs w:val="16"/>
                <w:lang w:val="en-US"/>
              </w:rPr>
            </w:pPr>
            <w:r w:rsidRPr="005C6123">
              <w:rPr>
                <w:bCs/>
                <w:color w:val="000000"/>
                <w:sz w:val="16"/>
                <w:szCs w:val="16"/>
                <w:lang w:val="en-US"/>
              </w:rPr>
              <w:t xml:space="preserve">The EPA method for “Determination of volatile organic compound leaks” or Method 21 was introduced in the 1990s as a standard by the US Environmental Protection Agency for leak detection and monitoring fugitive emissions. </w:t>
            </w:r>
          </w:p>
          <w:p w14:paraId="79C54BEC" w14:textId="77777777" w:rsidR="00A0524C" w:rsidRPr="005C6123" w:rsidRDefault="00A0524C" w:rsidP="00A0524C">
            <w:pPr>
              <w:spacing w:before="120" w:line="240" w:lineRule="auto"/>
              <w:rPr>
                <w:b/>
                <w:sz w:val="16"/>
                <w:szCs w:val="16"/>
                <w:lang w:val="en-US"/>
              </w:rPr>
            </w:pPr>
            <w:r w:rsidRPr="005C6123">
              <w:rPr>
                <w:b/>
                <w:bCs/>
                <w:sz w:val="16"/>
                <w:szCs w:val="16"/>
                <w:lang w:val="en-GB"/>
              </w:rPr>
              <w:t>Quantification</w:t>
            </w:r>
          </w:p>
          <w:p w14:paraId="20FE83C3" w14:textId="77777777" w:rsidR="00A0524C" w:rsidRPr="005C6123" w:rsidRDefault="00A0524C" w:rsidP="005D2939">
            <w:pPr>
              <w:pStyle w:val="ListParagraph"/>
              <w:numPr>
                <w:ilvl w:val="0"/>
                <w:numId w:val="49"/>
              </w:numPr>
              <w:spacing w:before="120" w:after="0" w:line="240" w:lineRule="auto"/>
              <w:ind w:left="312" w:hanging="284"/>
              <w:rPr>
                <w:bCs/>
                <w:sz w:val="16"/>
                <w:szCs w:val="16"/>
              </w:rPr>
            </w:pPr>
            <w:r w:rsidRPr="005C6123">
              <w:rPr>
                <w:bCs/>
                <w:sz w:val="16"/>
                <w:szCs w:val="16"/>
              </w:rPr>
              <w:t xml:space="preserve">Screen components to get screening values (SV) in parts per million (ppm). </w:t>
            </w:r>
          </w:p>
          <w:p w14:paraId="5F11A063" w14:textId="77777777" w:rsidR="00A0524C" w:rsidRPr="005C6123" w:rsidRDefault="00A0524C" w:rsidP="00A0524C">
            <w:pPr>
              <w:spacing w:line="240" w:lineRule="auto"/>
              <w:ind w:left="318"/>
              <w:rPr>
                <w:b/>
                <w:sz w:val="16"/>
                <w:szCs w:val="16"/>
                <w:lang w:val="en-GB"/>
              </w:rPr>
            </w:pPr>
            <w:r w:rsidRPr="005C6123">
              <w:rPr>
                <w:bCs/>
                <w:sz w:val="16"/>
                <w:szCs w:val="16"/>
                <w:lang w:val="en-GB"/>
              </w:rPr>
              <w:t xml:space="preserve">Only concentration is directly measured by method 21. The size of the leak is not considered, and different leak rates could have the same concentration, and vice versa. </w:t>
            </w:r>
          </w:p>
          <w:p w14:paraId="4242D9EB" w14:textId="77777777" w:rsidR="00A0524C" w:rsidRPr="005C6123" w:rsidRDefault="00A0524C" w:rsidP="005D2939">
            <w:pPr>
              <w:pStyle w:val="ListParagraph"/>
              <w:numPr>
                <w:ilvl w:val="0"/>
                <w:numId w:val="49"/>
              </w:numPr>
              <w:spacing w:before="120" w:after="0" w:line="240" w:lineRule="auto"/>
              <w:ind w:left="312" w:hanging="284"/>
              <w:contextualSpacing w:val="0"/>
              <w:rPr>
                <w:bCs/>
                <w:sz w:val="16"/>
                <w:szCs w:val="16"/>
              </w:rPr>
            </w:pPr>
            <w:r w:rsidRPr="005C6123">
              <w:rPr>
                <w:bCs/>
                <w:sz w:val="16"/>
                <w:szCs w:val="16"/>
              </w:rPr>
              <w:t>Apply correlations to estimate emission rates (ER)</w:t>
            </w:r>
          </w:p>
          <w:p w14:paraId="19AEF20D" w14:textId="77777777" w:rsidR="00A0524C" w:rsidRPr="005C6123" w:rsidRDefault="00A0524C" w:rsidP="00A0524C">
            <w:pPr>
              <w:spacing w:line="240" w:lineRule="auto"/>
              <w:ind w:left="318"/>
              <w:rPr>
                <w:bCs/>
                <w:sz w:val="16"/>
                <w:szCs w:val="16"/>
                <w:lang w:val="en-US"/>
              </w:rPr>
            </w:pPr>
            <w:r w:rsidRPr="005C6123">
              <w:rPr>
                <w:bCs/>
                <w:sz w:val="16"/>
                <w:szCs w:val="16"/>
                <w:lang w:val="en-US"/>
              </w:rPr>
              <w:t xml:space="preserve">Empirical equations based on field data (SV vs. ER from bagging </w:t>
            </w:r>
            <w:r w:rsidRPr="005C6123">
              <w:rPr>
                <w:bCs/>
                <w:sz w:val="16"/>
                <w:szCs w:val="16"/>
                <w:lang w:val="en-GB"/>
              </w:rPr>
              <w:t>tests</w:t>
            </w:r>
            <w:r w:rsidRPr="005C6123">
              <w:rPr>
                <w:bCs/>
                <w:sz w:val="16"/>
                <w:szCs w:val="16"/>
                <w:lang w:val="en-US"/>
              </w:rPr>
              <w:t xml:space="preserve">). </w:t>
            </w:r>
          </w:p>
          <w:p w14:paraId="6788A2DA" w14:textId="77777777" w:rsidR="00A0524C" w:rsidRPr="005C6123" w:rsidRDefault="00A0524C" w:rsidP="005D2939">
            <w:pPr>
              <w:pStyle w:val="ListParagraph"/>
              <w:numPr>
                <w:ilvl w:val="0"/>
                <w:numId w:val="49"/>
              </w:numPr>
              <w:spacing w:before="120" w:after="0" w:line="240" w:lineRule="auto"/>
              <w:ind w:left="312" w:hanging="284"/>
              <w:contextualSpacing w:val="0"/>
              <w:rPr>
                <w:bCs/>
                <w:sz w:val="16"/>
                <w:szCs w:val="16"/>
              </w:rPr>
            </w:pPr>
            <w:r w:rsidRPr="005C6123">
              <w:rPr>
                <w:bCs/>
                <w:sz w:val="16"/>
                <w:szCs w:val="16"/>
              </w:rPr>
              <w:t>Report Emission rates in kilogram per hour (kg/</w:t>
            </w:r>
            <w:proofErr w:type="spellStart"/>
            <w:r w:rsidRPr="005C6123">
              <w:rPr>
                <w:bCs/>
                <w:sz w:val="16"/>
                <w:szCs w:val="16"/>
              </w:rPr>
              <w:t>hr</w:t>
            </w:r>
            <w:proofErr w:type="spellEnd"/>
            <w:r w:rsidRPr="005C6123">
              <w:rPr>
                <w:bCs/>
                <w:sz w:val="16"/>
                <w:szCs w:val="16"/>
              </w:rPr>
              <w:t>)</w:t>
            </w:r>
          </w:p>
          <w:p w14:paraId="7FDC85FE" w14:textId="77777777" w:rsidR="00A0524C" w:rsidRPr="005C6123" w:rsidRDefault="00A0524C" w:rsidP="00A0524C">
            <w:pPr>
              <w:pStyle w:val="ListParagraph"/>
              <w:spacing w:before="120" w:after="120"/>
              <w:ind w:left="315"/>
              <w:rPr>
                <w:b/>
                <w:sz w:val="16"/>
                <w:szCs w:val="16"/>
              </w:rPr>
            </w:pPr>
            <w:r w:rsidRPr="005C6123">
              <w:rPr>
                <w:bCs/>
                <w:sz w:val="16"/>
                <w:szCs w:val="16"/>
              </w:rPr>
              <w:t>High uncertainties and method 21 can only give an estimate of emission rates.</w:t>
            </w:r>
          </w:p>
        </w:tc>
        <w:tc>
          <w:tcPr>
            <w:tcW w:w="2977" w:type="dxa"/>
            <w:tcBorders>
              <w:top w:val="single" w:sz="2" w:space="0" w:color="208855" w:themeColor="accent1" w:themeShade="BF"/>
              <w:bottom w:val="single" w:sz="2" w:space="0" w:color="208855" w:themeColor="accent1" w:themeShade="BF"/>
              <w:right w:val="single" w:sz="2" w:space="0" w:color="208855" w:themeColor="accent1" w:themeShade="BF"/>
            </w:tcBorders>
            <w:shd w:val="clear" w:color="auto" w:fill="D0F4E3" w:themeFill="accent1" w:themeFillTint="33"/>
          </w:tcPr>
          <w:p w14:paraId="4A0D6AB1" w14:textId="575B0577" w:rsidR="00A0524C" w:rsidRPr="005C6123" w:rsidRDefault="00A0524C" w:rsidP="005D2939">
            <w:pPr>
              <w:pStyle w:val="ListParagraph"/>
              <w:numPr>
                <w:ilvl w:val="0"/>
                <w:numId w:val="36"/>
              </w:numPr>
              <w:spacing w:before="120" w:after="120" w:line="276" w:lineRule="auto"/>
              <w:ind w:left="0"/>
              <w:contextualSpacing w:val="0"/>
            </w:pPr>
            <w:r w:rsidRPr="005C6123">
              <w:rPr>
                <w:b/>
                <w:sz w:val="16"/>
                <w:szCs w:val="16"/>
              </w:rPr>
              <w:t>Correlation curves</w:t>
            </w:r>
            <w:r w:rsidRPr="005C6123">
              <w:rPr>
                <w:rStyle w:val="FootnoteReference"/>
                <w:b/>
                <w:sz w:val="16"/>
                <w:szCs w:val="16"/>
              </w:rPr>
              <w:footnoteReference w:id="194"/>
            </w:r>
          </w:p>
          <w:p w14:paraId="7FC2E73B" w14:textId="77777777" w:rsidR="00A0524C" w:rsidRPr="005C6123" w:rsidRDefault="00A0524C" w:rsidP="00A0524C">
            <w:pPr>
              <w:pStyle w:val="ListParagraph"/>
              <w:spacing w:before="120" w:after="120"/>
              <w:ind w:left="36"/>
              <w:contextualSpacing w:val="0"/>
              <w:rPr>
                <w:szCs w:val="20"/>
              </w:rPr>
            </w:pPr>
            <w:r>
              <w:rPr>
                <w:noProof/>
                <w:szCs w:val="20"/>
                <w:lang w:val="nb-NO" w:eastAsia="nb-NO"/>
              </w:rPr>
              <w:drawing>
                <wp:inline distT="0" distB="0" distL="0" distR="0" wp14:anchorId="29381803" wp14:editId="67FDF5DE">
                  <wp:extent cx="1504950" cy="1822450"/>
                  <wp:effectExtent l="0" t="0" r="0" b="635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4950" cy="1822450"/>
                          </a:xfrm>
                          <a:prstGeom prst="rect">
                            <a:avLst/>
                          </a:prstGeom>
                          <a:noFill/>
                          <a:ln>
                            <a:noFill/>
                          </a:ln>
                        </pic:spPr>
                      </pic:pic>
                    </a:graphicData>
                  </a:graphic>
                </wp:inline>
              </w:drawing>
            </w:r>
          </w:p>
        </w:tc>
      </w:tr>
      <w:tr w:rsidR="00A0524C" w:rsidRPr="00104E87" w14:paraId="2D3452D5" w14:textId="77777777" w:rsidTr="00A0524C">
        <w:tc>
          <w:tcPr>
            <w:tcW w:w="1838" w:type="dxa"/>
            <w:tcBorders>
              <w:top w:val="single" w:sz="2" w:space="0" w:color="208855" w:themeColor="accent1" w:themeShade="BF"/>
              <w:left w:val="single" w:sz="4" w:space="0" w:color="208855" w:themeColor="accent1" w:themeShade="BF"/>
              <w:bottom w:val="single" w:sz="4" w:space="0" w:color="208855" w:themeColor="accent1" w:themeShade="BF"/>
            </w:tcBorders>
            <w:shd w:val="clear" w:color="auto" w:fill="auto"/>
          </w:tcPr>
          <w:p w14:paraId="3E5CCFDB" w14:textId="77777777" w:rsidR="00A0524C" w:rsidRPr="005C6123" w:rsidRDefault="00A0524C" w:rsidP="00A0524C">
            <w:pPr>
              <w:pStyle w:val="ListParagraph"/>
              <w:spacing w:before="40" w:after="40"/>
              <w:ind w:left="170"/>
              <w:contextualSpacing w:val="0"/>
              <w:jc w:val="right"/>
              <w:rPr>
                <w:b/>
                <w:bCs/>
                <w:sz w:val="15"/>
                <w:szCs w:val="15"/>
              </w:rPr>
            </w:pPr>
            <w:r w:rsidRPr="005C6123">
              <w:rPr>
                <w:b/>
                <w:bCs/>
                <w:sz w:val="15"/>
                <w:szCs w:val="15"/>
                <w:lang w:val="en-GB"/>
              </w:rPr>
              <w:t>Method of Usage</w:t>
            </w:r>
          </w:p>
        </w:tc>
        <w:tc>
          <w:tcPr>
            <w:tcW w:w="7366" w:type="dxa"/>
            <w:gridSpan w:val="2"/>
            <w:tcBorders>
              <w:top w:val="single" w:sz="2" w:space="0" w:color="208855" w:themeColor="accent1" w:themeShade="BF"/>
              <w:bottom w:val="single" w:sz="4" w:space="0" w:color="208855" w:themeColor="accent1" w:themeShade="BF"/>
              <w:right w:val="single" w:sz="4" w:space="0" w:color="208855" w:themeColor="accent1" w:themeShade="BF"/>
            </w:tcBorders>
            <w:shd w:val="clear" w:color="auto" w:fill="auto"/>
          </w:tcPr>
          <w:p w14:paraId="099ED3E9" w14:textId="77777777" w:rsidR="00A0524C" w:rsidRPr="005C6123" w:rsidRDefault="00A0524C" w:rsidP="00A0524C">
            <w:pPr>
              <w:spacing w:before="40" w:after="40" w:line="240" w:lineRule="auto"/>
              <w:rPr>
                <w:sz w:val="15"/>
                <w:szCs w:val="15"/>
                <w:lang w:val="en-US"/>
              </w:rPr>
            </w:pPr>
            <w:r w:rsidRPr="005C6123">
              <w:rPr>
                <w:sz w:val="15"/>
                <w:szCs w:val="15"/>
                <w:lang w:val="en-GB"/>
              </w:rPr>
              <w:t>Required the concentration of methane emissions of the regulated components to be initially measured in parts per million (ppm) and correlated with empirical equations to estimate emission rates</w:t>
            </w:r>
          </w:p>
        </w:tc>
      </w:tr>
      <w:tr w:rsidR="00A0524C" w:rsidRPr="00104E87" w14:paraId="564D2250"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4B5A9044"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rPr>
              <w:t>Quantification Speed</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6C5D6734"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 xml:space="preserve">Relatively slow as each leak´s concentration needs to be initially recorded using laser leak detectors or OVAs/TVAs. </w:t>
            </w:r>
          </w:p>
        </w:tc>
      </w:tr>
      <w:tr w:rsidR="00A0524C" w:rsidRPr="00104E87" w14:paraId="628F5714"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682A2A9B"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sz w:val="15"/>
                <w:szCs w:val="15"/>
                <w:lang w:val="en-GB"/>
              </w:rPr>
              <w:t>Constraints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34B16A74"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Not intended to accurately quantify emission of each leak has significant uncertainties. It is only an estimate of emissions using correlation curves.</w:t>
            </w:r>
          </w:p>
          <w:p w14:paraId="154DBE6F" w14:textId="77777777" w:rsidR="00A0524C" w:rsidRPr="005C6123" w:rsidRDefault="00A0524C" w:rsidP="005D2939">
            <w:pPr>
              <w:pStyle w:val="ListParagraph"/>
              <w:numPr>
                <w:ilvl w:val="0"/>
                <w:numId w:val="36"/>
              </w:numPr>
              <w:spacing w:before="40" w:after="40"/>
              <w:ind w:left="36"/>
              <w:contextualSpacing w:val="0"/>
              <w:rPr>
                <w:sz w:val="15"/>
                <w:szCs w:val="15"/>
                <w:lang w:val="en-GB"/>
              </w:rPr>
            </w:pPr>
            <w:r w:rsidRPr="005C6123">
              <w:rPr>
                <w:sz w:val="15"/>
                <w:szCs w:val="15"/>
                <w:lang w:val="en-GB"/>
              </w:rPr>
              <w:t>Correlation equations cannot be used above certain value (pegged value, e.g.: 10´000 or 100´000 ppm</w:t>
            </w:r>
          </w:p>
        </w:tc>
      </w:tr>
      <w:tr w:rsidR="00A0524C" w:rsidRPr="00104E87" w14:paraId="38E171D5"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300C814B"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rPr>
              <w:t>Uncertainty</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6AC8EAB7" w14:textId="77777777" w:rsidR="00A0524C" w:rsidRPr="005C6123" w:rsidRDefault="00A0524C" w:rsidP="00A0524C">
            <w:pPr>
              <w:spacing w:before="40" w:after="40" w:line="240" w:lineRule="auto"/>
              <w:rPr>
                <w:sz w:val="15"/>
                <w:szCs w:val="15"/>
                <w:lang w:val="en-US"/>
              </w:rPr>
            </w:pPr>
            <w:r w:rsidRPr="005C6123">
              <w:rPr>
                <w:sz w:val="15"/>
                <w:szCs w:val="15"/>
                <w:lang w:val="en-US"/>
              </w:rPr>
              <w:t>Uncertainties are high for screening values (up to 200%). Also, some correlation equations are derived from various sources and combined field data and so uncertainty range is large (-80% to +300% error). Combining uncertainties could result in very high errors in emission rates</w:t>
            </w:r>
          </w:p>
        </w:tc>
      </w:tr>
      <w:tr w:rsidR="00A0524C" w:rsidRPr="005C6123" w14:paraId="7815AF6C" w14:textId="77777777" w:rsidTr="00A0524C">
        <w:tc>
          <w:tcPr>
            <w:tcW w:w="1838" w:type="dxa"/>
            <w:tcBorders>
              <w:top w:val="single" w:sz="4" w:space="0" w:color="208855" w:themeColor="accent1" w:themeShade="BF"/>
              <w:left w:val="single" w:sz="4" w:space="0" w:color="208855" w:themeColor="accent1" w:themeShade="BF"/>
              <w:bottom w:val="single" w:sz="4" w:space="0" w:color="208855" w:themeColor="accent1" w:themeShade="BF"/>
            </w:tcBorders>
            <w:shd w:val="clear" w:color="auto" w:fill="auto"/>
          </w:tcPr>
          <w:p w14:paraId="3BD8BBE4" w14:textId="77777777" w:rsidR="00A0524C" w:rsidRPr="005C6123" w:rsidRDefault="00A0524C" w:rsidP="00A0524C">
            <w:pPr>
              <w:pStyle w:val="ListParagraph"/>
              <w:spacing w:before="40" w:after="40"/>
              <w:ind w:left="170"/>
              <w:contextualSpacing w:val="0"/>
              <w:jc w:val="right"/>
              <w:rPr>
                <w:b/>
                <w:bCs/>
                <w:sz w:val="15"/>
                <w:szCs w:val="15"/>
                <w:lang w:val="en-GB"/>
              </w:rPr>
            </w:pPr>
            <w:r w:rsidRPr="005C6123">
              <w:rPr>
                <w:b/>
                <w:bCs/>
                <w:sz w:val="15"/>
                <w:szCs w:val="15"/>
                <w:lang w:val="en-GB"/>
              </w:rPr>
              <w:t>Cost Considerations</w:t>
            </w:r>
          </w:p>
        </w:tc>
        <w:tc>
          <w:tcPr>
            <w:tcW w:w="7366" w:type="dxa"/>
            <w:gridSpan w:val="2"/>
            <w:tcBorders>
              <w:top w:val="single" w:sz="4" w:space="0" w:color="208855" w:themeColor="accent1" w:themeShade="BF"/>
              <w:bottom w:val="single" w:sz="4" w:space="0" w:color="208855" w:themeColor="accent1" w:themeShade="BF"/>
              <w:right w:val="single" w:sz="4" w:space="0" w:color="208855" w:themeColor="accent1" w:themeShade="BF"/>
            </w:tcBorders>
            <w:shd w:val="clear" w:color="auto" w:fill="auto"/>
          </w:tcPr>
          <w:p w14:paraId="04ACE68F" w14:textId="77777777" w:rsidR="00A0524C" w:rsidRPr="005C6123" w:rsidRDefault="00A0524C" w:rsidP="005D2939">
            <w:pPr>
              <w:pStyle w:val="ListParagraph"/>
              <w:numPr>
                <w:ilvl w:val="0"/>
                <w:numId w:val="36"/>
              </w:numPr>
              <w:spacing w:before="40" w:after="40"/>
              <w:ind w:left="36"/>
              <w:contextualSpacing w:val="0"/>
              <w:rPr>
                <w:sz w:val="15"/>
                <w:szCs w:val="15"/>
              </w:rPr>
            </w:pPr>
            <w:proofErr w:type="spellStart"/>
            <w:r w:rsidRPr="005C6123">
              <w:rPr>
                <w:sz w:val="15"/>
                <w:szCs w:val="15"/>
                <w:lang w:val="en-GB"/>
              </w:rPr>
              <w:t>Labor</w:t>
            </w:r>
            <w:proofErr w:type="spellEnd"/>
            <w:r w:rsidRPr="005C6123">
              <w:rPr>
                <w:sz w:val="15"/>
                <w:szCs w:val="15"/>
                <w:lang w:val="en-GB"/>
              </w:rPr>
              <w:t xml:space="preserve"> intensive and also requires detection equipment which record concentrations in ppm for each leak. The equipment itself require relatively low capital costs.</w:t>
            </w:r>
          </w:p>
        </w:tc>
      </w:tr>
    </w:tbl>
    <w:p w14:paraId="72F7BA44" w14:textId="77777777" w:rsidR="00A0524C" w:rsidRDefault="00A0524C" w:rsidP="00A0524C">
      <w:pPr>
        <w:rPr>
          <w:lang w:val="en-US"/>
        </w:rPr>
      </w:pPr>
    </w:p>
    <w:p w14:paraId="15FE9C29" w14:textId="77777777" w:rsidR="00A0524C" w:rsidRPr="007C197C" w:rsidRDefault="00A0524C" w:rsidP="00A0524C">
      <w:pPr>
        <w:spacing w:before="120" w:after="0"/>
        <w:rPr>
          <w:lang w:val="en-GB"/>
        </w:rPr>
      </w:pPr>
    </w:p>
    <w:p w14:paraId="63B993F4" w14:textId="77777777" w:rsidR="00A0524C" w:rsidRPr="007C197C" w:rsidRDefault="00A0524C" w:rsidP="00A0524C">
      <w:pPr>
        <w:spacing w:before="120"/>
        <w:rPr>
          <w:lang w:val="en-GB"/>
        </w:rPr>
      </w:pPr>
      <w:r w:rsidRPr="007C197C">
        <w:rPr>
          <w:bCs/>
          <w:lang w:val="en-GB"/>
        </w:rPr>
        <w:t xml:space="preserve"> </w:t>
      </w:r>
    </w:p>
    <w:p w14:paraId="616DE748" w14:textId="77777777" w:rsidR="00A0524C" w:rsidRPr="007C197C" w:rsidRDefault="00A0524C" w:rsidP="00A0524C">
      <w:pPr>
        <w:spacing w:before="120" w:after="0"/>
        <w:rPr>
          <w:lang w:val="en-GB"/>
        </w:rPr>
      </w:pPr>
    </w:p>
    <w:p w14:paraId="504EA7B9" w14:textId="77777777" w:rsidR="00A0524C" w:rsidRPr="00AB5409" w:rsidRDefault="00A0524C" w:rsidP="00A0524C">
      <w:pPr>
        <w:rPr>
          <w:lang w:val="en-GB"/>
        </w:rPr>
      </w:pPr>
    </w:p>
    <w:p w14:paraId="748533A1" w14:textId="77777777" w:rsidR="00E40C66" w:rsidRPr="004A786A" w:rsidRDefault="00E40C66" w:rsidP="00C3032E">
      <w:pPr>
        <w:rPr>
          <w:lang w:val="en-US"/>
        </w:rPr>
      </w:pPr>
    </w:p>
    <w:sectPr w:rsidR="00E40C66" w:rsidRPr="004A786A" w:rsidSect="00D269FB">
      <w:footerReference w:type="default" r:id="rId69"/>
      <w:type w:val="continuous"/>
      <w:pgSz w:w="11906" w:h="16838" w:code="9"/>
      <w:pgMar w:top="1559" w:right="1361" w:bottom="851" w:left="1446" w:header="709"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9721C" w14:textId="77777777" w:rsidR="000941A9" w:rsidRDefault="000941A9" w:rsidP="00612A3A">
      <w:pPr>
        <w:spacing w:line="240" w:lineRule="auto"/>
      </w:pPr>
      <w:r>
        <w:separator/>
      </w:r>
    </w:p>
  </w:endnote>
  <w:endnote w:type="continuationSeparator" w:id="0">
    <w:p w14:paraId="1D3E8F91" w14:textId="77777777" w:rsidR="000941A9" w:rsidRDefault="000941A9" w:rsidP="00612A3A">
      <w:pPr>
        <w:spacing w:line="240" w:lineRule="auto"/>
      </w:pPr>
      <w:r>
        <w:continuationSeparator/>
      </w:r>
    </w:p>
  </w:endnote>
  <w:endnote w:type="continuationNotice" w:id="1">
    <w:p w14:paraId="6D2EEBF8" w14:textId="77777777" w:rsidR="000941A9" w:rsidRDefault="000941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454299"/>
      <w:docPartObj>
        <w:docPartGallery w:val="Page Numbers (Bottom of Page)"/>
        <w:docPartUnique/>
      </w:docPartObj>
    </w:sdtPr>
    <w:sdtEndPr>
      <w:rPr>
        <w:noProof/>
      </w:rPr>
    </w:sdtEndPr>
    <w:sdtContent>
      <w:p w14:paraId="1E8FF50E" w14:textId="77777777" w:rsidR="000941A9" w:rsidRDefault="000941A9">
        <w:pPr>
          <w:pStyle w:val="Footer"/>
          <w:jc w:val="right"/>
        </w:pPr>
        <w:r>
          <w:fldChar w:fldCharType="begin"/>
        </w:r>
        <w:r>
          <w:instrText xml:space="preserve"> PAGE   \* MERGEFORMAT </w:instrText>
        </w:r>
        <w:r>
          <w:fldChar w:fldCharType="separate"/>
        </w:r>
        <w:r>
          <w:rPr>
            <w:noProof/>
          </w:rPr>
          <w:t>58</w:t>
        </w:r>
        <w:r>
          <w:rPr>
            <w:noProof/>
          </w:rPr>
          <w:fldChar w:fldCharType="end"/>
        </w:r>
      </w:p>
    </w:sdtContent>
  </w:sdt>
  <w:p w14:paraId="13B8D62E" w14:textId="77777777" w:rsidR="000941A9" w:rsidRDefault="00094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6E332" w14:textId="77777777" w:rsidR="000941A9" w:rsidRDefault="000941A9" w:rsidP="00612A3A">
      <w:pPr>
        <w:spacing w:line="240" w:lineRule="auto"/>
      </w:pPr>
      <w:r>
        <w:separator/>
      </w:r>
    </w:p>
  </w:footnote>
  <w:footnote w:type="continuationSeparator" w:id="0">
    <w:p w14:paraId="6FB2ACDD" w14:textId="77777777" w:rsidR="000941A9" w:rsidRDefault="000941A9" w:rsidP="00612A3A">
      <w:pPr>
        <w:spacing w:line="240" w:lineRule="auto"/>
      </w:pPr>
      <w:r>
        <w:continuationSeparator/>
      </w:r>
    </w:p>
  </w:footnote>
  <w:footnote w:type="continuationNotice" w:id="1">
    <w:p w14:paraId="43F29B39" w14:textId="77777777" w:rsidR="000941A9" w:rsidRDefault="000941A9">
      <w:pPr>
        <w:spacing w:after="0" w:line="240" w:lineRule="auto"/>
      </w:pPr>
    </w:p>
  </w:footnote>
  <w:footnote w:id="2">
    <w:p w14:paraId="16292398"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 term MRV covers three categories of activities: </w:t>
      </w:r>
      <w:proofErr w:type="spellStart"/>
      <w:r w:rsidRPr="00ED00BF">
        <w:rPr>
          <w:rFonts w:cstheme="minorHAnsi"/>
          <w:szCs w:val="18"/>
          <w:lang w:val="en-US"/>
        </w:rPr>
        <w:t>i</w:t>
      </w:r>
      <w:proofErr w:type="spellEnd"/>
      <w:r w:rsidRPr="00ED00BF">
        <w:rPr>
          <w:rFonts w:cstheme="minorHAnsi"/>
          <w:szCs w:val="18"/>
          <w:lang w:val="en-US"/>
        </w:rPr>
        <w:t>) monitoring, which encompasses direct measurements and other methods for quantifying emissions; ii) reporting, which covers compilation of estimated emissions in specific formats for internal use or external circulation; and iii) verification of emissions and/or emission reductions, often by a third party, for internal purposes or as required by public regulations.</w:t>
      </w:r>
    </w:p>
  </w:footnote>
  <w:footnote w:id="3">
    <w:p w14:paraId="325DE251"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1" w:history="1">
        <w:r w:rsidRPr="00ED00BF">
          <w:rPr>
            <w:rStyle w:val="Hyperlink"/>
            <w:rFonts w:cstheme="minorHAnsi"/>
            <w:szCs w:val="18"/>
            <w:lang w:val="en-US"/>
          </w:rPr>
          <w:t>https://www.iea.org/weo2017/</w:t>
        </w:r>
      </w:hyperlink>
      <w:r w:rsidRPr="00ED00BF">
        <w:rPr>
          <w:rFonts w:cstheme="minorHAnsi"/>
          <w:szCs w:val="18"/>
          <w:lang w:val="en-US"/>
        </w:rPr>
        <w:t xml:space="preserve"> </w:t>
      </w:r>
    </w:p>
  </w:footnote>
  <w:footnote w:id="4">
    <w:p w14:paraId="243AF16E"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IPCC fifth assessment reports Chapter 8. </w:t>
      </w:r>
      <w:hyperlink r:id="rId2" w:history="1">
        <w:r w:rsidRPr="00ED00BF">
          <w:rPr>
            <w:rStyle w:val="Hyperlink"/>
            <w:rFonts w:cstheme="minorHAnsi"/>
            <w:szCs w:val="18"/>
            <w:lang w:val="en-US"/>
          </w:rPr>
          <w:t>https://www.ipcc.ch/report/ar5/wg1/mindex.shtml</w:t>
        </w:r>
      </w:hyperlink>
    </w:p>
  </w:footnote>
  <w:footnote w:id="5">
    <w:p w14:paraId="044CD6F7" w14:textId="2FDC364C"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See for example </w:t>
      </w:r>
      <w:hyperlink r:id="rId3" w:history="1">
        <w:r w:rsidRPr="00ED00BF">
          <w:rPr>
            <w:rStyle w:val="Hyperlink"/>
            <w:rFonts w:cstheme="minorHAnsi"/>
            <w:szCs w:val="18"/>
            <w:lang w:val="en-US"/>
          </w:rPr>
          <w:t>https://www.iea.org/weo2017</w:t>
        </w:r>
      </w:hyperlink>
      <w:r w:rsidRPr="00ED00BF">
        <w:rPr>
          <w:rFonts w:cstheme="minorHAnsi"/>
          <w:szCs w:val="18"/>
          <w:lang w:val="en-US"/>
        </w:rPr>
        <w:t xml:space="preserve"> page 432</w:t>
      </w:r>
    </w:p>
  </w:footnote>
  <w:footnote w:id="6">
    <w:p w14:paraId="22219E1C" w14:textId="77777777" w:rsidR="000941A9" w:rsidRPr="00ED00BF" w:rsidRDefault="000941A9" w:rsidP="00ED00BF">
      <w:pPr>
        <w:pStyle w:val="CommentText"/>
        <w:spacing w:after="0"/>
        <w:rPr>
          <w:rFonts w:cstheme="minorHAnsi"/>
          <w:sz w:val="18"/>
          <w:szCs w:val="18"/>
          <w:lang w:val="en-US"/>
        </w:rPr>
      </w:pPr>
      <w:r w:rsidRPr="00ED00BF">
        <w:rPr>
          <w:rStyle w:val="FootnoteReference"/>
          <w:rFonts w:cstheme="minorHAnsi"/>
          <w:sz w:val="18"/>
          <w:szCs w:val="18"/>
        </w:rPr>
        <w:footnoteRef/>
      </w:r>
      <w:r w:rsidRPr="00ED00BF">
        <w:rPr>
          <w:rFonts w:cstheme="minorHAnsi"/>
          <w:sz w:val="18"/>
          <w:szCs w:val="18"/>
          <w:lang w:val="en-US"/>
        </w:rPr>
        <w:t xml:space="preserve"> </w:t>
      </w:r>
      <w:hyperlink w:history="1"/>
      <w:hyperlink r:id="rId4" w:history="1">
        <w:r w:rsidRPr="00ED00BF">
          <w:rPr>
            <w:rStyle w:val="Hyperlink"/>
            <w:rFonts w:cstheme="minorHAnsi"/>
            <w:sz w:val="18"/>
            <w:szCs w:val="18"/>
            <w:lang w:val="en-US"/>
          </w:rPr>
          <w:t>https://www.globalmethane.org/documents/gmi-mitigation-factsheet.pdf</w:t>
        </w:r>
      </w:hyperlink>
      <w:r w:rsidRPr="00ED00BF">
        <w:rPr>
          <w:rFonts w:cstheme="minorHAnsi"/>
          <w:sz w:val="18"/>
          <w:szCs w:val="18"/>
          <w:lang w:val="en-US"/>
        </w:rPr>
        <w:t xml:space="preserve"> </w:t>
      </w:r>
    </w:p>
  </w:footnote>
  <w:footnote w:id="7">
    <w:p w14:paraId="3804138F"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5" w:history="1">
        <w:r w:rsidRPr="00ED00BF">
          <w:rPr>
            <w:rStyle w:val="Hyperlink"/>
            <w:rFonts w:cstheme="minorHAnsi"/>
            <w:szCs w:val="18"/>
            <w:lang w:val="en-US"/>
          </w:rPr>
          <w:t>https://www.earth-syst-sci-data.net/8/697/2016/essd-8-697-2016.pdf</w:t>
        </w:r>
      </w:hyperlink>
      <w:r w:rsidRPr="00ED00BF">
        <w:rPr>
          <w:rFonts w:cstheme="minorHAnsi"/>
          <w:szCs w:val="18"/>
          <w:lang w:val="en-US"/>
        </w:rPr>
        <w:t>, and IEA World Energy Outlook 2017.</w:t>
      </w:r>
    </w:p>
  </w:footnote>
  <w:footnote w:id="8">
    <w:p w14:paraId="7EBB5190"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See Chapter 10 Figure 10.13 in the IEA World Energy Outlook 2017 </w:t>
      </w:r>
    </w:p>
  </w:footnote>
  <w:footnote w:id="9">
    <w:p w14:paraId="733506C2"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See Section 10.4 of the IEA World Energy Outlook 2017</w:t>
      </w:r>
    </w:p>
  </w:footnote>
  <w:footnote w:id="10">
    <w:p w14:paraId="3585AB5D" w14:textId="360B5E2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6" w:history="1">
        <w:r w:rsidRPr="00ED00BF">
          <w:rPr>
            <w:rStyle w:val="Hyperlink"/>
            <w:rFonts w:cstheme="minorHAnsi"/>
            <w:szCs w:val="18"/>
            <w:lang w:val="en-US"/>
          </w:rPr>
          <w:t>http://ccacoalition.org/en/content/oil-and-gas-methane-partnership-technical-guidance-documents</w:t>
        </w:r>
      </w:hyperlink>
    </w:p>
  </w:footnote>
  <w:footnote w:id="11">
    <w:p w14:paraId="2371F7DA" w14:textId="1807A096"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7" w:history="1">
        <w:r w:rsidRPr="00ED00BF">
          <w:rPr>
            <w:rStyle w:val="Hyperlink"/>
            <w:rFonts w:cstheme="minorHAnsi"/>
            <w:szCs w:val="18"/>
            <w:lang w:val="en-US"/>
          </w:rPr>
          <w:t>https://www.epa.gov/sites/production/files/2016-04/documents/mon7ccacemissurvey.pdf</w:t>
        </w:r>
      </w:hyperlink>
    </w:p>
  </w:footnote>
  <w:footnote w:id="12">
    <w:p w14:paraId="53469004" w14:textId="105A951C" w:rsidR="000941A9" w:rsidRPr="00A1239B" w:rsidRDefault="000941A9" w:rsidP="00ED00BF">
      <w:pPr>
        <w:pStyle w:val="FootnoteText"/>
        <w:spacing w:after="0"/>
        <w:rPr>
          <w:rFonts w:cstheme="minorHAnsi"/>
          <w:i/>
          <w:iCs/>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i/>
          <w:iCs/>
          <w:lang w:val="en-US"/>
        </w:rPr>
        <w:t>Id.</w:t>
      </w:r>
    </w:p>
  </w:footnote>
  <w:footnote w:id="13">
    <w:p w14:paraId="71B288E6"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8" w:history="1">
        <w:r w:rsidRPr="00ED00BF">
          <w:rPr>
            <w:rStyle w:val="Hyperlink"/>
            <w:rFonts w:cstheme="minorHAnsi"/>
            <w:szCs w:val="18"/>
            <w:lang w:val="en-US"/>
          </w:rPr>
          <w:t>https://www.ipcc-nggip.iges.or.jp/public/2006gl/</w:t>
        </w:r>
      </w:hyperlink>
      <w:r w:rsidRPr="00ED00BF">
        <w:rPr>
          <w:rFonts w:cstheme="minorHAnsi"/>
          <w:szCs w:val="18"/>
          <w:lang w:val="en-US"/>
        </w:rPr>
        <w:t xml:space="preserve"> with the chapter on fugitive emissions: </w:t>
      </w:r>
      <w:hyperlink r:id="rId9" w:history="1">
        <w:r w:rsidRPr="00ED00BF">
          <w:rPr>
            <w:rStyle w:val="Hyperlink"/>
            <w:rFonts w:cstheme="minorHAnsi"/>
            <w:szCs w:val="18"/>
            <w:lang w:val="en-US"/>
          </w:rPr>
          <w:t>https://www.ipcc-nggip.iges.or.jp/public/2006gl/pdf/2_Volume2/V2_4_Ch4_Fugitive_Emissions.pdf</w:t>
        </w:r>
      </w:hyperlink>
      <w:r w:rsidRPr="00ED00BF">
        <w:rPr>
          <w:rFonts w:cstheme="minorHAnsi"/>
          <w:szCs w:val="18"/>
          <w:lang w:val="en-US"/>
        </w:rPr>
        <w:t xml:space="preserve"> </w:t>
      </w:r>
    </w:p>
  </w:footnote>
  <w:footnote w:id="14">
    <w:p w14:paraId="495105CE"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 Oil and Gas System as defined in the IPPC Guidelines Oil and Gas System covers </w:t>
      </w:r>
      <w:proofErr w:type="gramStart"/>
      <w:r w:rsidRPr="00ED00BF">
        <w:rPr>
          <w:rFonts w:cstheme="minorHAnsi"/>
          <w:szCs w:val="18"/>
          <w:lang w:val="en-US"/>
        </w:rPr>
        <w:t>a number of</w:t>
      </w:r>
      <w:proofErr w:type="gramEnd"/>
      <w:r w:rsidRPr="00ED00BF">
        <w:rPr>
          <w:rFonts w:cstheme="minorHAnsi"/>
          <w:szCs w:val="18"/>
          <w:lang w:val="en-US"/>
        </w:rPr>
        <w:t xml:space="preserve"> defined segments in the supply chain from exploration, production, gathering &amp; processing to long distance transmissions/transport, to reefing and distribution to end use consumers. </w:t>
      </w:r>
    </w:p>
  </w:footnote>
  <w:footnote w:id="15">
    <w:p w14:paraId="62AC0209" w14:textId="49CDA442" w:rsidR="000941A9" w:rsidRPr="00ED00BF" w:rsidRDefault="000941A9" w:rsidP="004173F0">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It is important to note that the year for the emission estimates varies in different studies, which </w:t>
      </w:r>
      <w:proofErr w:type="gramStart"/>
      <w:r w:rsidRPr="00ED00BF">
        <w:rPr>
          <w:rFonts w:cstheme="minorHAnsi"/>
          <w:szCs w:val="18"/>
          <w:lang w:val="en-US"/>
        </w:rPr>
        <w:t>in itself will</w:t>
      </w:r>
      <w:proofErr w:type="gramEnd"/>
      <w:r w:rsidRPr="00ED00BF">
        <w:rPr>
          <w:rFonts w:cstheme="minorHAnsi"/>
          <w:szCs w:val="18"/>
          <w:lang w:val="en-US"/>
        </w:rPr>
        <w:t xml:space="preserve"> lead to differences in methane emission estimates. Although many of the studies rely on nationally reported data (including information about methane emissions reported to the UNFCCC), the other data inputs used, for instance certain activity data (e.g. production or throughput volumes, volumes of gas vented and flared), as well as default emission factors might differ in different studies. Default emission factors alone (prescribed by the IPCC 2006 Guidelines) have a range of uncertainty of several hundred per cent.</w:t>
      </w:r>
    </w:p>
  </w:footnote>
  <w:footnote w:id="16">
    <w:p w14:paraId="4B8F80B6" w14:textId="243D6CD8" w:rsidR="000941A9" w:rsidRPr="00ED00BF" w:rsidRDefault="000941A9" w:rsidP="00ED00BF">
      <w:pPr>
        <w:pStyle w:val="FootnoteText"/>
        <w:spacing w:after="0"/>
        <w:rPr>
          <w:rFonts w:cstheme="minorHAnsi"/>
          <w:szCs w:val="18"/>
          <w:lang w:val="fr-FR"/>
        </w:rPr>
      </w:pPr>
      <w:r w:rsidRPr="00ED00BF">
        <w:rPr>
          <w:rStyle w:val="FootnoteReference"/>
          <w:rFonts w:cstheme="minorHAnsi"/>
          <w:szCs w:val="18"/>
        </w:rPr>
        <w:footnoteRef/>
      </w:r>
      <w:r w:rsidRPr="00ED00BF">
        <w:rPr>
          <w:rFonts w:cstheme="minorHAnsi"/>
          <w:szCs w:val="18"/>
          <w:lang w:val="fr-FR"/>
        </w:rPr>
        <w:t xml:space="preserve"> </w:t>
      </w:r>
      <w:hyperlink r:id="rId10" w:history="1">
        <w:r w:rsidRPr="00ED00BF">
          <w:rPr>
            <w:rStyle w:val="Hyperlink"/>
            <w:rFonts w:cstheme="minorHAnsi"/>
            <w:szCs w:val="18"/>
            <w:lang w:val="fr-FR"/>
          </w:rPr>
          <w:t>https://www.iea.org/weo2017/</w:t>
        </w:r>
      </w:hyperlink>
      <w:r w:rsidRPr="00ED00BF">
        <w:rPr>
          <w:rStyle w:val="Hyperlink"/>
          <w:rFonts w:cstheme="minorHAnsi"/>
          <w:color w:val="auto"/>
          <w:szCs w:val="18"/>
          <w:u w:val="none"/>
          <w:lang w:val="fr-FR"/>
        </w:rPr>
        <w:t xml:space="preserve"> (</w:t>
      </w:r>
      <w:r w:rsidRPr="00ED00BF">
        <w:rPr>
          <w:rFonts w:cstheme="minorHAnsi"/>
          <w:szCs w:val="18"/>
          <w:lang w:val="fr-FR"/>
        </w:rPr>
        <w:t>Figure 10.5 page 441)</w:t>
      </w:r>
    </w:p>
  </w:footnote>
  <w:footnote w:id="17">
    <w:p w14:paraId="1047B26C"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 revisions resulted from work carried out by a group of researchers, including </w:t>
      </w:r>
      <w:proofErr w:type="spellStart"/>
      <w:r w:rsidRPr="00ED00BF">
        <w:rPr>
          <w:rFonts w:cstheme="minorHAnsi"/>
          <w:szCs w:val="18"/>
          <w:lang w:val="en-US"/>
        </w:rPr>
        <w:t>Roshydromet</w:t>
      </w:r>
      <w:proofErr w:type="spellEnd"/>
      <w:r w:rsidRPr="00ED00BF">
        <w:rPr>
          <w:rFonts w:cstheme="minorHAnsi"/>
          <w:szCs w:val="18"/>
          <w:lang w:val="en-US"/>
        </w:rPr>
        <w:t>, International Centre for sustainable energy development and Russian Energy Agency of the Ministry of Energy. See</w:t>
      </w:r>
    </w:p>
    <w:p w14:paraId="255E7649" w14:textId="2994A2F7" w:rsidR="000941A9" w:rsidRPr="00ED00BF" w:rsidRDefault="000941A9" w:rsidP="00ED00BF">
      <w:pPr>
        <w:pStyle w:val="FootnoteText"/>
        <w:spacing w:after="0"/>
        <w:rPr>
          <w:rFonts w:cstheme="minorHAnsi"/>
          <w:szCs w:val="18"/>
          <w:lang w:val="en-US"/>
        </w:rPr>
      </w:pPr>
      <w:r w:rsidRPr="00ED00BF">
        <w:rPr>
          <w:rStyle w:val="Hyperlink"/>
          <w:rFonts w:cstheme="minorHAnsi"/>
          <w:szCs w:val="18"/>
          <w:lang w:val="en-US"/>
        </w:rPr>
        <w:t xml:space="preserve"> </w:t>
      </w:r>
      <w:hyperlink r:id="rId11" w:history="1">
        <w:r w:rsidRPr="00ED00BF">
          <w:rPr>
            <w:rStyle w:val="Hyperlink"/>
            <w:rFonts w:cstheme="minorHAnsi"/>
            <w:szCs w:val="18"/>
            <w:lang w:val="en-US"/>
          </w:rPr>
          <w:t>http://www.isedc-u.com/images/pdf/2017/evr_11_17_berdin.pdf</w:t>
        </w:r>
      </w:hyperlink>
      <w:r w:rsidRPr="00ED00BF">
        <w:rPr>
          <w:rFonts w:cstheme="minorHAnsi"/>
          <w:szCs w:val="18"/>
          <w:lang w:val="en-GB"/>
        </w:rPr>
        <w:t xml:space="preserve"> (in Russian)</w:t>
      </w:r>
    </w:p>
  </w:footnote>
  <w:footnote w:id="18">
    <w:p w14:paraId="0363DC8D" w14:textId="77777777" w:rsidR="000941A9" w:rsidRPr="00ED00BF" w:rsidRDefault="000941A9" w:rsidP="00ED00BF">
      <w:pPr>
        <w:pStyle w:val="FootnoteText"/>
        <w:spacing w:after="0"/>
        <w:rPr>
          <w:rFonts w:cstheme="minorHAnsi"/>
          <w:color w:val="808080" w:themeColor="background1" w:themeShade="80"/>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12" w:history="1">
        <w:r w:rsidRPr="00ED00BF">
          <w:rPr>
            <w:rStyle w:val="Hyperlink"/>
            <w:rFonts w:cstheme="minorHAnsi"/>
            <w:szCs w:val="18"/>
            <w:lang w:val="en-US"/>
          </w:rPr>
          <w:t>http://science.sciencemag.org/content/early/2018/06/20/science.aar7204</w:t>
        </w:r>
      </w:hyperlink>
      <w:r w:rsidRPr="00ED00BF">
        <w:rPr>
          <w:rFonts w:cstheme="minorHAnsi"/>
          <w:szCs w:val="18"/>
          <w:lang w:val="en-US"/>
        </w:rPr>
        <w:t xml:space="preserve"> </w:t>
      </w:r>
    </w:p>
  </w:footnote>
  <w:footnote w:id="19">
    <w:p w14:paraId="5AC5E06E" w14:textId="4BC98429"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Data are from 2015 for most countries, otherwise for the most recent year estimated have been submitted (see Table 2.1).  </w:t>
      </w:r>
    </w:p>
  </w:footnote>
  <w:footnote w:id="20">
    <w:p w14:paraId="45677954" w14:textId="56ABF216"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UNFCCC data for 2015 for annex 1 countries and latest available for non-annex 1 countries. US EPA estimate is used for total global methane emissions from the oil and gas sector</w:t>
      </w:r>
    </w:p>
  </w:footnote>
  <w:footnote w:id="21">
    <w:p w14:paraId="0C3CEAD4" w14:textId="146B6C00"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UNFCCC data for 2015 for annex 1 countries and latest available for non-annex 1 countries</w:t>
      </w:r>
    </w:p>
  </w:footnote>
  <w:footnote w:id="22">
    <w:p w14:paraId="754009CA"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See Figure 10.7 in IEA WEO 2017. </w:t>
      </w:r>
    </w:p>
  </w:footnote>
  <w:footnote w:id="23">
    <w:p w14:paraId="34C48484"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It follows from this that IEA estimates of total upstream emissions are 6 percentage points higher than UNFCCC data (78% against 72%).</w:t>
      </w:r>
    </w:p>
  </w:footnote>
  <w:footnote w:id="24">
    <w:p w14:paraId="0CCD0466" w14:textId="069324DA"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13" w:history="1">
        <w:r w:rsidRPr="00ED00BF">
          <w:rPr>
            <w:rStyle w:val="Hyperlink"/>
            <w:rFonts w:cstheme="minorHAnsi"/>
            <w:szCs w:val="18"/>
            <w:lang w:val="en-US"/>
          </w:rPr>
          <w:t>http://ccacoalition.org/en/content/oil-and-gas-methane-partnership-technical-guidance-documents</w:t>
        </w:r>
      </w:hyperlink>
      <w:r w:rsidRPr="00ED00BF">
        <w:rPr>
          <w:rFonts w:cstheme="minorHAnsi"/>
          <w:szCs w:val="18"/>
          <w:lang w:val="en-US"/>
        </w:rPr>
        <w:t xml:space="preserve"> </w:t>
      </w:r>
    </w:p>
  </w:footnote>
  <w:footnote w:id="25">
    <w:p w14:paraId="23486724" w14:textId="1D1285A6"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14" w:history="1">
        <w:r w:rsidRPr="00ED00BF">
          <w:rPr>
            <w:rStyle w:val="Hyperlink"/>
            <w:rFonts w:cstheme="minorHAnsi"/>
            <w:szCs w:val="18"/>
            <w:lang w:val="en-US"/>
          </w:rPr>
          <w:t>http://ccacoalition.org/en/resources/oil-and-gas-methane-partnership-ogmp-third-year-report</w:t>
        </w:r>
      </w:hyperlink>
      <w:r w:rsidRPr="00ED00BF">
        <w:rPr>
          <w:rFonts w:cstheme="minorHAnsi"/>
          <w:szCs w:val="18"/>
          <w:lang w:val="en-US"/>
        </w:rPr>
        <w:t xml:space="preserve"> </w:t>
      </w:r>
    </w:p>
  </w:footnote>
  <w:footnote w:id="26">
    <w:p w14:paraId="72CC16AE" w14:textId="16EABC1F"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15" w:history="1">
        <w:r w:rsidRPr="00ED00BF">
          <w:rPr>
            <w:rStyle w:val="Hyperlink"/>
            <w:rFonts w:cstheme="minorHAnsi"/>
            <w:szCs w:val="18"/>
            <w:lang w:val="en-US"/>
          </w:rPr>
          <w:t>https://carbonlimits.no/project/statistical-analysis-leak-detection-and-repair-canada/</w:t>
        </w:r>
      </w:hyperlink>
      <w:r w:rsidRPr="00ED00BF">
        <w:rPr>
          <w:rFonts w:cstheme="minorHAnsi"/>
          <w:szCs w:val="18"/>
          <w:lang w:val="en-US"/>
        </w:rPr>
        <w:t xml:space="preserve"> </w:t>
      </w:r>
    </w:p>
  </w:footnote>
  <w:footnote w:id="27">
    <w:p w14:paraId="2EAB5BF1" w14:textId="74D082E0"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There are over 1.7 million active oil and gas wells in the United States alone (</w:t>
      </w:r>
      <w:hyperlink r:id="rId16" w:history="1">
        <w:r w:rsidRPr="00ED00BF">
          <w:rPr>
            <w:rStyle w:val="Hyperlink"/>
            <w:rFonts w:cstheme="minorHAnsi"/>
            <w:szCs w:val="18"/>
            <w:lang w:val="en-US"/>
          </w:rPr>
          <w:t>https://www.fractracker.org/2015/08/1-7-million-wells/</w:t>
        </w:r>
      </w:hyperlink>
      <w:r w:rsidRPr="00ED00BF">
        <w:rPr>
          <w:rFonts w:cstheme="minorHAnsi"/>
          <w:szCs w:val="18"/>
          <w:lang w:val="en-US"/>
        </w:rPr>
        <w:t>)</w:t>
      </w:r>
    </w:p>
  </w:footnote>
  <w:footnote w:id="28">
    <w:p w14:paraId="0E6E2F9B" w14:textId="5FF08FA2"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Pr="00ED00BF">
        <w:rPr>
          <w:rFonts w:cstheme="minorHAnsi"/>
          <w:szCs w:val="18"/>
          <w:lang w:val="en-GB"/>
        </w:rPr>
        <w:t>«Quantifying cost effectiveness of systematic Leak Detection and Repair Programs using Infrared cameras”, Carbon Limits report CL-13-27 (2014)</w:t>
      </w:r>
    </w:p>
  </w:footnote>
  <w:footnote w:id="29">
    <w:p w14:paraId="19B0CA82" w14:textId="691F0038"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30">
    <w:p w14:paraId="69F86C11"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Odorized natural gas and sour gas will have noteworthy odor potential.</w:t>
      </w:r>
    </w:p>
  </w:footnote>
  <w:footnote w:id="31">
    <w:p w14:paraId="0973A2B5"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Vents are in theory easier to identify than leaks. </w:t>
      </w:r>
    </w:p>
  </w:footnote>
  <w:footnote w:id="32">
    <w:p w14:paraId="546B6CD7" w14:textId="77777777"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GB"/>
        </w:rPr>
        <w:t xml:space="preserve"> Emission rates are typically variable over time. Variation can occur over very short timeframe (for example with a natural gas driven intermittent bleed controller actuating with variable frequency) or over longer timeframe (for example storage tanks emissions vary depending on the external temperature). </w:t>
      </w:r>
    </w:p>
  </w:footnote>
  <w:footnote w:id="33">
    <w:p w14:paraId="383B5583" w14:textId="77777777"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GB"/>
        </w:rPr>
        <w:t xml:space="preserve"> </w:t>
      </w:r>
      <w:r w:rsidRPr="00ED00BF">
        <w:rPr>
          <w:rFonts w:cstheme="minorHAnsi"/>
          <w:szCs w:val="18"/>
          <w:lang w:val="en-US"/>
        </w:rPr>
        <w:t>In addition, some sources of emissions are not easily measured (ref Annex 1)</w:t>
      </w:r>
    </w:p>
  </w:footnote>
  <w:footnote w:id="34">
    <w:p w14:paraId="574C6186"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17" w:history="1">
        <w:r w:rsidRPr="00ED00BF">
          <w:rPr>
            <w:rStyle w:val="Hyperlink"/>
            <w:rFonts w:cstheme="minorHAnsi"/>
            <w:szCs w:val="18"/>
            <w:lang w:val="en-US"/>
          </w:rPr>
          <w:t>http://www.ccacoalition.org/en/resources/technical-guidance-document-number-7-well-venting-liquids-unloading</w:t>
        </w:r>
      </w:hyperlink>
      <w:r w:rsidRPr="00ED00BF">
        <w:rPr>
          <w:rFonts w:cstheme="minorHAnsi"/>
          <w:szCs w:val="18"/>
          <w:lang w:val="en-US"/>
        </w:rPr>
        <w:t xml:space="preserve"> </w:t>
      </w:r>
    </w:p>
  </w:footnote>
  <w:footnote w:id="35">
    <w:p w14:paraId="284630D7"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Including labor and travel costs</w:t>
      </w:r>
    </w:p>
  </w:footnote>
  <w:footnote w:id="36">
    <w:p w14:paraId="2F9B83FA" w14:textId="64A75E2C"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More information on the limitations of IR camera in the Annex 3</w:t>
      </w:r>
    </w:p>
  </w:footnote>
  <w:footnote w:id="37">
    <w:p w14:paraId="29CCB4FD" w14:textId="00352AAB"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Note that Stanford University has created a model which can be used by operator to compare a set of 4 detection approaches:  </w:t>
      </w:r>
      <w:hyperlink r:id="rId18" w:history="1">
        <w:r w:rsidRPr="00ED00BF">
          <w:rPr>
            <w:rStyle w:val="Hyperlink"/>
            <w:rFonts w:cstheme="minorHAnsi"/>
            <w:szCs w:val="18"/>
            <w:lang w:val="en-US"/>
          </w:rPr>
          <w:t>https://ngi.stanford.edu/sites/default/files/Adam_Brandt.pdf</w:t>
        </w:r>
      </w:hyperlink>
    </w:p>
  </w:footnote>
  <w:footnote w:id="38">
    <w:p w14:paraId="76553B97"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Operator can find detailed guidelines in the OGMP technical guidance documents (including reference to relevant software): </w:t>
      </w:r>
      <w:hyperlink r:id="rId19" w:history="1">
        <w:r w:rsidRPr="00ED00BF">
          <w:rPr>
            <w:rStyle w:val="Hyperlink"/>
            <w:rFonts w:cstheme="minorHAnsi"/>
            <w:szCs w:val="18"/>
            <w:lang w:val="en-US"/>
          </w:rPr>
          <w:t>http://ccacoalition.org/en/content/oil-and-gas-methane-partnership-technical-guidance-documents</w:t>
        </w:r>
      </w:hyperlink>
      <w:r w:rsidRPr="00ED00BF">
        <w:rPr>
          <w:rFonts w:cstheme="minorHAnsi"/>
          <w:szCs w:val="18"/>
          <w:lang w:val="en-US"/>
        </w:rPr>
        <w:t xml:space="preserve"> </w:t>
      </w:r>
    </w:p>
  </w:footnote>
  <w:footnote w:id="39">
    <w:p w14:paraId="3EDC147B" w14:textId="77777777" w:rsidR="000941A9" w:rsidRPr="00ED00BF" w:rsidRDefault="000941A9" w:rsidP="00ED00BF">
      <w:pPr>
        <w:spacing w:after="0" w:line="240" w:lineRule="auto"/>
        <w:rPr>
          <w:rFonts w:cstheme="minorHAnsi"/>
          <w:sz w:val="18"/>
          <w:szCs w:val="18"/>
          <w:lang w:val="en-US"/>
        </w:rPr>
      </w:pPr>
      <w:r w:rsidRPr="00ED00BF">
        <w:rPr>
          <w:rStyle w:val="FootnoteReference"/>
          <w:rFonts w:cstheme="minorHAnsi"/>
          <w:sz w:val="18"/>
          <w:szCs w:val="18"/>
        </w:rPr>
        <w:footnoteRef/>
      </w:r>
      <w:r w:rsidRPr="00ED00BF">
        <w:rPr>
          <w:rFonts w:cstheme="minorHAnsi"/>
          <w:sz w:val="18"/>
          <w:szCs w:val="18"/>
          <w:lang w:val="en-GB"/>
        </w:rPr>
        <w:t xml:space="preserve"> </w:t>
      </w:r>
      <w:r w:rsidRPr="00ED00BF">
        <w:rPr>
          <w:rFonts w:cstheme="minorHAnsi"/>
          <w:sz w:val="18"/>
          <w:szCs w:val="18"/>
          <w:lang w:val="en-US"/>
        </w:rPr>
        <w:t>The engineering calculation (including the use of models) are particularly for some specific sources of emissions (e.g. storage tanks, ref to annex 1).</w:t>
      </w:r>
    </w:p>
  </w:footnote>
  <w:footnote w:id="40">
    <w:p w14:paraId="1C0A79A5"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 first approach will not allow to identify emission reductions opportunities or to assess progress over time for example. </w:t>
      </w:r>
    </w:p>
  </w:footnote>
  <w:footnote w:id="41">
    <w:p w14:paraId="082E63E3"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There is currently very limited number of information sources for emission factors </w:t>
      </w:r>
      <w:proofErr w:type="gramStart"/>
      <w:r w:rsidRPr="00ED00BF">
        <w:rPr>
          <w:rFonts w:cstheme="minorHAnsi"/>
          <w:szCs w:val="18"/>
          <w:lang w:val="en-US"/>
        </w:rPr>
        <w:t>in particular for</w:t>
      </w:r>
      <w:proofErr w:type="gramEnd"/>
      <w:r w:rsidRPr="00ED00BF">
        <w:rPr>
          <w:rFonts w:cstheme="minorHAnsi"/>
          <w:szCs w:val="18"/>
          <w:lang w:val="en-US"/>
        </w:rPr>
        <w:t xml:space="preserve"> some emissions sources (e.g. Blowdown) </w:t>
      </w:r>
    </w:p>
  </w:footnote>
  <w:footnote w:id="42">
    <w:p w14:paraId="0C8593A4" w14:textId="6595728C"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20" w:history="1">
        <w:r w:rsidRPr="00ED00BF">
          <w:rPr>
            <w:rStyle w:val="Hyperlink"/>
            <w:rFonts w:cstheme="minorHAnsi"/>
            <w:szCs w:val="18"/>
            <w:lang w:val="en-US"/>
          </w:rPr>
          <w:t>http://ccacoalition.org/en/resources/oil-gas-methane-partnership-ogmp-overview</w:t>
        </w:r>
      </w:hyperlink>
      <w:r w:rsidRPr="00ED00BF">
        <w:rPr>
          <w:rFonts w:cstheme="minorHAnsi"/>
          <w:szCs w:val="18"/>
          <w:lang w:val="en-US"/>
        </w:rPr>
        <w:t xml:space="preserve"> </w:t>
      </w:r>
    </w:p>
  </w:footnote>
  <w:footnote w:id="43">
    <w:p w14:paraId="7B7DB71E" w14:textId="513365FE"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21" w:history="1">
        <w:r w:rsidRPr="00ED00BF">
          <w:rPr>
            <w:rStyle w:val="Hyperlink"/>
            <w:rFonts w:cstheme="minorHAnsi"/>
            <w:szCs w:val="18"/>
            <w:lang w:val="en-US"/>
          </w:rPr>
          <w:t>http://www.ccacoalition.org/en/resources/reducing-methane-emissions-across-natural-gas-value-chain-guiding-principles</w:t>
        </w:r>
      </w:hyperlink>
      <w:r w:rsidRPr="00ED00BF">
        <w:rPr>
          <w:rFonts w:cstheme="minorHAnsi"/>
          <w:szCs w:val="18"/>
          <w:lang w:val="en-US"/>
        </w:rPr>
        <w:t xml:space="preserve"> </w:t>
      </w:r>
    </w:p>
  </w:footnote>
  <w:footnote w:id="44">
    <w:p w14:paraId="20E6F11D" w14:textId="446E79CA"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22" w:history="1">
        <w:r w:rsidRPr="00ED00BF">
          <w:rPr>
            <w:rStyle w:val="Hyperlink"/>
            <w:rFonts w:cstheme="minorHAnsi"/>
            <w:szCs w:val="18"/>
            <w:lang w:val="en-US"/>
          </w:rPr>
          <w:t>https://oilandgasclimateinitiative.com/</w:t>
        </w:r>
      </w:hyperlink>
      <w:r w:rsidRPr="00ED00BF">
        <w:rPr>
          <w:rFonts w:cstheme="minorHAnsi"/>
          <w:szCs w:val="18"/>
          <w:lang w:val="en-US"/>
        </w:rPr>
        <w:t xml:space="preserve"> </w:t>
      </w:r>
    </w:p>
  </w:footnote>
  <w:footnote w:id="45">
    <w:p w14:paraId="2165E6AB" w14:textId="3CC6C744" w:rsidR="000941A9" w:rsidRPr="00ED00BF" w:rsidRDefault="000941A9" w:rsidP="00ED00BF">
      <w:pPr>
        <w:pStyle w:val="CommentText"/>
        <w:spacing w:after="0"/>
        <w:rPr>
          <w:rFonts w:cstheme="minorHAnsi"/>
          <w:color w:val="0000FF" w:themeColor="hyperlink"/>
          <w:sz w:val="18"/>
          <w:szCs w:val="18"/>
          <w:u w:val="single"/>
          <w:lang w:val="en-US"/>
        </w:rPr>
      </w:pPr>
      <w:r w:rsidRPr="00ED00BF">
        <w:rPr>
          <w:rStyle w:val="FootnoteReference"/>
          <w:rFonts w:cstheme="minorHAnsi"/>
          <w:sz w:val="18"/>
          <w:szCs w:val="18"/>
        </w:rPr>
        <w:footnoteRef/>
      </w:r>
      <w:r w:rsidRPr="00ED00BF">
        <w:rPr>
          <w:rFonts w:cstheme="minorHAnsi"/>
          <w:sz w:val="18"/>
          <w:szCs w:val="18"/>
          <w:lang w:val="en-US"/>
        </w:rPr>
        <w:t xml:space="preserve"> </w:t>
      </w:r>
      <w:hyperlink r:id="rId23" w:history="1">
        <w:r w:rsidRPr="00ED00BF">
          <w:rPr>
            <w:rStyle w:val="Hyperlink"/>
            <w:rFonts w:cstheme="minorHAnsi"/>
            <w:sz w:val="18"/>
            <w:szCs w:val="18"/>
            <w:lang w:val="en-US"/>
          </w:rPr>
          <w:t>http://ccacoalition.org/en/content/oil-and-gas-methane-partnership-reporting</w:t>
        </w:r>
      </w:hyperlink>
    </w:p>
  </w:footnote>
  <w:footnote w:id="46">
    <w:p w14:paraId="57C838F7" w14:textId="2398D03F"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24" w:history="1">
        <w:r w:rsidRPr="00ED00BF">
          <w:rPr>
            <w:rStyle w:val="Hyperlink"/>
            <w:rFonts w:cstheme="minorHAnsi"/>
            <w:szCs w:val="18"/>
            <w:lang w:val="en-US"/>
          </w:rPr>
          <w:t>https://oilandgasclimateinitiative.com/oil-and-gas-climate-initiative-sets-first-collective-methane-target-for-member-companies/</w:t>
        </w:r>
      </w:hyperlink>
    </w:p>
  </w:footnote>
  <w:footnote w:id="47">
    <w:p w14:paraId="5FB433B5" w14:textId="30D75EC2"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25" w:history="1">
        <w:r w:rsidRPr="00ED00BF">
          <w:rPr>
            <w:rStyle w:val="Hyperlink"/>
            <w:rFonts w:cstheme="minorHAnsi"/>
            <w:szCs w:val="18"/>
            <w:lang w:val="en-US"/>
          </w:rPr>
          <w:t>https://oilandgasclimateinitiative.com/blog/methodological-note-for-ogci-methane-intensity-target-and-ambition</w:t>
        </w:r>
      </w:hyperlink>
      <w:r w:rsidRPr="00ED00BF">
        <w:rPr>
          <w:rFonts w:cstheme="minorHAnsi"/>
          <w:szCs w:val="18"/>
          <w:lang w:val="en-US"/>
        </w:rPr>
        <w:t xml:space="preserve"> </w:t>
      </w:r>
    </w:p>
  </w:footnote>
  <w:footnote w:id="48">
    <w:p w14:paraId="533C77CF"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26" w:history="1">
        <w:r w:rsidRPr="00ED00BF">
          <w:rPr>
            <w:rStyle w:val="Hyperlink"/>
            <w:rFonts w:cstheme="minorHAnsi"/>
            <w:szCs w:val="18"/>
            <w:lang w:val="en-US"/>
          </w:rPr>
          <w:t>https://www.iso.org/standard/66453.html</w:t>
        </w:r>
      </w:hyperlink>
      <w:r w:rsidRPr="00ED00BF">
        <w:rPr>
          <w:rFonts w:cstheme="minorHAnsi"/>
          <w:szCs w:val="18"/>
          <w:lang w:val="en-US"/>
        </w:rPr>
        <w:t xml:space="preserve">  </w:t>
      </w:r>
    </w:p>
  </w:footnote>
  <w:footnote w:id="49">
    <w:p w14:paraId="49AC7EDA" w14:textId="6D2C2EC3"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Materiality is a concept (derived from accounting) relating to the importance or significance of a source or sink. This can be expressed in different ways. For example, in some reporting requirements, a source </w:t>
      </w:r>
      <w:proofErr w:type="gramStart"/>
      <w:r w:rsidRPr="00ED00BF">
        <w:rPr>
          <w:rFonts w:cstheme="minorHAnsi"/>
          <w:szCs w:val="18"/>
          <w:lang w:val="en-US"/>
        </w:rPr>
        <w:t>may  only</w:t>
      </w:r>
      <w:proofErr w:type="gramEnd"/>
      <w:r w:rsidRPr="00ED00BF">
        <w:rPr>
          <w:rFonts w:cstheme="minorHAnsi"/>
          <w:szCs w:val="18"/>
          <w:lang w:val="en-US"/>
        </w:rPr>
        <w:t xml:space="preserve"> be reported if it is larger than a materiality threshold which could be either an absolute size or a fraction of the total emission. (</w:t>
      </w:r>
      <w:hyperlink r:id="rId27" w:history="1">
        <w:r w:rsidRPr="00ED00BF">
          <w:rPr>
            <w:rStyle w:val="Hyperlink"/>
            <w:rFonts w:cstheme="minorHAnsi"/>
            <w:szCs w:val="18"/>
            <w:lang w:val="en-US"/>
          </w:rPr>
          <w:t>https://www.ipcc-nggip.iges.or.jp/public/tb/TFI_Technical_Bulletin_1.pdf</w:t>
        </w:r>
      </w:hyperlink>
      <w:r w:rsidRPr="00ED00BF">
        <w:rPr>
          <w:rFonts w:cstheme="minorHAnsi"/>
          <w:szCs w:val="18"/>
          <w:lang w:val="en-US"/>
        </w:rPr>
        <w:t xml:space="preserve">). IPCC provides </w:t>
      </w:r>
      <w:proofErr w:type="spellStart"/>
      <w:r w:rsidRPr="00ED00BF">
        <w:rPr>
          <w:rFonts w:cstheme="minorHAnsi"/>
          <w:szCs w:val="18"/>
          <w:lang w:val="en-US"/>
        </w:rPr>
        <w:t>guidances</w:t>
      </w:r>
      <w:proofErr w:type="spellEnd"/>
      <w:r w:rsidRPr="00ED00BF">
        <w:rPr>
          <w:rFonts w:cstheme="minorHAnsi"/>
          <w:szCs w:val="18"/>
          <w:lang w:val="en-US"/>
        </w:rPr>
        <w:t xml:space="preserve"> on materiality of emissions. </w:t>
      </w:r>
    </w:p>
    <w:p w14:paraId="213A11AC" w14:textId="359253FA" w:rsidR="000941A9" w:rsidRPr="00ED00BF" w:rsidRDefault="000941A9" w:rsidP="00ED00BF">
      <w:pPr>
        <w:pStyle w:val="FootnoteText"/>
        <w:spacing w:after="0"/>
        <w:rPr>
          <w:rFonts w:cstheme="minorHAnsi"/>
          <w:szCs w:val="18"/>
          <w:lang w:val="en-US"/>
        </w:rPr>
      </w:pPr>
      <w:r w:rsidRPr="00ED00BF">
        <w:rPr>
          <w:rFonts w:cstheme="minorHAnsi"/>
          <w:szCs w:val="18"/>
          <w:lang w:val="en-US"/>
        </w:rPr>
        <w:t xml:space="preserve"> </w:t>
      </w:r>
    </w:p>
  </w:footnote>
  <w:footnote w:id="50">
    <w:p w14:paraId="7DF25582" w14:textId="733A58CE"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Definition is based on ISO 14064</w:t>
      </w:r>
    </w:p>
  </w:footnote>
  <w:footnote w:id="51">
    <w:p w14:paraId="56CC68EB" w14:textId="041C93B2"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28" w:history="1">
        <w:r w:rsidRPr="00ED00BF">
          <w:rPr>
            <w:rStyle w:val="Hyperlink"/>
            <w:rFonts w:cstheme="minorHAnsi"/>
            <w:szCs w:val="18"/>
            <w:lang w:val="en-US"/>
          </w:rPr>
          <w:t>https://www.epa.gov/ghgreporting/ghgrp-methodology-and-verification</w:t>
        </w:r>
      </w:hyperlink>
      <w:r w:rsidRPr="00ED00BF">
        <w:rPr>
          <w:rFonts w:cstheme="minorHAnsi"/>
          <w:szCs w:val="18"/>
          <w:lang w:val="en-US"/>
        </w:rPr>
        <w:t xml:space="preserve"> </w:t>
      </w:r>
    </w:p>
  </w:footnote>
  <w:footnote w:id="52">
    <w:p w14:paraId="2FA35E6F" w14:textId="51F77431"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29" w:history="1">
        <w:r w:rsidRPr="00ED00BF">
          <w:rPr>
            <w:rStyle w:val="Hyperlink"/>
            <w:rFonts w:cstheme="minorHAnsi"/>
            <w:szCs w:val="18"/>
            <w:lang w:val="en-GB"/>
          </w:rPr>
          <w:t>https://www.capp.ca/-/media/capp/customer-portal/publications/252792.pdf?modified=20180526213237</w:t>
        </w:r>
      </w:hyperlink>
      <w:r w:rsidRPr="00ED00BF">
        <w:rPr>
          <w:rFonts w:cstheme="minorHAnsi"/>
          <w:szCs w:val="18"/>
          <w:lang w:val="en-GB"/>
        </w:rPr>
        <w:t xml:space="preserve"> </w:t>
      </w:r>
    </w:p>
  </w:footnote>
  <w:footnote w:id="53">
    <w:p w14:paraId="4958F01F" w14:textId="5090DACD"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30" w:history="1">
        <w:r w:rsidRPr="00ED00BF">
          <w:rPr>
            <w:rStyle w:val="Hyperlink"/>
            <w:rFonts w:cstheme="minorHAnsi"/>
            <w:szCs w:val="18"/>
            <w:lang w:val="en-US"/>
          </w:rPr>
          <w:t>https://www.canada.ca/en/environment-climate-change/services/national-pollutant-release-inventory/data-quality.html</w:t>
        </w:r>
      </w:hyperlink>
      <w:r w:rsidRPr="00ED00BF">
        <w:rPr>
          <w:rFonts w:cstheme="minorHAnsi"/>
          <w:szCs w:val="18"/>
          <w:lang w:val="en-US"/>
        </w:rPr>
        <w:t xml:space="preserve"> </w:t>
      </w:r>
    </w:p>
  </w:footnote>
  <w:footnote w:id="54">
    <w:p w14:paraId="712F5788" w14:textId="522E85FF"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Pr="00ED00BF">
        <w:rPr>
          <w:rFonts w:cstheme="minorHAnsi"/>
          <w:szCs w:val="18"/>
          <w:lang w:val="en-GB"/>
        </w:rPr>
        <w:t xml:space="preserve">Standard programme for natural gas emissions assessment at Gazprom facilities (2006) are available at </w:t>
      </w:r>
      <w:hyperlink r:id="rId31" w:history="1">
        <w:r w:rsidRPr="00ED00BF">
          <w:rPr>
            <w:rStyle w:val="Hyperlink"/>
            <w:rFonts w:cstheme="minorHAnsi"/>
            <w:szCs w:val="18"/>
            <w:lang w:val="en-GB"/>
          </w:rPr>
          <w:t>https://ohranatruda.ru/upload/iblock/bfa/4293788169.pdf</w:t>
        </w:r>
      </w:hyperlink>
      <w:r w:rsidRPr="00ED00BF">
        <w:rPr>
          <w:rFonts w:cstheme="minorHAnsi"/>
          <w:szCs w:val="18"/>
          <w:lang w:val="en-GB"/>
        </w:rPr>
        <w:t xml:space="preserve"> </w:t>
      </w:r>
    </w:p>
  </w:footnote>
  <w:footnote w:id="55">
    <w:p w14:paraId="573961E9"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32" w:history="1">
        <w:r w:rsidRPr="00ED00BF">
          <w:rPr>
            <w:rStyle w:val="Hyperlink"/>
            <w:rFonts w:cstheme="minorHAnsi"/>
            <w:szCs w:val="18"/>
            <w:lang w:val="en-US"/>
          </w:rPr>
          <w:t>https://www.ipcc-nggip.iges.or.jp/public/2006gl/</w:t>
        </w:r>
      </w:hyperlink>
      <w:r w:rsidRPr="00ED00BF">
        <w:rPr>
          <w:rFonts w:cstheme="minorHAnsi"/>
          <w:szCs w:val="18"/>
          <w:lang w:val="en-US"/>
        </w:rPr>
        <w:t xml:space="preserve"> with the chapter on fugitive emissions: </w:t>
      </w:r>
      <w:hyperlink r:id="rId33" w:history="1">
        <w:r w:rsidRPr="00ED00BF">
          <w:rPr>
            <w:rStyle w:val="Hyperlink"/>
            <w:rFonts w:cstheme="minorHAnsi"/>
            <w:szCs w:val="18"/>
            <w:lang w:val="en-US"/>
          </w:rPr>
          <w:t>https://www.ipcc-nggip.iges.or.jp/public/2006gl/pdf/2_Volume2/V2_4_Ch4_Fugitive_Emissions.pdf</w:t>
        </w:r>
      </w:hyperlink>
      <w:r w:rsidRPr="00ED00BF">
        <w:rPr>
          <w:rFonts w:cstheme="minorHAnsi"/>
          <w:szCs w:val="18"/>
          <w:lang w:val="en-US"/>
        </w:rPr>
        <w:t xml:space="preserve"> </w:t>
      </w:r>
    </w:p>
  </w:footnote>
  <w:footnote w:id="56">
    <w:p w14:paraId="4F6E1E8E" w14:textId="47CC1BB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34" w:history="1">
        <w:r w:rsidRPr="00ED00BF">
          <w:rPr>
            <w:rStyle w:val="Hyperlink"/>
            <w:rFonts w:cstheme="minorHAnsi"/>
            <w:szCs w:val="18"/>
            <w:lang w:val="en-US"/>
          </w:rPr>
          <w:t>https://www.ipcc-nggip.iges.or.jp/home/2019refinement.html</w:t>
        </w:r>
      </w:hyperlink>
      <w:r w:rsidRPr="00ED00BF">
        <w:rPr>
          <w:rFonts w:cstheme="minorHAnsi"/>
          <w:szCs w:val="18"/>
          <w:lang w:val="en-US"/>
        </w:rPr>
        <w:t xml:space="preserve"> </w:t>
      </w:r>
    </w:p>
  </w:footnote>
  <w:footnote w:id="57">
    <w:p w14:paraId="67FDF8F9"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35" w:history="1">
        <w:r w:rsidRPr="00ED00BF">
          <w:rPr>
            <w:rStyle w:val="Hyperlink"/>
            <w:rFonts w:cstheme="minorHAnsi"/>
            <w:szCs w:val="18"/>
            <w:lang w:val="en-GB"/>
          </w:rPr>
          <w:t>http://www.miljodirektoratet.no/no/Publikasjoner/2016/Juni-2016/Cold-venting-and-fugitive-emissions-from-Norwegian-offshore-oil-and-gas-activities--summary-report/</w:t>
        </w:r>
      </w:hyperlink>
      <w:r w:rsidRPr="00ED00BF">
        <w:rPr>
          <w:rFonts w:cstheme="minorHAnsi"/>
          <w:color w:val="808080" w:themeColor="background1" w:themeShade="80"/>
          <w:szCs w:val="18"/>
          <w:lang w:val="en-GB"/>
        </w:rPr>
        <w:t xml:space="preserve">   </w:t>
      </w:r>
    </w:p>
  </w:footnote>
  <w:footnote w:id="58">
    <w:p w14:paraId="7F17E7D8"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36" w:history="1">
        <w:r w:rsidRPr="00ED00BF">
          <w:rPr>
            <w:rStyle w:val="Hyperlink"/>
            <w:rFonts w:cstheme="minorHAnsi"/>
            <w:szCs w:val="18"/>
            <w:lang w:val="en-US"/>
          </w:rPr>
          <w:t>http://www.miljodirektoratet.no/no/Nyheter/Nyheter/2016/Juni-2016/Vellykket-samarbeid-om-a-redusere-utslipp-til-luft-fra-norsk-sokkel/</w:t>
        </w:r>
      </w:hyperlink>
      <w:r w:rsidRPr="00ED00BF">
        <w:rPr>
          <w:rFonts w:cstheme="minorHAnsi"/>
          <w:szCs w:val="18"/>
          <w:lang w:val="en-US"/>
        </w:rPr>
        <w:t xml:space="preserve"> </w:t>
      </w:r>
    </w:p>
  </w:footnote>
  <w:footnote w:id="59">
    <w:p w14:paraId="5B069CDA"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37" w:history="1">
        <w:r w:rsidRPr="00ED00BF">
          <w:rPr>
            <w:rStyle w:val="Hyperlink"/>
            <w:rFonts w:cstheme="minorHAnsi"/>
            <w:szCs w:val="18"/>
            <w:lang w:val="en-US"/>
          </w:rPr>
          <w:t>https://www.epa.gov/ghgemissions/inventory-us-greenhouse-gas-emissions-and-sinks-1990-2016</w:t>
        </w:r>
      </w:hyperlink>
      <w:r w:rsidRPr="00ED00BF">
        <w:rPr>
          <w:rFonts w:cstheme="minorHAnsi"/>
          <w:szCs w:val="18"/>
          <w:lang w:val="en-US"/>
        </w:rPr>
        <w:t xml:space="preserve"> </w:t>
      </w:r>
    </w:p>
  </w:footnote>
  <w:footnote w:id="60">
    <w:p w14:paraId="4BE98823"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Industrialized countries and countries with economies in transition (including the Russian Federation), as listed in Annex 1 to the UNFCCC. </w:t>
      </w:r>
    </w:p>
  </w:footnote>
  <w:footnote w:id="61">
    <w:p w14:paraId="50316426" w14:textId="77777777" w:rsidR="000941A9" w:rsidRPr="00ED00BF" w:rsidRDefault="000941A9" w:rsidP="00ED00BF">
      <w:pPr>
        <w:pStyle w:val="FootnoteText"/>
        <w:spacing w:after="0"/>
        <w:rPr>
          <w:rFonts w:cstheme="minorHAnsi"/>
          <w:szCs w:val="18"/>
          <w:lang w:val="en-US"/>
        </w:rPr>
      </w:pPr>
      <w:r w:rsidRPr="00ED00BF">
        <w:rPr>
          <w:rFonts w:cstheme="minorHAnsi"/>
          <w:szCs w:val="18"/>
          <w:vertAlign w:val="superscript"/>
          <w:lang w:val="en-US"/>
        </w:rPr>
        <w:footnoteRef/>
      </w:r>
      <w:r w:rsidRPr="00ED00BF">
        <w:rPr>
          <w:rFonts w:cstheme="minorHAnsi"/>
          <w:szCs w:val="18"/>
          <w:lang w:val="en-US"/>
        </w:rPr>
        <w:t xml:space="preserve"> Developing countries, including those not listed in Annex 1 to the UNFCCC. </w:t>
      </w:r>
    </w:p>
  </w:footnote>
  <w:footnote w:id="62">
    <w:p w14:paraId="6FA52948"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 24</w:t>
      </w:r>
      <w:r w:rsidRPr="00ED00BF">
        <w:rPr>
          <w:rFonts w:cstheme="minorHAnsi"/>
          <w:szCs w:val="18"/>
          <w:vertAlign w:val="superscript"/>
          <w:lang w:val="en-US"/>
        </w:rPr>
        <w:t>th</w:t>
      </w:r>
      <w:r w:rsidRPr="00ED00BF">
        <w:rPr>
          <w:rFonts w:cstheme="minorHAnsi"/>
          <w:szCs w:val="18"/>
          <w:lang w:val="en-US"/>
        </w:rPr>
        <w:t xml:space="preserve"> Conference of the Parties (COP) to the UNFCCC held in Katowice. Poland with the main objective to complete the Paris Agreement Work </w:t>
      </w:r>
      <w:proofErr w:type="spellStart"/>
      <w:r w:rsidRPr="00ED00BF">
        <w:rPr>
          <w:rFonts w:cstheme="minorHAnsi"/>
          <w:szCs w:val="18"/>
          <w:lang w:val="en-US"/>
        </w:rPr>
        <w:t>Programme</w:t>
      </w:r>
      <w:proofErr w:type="spellEnd"/>
      <w:r w:rsidRPr="00ED00BF">
        <w:rPr>
          <w:rFonts w:cstheme="minorHAnsi"/>
          <w:szCs w:val="18"/>
          <w:lang w:val="en-US"/>
        </w:rPr>
        <w:t xml:space="preserve"> (often called the Paris Agreement Rulebook). </w:t>
      </w:r>
    </w:p>
  </w:footnote>
  <w:footnote w:id="63">
    <w:p w14:paraId="2E2DA6BE"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 full text of MPGs for the transparency framework can be found at </w:t>
      </w:r>
      <w:hyperlink r:id="rId38" w:history="1">
        <w:r w:rsidRPr="00ED00BF">
          <w:rPr>
            <w:rStyle w:val="Hyperlink"/>
            <w:rFonts w:cstheme="minorHAnsi"/>
            <w:szCs w:val="18"/>
            <w:lang w:val="en-US"/>
          </w:rPr>
          <w:t>https://</w:t>
        </w:r>
      </w:hyperlink>
      <w:hyperlink r:id="rId39" w:history="1">
        <w:r w:rsidRPr="00ED00BF">
          <w:rPr>
            <w:rStyle w:val="Hyperlink"/>
            <w:rFonts w:cstheme="minorHAnsi"/>
            <w:szCs w:val="18"/>
            <w:lang w:val="en-US"/>
          </w:rPr>
          <w:t>unfccc.int/sites/default/files/resource/l23_0.pdf</w:t>
        </w:r>
      </w:hyperlink>
      <w:r w:rsidRPr="00ED00BF">
        <w:rPr>
          <w:rFonts w:cstheme="minorHAnsi"/>
          <w:szCs w:val="18"/>
          <w:lang w:val="en-US"/>
        </w:rPr>
        <w:t xml:space="preserve">  </w:t>
      </w:r>
    </w:p>
  </w:footnote>
  <w:footnote w:id="64">
    <w:p w14:paraId="28629CF8" w14:textId="77777777" w:rsidR="000941A9" w:rsidRPr="00ED00BF" w:rsidRDefault="000941A9" w:rsidP="00ED00BF">
      <w:pPr>
        <w:pStyle w:val="FootnoteText"/>
        <w:spacing w:after="0"/>
        <w:rPr>
          <w:rFonts w:cstheme="minorHAnsi"/>
          <w:szCs w:val="18"/>
          <w:lang w:val="fr-FR"/>
        </w:rPr>
      </w:pPr>
      <w:r w:rsidRPr="00ED00BF">
        <w:rPr>
          <w:rStyle w:val="FootnoteReference"/>
          <w:rFonts w:cstheme="minorHAnsi"/>
          <w:szCs w:val="18"/>
        </w:rPr>
        <w:footnoteRef/>
      </w:r>
      <w:r w:rsidRPr="00ED00BF">
        <w:rPr>
          <w:rFonts w:cstheme="minorHAnsi"/>
          <w:szCs w:val="18"/>
          <w:lang w:val="fr-FR"/>
        </w:rPr>
        <w:t xml:space="preserve"> </w:t>
      </w:r>
      <w:hyperlink r:id="rId40" w:history="1">
        <w:r w:rsidRPr="00ED00BF">
          <w:rPr>
            <w:rStyle w:val="Hyperlink"/>
            <w:rFonts w:cstheme="minorHAnsi"/>
            <w:szCs w:val="18"/>
            <w:lang w:val="fr-FR"/>
          </w:rPr>
          <w:t>https://www.iea.org/weo2017/</w:t>
        </w:r>
      </w:hyperlink>
      <w:r w:rsidRPr="00ED00BF">
        <w:rPr>
          <w:rFonts w:cstheme="minorHAnsi"/>
          <w:szCs w:val="18"/>
          <w:lang w:val="fr-FR"/>
        </w:rPr>
        <w:t xml:space="preserve">  page 426</w:t>
      </w:r>
    </w:p>
  </w:footnote>
  <w:footnote w:id="65">
    <w:p w14:paraId="6A2C96AE" w14:textId="77777777" w:rsidR="000941A9" w:rsidRPr="00ED00BF" w:rsidRDefault="000941A9" w:rsidP="00ED00BF">
      <w:pPr>
        <w:pStyle w:val="FootnoteText"/>
        <w:spacing w:after="0"/>
        <w:rPr>
          <w:rFonts w:cstheme="minorHAnsi"/>
          <w:szCs w:val="18"/>
          <w:lang w:val="fr-FR"/>
        </w:rPr>
      </w:pPr>
      <w:r w:rsidRPr="00ED00BF">
        <w:rPr>
          <w:rStyle w:val="FootnoteReference"/>
          <w:rFonts w:cstheme="minorHAnsi"/>
          <w:szCs w:val="18"/>
        </w:rPr>
        <w:footnoteRef/>
      </w:r>
      <w:r w:rsidRPr="00ED00BF">
        <w:rPr>
          <w:rFonts w:cstheme="minorHAnsi"/>
          <w:szCs w:val="18"/>
          <w:lang w:val="fr-FR"/>
        </w:rPr>
        <w:t xml:space="preserve"> </w:t>
      </w:r>
      <w:hyperlink r:id="rId41" w:history="1">
        <w:r w:rsidRPr="00ED00BF">
          <w:rPr>
            <w:rStyle w:val="Hyperlink"/>
            <w:rFonts w:cstheme="minorHAnsi"/>
            <w:szCs w:val="18"/>
            <w:lang w:val="fr-FR"/>
          </w:rPr>
          <w:t>https://www.edf.org/sites/default/files/methane_cost_curve_report.pdf</w:t>
        </w:r>
      </w:hyperlink>
      <w:r w:rsidRPr="00ED00BF">
        <w:rPr>
          <w:rFonts w:cstheme="minorHAnsi"/>
          <w:szCs w:val="18"/>
          <w:lang w:val="fr-FR"/>
        </w:rPr>
        <w:t>.</w:t>
      </w:r>
    </w:p>
  </w:footnote>
  <w:footnote w:id="66">
    <w:p w14:paraId="4B9D8114" w14:textId="77777777" w:rsidR="000941A9" w:rsidRPr="00ED00BF" w:rsidRDefault="000941A9" w:rsidP="00ED00BF">
      <w:pPr>
        <w:pStyle w:val="FootnoteText"/>
        <w:spacing w:after="0"/>
        <w:rPr>
          <w:rFonts w:cstheme="minorHAnsi"/>
          <w:szCs w:val="18"/>
          <w:lang w:val="fr-FR"/>
        </w:rPr>
      </w:pPr>
      <w:r w:rsidRPr="00ED00BF">
        <w:rPr>
          <w:rStyle w:val="FootnoteReference"/>
          <w:rFonts w:cstheme="minorHAnsi"/>
          <w:szCs w:val="18"/>
        </w:rPr>
        <w:footnoteRef/>
      </w:r>
      <w:r w:rsidRPr="00ED00BF">
        <w:rPr>
          <w:rFonts w:cstheme="minorHAnsi"/>
          <w:szCs w:val="18"/>
          <w:lang w:val="fr-FR"/>
        </w:rPr>
        <w:t xml:space="preserve"> </w:t>
      </w:r>
      <w:hyperlink r:id="rId42" w:history="1">
        <w:r w:rsidRPr="00ED00BF">
          <w:rPr>
            <w:rStyle w:val="Hyperlink"/>
            <w:rFonts w:cstheme="minorHAnsi"/>
            <w:szCs w:val="18"/>
            <w:lang w:val="fr-FR"/>
          </w:rPr>
          <w:t>https://www.edf.org/sites/default/files/content/canada_methane_cost_curve_report.pdf</w:t>
        </w:r>
      </w:hyperlink>
      <w:r w:rsidRPr="00ED00BF">
        <w:rPr>
          <w:rFonts w:cstheme="minorHAnsi"/>
          <w:szCs w:val="18"/>
          <w:lang w:val="fr-FR"/>
        </w:rPr>
        <w:t xml:space="preserve"> </w:t>
      </w:r>
    </w:p>
  </w:footnote>
  <w:footnote w:id="67">
    <w:p w14:paraId="746DBD5F" w14:textId="77777777" w:rsidR="000941A9" w:rsidRPr="00ED00BF" w:rsidRDefault="000941A9" w:rsidP="00ED00BF">
      <w:pPr>
        <w:pStyle w:val="FootnoteText"/>
        <w:spacing w:after="0"/>
        <w:rPr>
          <w:rFonts w:cstheme="minorHAnsi"/>
          <w:szCs w:val="18"/>
          <w:lang w:val="fr-FR"/>
        </w:rPr>
      </w:pPr>
      <w:r w:rsidRPr="00ED00BF">
        <w:rPr>
          <w:rStyle w:val="FootnoteReference"/>
          <w:rFonts w:cstheme="minorHAnsi"/>
          <w:szCs w:val="18"/>
        </w:rPr>
        <w:footnoteRef/>
      </w:r>
      <w:r w:rsidRPr="00ED00BF">
        <w:rPr>
          <w:rFonts w:cstheme="minorHAnsi"/>
          <w:szCs w:val="18"/>
          <w:lang w:val="fr-FR"/>
        </w:rPr>
        <w:t xml:space="preserve"> </w:t>
      </w:r>
      <w:hyperlink r:id="rId43" w:history="1">
        <w:r w:rsidRPr="00ED00BF">
          <w:rPr>
            <w:rStyle w:val="Hyperlink"/>
            <w:rFonts w:cstheme="minorHAnsi"/>
            <w:szCs w:val="18"/>
            <w:lang w:val="fr-FR"/>
          </w:rPr>
          <w:t>https://www.edf.org/sites/default/files/content/mexico_methane_cost_curve_report.pdf</w:t>
        </w:r>
      </w:hyperlink>
      <w:r w:rsidRPr="00ED00BF">
        <w:rPr>
          <w:rFonts w:cstheme="minorHAnsi"/>
          <w:szCs w:val="18"/>
          <w:lang w:val="fr-FR"/>
        </w:rPr>
        <w:t xml:space="preserve"> </w:t>
      </w:r>
    </w:p>
  </w:footnote>
  <w:footnote w:id="68">
    <w:p w14:paraId="3106CEF0" w14:textId="77777777" w:rsidR="000941A9" w:rsidRPr="00ED00BF" w:rsidRDefault="000941A9" w:rsidP="00ED00BF">
      <w:pPr>
        <w:pStyle w:val="FootnoteText"/>
        <w:spacing w:after="0"/>
        <w:rPr>
          <w:rStyle w:val="FootnoteReference"/>
          <w:rFonts w:cstheme="minorHAnsi"/>
          <w:szCs w:val="18"/>
          <w:lang w:val="fr-FR"/>
        </w:rPr>
      </w:pPr>
      <w:r w:rsidRPr="00ED00BF">
        <w:rPr>
          <w:rStyle w:val="FootnoteReference"/>
          <w:rFonts w:cstheme="minorHAnsi"/>
          <w:szCs w:val="18"/>
        </w:rPr>
        <w:footnoteRef/>
      </w:r>
      <w:r w:rsidRPr="00ED00BF">
        <w:rPr>
          <w:rStyle w:val="FootnoteReference"/>
          <w:rFonts w:cstheme="minorHAnsi"/>
          <w:szCs w:val="18"/>
          <w:lang w:val="fr-FR"/>
        </w:rPr>
        <w:t xml:space="preserve"> </w:t>
      </w:r>
      <w:hyperlink r:id="rId44" w:history="1">
        <w:r w:rsidRPr="00ED00BF">
          <w:rPr>
            <w:rStyle w:val="Hyperlink"/>
            <w:rFonts w:cstheme="minorHAnsi"/>
            <w:szCs w:val="18"/>
            <w:lang w:val="fr-FR"/>
          </w:rPr>
          <w:t>https://www.carbonlimits.no/project/methane-emissions-from-oil-and-gas-systems-in-ebrd-region/</w:t>
        </w:r>
      </w:hyperlink>
      <w:r w:rsidRPr="00ED00BF">
        <w:rPr>
          <w:rStyle w:val="FootnoteReference"/>
          <w:rFonts w:cstheme="minorHAnsi"/>
          <w:szCs w:val="18"/>
          <w:lang w:val="fr-FR"/>
        </w:rPr>
        <w:t xml:space="preserve"> </w:t>
      </w:r>
    </w:p>
  </w:footnote>
  <w:footnote w:id="69">
    <w:p w14:paraId="6D3D968A" w14:textId="45EFF07F"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For example, The International Energy Agency stated already in its 2015 World Energy Outlook that oil and gas sector methane emissions reductions as one of five effective measures to more quickly towards an energy path consistent with a 2</w:t>
      </w:r>
      <w:r w:rsidRPr="00ED00BF">
        <w:rPr>
          <w:rFonts w:cstheme="minorHAnsi"/>
          <w:szCs w:val="18"/>
          <w:vertAlign w:val="superscript"/>
          <w:lang w:val="en-US"/>
        </w:rPr>
        <w:t>o</w:t>
      </w:r>
      <w:r w:rsidRPr="00ED00BF">
        <w:rPr>
          <w:rFonts w:cstheme="minorHAnsi"/>
          <w:szCs w:val="18"/>
          <w:lang w:val="en-US"/>
        </w:rPr>
        <w:t xml:space="preserve">C limit for global temperature increase. The three </w:t>
      </w:r>
      <w:proofErr w:type="gramStart"/>
      <w:r w:rsidRPr="00ED00BF">
        <w:rPr>
          <w:rFonts w:cstheme="minorHAnsi"/>
          <w:szCs w:val="18"/>
          <w:lang w:val="en-US"/>
        </w:rPr>
        <w:t>others</w:t>
      </w:r>
      <w:proofErr w:type="gramEnd"/>
      <w:r w:rsidRPr="00ED00BF">
        <w:rPr>
          <w:rFonts w:cstheme="minorHAnsi"/>
          <w:szCs w:val="18"/>
          <w:lang w:val="en-US"/>
        </w:rPr>
        <w:t xml:space="preserve"> measures were: energy efficiency in industry, buildings and transport; progressive reduction in least-efficient coal power plants; increased investments in renewable energy technology; phase-out of energy subsidies. See </w:t>
      </w:r>
      <w:hyperlink r:id="rId45" w:history="1">
        <w:r w:rsidRPr="00ED00BF">
          <w:rPr>
            <w:rStyle w:val="Hyperlink"/>
            <w:rFonts w:cstheme="minorHAnsi"/>
            <w:szCs w:val="18"/>
            <w:lang w:val="en-US"/>
          </w:rPr>
          <w:t>https://www.iea.org/newsroom/news/2015/november/world-energy-outlook-2015.html</w:t>
        </w:r>
      </w:hyperlink>
      <w:r w:rsidRPr="00ED00BF">
        <w:rPr>
          <w:rFonts w:cstheme="minorHAnsi"/>
          <w:szCs w:val="18"/>
          <w:lang w:val="en-US"/>
        </w:rPr>
        <w:t xml:space="preserve"> </w:t>
      </w:r>
    </w:p>
  </w:footnote>
  <w:footnote w:id="70">
    <w:p w14:paraId="6EC525AA"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Including CCAC OGMP technical guidance documents, EPA natural gas star program recommended techniques (</w:t>
      </w:r>
      <w:hyperlink r:id="rId46" w:history="1">
        <w:r w:rsidRPr="00ED00BF">
          <w:rPr>
            <w:rStyle w:val="Hyperlink"/>
            <w:rFonts w:cstheme="minorHAnsi"/>
            <w:szCs w:val="18"/>
            <w:lang w:val="en-US"/>
          </w:rPr>
          <w:t>https://www.epa.gov/natural-gas-star-program/recommended-technologies-reduce-methane-emissions</w:t>
        </w:r>
      </w:hyperlink>
      <w:r w:rsidRPr="00ED00BF">
        <w:rPr>
          <w:rStyle w:val="Hyperlink"/>
          <w:rFonts w:cstheme="minorHAnsi"/>
          <w:szCs w:val="18"/>
          <w:lang w:val="en-US"/>
        </w:rPr>
        <w:t>)</w:t>
      </w:r>
      <w:r w:rsidRPr="00ED00BF">
        <w:rPr>
          <w:rFonts w:cstheme="minorHAnsi"/>
          <w:szCs w:val="18"/>
          <w:lang w:val="en-US"/>
        </w:rPr>
        <w:t xml:space="preserve">, but also emission sources specific reports/articles. </w:t>
      </w:r>
    </w:p>
  </w:footnote>
  <w:footnote w:id="71">
    <w:p w14:paraId="1C42DC94" w14:textId="77777777" w:rsidR="000941A9" w:rsidRPr="00ED00BF" w:rsidRDefault="000941A9" w:rsidP="00ED00BF">
      <w:pPr>
        <w:spacing w:before="60" w:after="0" w:line="240" w:lineRule="auto"/>
        <w:rPr>
          <w:rFonts w:cstheme="minorHAnsi"/>
          <w:sz w:val="18"/>
          <w:szCs w:val="18"/>
          <w:lang w:val="en-GB"/>
        </w:rPr>
      </w:pPr>
      <w:r w:rsidRPr="00ED00BF">
        <w:rPr>
          <w:rStyle w:val="FootnoteReference"/>
          <w:rFonts w:cstheme="minorHAnsi"/>
          <w:sz w:val="18"/>
          <w:szCs w:val="18"/>
        </w:rPr>
        <w:footnoteRef/>
      </w:r>
      <w:r w:rsidRPr="00ED00BF">
        <w:rPr>
          <w:rFonts w:cstheme="minorHAnsi"/>
          <w:sz w:val="18"/>
          <w:szCs w:val="18"/>
          <w:lang w:val="en-US"/>
        </w:rPr>
        <w:t xml:space="preserve"> </w:t>
      </w:r>
      <w:r w:rsidRPr="00ED00BF">
        <w:rPr>
          <w:rFonts w:cstheme="minorHAnsi"/>
          <w:sz w:val="18"/>
          <w:szCs w:val="18"/>
          <w:lang w:val="en-GB"/>
        </w:rPr>
        <w:t>CO</w:t>
      </w:r>
      <w:r w:rsidRPr="00ED00BF">
        <w:rPr>
          <w:rFonts w:cstheme="minorHAnsi"/>
          <w:sz w:val="18"/>
          <w:szCs w:val="18"/>
          <w:vertAlign w:val="subscript"/>
          <w:lang w:val="en-GB"/>
        </w:rPr>
        <w:t>2</w:t>
      </w:r>
      <w:r w:rsidRPr="00ED00BF">
        <w:rPr>
          <w:rFonts w:cstheme="minorHAnsi"/>
          <w:sz w:val="18"/>
          <w:szCs w:val="18"/>
          <w:lang w:val="en-GB"/>
        </w:rPr>
        <w:t xml:space="preserve"> emissions increase with this measure. However overall the GHG emissions decrease</w:t>
      </w:r>
    </w:p>
    <w:p w14:paraId="4C14C9F2" w14:textId="77777777" w:rsidR="000941A9" w:rsidRPr="00ED00BF" w:rsidRDefault="000941A9" w:rsidP="00ED00BF">
      <w:pPr>
        <w:spacing w:before="60" w:after="0" w:line="240" w:lineRule="auto"/>
        <w:rPr>
          <w:rFonts w:cstheme="minorHAnsi"/>
          <w:sz w:val="18"/>
          <w:szCs w:val="18"/>
          <w:lang w:val="en-GB"/>
        </w:rPr>
      </w:pPr>
      <w:r w:rsidRPr="00ED00BF">
        <w:rPr>
          <w:rFonts w:cstheme="minorHAnsi"/>
          <w:sz w:val="18"/>
          <w:szCs w:val="18"/>
          <w:lang w:val="en-GB"/>
        </w:rPr>
        <w:t xml:space="preserve">As the gas is not conserved (i.e. it is burned instead of vented) this mitigation option typically has no economic benefits. </w:t>
      </w:r>
    </w:p>
    <w:p w14:paraId="54941AE2" w14:textId="77777777" w:rsidR="000941A9" w:rsidRPr="00ED00BF" w:rsidRDefault="000941A9" w:rsidP="00ED00BF">
      <w:pPr>
        <w:pStyle w:val="FootnoteText"/>
        <w:spacing w:before="60" w:after="0"/>
        <w:rPr>
          <w:rFonts w:cstheme="minorHAnsi"/>
          <w:szCs w:val="18"/>
          <w:lang w:val="en-US"/>
        </w:rPr>
      </w:pPr>
      <w:r w:rsidRPr="00ED00BF">
        <w:rPr>
          <w:rFonts w:cstheme="minorHAnsi"/>
          <w:szCs w:val="18"/>
          <w:lang w:val="en-GB"/>
        </w:rPr>
        <w:t>Flaring is more visible than venting</w:t>
      </w:r>
    </w:p>
  </w:footnote>
  <w:footnote w:id="72">
    <w:p w14:paraId="50D8455D" w14:textId="77777777" w:rsidR="000941A9" w:rsidRPr="00ED00BF" w:rsidRDefault="000941A9" w:rsidP="00ED00BF">
      <w:pPr>
        <w:spacing w:before="60" w:after="0" w:line="240" w:lineRule="auto"/>
        <w:rPr>
          <w:rFonts w:cstheme="minorHAnsi"/>
          <w:sz w:val="18"/>
          <w:szCs w:val="18"/>
          <w:lang w:val="en-US"/>
        </w:rPr>
      </w:pPr>
      <w:r w:rsidRPr="00ED00BF">
        <w:rPr>
          <w:rStyle w:val="FootnoteReference"/>
          <w:rFonts w:cstheme="minorHAnsi"/>
          <w:sz w:val="18"/>
          <w:szCs w:val="18"/>
        </w:rPr>
        <w:footnoteRef/>
      </w:r>
      <w:r w:rsidRPr="00ED00BF">
        <w:rPr>
          <w:rFonts w:cstheme="minorHAnsi"/>
          <w:sz w:val="18"/>
          <w:szCs w:val="18"/>
          <w:lang w:val="en-US"/>
        </w:rPr>
        <w:t xml:space="preserve"> </w:t>
      </w:r>
      <w:r w:rsidRPr="00ED00BF">
        <w:rPr>
          <w:rFonts w:cstheme="minorHAnsi"/>
          <w:sz w:val="18"/>
          <w:szCs w:val="18"/>
          <w:lang w:val="en-GB"/>
        </w:rPr>
        <w:t>Avoid venting from small flares being “blown out.” As the gas is not conserved (i.e. it is burned instead of vented) this mitigation option typically has no economic benefits.</w:t>
      </w:r>
    </w:p>
  </w:footnote>
  <w:footnote w:id="73">
    <w:p w14:paraId="13E9E4E4" w14:textId="77777777" w:rsidR="000941A9" w:rsidRPr="00ED00BF" w:rsidRDefault="000941A9" w:rsidP="00ED00BF">
      <w:pPr>
        <w:pStyle w:val="FootnoteText"/>
        <w:spacing w:before="60"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Pr="00ED00BF">
        <w:rPr>
          <w:rFonts w:cstheme="minorHAnsi"/>
          <w:szCs w:val="18"/>
          <w:lang w:val="en-GB"/>
        </w:rPr>
        <w:t xml:space="preserve">Needs to be combined with other mitigation upstream or downstream as the emission will happen at a different point in the value chain. </w:t>
      </w:r>
    </w:p>
  </w:footnote>
  <w:footnote w:id="74">
    <w:p w14:paraId="0EFECC15" w14:textId="77777777" w:rsidR="000941A9" w:rsidRPr="00ED00BF" w:rsidRDefault="000941A9" w:rsidP="00ED00BF">
      <w:pPr>
        <w:pStyle w:val="FootnoteText"/>
        <w:spacing w:before="60"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Pr="00ED00BF">
        <w:rPr>
          <w:rFonts w:cstheme="minorHAnsi"/>
          <w:szCs w:val="18"/>
          <w:lang w:val="en-GB"/>
        </w:rPr>
        <w:t xml:space="preserve">As the gas is not conserved (i.e. it is burned instead of vented) this mitigation option typically has no economic benefits. </w:t>
      </w:r>
    </w:p>
  </w:footnote>
  <w:footnote w:id="75">
    <w:p w14:paraId="113BC165" w14:textId="1647E75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47" w:history="1">
        <w:r w:rsidRPr="00ED00BF">
          <w:rPr>
            <w:rStyle w:val="Hyperlink"/>
            <w:rFonts w:cstheme="minorHAnsi"/>
            <w:szCs w:val="18"/>
            <w:lang w:val="en-US"/>
          </w:rPr>
          <w:t>https://www.carbonlimits.no/project/zero-emission-technologies-pneumatic-controllers-in-usa/</w:t>
        </w:r>
      </w:hyperlink>
      <w:r w:rsidRPr="00ED00BF">
        <w:rPr>
          <w:rFonts w:cstheme="minorHAnsi"/>
          <w:szCs w:val="18"/>
          <w:lang w:val="en-US"/>
        </w:rPr>
        <w:t xml:space="preserve">   </w:t>
      </w:r>
    </w:p>
  </w:footnote>
  <w:footnote w:id="76">
    <w:p w14:paraId="62426C81"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48" w:history="1">
        <w:r w:rsidRPr="00ED00BF">
          <w:rPr>
            <w:rStyle w:val="Hyperlink"/>
            <w:rFonts w:cstheme="minorHAnsi"/>
            <w:szCs w:val="18"/>
            <w:lang w:val="en-US"/>
          </w:rPr>
          <w:t>https://carbonlimits.no/project/zero-emission-technologies-pneumatic-controllers-in-usa/</w:t>
        </w:r>
      </w:hyperlink>
      <w:r w:rsidRPr="00ED00BF">
        <w:rPr>
          <w:rFonts w:cstheme="minorHAnsi"/>
          <w:szCs w:val="18"/>
          <w:lang w:val="en-US"/>
        </w:rPr>
        <w:t xml:space="preserve"> </w:t>
      </w:r>
    </w:p>
  </w:footnote>
  <w:footnote w:id="77">
    <w:p w14:paraId="29496CE0"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Rarely from emission factors which are too uncertain for investment analysis</w:t>
      </w:r>
    </w:p>
  </w:footnote>
  <w:footnote w:id="78">
    <w:p w14:paraId="00E2A951"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proofErr w:type="gramStart"/>
      <w:r w:rsidRPr="00ED00BF">
        <w:rPr>
          <w:rFonts w:cstheme="minorHAnsi"/>
          <w:szCs w:val="18"/>
          <w:lang w:val="en-US"/>
        </w:rPr>
        <w:t>A number of</w:t>
      </w:r>
      <w:proofErr w:type="gramEnd"/>
      <w:r w:rsidRPr="00ED00BF">
        <w:rPr>
          <w:rFonts w:cstheme="minorHAnsi"/>
          <w:szCs w:val="18"/>
          <w:lang w:val="en-US"/>
        </w:rPr>
        <w:t xml:space="preserve"> mechanisms can be implemented to address this barrier and are discussed in the section 4.4.</w:t>
      </w:r>
    </w:p>
  </w:footnote>
  <w:footnote w:id="79">
    <w:p w14:paraId="12863709" w14:textId="6CBAF165"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Implementation costs are of course also </w:t>
      </w:r>
      <w:proofErr w:type="spellStart"/>
      <w:r w:rsidRPr="00ED00BF">
        <w:rPr>
          <w:rFonts w:cstheme="minorHAnsi"/>
          <w:szCs w:val="18"/>
          <w:lang w:val="en-US"/>
        </w:rPr>
        <w:t>site</w:t>
      </w:r>
      <w:proofErr w:type="spellEnd"/>
      <w:r w:rsidRPr="00ED00BF">
        <w:rPr>
          <w:rFonts w:cstheme="minorHAnsi"/>
          <w:szCs w:val="18"/>
          <w:lang w:val="en-US"/>
        </w:rPr>
        <w:t xml:space="preserve"> specific as highlighted above. </w:t>
      </w:r>
    </w:p>
  </w:footnote>
  <w:footnote w:id="80">
    <w:p w14:paraId="41FA06FF"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ICF abatement costs studies for Mexico, US and Canada. IEA WEO 2018. </w:t>
      </w:r>
    </w:p>
  </w:footnote>
  <w:footnote w:id="81">
    <w:p w14:paraId="2FEB48DB"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 vast majority of emissions from leaks (more than 97% of the total leak rate), are economic to repair (NPV&gt;0), even when the value of gas is 3 USD/Mcf” </w:t>
      </w:r>
      <w:hyperlink r:id="rId49" w:history="1">
        <w:r w:rsidRPr="00ED00BF">
          <w:rPr>
            <w:rStyle w:val="Hyperlink"/>
            <w:rFonts w:cstheme="minorHAnsi"/>
            <w:szCs w:val="18"/>
            <w:lang w:val="en-US"/>
          </w:rPr>
          <w:t>https://carbonlimits.no/project/quantifying-cost-effectiveness-of-systematic-leak-detection-ldar-using-infrared-cameras/</w:t>
        </w:r>
      </w:hyperlink>
      <w:r w:rsidRPr="00ED00BF">
        <w:rPr>
          <w:rFonts w:cstheme="minorHAnsi"/>
          <w:szCs w:val="18"/>
          <w:lang w:val="en-US"/>
        </w:rPr>
        <w:t xml:space="preserve"> </w:t>
      </w:r>
    </w:p>
  </w:footnote>
  <w:footnote w:id="82">
    <w:p w14:paraId="5A2E0BAB" w14:textId="5492E1C6"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There is currently no one single definition for large or super emitters. Whilst there is no single quantitative definition of a super-emitter some consider them to be the top 5% of emissions sources while others consider them to be sources defined vis-a-vis an average emission factor (e.g. 5 times the average emission factor) or with the top 15% emission factors.</w:t>
      </w:r>
    </w:p>
  </w:footnote>
  <w:footnote w:id="83">
    <w:p w14:paraId="5CE0C5A6" w14:textId="7EE6E9CE"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Based on interviews with Canadian operators on their experiences</w:t>
      </w:r>
    </w:p>
  </w:footnote>
  <w:footnote w:id="84">
    <w:p w14:paraId="118369A7" w14:textId="0A0321DA"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Style w:val="FootnoteReference"/>
          <w:rFonts w:cstheme="minorHAnsi"/>
          <w:szCs w:val="18"/>
          <w:lang w:val="en-US"/>
        </w:rPr>
        <w:t xml:space="preserve"> </w:t>
      </w:r>
      <w:r w:rsidRPr="00ED00BF">
        <w:rPr>
          <w:rFonts w:cstheme="minorHAnsi"/>
          <w:szCs w:val="18"/>
          <w:lang w:val="en-US"/>
        </w:rPr>
        <w:t xml:space="preserve">For definition of LDARs and DI&amp;Ms see </w:t>
      </w:r>
      <w:hyperlink r:id="rId50" w:history="1">
        <w:r w:rsidRPr="00ED00BF">
          <w:rPr>
            <w:rStyle w:val="Hyperlink"/>
            <w:rFonts w:cstheme="minorHAnsi"/>
            <w:szCs w:val="18"/>
            <w:lang w:val="en-US"/>
          </w:rPr>
          <w:t>http://www.ipieca.org/resources/awareness-briefing/methane-glossary/</w:t>
        </w:r>
      </w:hyperlink>
      <w:r w:rsidRPr="00ED00BF">
        <w:rPr>
          <w:rFonts w:cstheme="minorHAnsi"/>
          <w:szCs w:val="18"/>
          <w:lang w:val="en-US"/>
        </w:rPr>
        <w:t xml:space="preserve"> </w:t>
      </w:r>
    </w:p>
  </w:footnote>
  <w:footnote w:id="85">
    <w:p w14:paraId="55177D92" w14:textId="235F6A26" w:rsidR="000941A9" w:rsidRPr="00ED00BF" w:rsidRDefault="000941A9" w:rsidP="00A1239B">
      <w:pPr>
        <w:pStyle w:val="FootnoteText"/>
        <w:spacing w:after="0"/>
        <w:rPr>
          <w:rStyle w:val="Hyperlink"/>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See for example </w:t>
      </w:r>
      <w:hyperlink r:id="rId51" w:history="1">
        <w:r w:rsidRPr="00ED00BF">
          <w:rPr>
            <w:rStyle w:val="Hyperlink"/>
            <w:rFonts w:cstheme="minorHAnsi"/>
            <w:szCs w:val="18"/>
            <w:lang w:val="en-US"/>
          </w:rPr>
          <w:t>https://carbonlimits.no/project/quantifying-cost-effectiveness-of-systematic-leak-detection-ldar-using-infrared-cameras/</w:t>
        </w:r>
      </w:hyperlink>
      <w:r w:rsidRPr="00ED00BF">
        <w:rPr>
          <w:rStyle w:val="Hyperlink"/>
          <w:rFonts w:cstheme="minorHAnsi"/>
          <w:szCs w:val="18"/>
          <w:lang w:val="en-US"/>
        </w:rPr>
        <w:t xml:space="preserve">  </w:t>
      </w:r>
    </w:p>
  </w:footnote>
  <w:footnote w:id="86">
    <w:p w14:paraId="0C3B7136" w14:textId="1E77EB1B" w:rsidR="000941A9" w:rsidRPr="00ED00BF" w:rsidRDefault="000941A9" w:rsidP="00A1239B">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lang w:val="en-US"/>
        </w:rPr>
        <w:t xml:space="preserve"> See for example some work on the analysis of past inspections. </w:t>
      </w:r>
      <w:hyperlink r:id="rId52" w:history="1">
        <w:r w:rsidRPr="00ED00BF">
          <w:rPr>
            <w:rStyle w:val="Hyperlink"/>
            <w:rFonts w:cstheme="minorHAnsi"/>
            <w:szCs w:val="18"/>
          </w:rPr>
          <w:t>https://carbonlimits.no/project/statistical-analysis-of-leak-detection-and-repair-in-europe/</w:t>
        </w:r>
      </w:hyperlink>
      <w:r w:rsidRPr="00ED00BF">
        <w:rPr>
          <w:rFonts w:cstheme="minorHAnsi"/>
          <w:szCs w:val="18"/>
        </w:rPr>
        <w:t xml:space="preserve"> </w:t>
      </w:r>
    </w:p>
  </w:footnote>
  <w:footnote w:id="87">
    <w:p w14:paraId="70870D43" w14:textId="7983203B" w:rsidR="000941A9" w:rsidRPr="00A1239B" w:rsidRDefault="000941A9" w:rsidP="00A1239B">
      <w:pPr>
        <w:pStyle w:val="FootnoteText"/>
        <w:spacing w:after="0"/>
        <w:rPr>
          <w:rFonts w:cstheme="minorHAnsi"/>
          <w:color w:val="0000FF" w:themeColor="hyperlink"/>
          <w:szCs w:val="18"/>
          <w:u w:val="single"/>
          <w:lang w:val="en-US"/>
        </w:rPr>
      </w:pPr>
      <w:r w:rsidRPr="00ED00BF">
        <w:rPr>
          <w:rStyle w:val="FootnoteReference"/>
          <w:rFonts w:cstheme="minorHAnsi"/>
          <w:szCs w:val="18"/>
        </w:rPr>
        <w:footnoteRef/>
      </w:r>
      <w:r w:rsidRPr="00ED00BF">
        <w:rPr>
          <w:rFonts w:cstheme="minorHAnsi"/>
          <w:szCs w:val="18"/>
          <w:lang w:val="en-US"/>
        </w:rPr>
        <w:t xml:space="preserve"> For example: </w:t>
      </w:r>
      <w:hyperlink r:id="rId53" w:history="1">
        <w:r w:rsidRPr="00ED00BF">
          <w:rPr>
            <w:rStyle w:val="Hyperlink"/>
            <w:rFonts w:cstheme="minorHAnsi"/>
            <w:szCs w:val="18"/>
            <w:lang w:val="en-US"/>
          </w:rPr>
          <w:t>https://www.epa.gov/sites/production/files/2014-02/documents/ldarguide.pdf</w:t>
        </w:r>
      </w:hyperlink>
      <w:r w:rsidRPr="00ED00BF">
        <w:rPr>
          <w:rStyle w:val="Hyperlink"/>
          <w:rFonts w:cstheme="minorHAnsi"/>
          <w:szCs w:val="18"/>
          <w:lang w:val="en-US"/>
        </w:rPr>
        <w:t xml:space="preserve"> </w:t>
      </w:r>
    </w:p>
  </w:footnote>
  <w:footnote w:id="88">
    <w:p w14:paraId="555425A6"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In the case of a LDAR program </w:t>
      </w:r>
    </w:p>
  </w:footnote>
  <w:footnote w:id="89">
    <w:p w14:paraId="6C81A86A" w14:textId="4FFCDD7C"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Pr="00ED00BF">
        <w:rPr>
          <w:rFonts w:cstheme="minorHAnsi"/>
          <w:szCs w:val="18"/>
          <w:lang w:val="en-GB"/>
        </w:rPr>
        <w:t xml:space="preserve">For example: </w:t>
      </w:r>
      <w:hyperlink r:id="rId54" w:history="1">
        <w:r w:rsidRPr="00ED00BF">
          <w:rPr>
            <w:rStyle w:val="Hyperlink"/>
            <w:rFonts w:cstheme="minorHAnsi"/>
            <w:szCs w:val="18"/>
            <w:lang w:val="en-US"/>
          </w:rPr>
          <w:t>http://pubs.acs.org/doi/pdf/10.1021/acs.est.5b00133</w:t>
        </w:r>
      </w:hyperlink>
      <w:r w:rsidRPr="00ED00BF">
        <w:rPr>
          <w:rStyle w:val="Hyperlink"/>
          <w:rFonts w:cstheme="minorHAnsi"/>
          <w:szCs w:val="18"/>
          <w:lang w:val="en-US"/>
        </w:rPr>
        <w:t xml:space="preserve"> </w:t>
      </w:r>
      <w:hyperlink r:id="rId55" w:history="1">
        <w:r w:rsidRPr="00ED00BF">
          <w:rPr>
            <w:rStyle w:val="Hyperlink"/>
            <w:rFonts w:cstheme="minorHAnsi"/>
            <w:szCs w:val="18"/>
            <w:lang w:val="en-US"/>
          </w:rPr>
          <w:t>https://www.nature.com/articles/ncomms14012.pdf</w:t>
        </w:r>
      </w:hyperlink>
    </w:p>
  </w:footnote>
  <w:footnote w:id="90">
    <w:p w14:paraId="4E35DF47" w14:textId="6A0DC318"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56" w:history="1">
        <w:r w:rsidRPr="00ED00BF">
          <w:rPr>
            <w:rStyle w:val="Hyperlink"/>
            <w:rFonts w:cstheme="minorHAnsi"/>
            <w:szCs w:val="18"/>
            <w:lang w:val="en-GB"/>
          </w:rPr>
          <w:t>http://pubs.acs.org/doi/pdf/10.1021/acs.est.5b00133</w:t>
        </w:r>
      </w:hyperlink>
    </w:p>
  </w:footnote>
  <w:footnote w:id="91">
    <w:p w14:paraId="15D59730" w14:textId="039CFBDF"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225A04" w:rsidRPr="00AD4C55">
        <w:rPr>
          <w:rFonts w:cstheme="minorHAnsi"/>
          <w:i/>
          <w:iCs/>
          <w:szCs w:val="18"/>
          <w:lang w:val="en-US"/>
        </w:rPr>
        <w:t>Id.</w:t>
      </w:r>
    </w:p>
  </w:footnote>
  <w:footnote w:id="92">
    <w:p w14:paraId="498EB05E" w14:textId="3803874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57" w:history="1">
        <w:r w:rsidRPr="00ED00BF">
          <w:rPr>
            <w:rStyle w:val="Hyperlink"/>
            <w:rFonts w:cstheme="minorHAnsi"/>
            <w:szCs w:val="18"/>
            <w:lang w:val="en-GB"/>
          </w:rPr>
          <w:t>https://carbonlimits.no/project/statistical-analysis-leak-detection-and-repair-canada/</w:t>
        </w:r>
      </w:hyperlink>
    </w:p>
  </w:footnote>
  <w:footnote w:id="93">
    <w:p w14:paraId="58F8B1A3" w14:textId="1D951E4D"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Pr="00ED00BF">
        <w:rPr>
          <w:rFonts w:cstheme="minorHAnsi"/>
          <w:szCs w:val="18"/>
          <w:lang w:val="en"/>
        </w:rPr>
        <w:t>Brandt, et. al., Methane Leaks from Natural Gas Systems Follow Extreme Distributions, Environ. Sci. Technol., 2016, pp 12512-12520</w:t>
      </w:r>
    </w:p>
  </w:footnote>
  <w:footnote w:id="94">
    <w:p w14:paraId="75B6EDF7" w14:textId="0BB6EBAC"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lang w:val="en-US"/>
        </w:rPr>
        <w:t xml:space="preserve"> For example, </w:t>
      </w:r>
      <w:proofErr w:type="gramStart"/>
      <w:r w:rsidRPr="00ED00BF">
        <w:rPr>
          <w:rFonts w:cstheme="minorHAnsi"/>
          <w:szCs w:val="18"/>
          <w:lang w:val="en-US"/>
        </w:rPr>
        <w:t>a number of</w:t>
      </w:r>
      <w:proofErr w:type="gramEnd"/>
      <w:r w:rsidRPr="00ED00BF">
        <w:rPr>
          <w:rFonts w:cstheme="minorHAnsi"/>
          <w:szCs w:val="18"/>
          <w:lang w:val="en-US"/>
        </w:rPr>
        <w:t xml:space="preserve"> recent measurement studies have reported higher emissions from low-bleed controllers than expected: Methane Emissions from Process Equipment at Natural Gas Production Sites in the United States: Pneumatic Controllers Allen et al., 2015; Measurements of methane emissions at natural gas production sites in the United States. </w:t>
      </w:r>
      <w:r w:rsidRPr="00ED00BF">
        <w:rPr>
          <w:rFonts w:cstheme="minorHAnsi"/>
          <w:szCs w:val="18"/>
        </w:rPr>
        <w:t xml:space="preserve">Allen, David, T., et al. 2013. </w:t>
      </w:r>
      <w:r w:rsidRPr="00ED00BF">
        <w:rPr>
          <w:rStyle w:val="Hyperlink"/>
          <w:rFonts w:cstheme="minorHAnsi"/>
          <w:szCs w:val="18"/>
        </w:rPr>
        <w:fldChar w:fldCharType="begin"/>
      </w:r>
      <w:r w:rsidRPr="00ED00BF">
        <w:rPr>
          <w:rStyle w:val="Hyperlink"/>
          <w:rFonts w:cstheme="minorHAnsi"/>
          <w:szCs w:val="18"/>
        </w:rPr>
        <w:instrText xml:space="preserve"> HYPERLINK "http://www.pnas.org/content/early/2013/09/10/1304880110.full.pdf+html" </w:instrText>
      </w:r>
      <w:r w:rsidRPr="00ED00BF">
        <w:rPr>
          <w:rStyle w:val="Hyperlink"/>
          <w:rFonts w:cstheme="minorHAnsi"/>
          <w:szCs w:val="18"/>
        </w:rPr>
        <w:fldChar w:fldCharType="separate"/>
      </w:r>
      <w:r w:rsidRPr="00ED00BF">
        <w:rPr>
          <w:rStyle w:val="Hyperlink"/>
          <w:rFonts w:cstheme="minorHAnsi"/>
          <w:szCs w:val="18"/>
        </w:rPr>
        <w:t>www.pnas.org/content/early/2013/09/10/1304880110.full.pdf+html</w:t>
      </w:r>
      <w:r w:rsidRPr="00ED00BF">
        <w:rPr>
          <w:rStyle w:val="Hyperlink"/>
          <w:rFonts w:cstheme="minorHAnsi"/>
          <w:szCs w:val="18"/>
        </w:rPr>
        <w:fldChar w:fldCharType="end"/>
      </w:r>
      <w:r w:rsidRPr="00ED00BF">
        <w:rPr>
          <w:rFonts w:cstheme="minorHAnsi"/>
          <w:szCs w:val="18"/>
        </w:rPr>
        <w:t xml:space="preserve"> </w:t>
      </w:r>
    </w:p>
  </w:footnote>
  <w:footnote w:id="95">
    <w:p w14:paraId="484BF1C2" w14:textId="1CBBD029"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rPr>
        <w:t xml:space="preserve"> </w:t>
      </w:r>
      <w:hyperlink r:id="rId58" w:history="1">
        <w:r w:rsidRPr="00ED00BF">
          <w:rPr>
            <w:rStyle w:val="Hyperlink"/>
            <w:rFonts w:cstheme="minorHAnsi"/>
            <w:szCs w:val="18"/>
          </w:rPr>
          <w:t>https://www.ec.gc.ca/ges-ghg/default.asp?lang=En&amp;n=FF677357-1&amp;offset=2&amp;toc=hide</w:t>
        </w:r>
      </w:hyperlink>
      <w:r w:rsidRPr="00ED00BF">
        <w:rPr>
          <w:rFonts w:cstheme="minorHAnsi"/>
          <w:szCs w:val="18"/>
        </w:rPr>
        <w:t xml:space="preserve"> </w:t>
      </w:r>
    </w:p>
  </w:footnote>
  <w:footnote w:id="96">
    <w:p w14:paraId="16E4176D"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Pr="00ED00BF">
        <w:rPr>
          <w:rFonts w:cstheme="minorHAnsi"/>
          <w:szCs w:val="18"/>
          <w:lang w:val="en-GB"/>
        </w:rPr>
        <w:t xml:space="preserve">Government Decree </w:t>
      </w:r>
      <w:r w:rsidRPr="00ED00BF">
        <w:rPr>
          <w:rFonts w:cstheme="minorHAnsi"/>
          <w:szCs w:val="18"/>
          <w:lang w:val="en-US"/>
        </w:rPr>
        <w:t xml:space="preserve">No. 716-p and 300 from 2015 (“On a framework for monitoring, reporting and verification of GHG emissions” and “On establishing a methodology for quantification of GHG emissions by enterprises”). </w:t>
      </w:r>
      <w:r w:rsidRPr="00ED00BF">
        <w:rPr>
          <w:rFonts w:cstheme="minorHAnsi"/>
          <w:szCs w:val="18"/>
          <w:lang w:val="en-GB"/>
        </w:rPr>
        <w:t>Emission points that together do not exceed 5% of the total volume of company’s emissions (and below 50 000 tonnes CO</w:t>
      </w:r>
      <w:r w:rsidRPr="00ED00BF">
        <w:rPr>
          <w:rFonts w:cstheme="minorHAnsi"/>
          <w:szCs w:val="18"/>
          <w:vertAlign w:val="subscript"/>
          <w:lang w:val="en-GB"/>
        </w:rPr>
        <w:t>2e</w:t>
      </w:r>
      <w:r w:rsidRPr="00ED00BF">
        <w:rPr>
          <w:rFonts w:cstheme="minorHAnsi"/>
          <w:szCs w:val="18"/>
          <w:lang w:val="en-GB"/>
        </w:rPr>
        <w:t>/year) do not have to be reported</w:t>
      </w:r>
    </w:p>
  </w:footnote>
  <w:footnote w:id="97">
    <w:p w14:paraId="2D1AE9A7"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Government decree No. 1148 from 08.11.2012 on “Emission fees for negative environmental impacts from emissions of air pollutants due to APG flaring or venting” </w:t>
      </w:r>
    </w:p>
  </w:footnote>
  <w:footnote w:id="98">
    <w:p w14:paraId="7C8289D9"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59" w:anchor="tab-3" w:history="1">
        <w:r w:rsidRPr="00ED00BF">
          <w:rPr>
            <w:rStyle w:val="Hyperlink"/>
            <w:rFonts w:cstheme="minorHAnsi"/>
            <w:szCs w:val="18"/>
            <w:lang w:val="en-US"/>
          </w:rPr>
          <w:t>https://www.epa.gov/natural-gas-star-program/natural-gas-star-program#tab-3</w:t>
        </w:r>
      </w:hyperlink>
    </w:p>
  </w:footnote>
  <w:footnote w:id="99">
    <w:p w14:paraId="36EF5666"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e.g. the Alberta Energy Regulator  </w:t>
      </w:r>
    </w:p>
  </w:footnote>
  <w:footnote w:id="100">
    <w:p w14:paraId="1E7792E7" w14:textId="77777777" w:rsidR="000941A9" w:rsidRPr="00ED00BF" w:rsidRDefault="000941A9" w:rsidP="00ED00BF">
      <w:pPr>
        <w:spacing w:after="0" w:line="240" w:lineRule="auto"/>
        <w:rPr>
          <w:rFonts w:cstheme="minorHAnsi"/>
          <w:sz w:val="18"/>
          <w:szCs w:val="18"/>
          <w:lang w:val="en-US"/>
        </w:rPr>
      </w:pPr>
      <w:r w:rsidRPr="00ED00BF">
        <w:rPr>
          <w:rStyle w:val="FootnoteReference"/>
          <w:rFonts w:cstheme="minorHAnsi"/>
          <w:sz w:val="18"/>
          <w:szCs w:val="18"/>
        </w:rPr>
        <w:footnoteRef/>
      </w:r>
      <w:r w:rsidRPr="00ED00BF">
        <w:rPr>
          <w:rFonts w:cstheme="minorHAnsi"/>
          <w:sz w:val="18"/>
          <w:szCs w:val="18"/>
          <w:lang w:val="en-US"/>
        </w:rPr>
        <w:t xml:space="preserve"> </w:t>
      </w:r>
      <w:hyperlink r:id="rId60" w:history="1">
        <w:r w:rsidRPr="00ED00BF">
          <w:rPr>
            <w:rStyle w:val="Hyperlink"/>
            <w:rFonts w:cstheme="minorHAnsi"/>
            <w:sz w:val="18"/>
            <w:szCs w:val="18"/>
            <w:lang w:val="en-US"/>
          </w:rPr>
          <w:t>https://www.ebrd.com/documents/climate-finance/the-domestic-emissions-trading-scheme-in-kazakhstan.pdf</w:t>
        </w:r>
      </w:hyperlink>
    </w:p>
  </w:footnote>
  <w:footnote w:id="101">
    <w:p w14:paraId="5478F77B"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Azerbaijan states that: </w:t>
      </w:r>
      <w:r w:rsidRPr="00ED00BF">
        <w:rPr>
          <w:rFonts w:cstheme="minorHAnsi"/>
          <w:iCs/>
          <w:szCs w:val="18"/>
          <w:lang w:val="en-US"/>
        </w:rPr>
        <w:t xml:space="preserve">measures are: </w:t>
      </w:r>
      <w:proofErr w:type="spellStart"/>
      <w:r w:rsidRPr="00ED00BF">
        <w:rPr>
          <w:rFonts w:cstheme="minorHAnsi"/>
          <w:iCs/>
          <w:szCs w:val="18"/>
          <w:lang w:val="en-US"/>
        </w:rPr>
        <w:t>i</w:t>
      </w:r>
      <w:proofErr w:type="spellEnd"/>
      <w:r w:rsidRPr="00ED00BF">
        <w:rPr>
          <w:rFonts w:cstheme="minorHAnsi"/>
          <w:iCs/>
          <w:szCs w:val="18"/>
          <w:lang w:val="en-US"/>
        </w:rPr>
        <w:t xml:space="preserve">) “Modernization of gas pipelines, gas distribution system and other measures to decrease losses up to 1% by 2020 and ensure the volume of reduction in compliance with international standards by 2050”, and ii) </w:t>
      </w:r>
      <w:proofErr w:type="gramStart"/>
      <w:r w:rsidRPr="00ED00BF">
        <w:rPr>
          <w:rFonts w:cstheme="minorHAnsi"/>
          <w:iCs/>
          <w:szCs w:val="18"/>
          <w:lang w:val="en-US"/>
        </w:rPr>
        <w:t>“ prevention</w:t>
      </w:r>
      <w:proofErr w:type="gramEnd"/>
      <w:r w:rsidRPr="00ED00BF">
        <w:rPr>
          <w:rFonts w:cstheme="minorHAnsi"/>
          <w:iCs/>
          <w:szCs w:val="18"/>
          <w:lang w:val="en-US"/>
        </w:rPr>
        <w:t xml:space="preserve"> of gas leakages during oil-gas processing” see </w:t>
      </w:r>
      <w:r w:rsidRPr="00ED00BF">
        <w:rPr>
          <w:rFonts w:cstheme="minorHAnsi"/>
          <w:szCs w:val="18"/>
          <w:lang w:val="en-US"/>
        </w:rPr>
        <w:t>https://www4.unfccc.int/sites/ndcstaging/PublishedDocuments/Azerbaijan%20First/INDC%20Azerbaijan.pdf</w:t>
      </w:r>
    </w:p>
  </w:footnote>
  <w:footnote w:id="102">
    <w:p w14:paraId="3FBB1D86"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https://undocs.org/FCCC/CP/2018/L.22</w:t>
      </w:r>
    </w:p>
  </w:footnote>
  <w:footnote w:id="103">
    <w:p w14:paraId="3FB89BD7"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See </w:t>
      </w:r>
      <w:hyperlink r:id="rId61" w:history="1">
        <w:r w:rsidRPr="00ED00BF">
          <w:rPr>
            <w:rStyle w:val="Hyperlink"/>
            <w:rFonts w:cstheme="minorHAnsi"/>
            <w:szCs w:val="18"/>
            <w:lang w:val="en-US"/>
          </w:rPr>
          <w:t>https://unfccc.int/topics/climate-finance/the-big-picture/introduction-to-climate-finance</w:t>
        </w:r>
      </w:hyperlink>
      <w:r w:rsidRPr="00ED00BF">
        <w:rPr>
          <w:rFonts w:cstheme="minorHAnsi"/>
          <w:szCs w:val="18"/>
          <w:lang w:val="en-US"/>
        </w:rPr>
        <w:t xml:space="preserve"> </w:t>
      </w:r>
    </w:p>
  </w:footnote>
  <w:footnote w:id="104">
    <w:p w14:paraId="6C656C9C" w14:textId="0FA1C149" w:rsidR="000941A9" w:rsidRPr="00ED00BF" w:rsidRDefault="000941A9" w:rsidP="00ED00BF">
      <w:pPr>
        <w:pStyle w:val="FootnoteText"/>
        <w:spacing w:after="0"/>
        <w:rPr>
          <w:rFonts w:cstheme="minorHAnsi"/>
          <w:color w:val="808080" w:themeColor="background1" w:themeShade="80"/>
          <w:szCs w:val="18"/>
          <w:lang w:val="en-GB"/>
        </w:rPr>
      </w:pPr>
      <w:r w:rsidRPr="00ED00BF">
        <w:rPr>
          <w:rStyle w:val="FootnoteReference"/>
          <w:rFonts w:cstheme="minorHAnsi"/>
          <w:color w:val="808080" w:themeColor="background1" w:themeShade="80"/>
          <w:szCs w:val="18"/>
        </w:rPr>
        <w:footnoteRef/>
      </w:r>
      <w:r w:rsidRPr="00ED00BF">
        <w:rPr>
          <w:rFonts w:cstheme="minorHAnsi"/>
          <w:color w:val="808080" w:themeColor="background1" w:themeShade="80"/>
          <w:szCs w:val="18"/>
          <w:lang w:val="en-GB"/>
        </w:rPr>
        <w:t xml:space="preserve"> </w:t>
      </w:r>
      <w:r w:rsidRPr="00ED00BF">
        <w:rPr>
          <w:rFonts w:cstheme="minorHAnsi"/>
          <w:szCs w:val="18"/>
          <w:lang w:val="en-US"/>
        </w:rPr>
        <w:t xml:space="preserve">For further information see </w:t>
      </w:r>
      <w:hyperlink r:id="rId62" w:history="1">
        <w:r w:rsidRPr="00ED00BF">
          <w:rPr>
            <w:rStyle w:val="Hyperlink"/>
            <w:rFonts w:cstheme="minorHAnsi"/>
            <w:szCs w:val="18"/>
            <w:lang w:val="en-US"/>
          </w:rPr>
          <w:t>http://ec.europa.eu/clima/policies/transport/fuel_en</w:t>
        </w:r>
      </w:hyperlink>
      <w:r w:rsidRPr="00ED00BF">
        <w:rPr>
          <w:rStyle w:val="Hyperlink"/>
          <w:rFonts w:cstheme="minorHAnsi"/>
          <w:szCs w:val="18"/>
          <w:lang w:val="en-US"/>
        </w:rPr>
        <w:t xml:space="preserve"> </w:t>
      </w:r>
    </w:p>
  </w:footnote>
  <w:footnote w:id="105">
    <w:p w14:paraId="152B1939" w14:textId="47BEAF7F"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63" w:history="1">
        <w:r w:rsidRPr="00ED00BF">
          <w:rPr>
            <w:rStyle w:val="Hyperlink"/>
            <w:rFonts w:cstheme="minorHAnsi"/>
            <w:szCs w:val="18"/>
            <w:lang w:val="en-US"/>
          </w:rPr>
          <w:t>https://unfccc.int/process-and-meetings/the-paris-agreement/the-paris-agreement</w:t>
        </w:r>
      </w:hyperlink>
      <w:r w:rsidRPr="00ED00BF">
        <w:rPr>
          <w:rFonts w:cstheme="minorHAnsi"/>
          <w:szCs w:val="18"/>
          <w:lang w:val="en-US"/>
        </w:rPr>
        <w:t xml:space="preserve"> </w:t>
      </w:r>
    </w:p>
  </w:footnote>
  <w:footnote w:id="106">
    <w:p w14:paraId="34A79A37"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64" w:history="1">
        <w:r w:rsidRPr="00ED00BF">
          <w:rPr>
            <w:rStyle w:val="Hyperlink"/>
            <w:rFonts w:cstheme="minorHAnsi"/>
            <w:szCs w:val="18"/>
            <w:lang w:val="en-GB"/>
          </w:rPr>
          <w:t>http://www.miljodirektoratet.no/no/Publikasjoner/2016/Juni-2016/Cold-venting-and-fugitive-emissions-from-Norwegian-offshore-oil-and-gas-activities--summary-report/</w:t>
        </w:r>
      </w:hyperlink>
      <w:r w:rsidRPr="00ED00BF">
        <w:rPr>
          <w:rFonts w:cstheme="minorHAnsi"/>
          <w:color w:val="808080" w:themeColor="background1" w:themeShade="80"/>
          <w:szCs w:val="18"/>
          <w:lang w:val="en-GB"/>
        </w:rPr>
        <w:t xml:space="preserve">   </w:t>
      </w:r>
    </w:p>
  </w:footnote>
  <w:footnote w:id="107">
    <w:p w14:paraId="4E0276E4"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 list build on the 9 core emissions sources defined in the CCAC OGMP Technical documents </w:t>
      </w:r>
    </w:p>
  </w:footnote>
  <w:footnote w:id="108">
    <w:p w14:paraId="74D0F8F6"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Including OGMP reporting guidelines, EPA GHG inventory approach </w:t>
      </w:r>
      <w:proofErr w:type="spellStart"/>
      <w:r w:rsidRPr="00ED00BF">
        <w:rPr>
          <w:rFonts w:cstheme="minorHAnsi"/>
          <w:szCs w:val="18"/>
          <w:lang w:val="en-US"/>
        </w:rPr>
        <w:t>etc</w:t>
      </w:r>
      <w:proofErr w:type="spellEnd"/>
      <w:r w:rsidRPr="00ED00BF">
        <w:rPr>
          <w:rFonts w:cstheme="minorHAnsi"/>
          <w:szCs w:val="18"/>
          <w:lang w:val="en-US"/>
        </w:rPr>
        <w:t xml:space="preserve">… </w:t>
      </w:r>
    </w:p>
  </w:footnote>
  <w:footnote w:id="109">
    <w:p w14:paraId="2265C065"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10">
    <w:p w14:paraId="349297D1" w14:textId="3AF652BE"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11">
    <w:p w14:paraId="76D6FE72" w14:textId="51BB9919"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lang w:val="en-US"/>
        </w:rPr>
        <w:t xml:space="preserve"> Such as shown in 40 CFR Part 98.233 (g) (Mandatory Greenhouse Gas Reporting – Subpart W – Petroleum and Natural Gas Systems - Section 98.233 Calculating GHG Emissions. 40 CFR 98.233(g). </w:t>
      </w:r>
      <w:hyperlink r:id="rId65" w:history="1">
        <w:r w:rsidRPr="00ED00BF">
          <w:rPr>
            <w:rStyle w:val="Hyperlink"/>
            <w:rFonts w:cstheme="minorHAnsi"/>
            <w:szCs w:val="18"/>
          </w:rPr>
          <w:t>http://www.ecfr.gov/cgi-bin/text-idx?SID=9db68a97576bb01eea9073c37d6f0e90&amp;node=40:21.0.1.1.3.23&amp;rgn=div6</w:t>
        </w:r>
      </w:hyperlink>
      <w:r w:rsidRPr="00ED00BF">
        <w:rPr>
          <w:rFonts w:cstheme="minorHAnsi"/>
          <w:szCs w:val="18"/>
        </w:rPr>
        <w:t xml:space="preserve">) </w:t>
      </w:r>
    </w:p>
  </w:footnote>
  <w:footnote w:id="112">
    <w:p w14:paraId="30EC4D3B"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13">
    <w:p w14:paraId="745BA6F9" w14:textId="6B7EA7CC"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14">
    <w:p w14:paraId="7B2196CA" w14:textId="77777777" w:rsidR="000941A9" w:rsidRPr="00ED00BF" w:rsidRDefault="000941A9" w:rsidP="00ED00BF">
      <w:pPr>
        <w:spacing w:after="0" w:line="240" w:lineRule="auto"/>
        <w:rPr>
          <w:rFonts w:cstheme="minorHAnsi"/>
          <w:sz w:val="18"/>
          <w:szCs w:val="18"/>
          <w:lang w:val="en-US"/>
        </w:rPr>
      </w:pPr>
      <w:r w:rsidRPr="00ED00BF">
        <w:rPr>
          <w:rStyle w:val="FootnoteReference"/>
          <w:rFonts w:cstheme="minorHAnsi"/>
          <w:sz w:val="18"/>
          <w:szCs w:val="18"/>
        </w:rPr>
        <w:footnoteRef/>
      </w:r>
      <w:r w:rsidRPr="00ED00BF">
        <w:rPr>
          <w:rFonts w:cstheme="minorHAnsi"/>
          <w:sz w:val="18"/>
          <w:szCs w:val="18"/>
          <w:lang w:val="en-US"/>
        </w:rPr>
        <w:t xml:space="preserve"> An engineering calculation relies on a representative sample of well production taken with no casinghead gas venting: i.e. capture all gas and oil entering the well casing. This may be </w:t>
      </w:r>
      <w:proofErr w:type="gramStart"/>
      <w:r w:rsidRPr="00ED00BF">
        <w:rPr>
          <w:rFonts w:cstheme="minorHAnsi"/>
          <w:sz w:val="18"/>
          <w:szCs w:val="18"/>
          <w:lang w:val="en-US"/>
        </w:rPr>
        <w:t>more costly</w:t>
      </w:r>
      <w:proofErr w:type="gramEnd"/>
      <w:r w:rsidRPr="00ED00BF">
        <w:rPr>
          <w:rFonts w:cstheme="minorHAnsi"/>
          <w:sz w:val="18"/>
          <w:szCs w:val="18"/>
          <w:lang w:val="en-US"/>
        </w:rPr>
        <w:t xml:space="preserve"> and less accurate than direct measurement, given the sampling method can affect the production rate and composition. From this sample a gas/oil ratio (GOR) may be determined. For mature wells, Partners should use the estimated well’s producing GOR (</w:t>
      </w:r>
      <w:proofErr w:type="spellStart"/>
      <w:r w:rsidRPr="00ED00BF">
        <w:rPr>
          <w:rFonts w:cstheme="minorHAnsi"/>
          <w:sz w:val="18"/>
          <w:szCs w:val="18"/>
          <w:lang w:val="en-US"/>
        </w:rPr>
        <w:t>scf</w:t>
      </w:r>
      <w:proofErr w:type="spellEnd"/>
      <w:r w:rsidRPr="00ED00BF">
        <w:rPr>
          <w:rFonts w:cstheme="minorHAnsi"/>
          <w:sz w:val="18"/>
          <w:szCs w:val="18"/>
          <w:lang w:val="en-US"/>
        </w:rPr>
        <w:t>/</w:t>
      </w:r>
      <w:proofErr w:type="spellStart"/>
      <w:r w:rsidRPr="00ED00BF">
        <w:rPr>
          <w:rFonts w:cstheme="minorHAnsi"/>
          <w:sz w:val="18"/>
          <w:szCs w:val="18"/>
          <w:lang w:val="en-US"/>
        </w:rPr>
        <w:t>bbl</w:t>
      </w:r>
      <w:proofErr w:type="spellEnd"/>
      <w:r w:rsidRPr="00ED00BF">
        <w:rPr>
          <w:rFonts w:cstheme="minorHAnsi"/>
          <w:sz w:val="18"/>
          <w:szCs w:val="18"/>
          <w:lang w:val="en-US"/>
        </w:rPr>
        <w:t xml:space="preserve"> or </w:t>
      </w:r>
      <w:proofErr w:type="spellStart"/>
      <w:r w:rsidRPr="00ED00BF">
        <w:rPr>
          <w:rFonts w:cstheme="minorHAnsi"/>
          <w:sz w:val="18"/>
          <w:szCs w:val="18"/>
          <w:lang w:val="en-US"/>
        </w:rPr>
        <w:t>scm</w:t>
      </w:r>
      <w:proofErr w:type="spellEnd"/>
      <w:r w:rsidRPr="00ED00BF">
        <w:rPr>
          <w:rFonts w:cstheme="minorHAnsi"/>
          <w:sz w:val="18"/>
          <w:szCs w:val="18"/>
          <w:lang w:val="en-US"/>
        </w:rPr>
        <w:t>/</w:t>
      </w:r>
      <w:proofErr w:type="spellStart"/>
      <w:r w:rsidRPr="00ED00BF">
        <w:rPr>
          <w:rFonts w:cstheme="minorHAnsi"/>
          <w:sz w:val="18"/>
          <w:szCs w:val="18"/>
          <w:lang w:val="en-US"/>
        </w:rPr>
        <w:t>bbl</w:t>
      </w:r>
      <w:proofErr w:type="spellEnd"/>
      <w:r w:rsidRPr="00ED00BF">
        <w:rPr>
          <w:rFonts w:cstheme="minorHAnsi"/>
          <w:sz w:val="18"/>
          <w:szCs w:val="18"/>
          <w:lang w:val="en-US"/>
        </w:rPr>
        <w:t>) multiplied by the production rate of oil per year (</w:t>
      </w:r>
      <w:proofErr w:type="spellStart"/>
      <w:r w:rsidRPr="00ED00BF">
        <w:rPr>
          <w:rFonts w:cstheme="minorHAnsi"/>
          <w:sz w:val="18"/>
          <w:szCs w:val="18"/>
          <w:lang w:val="en-US"/>
        </w:rPr>
        <w:t>bbl</w:t>
      </w:r>
      <w:proofErr w:type="spellEnd"/>
      <w:r w:rsidRPr="00ED00BF">
        <w:rPr>
          <w:rFonts w:cstheme="minorHAnsi"/>
          <w:sz w:val="18"/>
          <w:szCs w:val="18"/>
          <w:lang w:val="en-US"/>
        </w:rPr>
        <w:t>/year) and the methane content of the gas to estimate annual methane emissions</w:t>
      </w:r>
    </w:p>
  </w:footnote>
  <w:footnote w:id="115">
    <w:p w14:paraId="52A2B8CB"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16">
    <w:p w14:paraId="479835DD" w14:textId="6EE83F53"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17">
    <w:p w14:paraId="35572B43" w14:textId="6A3713B4" w:rsidR="000941A9" w:rsidRPr="00ED00BF" w:rsidRDefault="000941A9" w:rsidP="00ED00BF">
      <w:pPr>
        <w:spacing w:after="0" w:line="240" w:lineRule="auto"/>
        <w:rPr>
          <w:rFonts w:cstheme="minorHAnsi"/>
          <w:sz w:val="18"/>
          <w:szCs w:val="18"/>
          <w:lang w:val="en-US"/>
        </w:rPr>
      </w:pPr>
      <w:r w:rsidRPr="00ED00BF">
        <w:rPr>
          <w:rStyle w:val="FootnoteReference"/>
          <w:rFonts w:cstheme="minorHAnsi"/>
          <w:sz w:val="18"/>
          <w:szCs w:val="18"/>
        </w:rPr>
        <w:footnoteRef/>
      </w:r>
      <w:r w:rsidRPr="00ED00BF">
        <w:rPr>
          <w:rFonts w:cstheme="minorHAnsi"/>
          <w:sz w:val="18"/>
          <w:szCs w:val="18"/>
          <w:lang w:val="en-US"/>
        </w:rPr>
        <w:t xml:space="preserve"> Ref for example to API, ANGA. Characterizing Pivotal Sources of Methane Emissions from Natural Gas Production. Sept 21, 2012. Retrieved from: </w:t>
      </w:r>
      <w:hyperlink r:id="rId66" w:history="1">
        <w:r w:rsidRPr="00ED00BF">
          <w:rPr>
            <w:rStyle w:val="Hyperlink"/>
            <w:rFonts w:cstheme="minorHAnsi"/>
            <w:sz w:val="18"/>
            <w:szCs w:val="18"/>
            <w:lang w:val="en-US"/>
          </w:rPr>
          <w:t>http://www.api.org/~/media/Files/News/2012/12-October/API-ANGA-Survey-Report.pdf</w:t>
        </w:r>
      </w:hyperlink>
      <w:r w:rsidRPr="00ED00BF">
        <w:rPr>
          <w:rFonts w:cstheme="minorHAnsi"/>
          <w:sz w:val="18"/>
          <w:szCs w:val="18"/>
          <w:lang w:val="en-US"/>
        </w:rPr>
        <w:t xml:space="preserve">  </w:t>
      </w:r>
    </w:p>
  </w:footnote>
  <w:footnote w:id="118">
    <w:p w14:paraId="6C238A38" w14:textId="77777777" w:rsidR="000941A9" w:rsidRPr="00ED00BF" w:rsidRDefault="000941A9" w:rsidP="00ED00BF">
      <w:pPr>
        <w:spacing w:after="0" w:line="240" w:lineRule="auto"/>
        <w:rPr>
          <w:rFonts w:cstheme="minorHAnsi"/>
          <w:sz w:val="18"/>
          <w:szCs w:val="18"/>
          <w:lang w:val="en-US"/>
        </w:rPr>
      </w:pPr>
      <w:r w:rsidRPr="00ED00BF">
        <w:rPr>
          <w:rStyle w:val="FootnoteReference"/>
          <w:rFonts w:cstheme="minorHAnsi"/>
          <w:sz w:val="18"/>
          <w:szCs w:val="18"/>
        </w:rPr>
        <w:footnoteRef/>
      </w:r>
      <w:r w:rsidRPr="00ED00BF">
        <w:rPr>
          <w:rFonts w:cstheme="minorHAnsi"/>
          <w:sz w:val="18"/>
          <w:szCs w:val="18"/>
          <w:lang w:val="en-US"/>
        </w:rPr>
        <w:t xml:space="preserve"> Based on a 1 </w:t>
      </w:r>
      <w:proofErr w:type="spellStart"/>
      <w:r w:rsidRPr="00ED00BF">
        <w:rPr>
          <w:rFonts w:cstheme="minorHAnsi"/>
          <w:sz w:val="18"/>
          <w:szCs w:val="18"/>
          <w:lang w:val="en-US"/>
        </w:rPr>
        <w:t>MMcfd</w:t>
      </w:r>
      <w:proofErr w:type="spellEnd"/>
      <w:r w:rsidRPr="00ED00BF">
        <w:rPr>
          <w:rFonts w:cstheme="minorHAnsi"/>
          <w:sz w:val="18"/>
          <w:szCs w:val="18"/>
          <w:lang w:val="en-US"/>
        </w:rPr>
        <w:t xml:space="preserve"> dehydrator operating at 450 </w:t>
      </w:r>
      <w:proofErr w:type="spellStart"/>
      <w:r w:rsidRPr="00ED00BF">
        <w:rPr>
          <w:rFonts w:cstheme="minorHAnsi"/>
          <w:sz w:val="18"/>
          <w:szCs w:val="18"/>
          <w:lang w:val="en-US"/>
        </w:rPr>
        <w:t>psig</w:t>
      </w:r>
      <w:proofErr w:type="spellEnd"/>
      <w:r w:rsidRPr="00ED00BF">
        <w:rPr>
          <w:rFonts w:cstheme="minorHAnsi"/>
          <w:sz w:val="18"/>
          <w:szCs w:val="18"/>
          <w:lang w:val="en-US"/>
        </w:rPr>
        <w:t xml:space="preserve"> and 47°F, and the difference between methane vented from the glycol and desiccant dehydrators. </w:t>
      </w:r>
    </w:p>
  </w:footnote>
  <w:footnote w:id="119">
    <w:p w14:paraId="2A7A813A" w14:textId="775C88D2"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67" w:history="1">
        <w:r w:rsidRPr="00ED00BF">
          <w:rPr>
            <w:rStyle w:val="Hyperlink"/>
            <w:rFonts w:cstheme="minorHAnsi"/>
            <w:szCs w:val="18"/>
            <w:lang w:val="en-US"/>
          </w:rPr>
          <w:t>https://www.epa.gov/sites/production/files/2016-06/documents/ll_desde.pdf</w:t>
        </w:r>
      </w:hyperlink>
      <w:r w:rsidRPr="00ED00BF">
        <w:rPr>
          <w:rFonts w:cstheme="minorHAnsi"/>
          <w:szCs w:val="18"/>
          <w:lang w:val="en-US"/>
        </w:rPr>
        <w:t xml:space="preserve"> </w:t>
      </w:r>
    </w:p>
  </w:footnote>
  <w:footnote w:id="120">
    <w:p w14:paraId="38BC63B7"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21">
    <w:p w14:paraId="2E4A2E8F" w14:textId="4681140C"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22">
    <w:p w14:paraId="6EE8FDF0" w14:textId="02F8C05F" w:rsidR="000941A9" w:rsidRPr="00ED00BF" w:rsidRDefault="000941A9" w:rsidP="00ED00BF">
      <w:pPr>
        <w:spacing w:after="0" w:line="240" w:lineRule="auto"/>
        <w:rPr>
          <w:rFonts w:cstheme="minorHAnsi"/>
          <w:sz w:val="18"/>
          <w:szCs w:val="18"/>
          <w:lang w:val="en-US"/>
        </w:rPr>
      </w:pPr>
      <w:r w:rsidRPr="00ED00BF">
        <w:rPr>
          <w:rStyle w:val="FootnoteReference"/>
          <w:rFonts w:cstheme="minorHAnsi"/>
          <w:sz w:val="18"/>
          <w:szCs w:val="18"/>
        </w:rPr>
        <w:footnoteRef/>
      </w:r>
      <w:r w:rsidRPr="00ED00BF">
        <w:rPr>
          <w:rFonts w:cstheme="minorHAnsi"/>
          <w:sz w:val="18"/>
          <w:szCs w:val="18"/>
          <w:lang w:val="en-US"/>
        </w:rPr>
        <w:t xml:space="preserve"> </w:t>
      </w:r>
      <w:hyperlink r:id="rId68" w:history="1">
        <w:r w:rsidRPr="00ED00BF">
          <w:rPr>
            <w:rStyle w:val="Hyperlink"/>
            <w:rFonts w:cstheme="minorHAnsi"/>
            <w:sz w:val="18"/>
            <w:szCs w:val="18"/>
            <w:lang w:val="en-US"/>
          </w:rPr>
          <w:t>http://www.catf.us/resources/publications/files/Zero_Emitting_Pneumatic_Alternatives.pdf</w:t>
        </w:r>
      </w:hyperlink>
      <w:r w:rsidRPr="00ED00BF">
        <w:rPr>
          <w:rFonts w:cstheme="minorHAnsi"/>
          <w:sz w:val="18"/>
          <w:szCs w:val="18"/>
          <w:lang w:val="en-US"/>
        </w:rPr>
        <w:t xml:space="preserve"> </w:t>
      </w:r>
    </w:p>
  </w:footnote>
  <w:footnote w:id="123">
    <w:p w14:paraId="7B62BFCB"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24">
    <w:p w14:paraId="1664C642" w14:textId="273E7136"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25">
    <w:p w14:paraId="3316A107" w14:textId="77777777" w:rsidR="000941A9" w:rsidRPr="00ED00BF" w:rsidRDefault="000941A9" w:rsidP="00ED00BF">
      <w:pPr>
        <w:spacing w:after="0" w:line="240" w:lineRule="auto"/>
        <w:rPr>
          <w:rFonts w:cstheme="minorHAnsi"/>
          <w:sz w:val="18"/>
          <w:szCs w:val="18"/>
          <w:lang w:val="en-US"/>
        </w:rPr>
      </w:pPr>
      <w:r w:rsidRPr="00ED00BF">
        <w:rPr>
          <w:rStyle w:val="FootnoteReference"/>
          <w:rFonts w:cstheme="minorHAnsi"/>
          <w:sz w:val="18"/>
          <w:szCs w:val="18"/>
        </w:rPr>
        <w:footnoteRef/>
      </w:r>
      <w:r w:rsidRPr="00ED00BF">
        <w:rPr>
          <w:rFonts w:cstheme="minorHAnsi"/>
          <w:sz w:val="18"/>
          <w:szCs w:val="18"/>
          <w:lang w:val="en-US"/>
        </w:rPr>
        <w:t xml:space="preserve"> For intermittent vent controllers in on/off service the same volume of gas is vented and this volume per actuation (</w:t>
      </w:r>
      <w:proofErr w:type="spellStart"/>
      <w:r w:rsidRPr="00ED00BF">
        <w:rPr>
          <w:rFonts w:cstheme="minorHAnsi"/>
          <w:sz w:val="18"/>
          <w:szCs w:val="18"/>
          <w:lang w:val="en-US"/>
        </w:rPr>
        <w:t>Volscf</w:t>
      </w:r>
      <w:proofErr w:type="spellEnd"/>
      <w:r w:rsidRPr="00ED00BF">
        <w:rPr>
          <w:rFonts w:cstheme="minorHAnsi"/>
          <w:sz w:val="18"/>
          <w:szCs w:val="18"/>
          <w:lang w:val="en-US"/>
        </w:rPr>
        <w:t xml:space="preserve">) can be calculated by equations as per the CCAC document under </w:t>
      </w:r>
      <w:r w:rsidRPr="00ED00BF">
        <w:rPr>
          <w:rFonts w:cstheme="minorHAnsi"/>
          <w:i/>
          <w:sz w:val="18"/>
          <w:szCs w:val="18"/>
          <w:lang w:val="en-US"/>
        </w:rPr>
        <w:t>further information</w:t>
      </w:r>
      <w:r w:rsidRPr="00ED00BF">
        <w:rPr>
          <w:rFonts w:cstheme="minorHAnsi"/>
          <w:sz w:val="18"/>
          <w:szCs w:val="18"/>
          <w:lang w:val="en-US"/>
        </w:rPr>
        <w:t xml:space="preserve">. This approach requires a count of actuations for each device per year </w:t>
      </w:r>
      <w:proofErr w:type="gramStart"/>
      <w:r w:rsidRPr="00ED00BF">
        <w:rPr>
          <w:rFonts w:cstheme="minorHAnsi"/>
          <w:sz w:val="18"/>
          <w:szCs w:val="18"/>
          <w:lang w:val="en-US"/>
        </w:rPr>
        <w:t>in order to</w:t>
      </w:r>
      <w:proofErr w:type="gramEnd"/>
      <w:r w:rsidRPr="00ED00BF">
        <w:rPr>
          <w:rFonts w:cstheme="minorHAnsi"/>
          <w:sz w:val="18"/>
          <w:szCs w:val="18"/>
          <w:lang w:val="en-US"/>
        </w:rPr>
        <w:t xml:space="preserve"> calculate annual emissions. Therefore, an estimated number of actuations per year must be developed employing onsite knowledge. If the process is highly variable or cyclic throughout the year, estimation of the number of actuations per year can be inaccurate. Throttling intermittent controllers do not lend themselves to engineering estimates because the bonnet volume and the frequency of actuation are both highly variable.</w:t>
      </w:r>
    </w:p>
  </w:footnote>
  <w:footnote w:id="126">
    <w:p w14:paraId="062C5539"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27">
    <w:p w14:paraId="6DCE30B7" w14:textId="428407C0"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28">
    <w:p w14:paraId="1A2FC17D"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If the packing vent does not have an in-line flow meter or a measurement port for insertion of a measurement device such as an anemometer</w:t>
      </w:r>
    </w:p>
  </w:footnote>
  <w:footnote w:id="129">
    <w:p w14:paraId="6D0FC1AE"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 emission factor is a composite of the methane emission factor per cylinder and the average number of cylinders for compressors in the sector. The number of average cylinders varies and is detailed in EPA/GRI. Methane Emissions from the Natural Gas Industry: Volume 8 – Equipment Leaks. Appendix B.</w:t>
      </w:r>
    </w:p>
  </w:footnote>
  <w:footnote w:id="130">
    <w:p w14:paraId="2005670C" w14:textId="728DCF69"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lang w:val="en-US"/>
        </w:rPr>
        <w:t xml:space="preserve"> A factor of 150% should be applied to default operating emission factors for standby under pressure factors. </w:t>
      </w:r>
      <w:hyperlink r:id="rId69" w:history="1">
        <w:r w:rsidRPr="00ED00BF">
          <w:rPr>
            <w:rStyle w:val="Hyperlink"/>
            <w:rFonts w:cstheme="minorHAnsi"/>
            <w:szCs w:val="18"/>
          </w:rPr>
          <w:t>https://www.epa.gov/sites/production/files/2016-06/documents/ll_compressorsoffline.pdf</w:t>
        </w:r>
      </w:hyperlink>
      <w:r w:rsidRPr="00ED00BF">
        <w:rPr>
          <w:rFonts w:cstheme="minorHAnsi"/>
          <w:szCs w:val="18"/>
        </w:rPr>
        <w:t xml:space="preserve"> </w:t>
      </w:r>
    </w:p>
  </w:footnote>
  <w:footnote w:id="131">
    <w:p w14:paraId="288C896A"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32">
    <w:p w14:paraId="32807FB3" w14:textId="11E1BDD8"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33">
    <w:p w14:paraId="06AFC7DA"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If the packing vent does not have an in-line flow meter or a measurement port for insertion of a measurement device such as an anemometer</w:t>
      </w:r>
    </w:p>
  </w:footnote>
  <w:footnote w:id="134">
    <w:p w14:paraId="352DECC1"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The emission factor is a composite of the methane emission factor per cylinder and the average number of cylinders for compressors in the sector. The number of average cylinders varies and is detailed in EPA/GRI. Methane Emissions from the Natural Gas Industry: Volume 8 – Equipment Leaks. Appendix B.</w:t>
      </w:r>
    </w:p>
  </w:footnote>
  <w:footnote w:id="135">
    <w:p w14:paraId="09B56FA2" w14:textId="1349AFC5"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lang w:val="en-US"/>
        </w:rPr>
        <w:t xml:space="preserve"> A factor of 150% should be applied to default operating emission factors for standby under pressure factors. </w:t>
      </w:r>
      <w:hyperlink r:id="rId70" w:history="1">
        <w:r w:rsidRPr="00ED00BF">
          <w:rPr>
            <w:rStyle w:val="Hyperlink"/>
            <w:rFonts w:cstheme="minorHAnsi"/>
            <w:szCs w:val="18"/>
          </w:rPr>
          <w:t>https://www.epa.gov/sites/production/files/2016-06/documents/ll_compressorsoffline.pdf</w:t>
        </w:r>
      </w:hyperlink>
      <w:r w:rsidRPr="00ED00BF">
        <w:rPr>
          <w:rFonts w:cstheme="minorHAnsi"/>
          <w:szCs w:val="18"/>
        </w:rPr>
        <w:t xml:space="preserve"> </w:t>
      </w:r>
    </w:p>
  </w:footnote>
  <w:footnote w:id="136">
    <w:p w14:paraId="2D16353E"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Gas flaring results of course in significant CO2 emissions. </w:t>
      </w:r>
    </w:p>
  </w:footnote>
  <w:footnote w:id="137">
    <w:p w14:paraId="48055075"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Other emissions points may appear on the utilization route. </w:t>
      </w:r>
    </w:p>
  </w:footnote>
  <w:footnote w:id="138">
    <w:p w14:paraId="0EEC768B"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39">
    <w:p w14:paraId="208C6467" w14:textId="5F4479F3"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40">
    <w:p w14:paraId="0C83D5CC"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Also applies to methane emissions from water discharge (reducing to the lowest pressure possible before discharge)</w:t>
      </w:r>
    </w:p>
  </w:footnote>
  <w:footnote w:id="141">
    <w:p w14:paraId="7159C2AC"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42">
    <w:p w14:paraId="1B8E2D35" w14:textId="6E8B7588"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43">
    <w:p w14:paraId="3869134F"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However, standing and working losses are less accurately quantified by direct measurement and with changes in crude oil from multiple wells.</w:t>
      </w:r>
    </w:p>
  </w:footnote>
  <w:footnote w:id="144">
    <w:p w14:paraId="32169B5C" w14:textId="77777777" w:rsidR="000941A9" w:rsidRPr="00ED00BF" w:rsidRDefault="000941A9" w:rsidP="00ED00BF">
      <w:pPr>
        <w:pStyle w:val="Default"/>
        <w:rPr>
          <w:rFonts w:asciiTheme="minorHAnsi" w:hAnsiTheme="minorHAnsi" w:cstheme="minorHAnsi"/>
          <w:sz w:val="18"/>
          <w:szCs w:val="18"/>
        </w:rPr>
      </w:pPr>
      <w:r w:rsidRPr="00ED00BF">
        <w:rPr>
          <w:rStyle w:val="FootnoteReference"/>
          <w:rFonts w:asciiTheme="minorHAnsi" w:hAnsiTheme="minorHAnsi" w:cstheme="minorHAnsi"/>
          <w:sz w:val="18"/>
          <w:szCs w:val="18"/>
        </w:rPr>
        <w:footnoteRef/>
      </w:r>
      <w:r w:rsidRPr="00ED00BF">
        <w:rPr>
          <w:rFonts w:asciiTheme="minorHAnsi" w:hAnsiTheme="minorHAnsi" w:cstheme="minorHAnsi"/>
          <w:sz w:val="18"/>
          <w:szCs w:val="18"/>
        </w:rPr>
        <w:t xml:space="preserve"> In addition, emissions from scrubber dump valve need to be estimated</w:t>
      </w:r>
    </w:p>
  </w:footnote>
  <w:footnote w:id="145">
    <w:p w14:paraId="2852F436"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46">
    <w:p w14:paraId="116F82A7" w14:textId="74A1A26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47">
    <w:p w14:paraId="7DF3FBA2"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48">
    <w:p w14:paraId="1409742F"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Same as above</w:t>
      </w:r>
    </w:p>
  </w:footnote>
  <w:footnote w:id="149">
    <w:p w14:paraId="055F1643"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An annual volume of methane emissions is calculated by multiplying the estimated or measured methane emissions flow rate by half the operating hours of a piece of equipment between the last leak survey that found the component not leaking and the time when a leak is found and repaired. Operators can use a default factor of 12 months for estimating leak quantity.</w:t>
      </w:r>
    </w:p>
  </w:footnote>
  <w:footnote w:id="150">
    <w:p w14:paraId="2301FC58"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More information: </w:t>
      </w:r>
      <w:hyperlink r:id="rId71" w:history="1">
        <w:r w:rsidRPr="00ED00BF">
          <w:rPr>
            <w:rStyle w:val="Hyperlink"/>
            <w:rFonts w:cstheme="minorHAnsi"/>
            <w:szCs w:val="18"/>
            <w:lang w:val="en-US"/>
          </w:rPr>
          <w:t>https://carbonlimits.no/project/assessment-of-flare-strategies-techniques-for-reduction-of-flaring-and-associated-emissions-emission-factors-and-methods-to-determine-emissions-to-air-from-flaring/</w:t>
        </w:r>
      </w:hyperlink>
      <w:r w:rsidRPr="00ED00BF">
        <w:rPr>
          <w:rFonts w:cstheme="minorHAnsi"/>
          <w:szCs w:val="18"/>
          <w:lang w:val="en-US"/>
        </w:rPr>
        <w:t xml:space="preserve"> </w:t>
      </w:r>
    </w:p>
  </w:footnote>
  <w:footnote w:id="151">
    <w:p w14:paraId="1E3A7897"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See more information: https://carbonlimits.no/project/assessment-of-flare-strategies-techniques-for-reduction-of-flaring-and-associated-emissions-emission-factors-and-methods-to-determine-emissions-to-air-from-flaring/</w:t>
      </w:r>
    </w:p>
  </w:footnote>
  <w:footnote w:id="152">
    <w:p w14:paraId="4430EA4F"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From the CCAC OGMP document: Conducting emission detection and quantification equipment </w:t>
      </w:r>
    </w:p>
  </w:footnote>
  <w:footnote w:id="153">
    <w:p w14:paraId="2399AE0B" w14:textId="6F339003"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54">
    <w:p w14:paraId="26F04611"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72" w:history="1">
        <w:r w:rsidRPr="00ED00BF">
          <w:rPr>
            <w:rStyle w:val="Hyperlink"/>
            <w:rFonts w:cstheme="minorHAnsi"/>
            <w:szCs w:val="18"/>
            <w:lang w:val="en-US"/>
          </w:rPr>
          <w:t>http://www.ccacoalition.org/en/file/3385/download?token=vTrJd-N5</w:t>
        </w:r>
      </w:hyperlink>
      <w:r w:rsidRPr="00ED00BF">
        <w:rPr>
          <w:rFonts w:cstheme="minorHAnsi"/>
          <w:szCs w:val="18"/>
          <w:lang w:val="en-US"/>
        </w:rPr>
        <w:t xml:space="preserve"> </w:t>
      </w:r>
    </w:p>
  </w:footnote>
  <w:footnote w:id="155">
    <w:p w14:paraId="50C6CBC9" w14:textId="65B8393F"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73" w:history="1">
        <w:r w:rsidRPr="00ED00BF">
          <w:rPr>
            <w:rStyle w:val="Hyperlink"/>
            <w:rFonts w:cstheme="minorHAnsi"/>
            <w:szCs w:val="18"/>
            <w:lang w:val="en-US"/>
          </w:rPr>
          <w:t>https://www.epa.gov/sites/production/files/2016-04/documents/mon7ccacemissurvey.pdf</w:t>
        </w:r>
      </w:hyperlink>
      <w:r w:rsidRPr="00ED00BF">
        <w:rPr>
          <w:rFonts w:cstheme="minorHAnsi"/>
          <w:szCs w:val="18"/>
          <w:lang w:val="en-US"/>
        </w:rPr>
        <w:t xml:space="preserve"> </w:t>
      </w:r>
    </w:p>
  </w:footnote>
  <w:footnote w:id="156">
    <w:p w14:paraId="7584BC20" w14:textId="677917C7"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US"/>
        </w:rPr>
        <w:t xml:space="preserve"> Image source: Carbon Limits measurement campaign </w:t>
      </w:r>
    </w:p>
  </w:footnote>
  <w:footnote w:id="157">
    <w:p w14:paraId="00321D3A" w14:textId="39133288"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GB"/>
        </w:rPr>
        <w:t xml:space="preserve"> </w:t>
      </w:r>
      <w:hyperlink r:id="rId74" w:history="1">
        <w:r w:rsidRPr="00ED00BF">
          <w:rPr>
            <w:rStyle w:val="Hyperlink"/>
            <w:rFonts w:cstheme="minorHAnsi"/>
            <w:szCs w:val="18"/>
            <w:lang w:val="en-GB"/>
          </w:rPr>
          <w:t>https://ngi.stanford.edu/sites/default/files/acs.est_.6b03906.pdf</w:t>
        </w:r>
      </w:hyperlink>
      <w:r w:rsidRPr="00ED00BF">
        <w:rPr>
          <w:rFonts w:cstheme="minorHAnsi"/>
          <w:szCs w:val="18"/>
          <w:lang w:val="en-GB"/>
        </w:rPr>
        <w:t xml:space="preserve"> </w:t>
      </w:r>
    </w:p>
  </w:footnote>
  <w:footnote w:id="158">
    <w:p w14:paraId="1D97E874" w14:textId="67555458"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59">
    <w:p w14:paraId="67BD6E53" w14:textId="77777777"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GB"/>
        </w:rPr>
        <w:t xml:space="preserve"> Image source: </w:t>
      </w:r>
      <w:r w:rsidRPr="00ED00BF">
        <w:rPr>
          <w:rFonts w:cstheme="minorHAnsi"/>
          <w:szCs w:val="18"/>
          <w:lang w:val="en-US"/>
        </w:rPr>
        <w:t>Turkmenistan Symposium on Gas Systems Management - Methane Mitigation, Ashgabat, Turkmenistan, April 26, 2010: “Methane Leak Detection and Measurement Technologies,” presented by Heath Consultants Inc.</w:t>
      </w:r>
    </w:p>
  </w:footnote>
  <w:footnote w:id="160">
    <w:p w14:paraId="693E599D" w14:textId="71616D74"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GB"/>
        </w:rPr>
        <w:t xml:space="preserve"> </w:t>
      </w:r>
      <w:hyperlink r:id="rId75" w:history="1">
        <w:r w:rsidRPr="00ED00BF">
          <w:rPr>
            <w:rStyle w:val="Hyperlink"/>
            <w:rFonts w:cstheme="minorHAnsi"/>
            <w:szCs w:val="18"/>
            <w:lang w:val="en-GB"/>
          </w:rPr>
          <w:t>https://thehazmatguys.com/thmg141-laser-methane-detectors/</w:t>
        </w:r>
      </w:hyperlink>
      <w:r w:rsidRPr="00ED00BF">
        <w:rPr>
          <w:rFonts w:cstheme="minorHAnsi"/>
          <w:szCs w:val="18"/>
          <w:lang w:val="en-GB"/>
        </w:rPr>
        <w:t xml:space="preserve"> </w:t>
      </w:r>
    </w:p>
  </w:footnote>
  <w:footnote w:id="161">
    <w:p w14:paraId="1800D8B8" w14:textId="2697C9B8" w:rsidR="000941A9" w:rsidRPr="00ED00BF" w:rsidRDefault="000941A9" w:rsidP="00AD4C55">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GB"/>
        </w:rPr>
        <w:t xml:space="preserve"> </w:t>
      </w:r>
      <w:r w:rsidR="00AD4C55" w:rsidRPr="00AD4C55">
        <w:rPr>
          <w:rFonts w:cstheme="minorHAnsi"/>
          <w:i/>
          <w:iCs/>
          <w:szCs w:val="18"/>
          <w:lang w:val="en-US"/>
        </w:rPr>
        <w:t>Id.</w:t>
      </w:r>
    </w:p>
  </w:footnote>
  <w:footnote w:id="162">
    <w:p w14:paraId="7386C7E8" w14:textId="2D9C955F"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GB"/>
        </w:rPr>
        <w:t xml:space="preserve"> </w:t>
      </w:r>
      <w:hyperlink r:id="rId76" w:history="1">
        <w:r w:rsidRPr="00ED00BF">
          <w:rPr>
            <w:rStyle w:val="Hyperlink"/>
            <w:rFonts w:cstheme="minorHAnsi"/>
            <w:szCs w:val="18"/>
            <w:lang w:val="en-GB"/>
          </w:rPr>
          <w:t>http://www.hetek.com/wp-content/uploads/RMLD-Brochure.pdf</w:t>
        </w:r>
      </w:hyperlink>
      <w:r w:rsidRPr="00ED00BF">
        <w:rPr>
          <w:rFonts w:cstheme="minorHAnsi"/>
          <w:szCs w:val="18"/>
          <w:lang w:val="en-GB"/>
        </w:rPr>
        <w:t xml:space="preserve"> </w:t>
      </w:r>
    </w:p>
  </w:footnote>
  <w:footnote w:id="163">
    <w:p w14:paraId="14B010E9" w14:textId="4C3A36E4"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GB"/>
        </w:rPr>
        <w:t xml:space="preserve"> </w:t>
      </w:r>
      <w:hyperlink r:id="rId77" w:history="1">
        <w:r w:rsidRPr="00ED00BF">
          <w:rPr>
            <w:rStyle w:val="Hyperlink"/>
            <w:rFonts w:cstheme="minorHAnsi"/>
            <w:szCs w:val="18"/>
            <w:lang w:val="en-GB"/>
          </w:rPr>
          <w:t>https://thehazmatguys.com/thmg141-laser-methane-detectors/</w:t>
        </w:r>
      </w:hyperlink>
      <w:r w:rsidRPr="00ED00BF">
        <w:rPr>
          <w:rFonts w:cstheme="minorHAnsi"/>
          <w:szCs w:val="18"/>
          <w:lang w:val="en-GB"/>
        </w:rPr>
        <w:t xml:space="preserve">  </w:t>
      </w:r>
    </w:p>
  </w:footnote>
  <w:footnote w:id="164">
    <w:p w14:paraId="41857769" w14:textId="20FB207F"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GB"/>
        </w:rPr>
        <w:t xml:space="preserve"> </w:t>
      </w:r>
      <w:hyperlink r:id="rId78" w:history="1">
        <w:r w:rsidRPr="00ED00BF">
          <w:rPr>
            <w:rStyle w:val="Hyperlink"/>
            <w:rFonts w:cstheme="minorHAnsi"/>
            <w:szCs w:val="18"/>
            <w:lang w:val="en-GB"/>
          </w:rPr>
          <w:t>http://www.hetek.com/wp-content/uploads/RMLD-Brochure.pdf</w:t>
        </w:r>
      </w:hyperlink>
      <w:r w:rsidRPr="00ED00BF">
        <w:rPr>
          <w:rFonts w:cstheme="minorHAnsi"/>
          <w:szCs w:val="18"/>
          <w:lang w:val="en-GB"/>
        </w:rPr>
        <w:t xml:space="preserve"> </w:t>
      </w:r>
    </w:p>
  </w:footnote>
  <w:footnote w:id="165">
    <w:p w14:paraId="3842DCE6"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Image source: Natural Gas STAR Technology Transfer Workshop, Houston, Texas, September 22, 2004: “Methane Emissions Management at TransCanada Pipe Lines,” presented by TransCanada</w:t>
      </w:r>
    </w:p>
  </w:footnote>
  <w:footnote w:id="166">
    <w:p w14:paraId="782130A7"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Image source: CCAC Oil and Gas Methane Partnership - webinar April 7, 2015: “Fugitive Equipment and Process Leaks,” presentation by UNEP</w:t>
      </w:r>
    </w:p>
  </w:footnote>
  <w:footnote w:id="167">
    <w:p w14:paraId="2C54735A" w14:textId="43B9CBFB"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lang w:val="en-US"/>
        </w:rPr>
        <w:t xml:space="preserve"> EPA. Lessons Learned: Directed Inspection and Maintenance at Compressor Stations. June 2016. </w:t>
      </w:r>
      <w:hyperlink r:id="rId79" w:history="1">
        <w:r w:rsidRPr="00ED00BF">
          <w:rPr>
            <w:rStyle w:val="Hyperlink"/>
            <w:rFonts w:cstheme="minorHAnsi"/>
            <w:szCs w:val="18"/>
          </w:rPr>
          <w:t>https://www.epa.gov/sites/production/files/2016-06/documents/ll_dimcompstat.pdf</w:t>
        </w:r>
      </w:hyperlink>
      <w:r w:rsidRPr="00ED00BF">
        <w:rPr>
          <w:rFonts w:cstheme="minorHAnsi"/>
          <w:szCs w:val="18"/>
        </w:rPr>
        <w:t xml:space="preserve"> </w:t>
      </w:r>
    </w:p>
  </w:footnote>
  <w:footnote w:id="168">
    <w:p w14:paraId="3EDA00C3" w14:textId="61A95F32"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lang w:val="en-US"/>
        </w:rPr>
        <w:t xml:space="preserve"> </w:t>
      </w:r>
      <w:r w:rsidR="00AD4C55" w:rsidRPr="00AD4C55">
        <w:rPr>
          <w:rFonts w:cstheme="minorHAnsi"/>
          <w:i/>
          <w:iCs/>
          <w:szCs w:val="18"/>
          <w:lang w:val="en-US"/>
        </w:rPr>
        <w:t>Id.</w:t>
      </w:r>
      <w:r w:rsidRPr="00ED00BF">
        <w:rPr>
          <w:rFonts w:cstheme="minorHAnsi"/>
          <w:szCs w:val="18"/>
        </w:rPr>
        <w:t xml:space="preserve"> </w:t>
      </w:r>
    </w:p>
  </w:footnote>
  <w:footnote w:id="169">
    <w:p w14:paraId="4C5C141A" w14:textId="1AE8A30D"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rPr>
        <w:t xml:space="preserve"> </w:t>
      </w:r>
      <w:hyperlink r:id="rId80" w:history="1">
        <w:r w:rsidRPr="00ED00BF">
          <w:rPr>
            <w:rStyle w:val="Hyperlink"/>
            <w:rFonts w:cstheme="minorHAnsi"/>
            <w:szCs w:val="18"/>
          </w:rPr>
          <w:t>https://www.enviroequipment.com/rentals/thermo-tva-1000-fidpid-rental</w:t>
        </w:r>
      </w:hyperlink>
      <w:r w:rsidRPr="00ED00BF">
        <w:rPr>
          <w:rFonts w:cstheme="minorHAnsi"/>
          <w:szCs w:val="18"/>
        </w:rPr>
        <w:t xml:space="preserve"> </w:t>
      </w:r>
    </w:p>
  </w:footnote>
  <w:footnote w:id="170">
    <w:p w14:paraId="7A21A458" w14:textId="2CBF0D82"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lang w:val="en-US"/>
        </w:rPr>
        <w:t xml:space="preserve"> EPA. Lessons Learned: Directed Inspection and Maintenance at Gas Processing Plants and Booster Stations. June 2016. </w:t>
      </w:r>
      <w:hyperlink r:id="rId81" w:history="1">
        <w:r w:rsidRPr="00ED00BF">
          <w:rPr>
            <w:rStyle w:val="Hyperlink"/>
            <w:rFonts w:cstheme="minorHAnsi"/>
            <w:szCs w:val="18"/>
          </w:rPr>
          <w:t>https://www.epa.gov/sites/production/files/2016-06/documents/ll_dimgasproc.pdf</w:t>
        </w:r>
      </w:hyperlink>
      <w:r w:rsidRPr="00ED00BF">
        <w:rPr>
          <w:rFonts w:cstheme="minorHAnsi"/>
          <w:szCs w:val="18"/>
        </w:rPr>
        <w:t xml:space="preserve"> </w:t>
      </w:r>
    </w:p>
  </w:footnote>
  <w:footnote w:id="171">
    <w:p w14:paraId="48F5896A" w14:textId="77777777"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US"/>
        </w:rPr>
        <w:t xml:space="preserve"> Image source: CCAC Oil and Gas Methane Partnership - webinar April 7, 2015: “Fugitive Equipment and Process Leaks,” presentation by UNEP</w:t>
      </w:r>
    </w:p>
  </w:footnote>
  <w:footnote w:id="172">
    <w:p w14:paraId="0EA57CDB" w14:textId="17ADA639" w:rsidR="000941A9" w:rsidRPr="00ED00BF" w:rsidRDefault="000941A9" w:rsidP="00ED00BF">
      <w:pPr>
        <w:pStyle w:val="FootnoteText"/>
        <w:spacing w:after="0"/>
        <w:rPr>
          <w:rFonts w:cstheme="minorHAnsi"/>
          <w:szCs w:val="18"/>
          <w:lang w:val="es-ES"/>
        </w:rPr>
      </w:pPr>
      <w:r w:rsidRPr="00ED00BF">
        <w:rPr>
          <w:rStyle w:val="FootnoteReference"/>
          <w:rFonts w:cstheme="minorHAnsi"/>
          <w:szCs w:val="18"/>
        </w:rPr>
        <w:footnoteRef/>
      </w:r>
      <w:r w:rsidRPr="00ED00BF">
        <w:rPr>
          <w:rFonts w:cstheme="minorHAnsi"/>
          <w:szCs w:val="18"/>
          <w:lang w:val="es-ES"/>
        </w:rPr>
        <w:t xml:space="preserve"> </w:t>
      </w:r>
      <w:r w:rsidR="00A1239B" w:rsidRPr="00A1239B">
        <w:rPr>
          <w:rFonts w:cstheme="minorHAnsi"/>
          <w:i/>
          <w:iCs/>
          <w:szCs w:val="18"/>
          <w:lang w:val="es-ES"/>
        </w:rPr>
        <w:t>Id.</w:t>
      </w:r>
    </w:p>
  </w:footnote>
  <w:footnote w:id="173">
    <w:p w14:paraId="7DB38CC3" w14:textId="09C2FE9E" w:rsidR="000941A9" w:rsidRPr="00ED00BF" w:rsidRDefault="000941A9" w:rsidP="00ED00BF">
      <w:pPr>
        <w:pStyle w:val="FootnoteText"/>
        <w:spacing w:after="0"/>
        <w:rPr>
          <w:rFonts w:cstheme="minorHAnsi"/>
          <w:szCs w:val="18"/>
          <w:lang w:val="es-ES"/>
        </w:rPr>
      </w:pPr>
      <w:r w:rsidRPr="00ED00BF">
        <w:rPr>
          <w:rStyle w:val="FootnoteReference"/>
          <w:rFonts w:cstheme="minorHAnsi"/>
          <w:szCs w:val="18"/>
        </w:rPr>
        <w:footnoteRef/>
      </w:r>
      <w:r w:rsidRPr="00ED00BF">
        <w:rPr>
          <w:rFonts w:cstheme="minorHAnsi"/>
          <w:szCs w:val="18"/>
          <w:lang w:val="es-ES"/>
        </w:rPr>
        <w:t xml:space="preserve"> </w:t>
      </w:r>
      <w:hyperlink r:id="rId82" w:history="1">
        <w:r w:rsidRPr="00ED00BF">
          <w:rPr>
            <w:rStyle w:val="Hyperlink"/>
            <w:rFonts w:cstheme="minorHAnsi"/>
            <w:szCs w:val="18"/>
            <w:lang w:val="es-ES"/>
          </w:rPr>
          <w:t>http://s7d9.scene7.com/is/content/minesafetyappliances/07-8313-MC_UltrasonicGasLeakDetectWP</w:t>
        </w:r>
      </w:hyperlink>
      <w:r w:rsidRPr="00ED00BF">
        <w:rPr>
          <w:rFonts w:cstheme="minorHAnsi"/>
          <w:szCs w:val="18"/>
          <w:lang w:val="es-ES"/>
        </w:rPr>
        <w:t xml:space="preserve"> </w:t>
      </w:r>
    </w:p>
  </w:footnote>
  <w:footnote w:id="174">
    <w:p w14:paraId="6C2BFF50" w14:textId="73402FDF" w:rsidR="000941A9" w:rsidRPr="00ED00BF" w:rsidRDefault="000941A9" w:rsidP="00ED00BF">
      <w:pPr>
        <w:pStyle w:val="FootnoteText"/>
        <w:spacing w:after="0"/>
        <w:rPr>
          <w:rFonts w:cstheme="minorHAnsi"/>
          <w:szCs w:val="18"/>
          <w:lang w:val="fr-FR"/>
        </w:rPr>
      </w:pPr>
      <w:r w:rsidRPr="00ED00BF">
        <w:rPr>
          <w:rStyle w:val="FootnoteReference"/>
          <w:rFonts w:cstheme="minorHAnsi"/>
          <w:szCs w:val="18"/>
        </w:rPr>
        <w:footnoteRef/>
      </w:r>
      <w:r w:rsidRPr="00ED00BF">
        <w:rPr>
          <w:rFonts w:cstheme="minorHAnsi"/>
          <w:szCs w:val="18"/>
          <w:lang w:val="fr-FR"/>
        </w:rPr>
        <w:t xml:space="preserve"> Image </w:t>
      </w:r>
      <w:proofErr w:type="gramStart"/>
      <w:r w:rsidRPr="00ED00BF">
        <w:rPr>
          <w:rFonts w:cstheme="minorHAnsi"/>
          <w:szCs w:val="18"/>
          <w:lang w:val="fr-FR"/>
        </w:rPr>
        <w:t>source:</w:t>
      </w:r>
      <w:proofErr w:type="gramEnd"/>
      <w:r w:rsidRPr="00ED00BF">
        <w:rPr>
          <w:rFonts w:cstheme="minorHAnsi"/>
          <w:szCs w:val="18"/>
          <w:lang w:val="fr-FR"/>
        </w:rPr>
        <w:t xml:space="preserve"> </w:t>
      </w:r>
      <w:hyperlink r:id="rId83" w:history="1">
        <w:r w:rsidRPr="00ED00BF">
          <w:rPr>
            <w:rStyle w:val="Hyperlink"/>
            <w:rFonts w:cstheme="minorHAnsi"/>
            <w:szCs w:val="18"/>
            <w:lang w:val="fr-FR"/>
          </w:rPr>
          <w:t>http://kairosaerospace.com/methane-detection/</w:t>
        </w:r>
      </w:hyperlink>
      <w:r w:rsidRPr="00ED00BF">
        <w:rPr>
          <w:rFonts w:cstheme="minorHAnsi"/>
          <w:szCs w:val="18"/>
          <w:lang w:val="fr-FR"/>
        </w:rPr>
        <w:t xml:space="preserve"> </w:t>
      </w:r>
    </w:p>
  </w:footnote>
  <w:footnote w:id="175">
    <w:p w14:paraId="6EEE7E3F" w14:textId="0E72E89D" w:rsidR="000941A9" w:rsidRPr="00ED00BF" w:rsidRDefault="000941A9" w:rsidP="00ED00BF">
      <w:pPr>
        <w:pStyle w:val="FootnoteText"/>
        <w:spacing w:after="0"/>
        <w:rPr>
          <w:rFonts w:cstheme="minorHAnsi"/>
          <w:szCs w:val="18"/>
          <w:lang w:val="fr-FR"/>
        </w:rPr>
      </w:pPr>
      <w:r w:rsidRPr="00ED00BF">
        <w:rPr>
          <w:rStyle w:val="FootnoteReference"/>
          <w:rFonts w:cstheme="minorHAnsi"/>
          <w:szCs w:val="18"/>
        </w:rPr>
        <w:footnoteRef/>
      </w:r>
      <w:r w:rsidRPr="00ED00BF">
        <w:rPr>
          <w:rFonts w:cstheme="minorHAnsi"/>
          <w:szCs w:val="18"/>
          <w:lang w:val="fr-FR"/>
        </w:rPr>
        <w:t xml:space="preserve"> </w:t>
      </w:r>
      <w:hyperlink r:id="rId84" w:history="1">
        <w:r w:rsidRPr="00ED00BF">
          <w:rPr>
            <w:rStyle w:val="Hyperlink"/>
            <w:rFonts w:cstheme="minorHAnsi"/>
            <w:szCs w:val="18"/>
            <w:lang w:val="fr-FR"/>
          </w:rPr>
          <w:t>http://kairosaerospace.com/methane-detection/</w:t>
        </w:r>
      </w:hyperlink>
      <w:r w:rsidRPr="00ED00BF">
        <w:rPr>
          <w:rFonts w:cstheme="minorHAnsi"/>
          <w:szCs w:val="18"/>
          <w:lang w:val="fr-FR"/>
        </w:rPr>
        <w:t xml:space="preserve"> </w:t>
      </w:r>
    </w:p>
  </w:footnote>
  <w:footnote w:id="176">
    <w:p w14:paraId="4E6E1D2A" w14:textId="77777777"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US"/>
        </w:rPr>
        <w:t xml:space="preserve"> Image source: </w:t>
      </w:r>
      <w:r w:rsidRPr="00ED00BF">
        <w:rPr>
          <w:rFonts w:cstheme="minorHAnsi"/>
          <w:szCs w:val="18"/>
          <w:lang w:val="en-GB"/>
        </w:rPr>
        <w:t>Carbon Limits measurement campaign</w:t>
      </w:r>
    </w:p>
  </w:footnote>
  <w:footnote w:id="177">
    <w:p w14:paraId="7161ABD9"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CCAC Oil and Gas Methane Partnership - webinar April 7, 2015: “Fugitive Equipment and Process Leaks,” presentation by UNEP</w:t>
      </w:r>
    </w:p>
  </w:footnote>
  <w:footnote w:id="178">
    <w:p w14:paraId="4B0A8AA2" w14:textId="3FEFE136"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79">
    <w:p w14:paraId="0D65FE90" w14:textId="35B8B56C"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GB"/>
        </w:rPr>
        <w:t>Id.</w:t>
      </w:r>
    </w:p>
  </w:footnote>
  <w:footnote w:id="180">
    <w:p w14:paraId="24C2C402" w14:textId="77777777"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US"/>
        </w:rPr>
        <w:t xml:space="preserve"> Image source: Carbon Limits measurement campaign</w:t>
      </w:r>
    </w:p>
  </w:footnote>
  <w:footnote w:id="181">
    <w:p w14:paraId="5EE64330" w14:textId="77777777" w:rsidR="000941A9" w:rsidRPr="00ED00BF" w:rsidRDefault="000941A9" w:rsidP="00ED00BF">
      <w:pPr>
        <w:spacing w:after="0" w:line="240" w:lineRule="auto"/>
        <w:rPr>
          <w:rFonts w:cstheme="minorHAnsi"/>
          <w:sz w:val="18"/>
          <w:szCs w:val="18"/>
          <w:lang w:val="en-GB"/>
        </w:rPr>
      </w:pPr>
      <w:r w:rsidRPr="00ED00BF">
        <w:rPr>
          <w:rStyle w:val="FootnoteReference"/>
          <w:rFonts w:cstheme="minorHAnsi"/>
          <w:sz w:val="18"/>
          <w:szCs w:val="18"/>
        </w:rPr>
        <w:footnoteRef/>
      </w:r>
      <w:r w:rsidRPr="00ED00BF">
        <w:rPr>
          <w:rFonts w:cstheme="minorHAnsi"/>
          <w:sz w:val="18"/>
          <w:szCs w:val="18"/>
          <w:lang w:val="en-GB"/>
        </w:rPr>
        <w:t xml:space="preserve"> A major high-volume sampler product (Hi-Flow </w:t>
      </w:r>
      <w:proofErr w:type="spellStart"/>
      <w:r w:rsidRPr="00ED00BF">
        <w:rPr>
          <w:rFonts w:cstheme="minorHAnsi"/>
          <w:sz w:val="18"/>
          <w:szCs w:val="18"/>
          <w:lang w:val="en-GB"/>
        </w:rPr>
        <w:t>Sampler</w:t>
      </w:r>
      <w:r w:rsidRPr="00ED00BF">
        <w:rPr>
          <w:rFonts w:cstheme="minorHAnsi"/>
          <w:sz w:val="18"/>
          <w:szCs w:val="18"/>
          <w:vertAlign w:val="superscript"/>
          <w:lang w:val="en-GB"/>
        </w:rPr>
        <w:t>TM</w:t>
      </w:r>
      <w:proofErr w:type="spellEnd"/>
      <w:r w:rsidRPr="00ED00BF">
        <w:rPr>
          <w:rFonts w:cstheme="minorHAnsi"/>
          <w:sz w:val="18"/>
          <w:szCs w:val="18"/>
          <w:lang w:val="en-GB"/>
        </w:rPr>
        <w:t>) is being discontinued</w:t>
      </w:r>
    </w:p>
  </w:footnote>
  <w:footnote w:id="182">
    <w:p w14:paraId="42AC66B3"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CCAC Oil and Gas Methane Partnership - webinar April 7, 2015: “Fugitive Equipment and Process Leaks,” presentation by UNEP</w:t>
      </w:r>
    </w:p>
  </w:footnote>
  <w:footnote w:id="183">
    <w:p w14:paraId="6AECA7D5" w14:textId="5A31913B"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84">
    <w:p w14:paraId="2780E331" w14:textId="4161BEAC"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r w:rsidR="00A1239B" w:rsidRPr="00A1239B">
        <w:rPr>
          <w:rFonts w:cstheme="minorHAnsi"/>
          <w:i/>
          <w:iCs/>
          <w:szCs w:val="18"/>
          <w:lang w:val="en-US"/>
        </w:rPr>
        <w:t>Id.</w:t>
      </w:r>
    </w:p>
  </w:footnote>
  <w:footnote w:id="185">
    <w:p w14:paraId="676E1AF3" w14:textId="4925B41A"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85" w:history="1">
        <w:r w:rsidRPr="00ED00BF">
          <w:rPr>
            <w:rStyle w:val="Hyperlink"/>
            <w:rFonts w:cstheme="minorHAnsi"/>
            <w:szCs w:val="18"/>
            <w:lang w:val="en-US"/>
          </w:rPr>
          <w:t>https://sagemetering.com/knowledge-base/topics/greenhouse-gas-emissions-monitoring-using-thermal-mass-flow-meters/</w:t>
        </w:r>
      </w:hyperlink>
      <w:r w:rsidRPr="00ED00BF">
        <w:rPr>
          <w:rFonts w:cstheme="minorHAnsi"/>
          <w:szCs w:val="18"/>
          <w:lang w:val="en-US"/>
        </w:rPr>
        <w:t xml:space="preserve"> </w:t>
      </w:r>
    </w:p>
  </w:footnote>
  <w:footnote w:id="186">
    <w:p w14:paraId="060CBE70"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Image source: CCAC Oil and Gas Methane Partnership: webinar March 12, 2015: “Hydrocarbon Liquid Storage Tanks and Casinghead Gas Venting,” presentation by UNEP</w:t>
      </w:r>
    </w:p>
  </w:footnote>
  <w:footnote w:id="187">
    <w:p w14:paraId="31F28037" w14:textId="77F6BCAF"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w:t>
      </w:r>
      <w:hyperlink r:id="rId86" w:history="1">
        <w:r w:rsidRPr="00ED00BF">
          <w:rPr>
            <w:rStyle w:val="Hyperlink"/>
            <w:rFonts w:cstheme="minorHAnsi"/>
            <w:szCs w:val="18"/>
            <w:lang w:val="en-US"/>
          </w:rPr>
          <w:t>https://www.epa.gov/sites/production/files/2016-04/documents/mon7ccacemissurvey.pdf</w:t>
        </w:r>
      </w:hyperlink>
      <w:r w:rsidRPr="00ED00BF">
        <w:rPr>
          <w:rFonts w:cstheme="minorHAnsi"/>
          <w:szCs w:val="18"/>
          <w:lang w:val="en-US"/>
        </w:rPr>
        <w:t xml:space="preserve"> </w:t>
      </w:r>
    </w:p>
  </w:footnote>
  <w:footnote w:id="188">
    <w:p w14:paraId="3F2D9A4B"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Image source: Global Methane Initiative All-Partnership Meeting, Oil and Gas Subcommittee – Technical and Policy Sessions, Krakow, Poland, October 14, 2011: “Routing Centrifugal Compressor Seal Oil De-</w:t>
      </w:r>
      <w:proofErr w:type="gramStart"/>
      <w:r w:rsidRPr="00ED00BF">
        <w:rPr>
          <w:rFonts w:cstheme="minorHAnsi"/>
          <w:szCs w:val="18"/>
          <w:lang w:val="en-US"/>
        </w:rPr>
        <w:t>gassing</w:t>
      </w:r>
      <w:proofErr w:type="gramEnd"/>
      <w:r w:rsidRPr="00ED00BF">
        <w:rPr>
          <w:rFonts w:cstheme="minorHAnsi"/>
          <w:szCs w:val="18"/>
          <w:lang w:val="en-US"/>
        </w:rPr>
        <w:t xml:space="preserve"> Emissions to Fuel Gas as an Alternative to Installing Dry Seals,” presented by BP</w:t>
      </w:r>
    </w:p>
  </w:footnote>
  <w:footnote w:id="189">
    <w:p w14:paraId="538500B1" w14:textId="45258B8F"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US"/>
        </w:rPr>
        <w:t xml:space="preserve"> </w:t>
      </w:r>
      <w:hyperlink r:id="rId87" w:history="1">
        <w:r w:rsidRPr="00ED00BF">
          <w:rPr>
            <w:rStyle w:val="Hyperlink"/>
            <w:rFonts w:cstheme="minorHAnsi"/>
            <w:szCs w:val="18"/>
            <w:lang w:val="en-US"/>
          </w:rPr>
          <w:t>https://www.epa.gov/sites/production/files/2016-04/documents/mon7ccacemissurvey.pdf</w:t>
        </w:r>
      </w:hyperlink>
      <w:r w:rsidRPr="00ED00BF">
        <w:rPr>
          <w:rFonts w:cstheme="minorHAnsi"/>
          <w:szCs w:val="18"/>
          <w:lang w:val="en-US"/>
        </w:rPr>
        <w:t xml:space="preserve"> </w:t>
      </w:r>
    </w:p>
  </w:footnote>
  <w:footnote w:id="190">
    <w:p w14:paraId="30787126" w14:textId="4F91AFF9"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GB"/>
        </w:rPr>
        <w:t xml:space="preserve"> </w:t>
      </w:r>
      <w:r w:rsidR="00A1239B" w:rsidRPr="00A1239B">
        <w:rPr>
          <w:rFonts w:cstheme="minorHAnsi"/>
          <w:i/>
          <w:iCs/>
          <w:szCs w:val="18"/>
          <w:lang w:val="en-GB"/>
        </w:rPr>
        <w:t>Id</w:t>
      </w:r>
      <w:r w:rsidRPr="00ED00BF">
        <w:rPr>
          <w:rFonts w:cstheme="minorHAnsi"/>
          <w:szCs w:val="18"/>
          <w:lang w:val="en-GB"/>
        </w:rPr>
        <w:t>.</w:t>
      </w:r>
    </w:p>
  </w:footnote>
  <w:footnote w:id="191">
    <w:p w14:paraId="17999965" w14:textId="77777777" w:rsidR="000941A9" w:rsidRPr="00ED00BF" w:rsidRDefault="000941A9" w:rsidP="00ED00BF">
      <w:pPr>
        <w:pStyle w:val="FootnoteText"/>
        <w:spacing w:after="0"/>
        <w:rPr>
          <w:rFonts w:cstheme="minorHAnsi"/>
          <w:szCs w:val="18"/>
          <w:lang w:val="en-US"/>
        </w:rPr>
      </w:pPr>
      <w:r w:rsidRPr="00ED00BF">
        <w:rPr>
          <w:rStyle w:val="FootnoteReference"/>
          <w:rFonts w:cstheme="minorHAnsi"/>
          <w:szCs w:val="18"/>
        </w:rPr>
        <w:footnoteRef/>
      </w:r>
      <w:r w:rsidRPr="00ED00BF">
        <w:rPr>
          <w:rFonts w:cstheme="minorHAnsi"/>
          <w:szCs w:val="18"/>
          <w:lang w:val="en-US"/>
        </w:rPr>
        <w:t xml:space="preserve"> Image source: Hot Wire Anemometer: </w:t>
      </w:r>
      <w:proofErr w:type="spellStart"/>
      <w:r w:rsidRPr="00ED00BF">
        <w:rPr>
          <w:rFonts w:cstheme="minorHAnsi"/>
          <w:szCs w:val="18"/>
          <w:lang w:val="en-US"/>
        </w:rPr>
        <w:t>Lechtenbohmer</w:t>
      </w:r>
      <w:proofErr w:type="spellEnd"/>
      <w:r w:rsidRPr="00ED00BF">
        <w:rPr>
          <w:rFonts w:cstheme="minorHAnsi"/>
          <w:szCs w:val="18"/>
          <w:lang w:val="en-US"/>
        </w:rPr>
        <w:t xml:space="preserve">, S. et al, Wuppertal Institute for Climate, Environment, Energy, Germany, International Journal of Greenhouse Gas Control (2007) pp. 387 – 395 “Tapping the leakages: Methane losses, mitigation options and policy issues for Russian </w:t>
      </w:r>
      <w:proofErr w:type="gramStart"/>
      <w:r w:rsidRPr="00ED00BF">
        <w:rPr>
          <w:rFonts w:cstheme="minorHAnsi"/>
          <w:szCs w:val="18"/>
          <w:lang w:val="en-US"/>
        </w:rPr>
        <w:t>long distance</w:t>
      </w:r>
      <w:proofErr w:type="gramEnd"/>
      <w:r w:rsidRPr="00ED00BF">
        <w:rPr>
          <w:rFonts w:cstheme="minorHAnsi"/>
          <w:szCs w:val="18"/>
          <w:lang w:val="en-US"/>
        </w:rPr>
        <w:t xml:space="preserve"> gas transmission pipelines,” Fig. 4, August 22, 2007</w:t>
      </w:r>
    </w:p>
  </w:footnote>
  <w:footnote w:id="192">
    <w:p w14:paraId="7A9E8251" w14:textId="222EF88D" w:rsidR="000941A9" w:rsidRPr="00ED00BF" w:rsidRDefault="000941A9" w:rsidP="00ED00BF">
      <w:pPr>
        <w:pStyle w:val="FootnoteText"/>
        <w:spacing w:after="0"/>
        <w:rPr>
          <w:rFonts w:cstheme="minorHAnsi"/>
          <w:szCs w:val="18"/>
          <w:lang w:val="en-GB"/>
        </w:rPr>
      </w:pPr>
      <w:r w:rsidRPr="00ED00BF">
        <w:rPr>
          <w:rStyle w:val="FootnoteReference"/>
          <w:rFonts w:cstheme="minorHAnsi"/>
          <w:szCs w:val="18"/>
        </w:rPr>
        <w:footnoteRef/>
      </w:r>
      <w:r w:rsidRPr="00ED00BF">
        <w:rPr>
          <w:rFonts w:cstheme="minorHAnsi"/>
          <w:szCs w:val="18"/>
          <w:lang w:val="en-US"/>
        </w:rPr>
        <w:t xml:space="preserve"> </w:t>
      </w:r>
      <w:hyperlink r:id="rId88" w:history="1">
        <w:r w:rsidRPr="00ED00BF">
          <w:rPr>
            <w:rStyle w:val="Hyperlink"/>
            <w:rFonts w:cstheme="minorHAnsi"/>
            <w:szCs w:val="18"/>
            <w:lang w:val="en-US"/>
          </w:rPr>
          <w:t>https://www.epa.gov/sites/production/files/2016-04/documents/mon7ccacemissurvey.pdf</w:t>
        </w:r>
      </w:hyperlink>
      <w:r w:rsidRPr="00ED00BF">
        <w:rPr>
          <w:rFonts w:cstheme="minorHAnsi"/>
          <w:szCs w:val="18"/>
          <w:lang w:val="en-US"/>
        </w:rPr>
        <w:t xml:space="preserve"> </w:t>
      </w:r>
    </w:p>
  </w:footnote>
  <w:footnote w:id="193">
    <w:p w14:paraId="4B6991A9" w14:textId="1E4C4CCF"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rPr>
        <w:t xml:space="preserve"> </w:t>
      </w:r>
      <w:r w:rsidR="00A1239B" w:rsidRPr="00A1239B">
        <w:rPr>
          <w:rFonts w:cstheme="minorHAnsi"/>
          <w:i/>
          <w:iCs/>
          <w:szCs w:val="18"/>
        </w:rPr>
        <w:t>Id.</w:t>
      </w:r>
    </w:p>
  </w:footnote>
  <w:footnote w:id="194">
    <w:p w14:paraId="786840EC" w14:textId="77777777" w:rsidR="000941A9" w:rsidRPr="00ED00BF" w:rsidRDefault="000941A9" w:rsidP="00ED00BF">
      <w:pPr>
        <w:pStyle w:val="FootnoteText"/>
        <w:spacing w:after="0"/>
        <w:rPr>
          <w:rFonts w:cstheme="minorHAnsi"/>
          <w:szCs w:val="18"/>
        </w:rPr>
      </w:pPr>
      <w:r w:rsidRPr="00ED00BF">
        <w:rPr>
          <w:rStyle w:val="FootnoteReference"/>
          <w:rFonts w:cstheme="minorHAnsi"/>
          <w:szCs w:val="18"/>
        </w:rPr>
        <w:footnoteRef/>
      </w:r>
      <w:r w:rsidRPr="00ED00BF">
        <w:rPr>
          <w:rFonts w:cstheme="minorHAnsi"/>
          <w:szCs w:val="18"/>
        </w:rPr>
        <w:t xml:space="preserve"> </w:t>
      </w:r>
      <w:r w:rsidRPr="00ED00BF">
        <w:rPr>
          <w:rFonts w:cstheme="minorHAnsi"/>
          <w:szCs w:val="18"/>
        </w:rPr>
        <w:t xml:space="preserve">Image </w:t>
      </w:r>
      <w:r w:rsidRPr="00ED00BF">
        <w:rPr>
          <w:rFonts w:cstheme="minorHAnsi"/>
          <w:szCs w:val="18"/>
        </w:rPr>
        <w:t xml:space="preserve">source: ISA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762ADCC"/>
    <w:lvl w:ilvl="0">
      <w:start w:val="1"/>
      <w:numFmt w:val="decimal"/>
      <w:pStyle w:val="ListNumber"/>
      <w:lvlText w:val="%1"/>
      <w:lvlJc w:val="left"/>
      <w:pPr>
        <w:ind w:left="360" w:hanging="360"/>
      </w:pPr>
      <w:rPr>
        <w:rFonts w:hint="default"/>
        <w:b/>
        <w:i w:val="0"/>
        <w:color w:val="2BB673"/>
      </w:rPr>
    </w:lvl>
  </w:abstractNum>
  <w:abstractNum w:abstractNumId="1" w15:restartNumberingAfterBreak="0">
    <w:nsid w:val="FFFFFF89"/>
    <w:multiLevelType w:val="singleLevel"/>
    <w:tmpl w:val="F2CC3920"/>
    <w:lvl w:ilvl="0">
      <w:start w:val="1"/>
      <w:numFmt w:val="bullet"/>
      <w:pStyle w:val="ListBullet"/>
      <w:lvlText w:val=""/>
      <w:lvlJc w:val="left"/>
      <w:pPr>
        <w:ind w:left="360" w:hanging="360"/>
      </w:pPr>
      <w:rPr>
        <w:rFonts w:ascii="Symbol" w:hAnsi="Symbol" w:cs="Symbol" w:hint="default"/>
        <w:color w:val="2BB673"/>
      </w:rPr>
    </w:lvl>
  </w:abstractNum>
  <w:abstractNum w:abstractNumId="2" w15:restartNumberingAfterBreak="0">
    <w:nsid w:val="01F37A10"/>
    <w:multiLevelType w:val="hybridMultilevel"/>
    <w:tmpl w:val="19CE31E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0B6255EF"/>
    <w:multiLevelType w:val="hybridMultilevel"/>
    <w:tmpl w:val="07B2B95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56A81"/>
    <w:multiLevelType w:val="hybridMultilevel"/>
    <w:tmpl w:val="3DF679C8"/>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104C7"/>
    <w:multiLevelType w:val="hybridMultilevel"/>
    <w:tmpl w:val="07349CC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8605F"/>
    <w:multiLevelType w:val="hybridMultilevel"/>
    <w:tmpl w:val="E648DA62"/>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39D28B2"/>
    <w:multiLevelType w:val="hybridMultilevel"/>
    <w:tmpl w:val="54E2FCDC"/>
    <w:lvl w:ilvl="0" w:tplc="919E02D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678AD"/>
    <w:multiLevelType w:val="hybridMultilevel"/>
    <w:tmpl w:val="3BB87BEE"/>
    <w:lvl w:ilvl="0" w:tplc="0414001B">
      <w:start w:val="1"/>
      <w:numFmt w:val="lowerRoman"/>
      <w:lvlText w:val="%1."/>
      <w:lvlJc w:val="righ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9" w15:restartNumberingAfterBreak="0">
    <w:nsid w:val="196031FA"/>
    <w:multiLevelType w:val="multilevel"/>
    <w:tmpl w:val="B198BC22"/>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426" w:firstLine="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BE37EB1"/>
    <w:multiLevelType w:val="hybridMultilevel"/>
    <w:tmpl w:val="5192A67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F22FA"/>
    <w:multiLevelType w:val="hybridMultilevel"/>
    <w:tmpl w:val="34AC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100A3D"/>
    <w:multiLevelType w:val="hybridMultilevel"/>
    <w:tmpl w:val="CC161D32"/>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25406"/>
    <w:multiLevelType w:val="hybridMultilevel"/>
    <w:tmpl w:val="EAD6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81E6A"/>
    <w:multiLevelType w:val="hybridMultilevel"/>
    <w:tmpl w:val="FB384CB8"/>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C30565"/>
    <w:multiLevelType w:val="hybridMultilevel"/>
    <w:tmpl w:val="4B98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B236D1"/>
    <w:multiLevelType w:val="hybridMultilevel"/>
    <w:tmpl w:val="780250F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82365A"/>
    <w:multiLevelType w:val="hybridMultilevel"/>
    <w:tmpl w:val="97DC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42F30"/>
    <w:multiLevelType w:val="hybridMultilevel"/>
    <w:tmpl w:val="FA5C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5328BF"/>
    <w:multiLevelType w:val="hybridMultilevel"/>
    <w:tmpl w:val="B16E67A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0E234F"/>
    <w:multiLevelType w:val="hybridMultilevel"/>
    <w:tmpl w:val="7402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6F646E"/>
    <w:multiLevelType w:val="hybridMultilevel"/>
    <w:tmpl w:val="4F06260A"/>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B20370"/>
    <w:multiLevelType w:val="hybridMultilevel"/>
    <w:tmpl w:val="0CB83558"/>
    <w:lvl w:ilvl="0" w:tplc="FB207E5E">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01F58B5"/>
    <w:multiLevelType w:val="hybridMultilevel"/>
    <w:tmpl w:val="C712B26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3C7275C"/>
    <w:multiLevelType w:val="hybridMultilevel"/>
    <w:tmpl w:val="4CDE4CE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43F0E40"/>
    <w:multiLevelType w:val="hybridMultilevel"/>
    <w:tmpl w:val="D2FA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87076C"/>
    <w:multiLevelType w:val="hybridMultilevel"/>
    <w:tmpl w:val="7290702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378D4D32"/>
    <w:multiLevelType w:val="hybridMultilevel"/>
    <w:tmpl w:val="90B87A12"/>
    <w:lvl w:ilvl="0" w:tplc="0414001B">
      <w:start w:val="1"/>
      <w:numFmt w:val="lowerRoman"/>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C7B4CA2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3B7557"/>
    <w:multiLevelType w:val="hybridMultilevel"/>
    <w:tmpl w:val="6FE4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DA219D"/>
    <w:multiLevelType w:val="hybridMultilevel"/>
    <w:tmpl w:val="651C4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113D95"/>
    <w:multiLevelType w:val="hybridMultilevel"/>
    <w:tmpl w:val="5D96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FD36F7"/>
    <w:multiLevelType w:val="multilevel"/>
    <w:tmpl w:val="51E8C40E"/>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F8A4B86"/>
    <w:multiLevelType w:val="multilevel"/>
    <w:tmpl w:val="648A975E"/>
    <w:lvl w:ilvl="0">
      <w:start w:val="4"/>
      <w:numFmt w:val="decimal"/>
      <w:suff w:val="space"/>
      <w:lvlText w:val="%1."/>
      <w:lvlJc w:val="left"/>
      <w:pPr>
        <w:ind w:left="0" w:firstLine="0"/>
      </w:pPr>
      <w:rPr>
        <w:rFonts w:hint="default"/>
      </w:rPr>
    </w:lvl>
    <w:lvl w:ilvl="1">
      <w:start w:val="2"/>
      <w:numFmt w:val="decimal"/>
      <w:suff w:val="space"/>
      <w:lvlText w:val="%1.%2"/>
      <w:lvlJc w:val="left"/>
      <w:pPr>
        <w:ind w:left="71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40DD3094"/>
    <w:multiLevelType w:val="hybridMultilevel"/>
    <w:tmpl w:val="B0E0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C13F82"/>
    <w:multiLevelType w:val="hybridMultilevel"/>
    <w:tmpl w:val="26D2CB98"/>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434E4982"/>
    <w:multiLevelType w:val="hybridMultilevel"/>
    <w:tmpl w:val="64FEE52C"/>
    <w:lvl w:ilvl="0" w:tplc="04140001">
      <w:start w:val="1"/>
      <w:numFmt w:val="bullet"/>
      <w:lvlText w:val=""/>
      <w:lvlJc w:val="left"/>
      <w:pPr>
        <w:ind w:left="829" w:hanging="360"/>
      </w:pPr>
      <w:rPr>
        <w:rFonts w:ascii="Symbol" w:hAnsi="Symbol" w:hint="default"/>
      </w:rPr>
    </w:lvl>
    <w:lvl w:ilvl="1" w:tplc="04140003">
      <w:start w:val="1"/>
      <w:numFmt w:val="bullet"/>
      <w:lvlText w:val="o"/>
      <w:lvlJc w:val="left"/>
      <w:pPr>
        <w:ind w:left="1549" w:hanging="360"/>
      </w:pPr>
      <w:rPr>
        <w:rFonts w:ascii="Courier New" w:hAnsi="Courier New" w:cs="Courier New" w:hint="default"/>
      </w:rPr>
    </w:lvl>
    <w:lvl w:ilvl="2" w:tplc="04140005" w:tentative="1">
      <w:start w:val="1"/>
      <w:numFmt w:val="bullet"/>
      <w:lvlText w:val=""/>
      <w:lvlJc w:val="left"/>
      <w:pPr>
        <w:ind w:left="2269" w:hanging="360"/>
      </w:pPr>
      <w:rPr>
        <w:rFonts w:ascii="Wingdings" w:hAnsi="Wingdings" w:hint="default"/>
      </w:rPr>
    </w:lvl>
    <w:lvl w:ilvl="3" w:tplc="04140001" w:tentative="1">
      <w:start w:val="1"/>
      <w:numFmt w:val="bullet"/>
      <w:lvlText w:val=""/>
      <w:lvlJc w:val="left"/>
      <w:pPr>
        <w:ind w:left="2989" w:hanging="360"/>
      </w:pPr>
      <w:rPr>
        <w:rFonts w:ascii="Symbol" w:hAnsi="Symbol" w:hint="default"/>
      </w:rPr>
    </w:lvl>
    <w:lvl w:ilvl="4" w:tplc="04140003" w:tentative="1">
      <w:start w:val="1"/>
      <w:numFmt w:val="bullet"/>
      <w:lvlText w:val="o"/>
      <w:lvlJc w:val="left"/>
      <w:pPr>
        <w:ind w:left="3709" w:hanging="360"/>
      </w:pPr>
      <w:rPr>
        <w:rFonts w:ascii="Courier New" w:hAnsi="Courier New" w:cs="Courier New" w:hint="default"/>
      </w:rPr>
    </w:lvl>
    <w:lvl w:ilvl="5" w:tplc="04140005" w:tentative="1">
      <w:start w:val="1"/>
      <w:numFmt w:val="bullet"/>
      <w:lvlText w:val=""/>
      <w:lvlJc w:val="left"/>
      <w:pPr>
        <w:ind w:left="4429" w:hanging="360"/>
      </w:pPr>
      <w:rPr>
        <w:rFonts w:ascii="Wingdings" w:hAnsi="Wingdings" w:hint="default"/>
      </w:rPr>
    </w:lvl>
    <w:lvl w:ilvl="6" w:tplc="04140001" w:tentative="1">
      <w:start w:val="1"/>
      <w:numFmt w:val="bullet"/>
      <w:lvlText w:val=""/>
      <w:lvlJc w:val="left"/>
      <w:pPr>
        <w:ind w:left="5149" w:hanging="360"/>
      </w:pPr>
      <w:rPr>
        <w:rFonts w:ascii="Symbol" w:hAnsi="Symbol" w:hint="default"/>
      </w:rPr>
    </w:lvl>
    <w:lvl w:ilvl="7" w:tplc="04140003" w:tentative="1">
      <w:start w:val="1"/>
      <w:numFmt w:val="bullet"/>
      <w:lvlText w:val="o"/>
      <w:lvlJc w:val="left"/>
      <w:pPr>
        <w:ind w:left="5869" w:hanging="360"/>
      </w:pPr>
      <w:rPr>
        <w:rFonts w:ascii="Courier New" w:hAnsi="Courier New" w:cs="Courier New" w:hint="default"/>
      </w:rPr>
    </w:lvl>
    <w:lvl w:ilvl="8" w:tplc="04140005" w:tentative="1">
      <w:start w:val="1"/>
      <w:numFmt w:val="bullet"/>
      <w:lvlText w:val=""/>
      <w:lvlJc w:val="left"/>
      <w:pPr>
        <w:ind w:left="6589" w:hanging="360"/>
      </w:pPr>
      <w:rPr>
        <w:rFonts w:ascii="Wingdings" w:hAnsi="Wingdings" w:hint="default"/>
      </w:rPr>
    </w:lvl>
  </w:abstractNum>
  <w:abstractNum w:abstractNumId="36" w15:restartNumberingAfterBreak="0">
    <w:nsid w:val="44AF37A2"/>
    <w:multiLevelType w:val="hybridMultilevel"/>
    <w:tmpl w:val="70AA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B33182"/>
    <w:multiLevelType w:val="hybridMultilevel"/>
    <w:tmpl w:val="0CB4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2A43F3"/>
    <w:multiLevelType w:val="hybridMultilevel"/>
    <w:tmpl w:val="A0C093E4"/>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6C6B1F"/>
    <w:multiLevelType w:val="hybridMultilevel"/>
    <w:tmpl w:val="8888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A86A00"/>
    <w:multiLevelType w:val="multilevel"/>
    <w:tmpl w:val="9FE4753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4DE93821"/>
    <w:multiLevelType w:val="hybridMultilevel"/>
    <w:tmpl w:val="FC0C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021028"/>
    <w:multiLevelType w:val="hybridMultilevel"/>
    <w:tmpl w:val="19A64BD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604E9B"/>
    <w:multiLevelType w:val="hybridMultilevel"/>
    <w:tmpl w:val="5614CC4A"/>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BD0301"/>
    <w:multiLevelType w:val="hybridMultilevel"/>
    <w:tmpl w:val="B360F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9F52CE"/>
    <w:multiLevelType w:val="hybridMultilevel"/>
    <w:tmpl w:val="F084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1D45C1"/>
    <w:multiLevelType w:val="hybridMultilevel"/>
    <w:tmpl w:val="7264CDE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F700D3"/>
    <w:multiLevelType w:val="hybridMultilevel"/>
    <w:tmpl w:val="A68E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4C17C0"/>
    <w:multiLevelType w:val="hybridMultilevel"/>
    <w:tmpl w:val="B1ACB7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304DD5"/>
    <w:multiLevelType w:val="hybridMultilevel"/>
    <w:tmpl w:val="7500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DF5389"/>
    <w:multiLevelType w:val="hybridMultilevel"/>
    <w:tmpl w:val="D076B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38673E"/>
    <w:multiLevelType w:val="hybridMultilevel"/>
    <w:tmpl w:val="E508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B23852"/>
    <w:multiLevelType w:val="hybridMultilevel"/>
    <w:tmpl w:val="E02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772DC5"/>
    <w:multiLevelType w:val="hybridMultilevel"/>
    <w:tmpl w:val="E96C8042"/>
    <w:lvl w:ilvl="0" w:tplc="04140015">
      <w:start w:val="1"/>
      <w:numFmt w:val="upp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C7B4CA2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8B1AC3"/>
    <w:multiLevelType w:val="hybridMultilevel"/>
    <w:tmpl w:val="BEC8ADDA"/>
    <w:lvl w:ilvl="0" w:tplc="0414000F">
      <w:start w:val="1"/>
      <w:numFmt w:val="decimal"/>
      <w:lvlText w:val="%1."/>
      <w:lvlJc w:val="left"/>
      <w:pPr>
        <w:ind w:left="775" w:hanging="360"/>
      </w:pPr>
    </w:lvl>
    <w:lvl w:ilvl="1" w:tplc="04140019">
      <w:start w:val="1"/>
      <w:numFmt w:val="lowerLetter"/>
      <w:lvlText w:val="%2."/>
      <w:lvlJc w:val="left"/>
      <w:pPr>
        <w:ind w:left="1495" w:hanging="360"/>
      </w:pPr>
    </w:lvl>
    <w:lvl w:ilvl="2" w:tplc="0414001B" w:tentative="1">
      <w:start w:val="1"/>
      <w:numFmt w:val="lowerRoman"/>
      <w:lvlText w:val="%3."/>
      <w:lvlJc w:val="right"/>
      <w:pPr>
        <w:ind w:left="2215" w:hanging="180"/>
      </w:pPr>
    </w:lvl>
    <w:lvl w:ilvl="3" w:tplc="0414000F" w:tentative="1">
      <w:start w:val="1"/>
      <w:numFmt w:val="decimal"/>
      <w:lvlText w:val="%4."/>
      <w:lvlJc w:val="left"/>
      <w:pPr>
        <w:ind w:left="2935" w:hanging="360"/>
      </w:pPr>
    </w:lvl>
    <w:lvl w:ilvl="4" w:tplc="04140019" w:tentative="1">
      <w:start w:val="1"/>
      <w:numFmt w:val="lowerLetter"/>
      <w:lvlText w:val="%5."/>
      <w:lvlJc w:val="left"/>
      <w:pPr>
        <w:ind w:left="3655" w:hanging="360"/>
      </w:pPr>
    </w:lvl>
    <w:lvl w:ilvl="5" w:tplc="0414001B" w:tentative="1">
      <w:start w:val="1"/>
      <w:numFmt w:val="lowerRoman"/>
      <w:lvlText w:val="%6."/>
      <w:lvlJc w:val="right"/>
      <w:pPr>
        <w:ind w:left="4375" w:hanging="180"/>
      </w:pPr>
    </w:lvl>
    <w:lvl w:ilvl="6" w:tplc="0414000F" w:tentative="1">
      <w:start w:val="1"/>
      <w:numFmt w:val="decimal"/>
      <w:lvlText w:val="%7."/>
      <w:lvlJc w:val="left"/>
      <w:pPr>
        <w:ind w:left="5095" w:hanging="360"/>
      </w:pPr>
    </w:lvl>
    <w:lvl w:ilvl="7" w:tplc="04140019" w:tentative="1">
      <w:start w:val="1"/>
      <w:numFmt w:val="lowerLetter"/>
      <w:lvlText w:val="%8."/>
      <w:lvlJc w:val="left"/>
      <w:pPr>
        <w:ind w:left="5815" w:hanging="360"/>
      </w:pPr>
    </w:lvl>
    <w:lvl w:ilvl="8" w:tplc="0414001B" w:tentative="1">
      <w:start w:val="1"/>
      <w:numFmt w:val="lowerRoman"/>
      <w:lvlText w:val="%9."/>
      <w:lvlJc w:val="right"/>
      <w:pPr>
        <w:ind w:left="6535" w:hanging="180"/>
      </w:pPr>
    </w:lvl>
  </w:abstractNum>
  <w:abstractNum w:abstractNumId="55" w15:restartNumberingAfterBreak="0">
    <w:nsid w:val="6A1E40B2"/>
    <w:multiLevelType w:val="hybridMultilevel"/>
    <w:tmpl w:val="6D9C8A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6BE17021"/>
    <w:multiLevelType w:val="hybridMultilevel"/>
    <w:tmpl w:val="D3D8A99E"/>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7" w15:restartNumberingAfterBreak="0">
    <w:nsid w:val="72D10CA7"/>
    <w:multiLevelType w:val="hybridMultilevel"/>
    <w:tmpl w:val="046050E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363068"/>
    <w:multiLevelType w:val="hybridMultilevel"/>
    <w:tmpl w:val="5FA84B1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3BA7B4F"/>
    <w:multiLevelType w:val="hybridMultilevel"/>
    <w:tmpl w:val="CC40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45263F"/>
    <w:multiLevelType w:val="hybridMultilevel"/>
    <w:tmpl w:val="F5FC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3D6637"/>
    <w:multiLevelType w:val="hybridMultilevel"/>
    <w:tmpl w:val="443E7428"/>
    <w:lvl w:ilvl="0" w:tplc="0414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2" w15:restartNumberingAfterBreak="0">
    <w:nsid w:val="78506769"/>
    <w:multiLevelType w:val="hybridMultilevel"/>
    <w:tmpl w:val="D0B8A8A2"/>
    <w:lvl w:ilvl="0" w:tplc="4D8EB20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7D6F5280"/>
    <w:multiLevelType w:val="hybridMultilevel"/>
    <w:tmpl w:val="9740D80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F6B00A4"/>
    <w:multiLevelType w:val="hybridMultilevel"/>
    <w:tmpl w:val="110EAD5E"/>
    <w:lvl w:ilvl="0" w:tplc="94200286">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 w:numId="3">
    <w:abstractNumId w:val="31"/>
  </w:num>
  <w:num w:numId="4">
    <w:abstractNumId w:val="37"/>
  </w:num>
  <w:num w:numId="5">
    <w:abstractNumId w:val="44"/>
  </w:num>
  <w:num w:numId="6">
    <w:abstractNumId w:val="13"/>
  </w:num>
  <w:num w:numId="7">
    <w:abstractNumId w:val="7"/>
  </w:num>
  <w:num w:numId="8">
    <w:abstractNumId w:val="33"/>
  </w:num>
  <w:num w:numId="9">
    <w:abstractNumId w:val="60"/>
  </w:num>
  <w:num w:numId="10">
    <w:abstractNumId w:val="52"/>
  </w:num>
  <w:num w:numId="11">
    <w:abstractNumId w:val="61"/>
  </w:num>
  <w:num w:numId="12">
    <w:abstractNumId w:val="6"/>
  </w:num>
  <w:num w:numId="13">
    <w:abstractNumId w:val="30"/>
  </w:num>
  <w:num w:numId="14">
    <w:abstractNumId w:val="29"/>
  </w:num>
  <w:num w:numId="15">
    <w:abstractNumId w:val="17"/>
  </w:num>
  <w:num w:numId="16">
    <w:abstractNumId w:val="64"/>
  </w:num>
  <w:num w:numId="17">
    <w:abstractNumId w:val="34"/>
  </w:num>
  <w:num w:numId="18">
    <w:abstractNumId w:val="26"/>
  </w:num>
  <w:num w:numId="19">
    <w:abstractNumId w:val="53"/>
  </w:num>
  <w:num w:numId="20">
    <w:abstractNumId w:val="18"/>
  </w:num>
  <w:num w:numId="21">
    <w:abstractNumId w:val="24"/>
  </w:num>
  <w:num w:numId="22">
    <w:abstractNumId w:val="38"/>
  </w:num>
  <w:num w:numId="23">
    <w:abstractNumId w:val="14"/>
  </w:num>
  <w:num w:numId="24">
    <w:abstractNumId w:val="4"/>
  </w:num>
  <w:num w:numId="25">
    <w:abstractNumId w:val="43"/>
  </w:num>
  <w:num w:numId="26">
    <w:abstractNumId w:val="55"/>
  </w:num>
  <w:num w:numId="27">
    <w:abstractNumId w:val="56"/>
  </w:num>
  <w:num w:numId="28">
    <w:abstractNumId w:val="40"/>
  </w:num>
  <w:num w:numId="29">
    <w:abstractNumId w:val="8"/>
  </w:num>
  <w:num w:numId="30">
    <w:abstractNumId w:val="35"/>
  </w:num>
  <w:num w:numId="31">
    <w:abstractNumId w:val="54"/>
  </w:num>
  <w:num w:numId="32">
    <w:abstractNumId w:val="32"/>
  </w:num>
  <w:num w:numId="33">
    <w:abstractNumId w:val="23"/>
  </w:num>
  <w:num w:numId="34">
    <w:abstractNumId w:val="9"/>
  </w:num>
  <w:num w:numId="3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45"/>
  </w:num>
  <w:num w:numId="38">
    <w:abstractNumId w:val="41"/>
  </w:num>
  <w:num w:numId="39">
    <w:abstractNumId w:val="36"/>
  </w:num>
  <w:num w:numId="40">
    <w:abstractNumId w:val="59"/>
  </w:num>
  <w:num w:numId="41">
    <w:abstractNumId w:val="28"/>
  </w:num>
  <w:num w:numId="42">
    <w:abstractNumId w:val="51"/>
  </w:num>
  <w:num w:numId="43">
    <w:abstractNumId w:val="16"/>
  </w:num>
  <w:num w:numId="44">
    <w:abstractNumId w:val="11"/>
  </w:num>
  <w:num w:numId="45">
    <w:abstractNumId w:val="39"/>
  </w:num>
  <w:num w:numId="46">
    <w:abstractNumId w:val="20"/>
  </w:num>
  <w:num w:numId="47">
    <w:abstractNumId w:val="49"/>
  </w:num>
  <w:num w:numId="48">
    <w:abstractNumId w:val="47"/>
  </w:num>
  <w:num w:numId="49">
    <w:abstractNumId w:val="50"/>
  </w:num>
  <w:num w:numId="50">
    <w:abstractNumId w:val="22"/>
  </w:num>
  <w:num w:numId="51">
    <w:abstractNumId w:val="57"/>
  </w:num>
  <w:num w:numId="52">
    <w:abstractNumId w:val="10"/>
  </w:num>
  <w:num w:numId="53">
    <w:abstractNumId w:val="12"/>
  </w:num>
  <w:num w:numId="54">
    <w:abstractNumId w:val="48"/>
  </w:num>
  <w:num w:numId="55">
    <w:abstractNumId w:val="42"/>
  </w:num>
  <w:num w:numId="56">
    <w:abstractNumId w:val="58"/>
  </w:num>
  <w:num w:numId="57">
    <w:abstractNumId w:val="5"/>
  </w:num>
  <w:num w:numId="58">
    <w:abstractNumId w:val="21"/>
  </w:num>
  <w:num w:numId="59">
    <w:abstractNumId w:val="19"/>
  </w:num>
  <w:num w:numId="60">
    <w:abstractNumId w:val="15"/>
  </w:num>
  <w:num w:numId="61">
    <w:abstractNumId w:val="63"/>
  </w:num>
  <w:num w:numId="62">
    <w:abstractNumId w:val="46"/>
  </w:num>
  <w:num w:numId="63">
    <w:abstractNumId w:val="3"/>
  </w:num>
  <w:num w:numId="64">
    <w:abstractNumId w:val="2"/>
  </w:num>
  <w:num w:numId="65">
    <w:abstractNumId w:val="25"/>
  </w:num>
  <w:num w:numId="66">
    <w:abstractNumId w:val="2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e3MDU3MzEzMjYzMDZS0lEKTi0uzszPAykwNK4FAKfeVhktAAAA"/>
  </w:docVars>
  <w:rsids>
    <w:rsidRoot w:val="00B80311"/>
    <w:rsid w:val="00004679"/>
    <w:rsid w:val="00005692"/>
    <w:rsid w:val="00005CAD"/>
    <w:rsid w:val="000109A4"/>
    <w:rsid w:val="000117F5"/>
    <w:rsid w:val="0001338A"/>
    <w:rsid w:val="0001620E"/>
    <w:rsid w:val="00025FBC"/>
    <w:rsid w:val="0003047E"/>
    <w:rsid w:val="00030D30"/>
    <w:rsid w:val="00031464"/>
    <w:rsid w:val="0003163D"/>
    <w:rsid w:val="00031AFC"/>
    <w:rsid w:val="00031C9E"/>
    <w:rsid w:val="00031F0A"/>
    <w:rsid w:val="00032466"/>
    <w:rsid w:val="00033812"/>
    <w:rsid w:val="0003388D"/>
    <w:rsid w:val="000352A7"/>
    <w:rsid w:val="00036B72"/>
    <w:rsid w:val="00037487"/>
    <w:rsid w:val="0004046F"/>
    <w:rsid w:val="000421C1"/>
    <w:rsid w:val="00042ADA"/>
    <w:rsid w:val="00042CE2"/>
    <w:rsid w:val="00044EE7"/>
    <w:rsid w:val="00047A1C"/>
    <w:rsid w:val="00051B8C"/>
    <w:rsid w:val="000529D7"/>
    <w:rsid w:val="000545CD"/>
    <w:rsid w:val="00054CF9"/>
    <w:rsid w:val="0005690C"/>
    <w:rsid w:val="00057F48"/>
    <w:rsid w:val="00062E02"/>
    <w:rsid w:val="00063114"/>
    <w:rsid w:val="00065B76"/>
    <w:rsid w:val="00067976"/>
    <w:rsid w:val="000720EB"/>
    <w:rsid w:val="000726D1"/>
    <w:rsid w:val="0007276B"/>
    <w:rsid w:val="00073089"/>
    <w:rsid w:val="00073AB6"/>
    <w:rsid w:val="000747F1"/>
    <w:rsid w:val="00074B42"/>
    <w:rsid w:val="00075558"/>
    <w:rsid w:val="00077585"/>
    <w:rsid w:val="00077F82"/>
    <w:rsid w:val="0008189F"/>
    <w:rsid w:val="00082978"/>
    <w:rsid w:val="00084E15"/>
    <w:rsid w:val="00090193"/>
    <w:rsid w:val="0009135E"/>
    <w:rsid w:val="00093023"/>
    <w:rsid w:val="000941A9"/>
    <w:rsid w:val="00097086"/>
    <w:rsid w:val="00097D4A"/>
    <w:rsid w:val="000A03BE"/>
    <w:rsid w:val="000A17EE"/>
    <w:rsid w:val="000A5803"/>
    <w:rsid w:val="000B2F7B"/>
    <w:rsid w:val="000B36A1"/>
    <w:rsid w:val="000C16C8"/>
    <w:rsid w:val="000C475B"/>
    <w:rsid w:val="000D2F35"/>
    <w:rsid w:val="000D60E8"/>
    <w:rsid w:val="000D7B99"/>
    <w:rsid w:val="000E10C3"/>
    <w:rsid w:val="000E569A"/>
    <w:rsid w:val="000E69A1"/>
    <w:rsid w:val="000F0A63"/>
    <w:rsid w:val="000F2A69"/>
    <w:rsid w:val="000F346D"/>
    <w:rsid w:val="000F37F8"/>
    <w:rsid w:val="000F3E0F"/>
    <w:rsid w:val="000F5BE2"/>
    <w:rsid w:val="00100E53"/>
    <w:rsid w:val="001013F9"/>
    <w:rsid w:val="001047FA"/>
    <w:rsid w:val="00104C61"/>
    <w:rsid w:val="00104E87"/>
    <w:rsid w:val="00105932"/>
    <w:rsid w:val="001066DA"/>
    <w:rsid w:val="001100E3"/>
    <w:rsid w:val="00110A2F"/>
    <w:rsid w:val="00110C1D"/>
    <w:rsid w:val="00115450"/>
    <w:rsid w:val="00116607"/>
    <w:rsid w:val="00116A5C"/>
    <w:rsid w:val="00122084"/>
    <w:rsid w:val="00123142"/>
    <w:rsid w:val="001239C3"/>
    <w:rsid w:val="00123D4B"/>
    <w:rsid w:val="00125A20"/>
    <w:rsid w:val="001363F4"/>
    <w:rsid w:val="00136483"/>
    <w:rsid w:val="00136F89"/>
    <w:rsid w:val="00141684"/>
    <w:rsid w:val="0014543A"/>
    <w:rsid w:val="001470DC"/>
    <w:rsid w:val="00150F36"/>
    <w:rsid w:val="00151856"/>
    <w:rsid w:val="0015193B"/>
    <w:rsid w:val="001542B8"/>
    <w:rsid w:val="00156AD8"/>
    <w:rsid w:val="00157162"/>
    <w:rsid w:val="00161FFB"/>
    <w:rsid w:val="001631D4"/>
    <w:rsid w:val="0016397B"/>
    <w:rsid w:val="00167C3B"/>
    <w:rsid w:val="0017051E"/>
    <w:rsid w:val="001718B4"/>
    <w:rsid w:val="00177519"/>
    <w:rsid w:val="00181101"/>
    <w:rsid w:val="00181C3C"/>
    <w:rsid w:val="001825D4"/>
    <w:rsid w:val="00183426"/>
    <w:rsid w:val="00184FE6"/>
    <w:rsid w:val="00185FAD"/>
    <w:rsid w:val="0018622F"/>
    <w:rsid w:val="00197034"/>
    <w:rsid w:val="00197307"/>
    <w:rsid w:val="001A3130"/>
    <w:rsid w:val="001A52E4"/>
    <w:rsid w:val="001A5384"/>
    <w:rsid w:val="001A64E5"/>
    <w:rsid w:val="001A71E9"/>
    <w:rsid w:val="001B09FB"/>
    <w:rsid w:val="001B0DA5"/>
    <w:rsid w:val="001B0DC6"/>
    <w:rsid w:val="001B2304"/>
    <w:rsid w:val="001B2D14"/>
    <w:rsid w:val="001B3E2A"/>
    <w:rsid w:val="001B3F2A"/>
    <w:rsid w:val="001B6B94"/>
    <w:rsid w:val="001B7498"/>
    <w:rsid w:val="001B7527"/>
    <w:rsid w:val="001C043B"/>
    <w:rsid w:val="001C1DF6"/>
    <w:rsid w:val="001C2309"/>
    <w:rsid w:val="001C292A"/>
    <w:rsid w:val="001C2FAC"/>
    <w:rsid w:val="001C33FD"/>
    <w:rsid w:val="001C388F"/>
    <w:rsid w:val="001C72A7"/>
    <w:rsid w:val="001D44FC"/>
    <w:rsid w:val="001D49E8"/>
    <w:rsid w:val="001D5F95"/>
    <w:rsid w:val="001E0C35"/>
    <w:rsid w:val="001E1202"/>
    <w:rsid w:val="001E1FBF"/>
    <w:rsid w:val="001E4304"/>
    <w:rsid w:val="001E7785"/>
    <w:rsid w:val="001F0546"/>
    <w:rsid w:val="001F300A"/>
    <w:rsid w:val="001F3E70"/>
    <w:rsid w:val="0020377C"/>
    <w:rsid w:val="00204D12"/>
    <w:rsid w:val="00205763"/>
    <w:rsid w:val="002072DC"/>
    <w:rsid w:val="00210DA8"/>
    <w:rsid w:val="00210F11"/>
    <w:rsid w:val="0021132E"/>
    <w:rsid w:val="0021264B"/>
    <w:rsid w:val="00213269"/>
    <w:rsid w:val="00213A3B"/>
    <w:rsid w:val="002140FF"/>
    <w:rsid w:val="002144C4"/>
    <w:rsid w:val="002147B2"/>
    <w:rsid w:val="00217853"/>
    <w:rsid w:val="00223ECD"/>
    <w:rsid w:val="0022504A"/>
    <w:rsid w:val="0022573C"/>
    <w:rsid w:val="00225A04"/>
    <w:rsid w:val="00225C0C"/>
    <w:rsid w:val="00226F87"/>
    <w:rsid w:val="00231723"/>
    <w:rsid w:val="00232FB5"/>
    <w:rsid w:val="00237184"/>
    <w:rsid w:val="00241D2A"/>
    <w:rsid w:val="002430CB"/>
    <w:rsid w:val="00243C58"/>
    <w:rsid w:val="002459D7"/>
    <w:rsid w:val="002507A6"/>
    <w:rsid w:val="00253B19"/>
    <w:rsid w:val="00253F0D"/>
    <w:rsid w:val="0025477B"/>
    <w:rsid w:val="00255E9F"/>
    <w:rsid w:val="002570AE"/>
    <w:rsid w:val="00257CC2"/>
    <w:rsid w:val="00263258"/>
    <w:rsid w:val="00263E31"/>
    <w:rsid w:val="0027705D"/>
    <w:rsid w:val="00281D05"/>
    <w:rsid w:val="0028322F"/>
    <w:rsid w:val="00285709"/>
    <w:rsid w:val="00285AF6"/>
    <w:rsid w:val="00286C68"/>
    <w:rsid w:val="00292CD7"/>
    <w:rsid w:val="00294894"/>
    <w:rsid w:val="002953CC"/>
    <w:rsid w:val="0029569A"/>
    <w:rsid w:val="00295B15"/>
    <w:rsid w:val="00295EDC"/>
    <w:rsid w:val="00297D3E"/>
    <w:rsid w:val="002A0721"/>
    <w:rsid w:val="002A168F"/>
    <w:rsid w:val="002A1B6F"/>
    <w:rsid w:val="002A29DE"/>
    <w:rsid w:val="002A3158"/>
    <w:rsid w:val="002A5426"/>
    <w:rsid w:val="002A65C8"/>
    <w:rsid w:val="002B1993"/>
    <w:rsid w:val="002B5816"/>
    <w:rsid w:val="002C1D33"/>
    <w:rsid w:val="002C741A"/>
    <w:rsid w:val="002C7614"/>
    <w:rsid w:val="002D400C"/>
    <w:rsid w:val="002D42ED"/>
    <w:rsid w:val="002D4B11"/>
    <w:rsid w:val="002D4C7B"/>
    <w:rsid w:val="002D5B70"/>
    <w:rsid w:val="002E02A4"/>
    <w:rsid w:val="002E0857"/>
    <w:rsid w:val="002E088C"/>
    <w:rsid w:val="002E343D"/>
    <w:rsid w:val="002E5A74"/>
    <w:rsid w:val="002E783C"/>
    <w:rsid w:val="002F36B1"/>
    <w:rsid w:val="002F38A1"/>
    <w:rsid w:val="002F4706"/>
    <w:rsid w:val="002F4D7F"/>
    <w:rsid w:val="002F761E"/>
    <w:rsid w:val="00300155"/>
    <w:rsid w:val="00301098"/>
    <w:rsid w:val="003012BC"/>
    <w:rsid w:val="003015EA"/>
    <w:rsid w:val="003028D3"/>
    <w:rsid w:val="003069DD"/>
    <w:rsid w:val="003110CE"/>
    <w:rsid w:val="00311946"/>
    <w:rsid w:val="00315A09"/>
    <w:rsid w:val="00315A85"/>
    <w:rsid w:val="00325636"/>
    <w:rsid w:val="00325646"/>
    <w:rsid w:val="0032593B"/>
    <w:rsid w:val="00325C74"/>
    <w:rsid w:val="00327AB5"/>
    <w:rsid w:val="0033008B"/>
    <w:rsid w:val="003305FD"/>
    <w:rsid w:val="003319E4"/>
    <w:rsid w:val="00334B0A"/>
    <w:rsid w:val="003365AD"/>
    <w:rsid w:val="00336988"/>
    <w:rsid w:val="003400F2"/>
    <w:rsid w:val="00342CF3"/>
    <w:rsid w:val="00343973"/>
    <w:rsid w:val="00345B66"/>
    <w:rsid w:val="00346124"/>
    <w:rsid w:val="003527C5"/>
    <w:rsid w:val="00352C72"/>
    <w:rsid w:val="00357330"/>
    <w:rsid w:val="0036022D"/>
    <w:rsid w:val="00361149"/>
    <w:rsid w:val="003646FD"/>
    <w:rsid w:val="00365DA5"/>
    <w:rsid w:val="00370C00"/>
    <w:rsid w:val="003719D9"/>
    <w:rsid w:val="00371E5B"/>
    <w:rsid w:val="003739FF"/>
    <w:rsid w:val="00373D0F"/>
    <w:rsid w:val="00374996"/>
    <w:rsid w:val="00374D2A"/>
    <w:rsid w:val="003801B2"/>
    <w:rsid w:val="0038065B"/>
    <w:rsid w:val="003820C2"/>
    <w:rsid w:val="003831F5"/>
    <w:rsid w:val="0038414B"/>
    <w:rsid w:val="00384AD2"/>
    <w:rsid w:val="0038537C"/>
    <w:rsid w:val="0038574F"/>
    <w:rsid w:val="00387579"/>
    <w:rsid w:val="0039086B"/>
    <w:rsid w:val="00391D50"/>
    <w:rsid w:val="00393D16"/>
    <w:rsid w:val="003961CD"/>
    <w:rsid w:val="00396C2B"/>
    <w:rsid w:val="003A1F43"/>
    <w:rsid w:val="003A337C"/>
    <w:rsid w:val="003A34D6"/>
    <w:rsid w:val="003A4A29"/>
    <w:rsid w:val="003B1CBE"/>
    <w:rsid w:val="003B1D47"/>
    <w:rsid w:val="003B30E4"/>
    <w:rsid w:val="003B512B"/>
    <w:rsid w:val="003B753E"/>
    <w:rsid w:val="003C37AC"/>
    <w:rsid w:val="003C64CC"/>
    <w:rsid w:val="003C6641"/>
    <w:rsid w:val="003C6F75"/>
    <w:rsid w:val="003D4A93"/>
    <w:rsid w:val="003D5B74"/>
    <w:rsid w:val="003D7623"/>
    <w:rsid w:val="003E0BA7"/>
    <w:rsid w:val="003E3FF6"/>
    <w:rsid w:val="003E4EC0"/>
    <w:rsid w:val="003E7267"/>
    <w:rsid w:val="003E7E4E"/>
    <w:rsid w:val="003E7F47"/>
    <w:rsid w:val="003F5FD4"/>
    <w:rsid w:val="003F6F03"/>
    <w:rsid w:val="004004AE"/>
    <w:rsid w:val="00403BCA"/>
    <w:rsid w:val="00405082"/>
    <w:rsid w:val="004063D8"/>
    <w:rsid w:val="00406717"/>
    <w:rsid w:val="00406B1C"/>
    <w:rsid w:val="004101B7"/>
    <w:rsid w:val="004107BC"/>
    <w:rsid w:val="00410B4E"/>
    <w:rsid w:val="00411AC6"/>
    <w:rsid w:val="00414AFA"/>
    <w:rsid w:val="004150E7"/>
    <w:rsid w:val="004173F0"/>
    <w:rsid w:val="00421497"/>
    <w:rsid w:val="0042256E"/>
    <w:rsid w:val="00422A31"/>
    <w:rsid w:val="00425B20"/>
    <w:rsid w:val="004279DD"/>
    <w:rsid w:val="004316E4"/>
    <w:rsid w:val="00431BB0"/>
    <w:rsid w:val="00432519"/>
    <w:rsid w:val="00436597"/>
    <w:rsid w:val="00437477"/>
    <w:rsid w:val="00441998"/>
    <w:rsid w:val="004421C7"/>
    <w:rsid w:val="00442E76"/>
    <w:rsid w:val="00443667"/>
    <w:rsid w:val="00443E6F"/>
    <w:rsid w:val="00444014"/>
    <w:rsid w:val="00444D73"/>
    <w:rsid w:val="00447234"/>
    <w:rsid w:val="00447551"/>
    <w:rsid w:val="00447774"/>
    <w:rsid w:val="00452079"/>
    <w:rsid w:val="00460DB0"/>
    <w:rsid w:val="00462589"/>
    <w:rsid w:val="00463A16"/>
    <w:rsid w:val="00465B71"/>
    <w:rsid w:val="004665BB"/>
    <w:rsid w:val="00467DDB"/>
    <w:rsid w:val="00471AE5"/>
    <w:rsid w:val="00472558"/>
    <w:rsid w:val="00474004"/>
    <w:rsid w:val="004800B7"/>
    <w:rsid w:val="00480FF3"/>
    <w:rsid w:val="004842A1"/>
    <w:rsid w:val="004843C2"/>
    <w:rsid w:val="004901CF"/>
    <w:rsid w:val="004910E1"/>
    <w:rsid w:val="00493F04"/>
    <w:rsid w:val="00494F18"/>
    <w:rsid w:val="004961DA"/>
    <w:rsid w:val="004A01FD"/>
    <w:rsid w:val="004A1C4F"/>
    <w:rsid w:val="004A1D2F"/>
    <w:rsid w:val="004A2082"/>
    <w:rsid w:val="004A462E"/>
    <w:rsid w:val="004A5B23"/>
    <w:rsid w:val="004A786A"/>
    <w:rsid w:val="004B0895"/>
    <w:rsid w:val="004B2FBF"/>
    <w:rsid w:val="004B325F"/>
    <w:rsid w:val="004B6D6A"/>
    <w:rsid w:val="004C2364"/>
    <w:rsid w:val="004C2C53"/>
    <w:rsid w:val="004C38CB"/>
    <w:rsid w:val="004C3D2D"/>
    <w:rsid w:val="004C4E31"/>
    <w:rsid w:val="004C73E6"/>
    <w:rsid w:val="004D34CB"/>
    <w:rsid w:val="004D3CDB"/>
    <w:rsid w:val="004D74EE"/>
    <w:rsid w:val="004E2C90"/>
    <w:rsid w:val="004E3CFF"/>
    <w:rsid w:val="004E4127"/>
    <w:rsid w:val="004F0417"/>
    <w:rsid w:val="004F0753"/>
    <w:rsid w:val="004F0CB1"/>
    <w:rsid w:val="004F498D"/>
    <w:rsid w:val="004F4DC2"/>
    <w:rsid w:val="004F5AB6"/>
    <w:rsid w:val="005003CD"/>
    <w:rsid w:val="005003E0"/>
    <w:rsid w:val="0050162D"/>
    <w:rsid w:val="00502A09"/>
    <w:rsid w:val="00502F0B"/>
    <w:rsid w:val="00507E57"/>
    <w:rsid w:val="00511D39"/>
    <w:rsid w:val="0051232E"/>
    <w:rsid w:val="00512FEF"/>
    <w:rsid w:val="005135A5"/>
    <w:rsid w:val="005162D8"/>
    <w:rsid w:val="00516D90"/>
    <w:rsid w:val="005207C0"/>
    <w:rsid w:val="00521924"/>
    <w:rsid w:val="0052235F"/>
    <w:rsid w:val="00522ED5"/>
    <w:rsid w:val="005269D8"/>
    <w:rsid w:val="00531471"/>
    <w:rsid w:val="0053278B"/>
    <w:rsid w:val="00536C4F"/>
    <w:rsid w:val="00537680"/>
    <w:rsid w:val="00540EC7"/>
    <w:rsid w:val="005434C6"/>
    <w:rsid w:val="005503D7"/>
    <w:rsid w:val="00550896"/>
    <w:rsid w:val="00551069"/>
    <w:rsid w:val="0055131E"/>
    <w:rsid w:val="00551520"/>
    <w:rsid w:val="00552F51"/>
    <w:rsid w:val="005534BA"/>
    <w:rsid w:val="0055512B"/>
    <w:rsid w:val="0055528A"/>
    <w:rsid w:val="00560070"/>
    <w:rsid w:val="00560908"/>
    <w:rsid w:val="0056262D"/>
    <w:rsid w:val="00562A4B"/>
    <w:rsid w:val="00563574"/>
    <w:rsid w:val="00565430"/>
    <w:rsid w:val="00565FF6"/>
    <w:rsid w:val="0057198D"/>
    <w:rsid w:val="00572D94"/>
    <w:rsid w:val="00572F3A"/>
    <w:rsid w:val="0058177C"/>
    <w:rsid w:val="00582094"/>
    <w:rsid w:val="00586056"/>
    <w:rsid w:val="00586A71"/>
    <w:rsid w:val="00590236"/>
    <w:rsid w:val="005902DD"/>
    <w:rsid w:val="00590585"/>
    <w:rsid w:val="00591424"/>
    <w:rsid w:val="0059177F"/>
    <w:rsid w:val="00591C32"/>
    <w:rsid w:val="00594261"/>
    <w:rsid w:val="005950A8"/>
    <w:rsid w:val="0059621B"/>
    <w:rsid w:val="005A1081"/>
    <w:rsid w:val="005A130D"/>
    <w:rsid w:val="005A1775"/>
    <w:rsid w:val="005A6FAF"/>
    <w:rsid w:val="005A7363"/>
    <w:rsid w:val="005A73B6"/>
    <w:rsid w:val="005B41E0"/>
    <w:rsid w:val="005B5A7A"/>
    <w:rsid w:val="005C0503"/>
    <w:rsid w:val="005C0C1A"/>
    <w:rsid w:val="005C129D"/>
    <w:rsid w:val="005C3796"/>
    <w:rsid w:val="005C3F55"/>
    <w:rsid w:val="005D01F5"/>
    <w:rsid w:val="005D1C94"/>
    <w:rsid w:val="005D2939"/>
    <w:rsid w:val="005D3204"/>
    <w:rsid w:val="005D5CF1"/>
    <w:rsid w:val="005D6FF8"/>
    <w:rsid w:val="005E1FEC"/>
    <w:rsid w:val="005E29C5"/>
    <w:rsid w:val="005E46EB"/>
    <w:rsid w:val="005E49C5"/>
    <w:rsid w:val="005E5D1B"/>
    <w:rsid w:val="005F0AF3"/>
    <w:rsid w:val="005F128C"/>
    <w:rsid w:val="005F55F1"/>
    <w:rsid w:val="005F799D"/>
    <w:rsid w:val="005F7C01"/>
    <w:rsid w:val="005F7E58"/>
    <w:rsid w:val="00600CB8"/>
    <w:rsid w:val="00606207"/>
    <w:rsid w:val="006063F6"/>
    <w:rsid w:val="00606EF8"/>
    <w:rsid w:val="00612066"/>
    <w:rsid w:val="00612A3A"/>
    <w:rsid w:val="0061403C"/>
    <w:rsid w:val="006172E9"/>
    <w:rsid w:val="006173EB"/>
    <w:rsid w:val="00621988"/>
    <w:rsid w:val="00630236"/>
    <w:rsid w:val="00630C92"/>
    <w:rsid w:val="00630E21"/>
    <w:rsid w:val="0063144D"/>
    <w:rsid w:val="00635976"/>
    <w:rsid w:val="006407C2"/>
    <w:rsid w:val="00641024"/>
    <w:rsid w:val="0064127B"/>
    <w:rsid w:val="006420C6"/>
    <w:rsid w:val="00643B56"/>
    <w:rsid w:val="00647018"/>
    <w:rsid w:val="006508C9"/>
    <w:rsid w:val="00651D58"/>
    <w:rsid w:val="006601AD"/>
    <w:rsid w:val="0066313A"/>
    <w:rsid w:val="00664B32"/>
    <w:rsid w:val="00667D33"/>
    <w:rsid w:val="0067053E"/>
    <w:rsid w:val="00670E3C"/>
    <w:rsid w:val="006735C7"/>
    <w:rsid w:val="006741C9"/>
    <w:rsid w:val="00674AA9"/>
    <w:rsid w:val="00674B24"/>
    <w:rsid w:val="00676359"/>
    <w:rsid w:val="006775A9"/>
    <w:rsid w:val="00684982"/>
    <w:rsid w:val="00685B93"/>
    <w:rsid w:val="00685FF1"/>
    <w:rsid w:val="00690FEB"/>
    <w:rsid w:val="00695C2C"/>
    <w:rsid w:val="00695C89"/>
    <w:rsid w:val="00695CAE"/>
    <w:rsid w:val="00696BFE"/>
    <w:rsid w:val="006A0ABC"/>
    <w:rsid w:val="006A18AB"/>
    <w:rsid w:val="006A195E"/>
    <w:rsid w:val="006A2514"/>
    <w:rsid w:val="006A299C"/>
    <w:rsid w:val="006A4AEE"/>
    <w:rsid w:val="006A5510"/>
    <w:rsid w:val="006B634B"/>
    <w:rsid w:val="006B75BE"/>
    <w:rsid w:val="006B7DD6"/>
    <w:rsid w:val="006C41F1"/>
    <w:rsid w:val="006C4773"/>
    <w:rsid w:val="006C53DC"/>
    <w:rsid w:val="006C76B7"/>
    <w:rsid w:val="006D0A25"/>
    <w:rsid w:val="006D0D5A"/>
    <w:rsid w:val="006D0E79"/>
    <w:rsid w:val="006D4699"/>
    <w:rsid w:val="006D4772"/>
    <w:rsid w:val="006D69BF"/>
    <w:rsid w:val="006E0A73"/>
    <w:rsid w:val="006E1263"/>
    <w:rsid w:val="006E17A0"/>
    <w:rsid w:val="006E3B6A"/>
    <w:rsid w:val="006E5304"/>
    <w:rsid w:val="006E65FE"/>
    <w:rsid w:val="006E75ED"/>
    <w:rsid w:val="006E79FB"/>
    <w:rsid w:val="006F197D"/>
    <w:rsid w:val="006F310A"/>
    <w:rsid w:val="006F3F79"/>
    <w:rsid w:val="006F48DA"/>
    <w:rsid w:val="006F6315"/>
    <w:rsid w:val="006F71DB"/>
    <w:rsid w:val="006F7AB2"/>
    <w:rsid w:val="00701F38"/>
    <w:rsid w:val="00703DA0"/>
    <w:rsid w:val="00706572"/>
    <w:rsid w:val="007102BC"/>
    <w:rsid w:val="00711CB9"/>
    <w:rsid w:val="00711FAC"/>
    <w:rsid w:val="00713327"/>
    <w:rsid w:val="00713A3F"/>
    <w:rsid w:val="0071442D"/>
    <w:rsid w:val="00716918"/>
    <w:rsid w:val="00720B98"/>
    <w:rsid w:val="00722C49"/>
    <w:rsid w:val="007251A2"/>
    <w:rsid w:val="00732B54"/>
    <w:rsid w:val="00733771"/>
    <w:rsid w:val="0073379A"/>
    <w:rsid w:val="007363F3"/>
    <w:rsid w:val="007419FC"/>
    <w:rsid w:val="00741DE8"/>
    <w:rsid w:val="0074456B"/>
    <w:rsid w:val="00745364"/>
    <w:rsid w:val="00745AEC"/>
    <w:rsid w:val="00746067"/>
    <w:rsid w:val="00750B15"/>
    <w:rsid w:val="00752087"/>
    <w:rsid w:val="0075284F"/>
    <w:rsid w:val="00752B6E"/>
    <w:rsid w:val="00753ED3"/>
    <w:rsid w:val="00753F45"/>
    <w:rsid w:val="00755A6B"/>
    <w:rsid w:val="00756A1A"/>
    <w:rsid w:val="00757958"/>
    <w:rsid w:val="007579A2"/>
    <w:rsid w:val="007609BA"/>
    <w:rsid w:val="007611F9"/>
    <w:rsid w:val="0076441E"/>
    <w:rsid w:val="0076575C"/>
    <w:rsid w:val="00766F28"/>
    <w:rsid w:val="00767A3B"/>
    <w:rsid w:val="00770B94"/>
    <w:rsid w:val="00772E47"/>
    <w:rsid w:val="007733DA"/>
    <w:rsid w:val="00775532"/>
    <w:rsid w:val="00775D62"/>
    <w:rsid w:val="0077734B"/>
    <w:rsid w:val="0078068D"/>
    <w:rsid w:val="00780AB1"/>
    <w:rsid w:val="00780DD4"/>
    <w:rsid w:val="00781AC7"/>
    <w:rsid w:val="0078577B"/>
    <w:rsid w:val="00785916"/>
    <w:rsid w:val="007923EB"/>
    <w:rsid w:val="007933D0"/>
    <w:rsid w:val="0079378A"/>
    <w:rsid w:val="00793C12"/>
    <w:rsid w:val="00794DCE"/>
    <w:rsid w:val="00794EE0"/>
    <w:rsid w:val="007A3183"/>
    <w:rsid w:val="007A404A"/>
    <w:rsid w:val="007A436E"/>
    <w:rsid w:val="007A6ED9"/>
    <w:rsid w:val="007A7BD6"/>
    <w:rsid w:val="007B17CC"/>
    <w:rsid w:val="007B265A"/>
    <w:rsid w:val="007B553F"/>
    <w:rsid w:val="007B58B6"/>
    <w:rsid w:val="007B5D0C"/>
    <w:rsid w:val="007B679C"/>
    <w:rsid w:val="007B7750"/>
    <w:rsid w:val="007B78F0"/>
    <w:rsid w:val="007C12BB"/>
    <w:rsid w:val="007C6437"/>
    <w:rsid w:val="007C7582"/>
    <w:rsid w:val="007D1E46"/>
    <w:rsid w:val="007D52E8"/>
    <w:rsid w:val="007D6697"/>
    <w:rsid w:val="007D6FEC"/>
    <w:rsid w:val="007E004F"/>
    <w:rsid w:val="007E3150"/>
    <w:rsid w:val="007E3BB9"/>
    <w:rsid w:val="007E4696"/>
    <w:rsid w:val="007E5354"/>
    <w:rsid w:val="007E7EBB"/>
    <w:rsid w:val="007F1982"/>
    <w:rsid w:val="007F23C8"/>
    <w:rsid w:val="008026E3"/>
    <w:rsid w:val="00802718"/>
    <w:rsid w:val="00802DA3"/>
    <w:rsid w:val="00815775"/>
    <w:rsid w:val="008163B5"/>
    <w:rsid w:val="0081701D"/>
    <w:rsid w:val="00822E7B"/>
    <w:rsid w:val="00823734"/>
    <w:rsid w:val="00824CCD"/>
    <w:rsid w:val="00825780"/>
    <w:rsid w:val="00825F18"/>
    <w:rsid w:val="00827EC4"/>
    <w:rsid w:val="0083338F"/>
    <w:rsid w:val="00836E27"/>
    <w:rsid w:val="0084175C"/>
    <w:rsid w:val="00843966"/>
    <w:rsid w:val="00846FA3"/>
    <w:rsid w:val="008473B4"/>
    <w:rsid w:val="00851A79"/>
    <w:rsid w:val="00852814"/>
    <w:rsid w:val="0085321C"/>
    <w:rsid w:val="00854903"/>
    <w:rsid w:val="0085685B"/>
    <w:rsid w:val="00860876"/>
    <w:rsid w:val="00860DF4"/>
    <w:rsid w:val="00861FF8"/>
    <w:rsid w:val="00862415"/>
    <w:rsid w:val="00862D2A"/>
    <w:rsid w:val="008649BB"/>
    <w:rsid w:val="00865A6E"/>
    <w:rsid w:val="008665CD"/>
    <w:rsid w:val="00872202"/>
    <w:rsid w:val="00872F95"/>
    <w:rsid w:val="00873969"/>
    <w:rsid w:val="00875EEA"/>
    <w:rsid w:val="0088035B"/>
    <w:rsid w:val="00880AD1"/>
    <w:rsid w:val="00880BD9"/>
    <w:rsid w:val="0088181E"/>
    <w:rsid w:val="008832AE"/>
    <w:rsid w:val="008833C7"/>
    <w:rsid w:val="008839AD"/>
    <w:rsid w:val="008850E1"/>
    <w:rsid w:val="0088717C"/>
    <w:rsid w:val="0089049F"/>
    <w:rsid w:val="00890EE8"/>
    <w:rsid w:val="00891F28"/>
    <w:rsid w:val="00893CC9"/>
    <w:rsid w:val="008A04E1"/>
    <w:rsid w:val="008A1B79"/>
    <w:rsid w:val="008A2FBE"/>
    <w:rsid w:val="008A5FA7"/>
    <w:rsid w:val="008B678C"/>
    <w:rsid w:val="008C0AE5"/>
    <w:rsid w:val="008C25BA"/>
    <w:rsid w:val="008C4BE1"/>
    <w:rsid w:val="008C71B8"/>
    <w:rsid w:val="008D01FA"/>
    <w:rsid w:val="008D3548"/>
    <w:rsid w:val="008E063C"/>
    <w:rsid w:val="008E39D7"/>
    <w:rsid w:val="008E769B"/>
    <w:rsid w:val="008F1FF4"/>
    <w:rsid w:val="008F2252"/>
    <w:rsid w:val="008F26AD"/>
    <w:rsid w:val="008F6C15"/>
    <w:rsid w:val="0090663B"/>
    <w:rsid w:val="009066D1"/>
    <w:rsid w:val="00906ED3"/>
    <w:rsid w:val="00907311"/>
    <w:rsid w:val="0091103C"/>
    <w:rsid w:val="0091139A"/>
    <w:rsid w:val="009118CF"/>
    <w:rsid w:val="00912DF0"/>
    <w:rsid w:val="00914480"/>
    <w:rsid w:val="00927F26"/>
    <w:rsid w:val="00933BA3"/>
    <w:rsid w:val="00934713"/>
    <w:rsid w:val="00935684"/>
    <w:rsid w:val="00936230"/>
    <w:rsid w:val="00936D2E"/>
    <w:rsid w:val="00937D47"/>
    <w:rsid w:val="00942440"/>
    <w:rsid w:val="00947808"/>
    <w:rsid w:val="00950518"/>
    <w:rsid w:val="00950B09"/>
    <w:rsid w:val="00951E43"/>
    <w:rsid w:val="00954BD4"/>
    <w:rsid w:val="00957594"/>
    <w:rsid w:val="00960901"/>
    <w:rsid w:val="009628FD"/>
    <w:rsid w:val="00962E9E"/>
    <w:rsid w:val="0096341D"/>
    <w:rsid w:val="00964A73"/>
    <w:rsid w:val="00965624"/>
    <w:rsid w:val="0096787F"/>
    <w:rsid w:val="00967FA0"/>
    <w:rsid w:val="009723E8"/>
    <w:rsid w:val="00973559"/>
    <w:rsid w:val="00975AB8"/>
    <w:rsid w:val="009765EE"/>
    <w:rsid w:val="00977C39"/>
    <w:rsid w:val="00977CE3"/>
    <w:rsid w:val="00981DDD"/>
    <w:rsid w:val="009858E5"/>
    <w:rsid w:val="0098724E"/>
    <w:rsid w:val="00990536"/>
    <w:rsid w:val="0099157D"/>
    <w:rsid w:val="009930B4"/>
    <w:rsid w:val="00994F55"/>
    <w:rsid w:val="009971F7"/>
    <w:rsid w:val="009978EF"/>
    <w:rsid w:val="00997F0E"/>
    <w:rsid w:val="009A05A9"/>
    <w:rsid w:val="009A0E23"/>
    <w:rsid w:val="009A14CA"/>
    <w:rsid w:val="009A19E5"/>
    <w:rsid w:val="009A4996"/>
    <w:rsid w:val="009A590E"/>
    <w:rsid w:val="009A69A1"/>
    <w:rsid w:val="009A710F"/>
    <w:rsid w:val="009A716D"/>
    <w:rsid w:val="009A78A8"/>
    <w:rsid w:val="009B06D9"/>
    <w:rsid w:val="009B0A74"/>
    <w:rsid w:val="009B1300"/>
    <w:rsid w:val="009B1BC6"/>
    <w:rsid w:val="009B1F3C"/>
    <w:rsid w:val="009B5F23"/>
    <w:rsid w:val="009C05D6"/>
    <w:rsid w:val="009C1A71"/>
    <w:rsid w:val="009C1BB7"/>
    <w:rsid w:val="009C28E3"/>
    <w:rsid w:val="009C7278"/>
    <w:rsid w:val="009D1CD3"/>
    <w:rsid w:val="009D5753"/>
    <w:rsid w:val="009D7CFC"/>
    <w:rsid w:val="009E126A"/>
    <w:rsid w:val="009E73D8"/>
    <w:rsid w:val="009F2779"/>
    <w:rsid w:val="009F27DA"/>
    <w:rsid w:val="009F3024"/>
    <w:rsid w:val="009F41BB"/>
    <w:rsid w:val="009F50D0"/>
    <w:rsid w:val="009F60EA"/>
    <w:rsid w:val="009F694E"/>
    <w:rsid w:val="00A04EC6"/>
    <w:rsid w:val="00A0524C"/>
    <w:rsid w:val="00A05BEE"/>
    <w:rsid w:val="00A07406"/>
    <w:rsid w:val="00A10D77"/>
    <w:rsid w:val="00A11C8E"/>
    <w:rsid w:val="00A12355"/>
    <w:rsid w:val="00A1239B"/>
    <w:rsid w:val="00A139C6"/>
    <w:rsid w:val="00A13E61"/>
    <w:rsid w:val="00A22C82"/>
    <w:rsid w:val="00A2317D"/>
    <w:rsid w:val="00A2415D"/>
    <w:rsid w:val="00A24362"/>
    <w:rsid w:val="00A25C14"/>
    <w:rsid w:val="00A25C5D"/>
    <w:rsid w:val="00A2657A"/>
    <w:rsid w:val="00A2749B"/>
    <w:rsid w:val="00A27731"/>
    <w:rsid w:val="00A27C2B"/>
    <w:rsid w:val="00A31192"/>
    <w:rsid w:val="00A336F8"/>
    <w:rsid w:val="00A33A40"/>
    <w:rsid w:val="00A33AB8"/>
    <w:rsid w:val="00A35544"/>
    <w:rsid w:val="00A362FA"/>
    <w:rsid w:val="00A379CF"/>
    <w:rsid w:val="00A37F30"/>
    <w:rsid w:val="00A405C0"/>
    <w:rsid w:val="00A427D0"/>
    <w:rsid w:val="00A4452A"/>
    <w:rsid w:val="00A53F4A"/>
    <w:rsid w:val="00A54A7D"/>
    <w:rsid w:val="00A5719B"/>
    <w:rsid w:val="00A57F1E"/>
    <w:rsid w:val="00A61435"/>
    <w:rsid w:val="00A6157C"/>
    <w:rsid w:val="00A634A2"/>
    <w:rsid w:val="00A66A5B"/>
    <w:rsid w:val="00A66E82"/>
    <w:rsid w:val="00A71B93"/>
    <w:rsid w:val="00A71D0A"/>
    <w:rsid w:val="00A72528"/>
    <w:rsid w:val="00A76F04"/>
    <w:rsid w:val="00A84551"/>
    <w:rsid w:val="00A84666"/>
    <w:rsid w:val="00A8593B"/>
    <w:rsid w:val="00A906A1"/>
    <w:rsid w:val="00A911F3"/>
    <w:rsid w:val="00A95E11"/>
    <w:rsid w:val="00A966F7"/>
    <w:rsid w:val="00AA04A9"/>
    <w:rsid w:val="00AA14E8"/>
    <w:rsid w:val="00AA1BF8"/>
    <w:rsid w:val="00AA2CB0"/>
    <w:rsid w:val="00AA2F8B"/>
    <w:rsid w:val="00AA305A"/>
    <w:rsid w:val="00AA43EB"/>
    <w:rsid w:val="00AA5901"/>
    <w:rsid w:val="00AA6652"/>
    <w:rsid w:val="00AA6EBB"/>
    <w:rsid w:val="00AA7211"/>
    <w:rsid w:val="00AB014D"/>
    <w:rsid w:val="00AB0BED"/>
    <w:rsid w:val="00AB1CB7"/>
    <w:rsid w:val="00AB26EB"/>
    <w:rsid w:val="00AB3AAD"/>
    <w:rsid w:val="00AB5409"/>
    <w:rsid w:val="00AC0764"/>
    <w:rsid w:val="00AC0930"/>
    <w:rsid w:val="00AC205D"/>
    <w:rsid w:val="00AC2B7E"/>
    <w:rsid w:val="00AC55A9"/>
    <w:rsid w:val="00AC5DB9"/>
    <w:rsid w:val="00AC6158"/>
    <w:rsid w:val="00AC73ED"/>
    <w:rsid w:val="00AD01A4"/>
    <w:rsid w:val="00AD3009"/>
    <w:rsid w:val="00AD4032"/>
    <w:rsid w:val="00AD4059"/>
    <w:rsid w:val="00AD459D"/>
    <w:rsid w:val="00AD4C55"/>
    <w:rsid w:val="00AD6D6C"/>
    <w:rsid w:val="00AE078E"/>
    <w:rsid w:val="00AE0E52"/>
    <w:rsid w:val="00AE210F"/>
    <w:rsid w:val="00AE5643"/>
    <w:rsid w:val="00AE5DEE"/>
    <w:rsid w:val="00AE76B4"/>
    <w:rsid w:val="00AF234E"/>
    <w:rsid w:val="00AF2BCC"/>
    <w:rsid w:val="00AF2E45"/>
    <w:rsid w:val="00AF6607"/>
    <w:rsid w:val="00B016E5"/>
    <w:rsid w:val="00B0177A"/>
    <w:rsid w:val="00B02ABF"/>
    <w:rsid w:val="00B0546B"/>
    <w:rsid w:val="00B05AD7"/>
    <w:rsid w:val="00B07167"/>
    <w:rsid w:val="00B07CBF"/>
    <w:rsid w:val="00B10376"/>
    <w:rsid w:val="00B132EE"/>
    <w:rsid w:val="00B160BA"/>
    <w:rsid w:val="00B238B0"/>
    <w:rsid w:val="00B23BF5"/>
    <w:rsid w:val="00B23C15"/>
    <w:rsid w:val="00B244ED"/>
    <w:rsid w:val="00B24749"/>
    <w:rsid w:val="00B24DAA"/>
    <w:rsid w:val="00B26051"/>
    <w:rsid w:val="00B27141"/>
    <w:rsid w:val="00B27169"/>
    <w:rsid w:val="00B30EA1"/>
    <w:rsid w:val="00B31FC1"/>
    <w:rsid w:val="00B32BBC"/>
    <w:rsid w:val="00B33187"/>
    <w:rsid w:val="00B3397E"/>
    <w:rsid w:val="00B35F13"/>
    <w:rsid w:val="00B36580"/>
    <w:rsid w:val="00B36772"/>
    <w:rsid w:val="00B37233"/>
    <w:rsid w:val="00B37267"/>
    <w:rsid w:val="00B37B93"/>
    <w:rsid w:val="00B42BA8"/>
    <w:rsid w:val="00B42E2A"/>
    <w:rsid w:val="00B452BC"/>
    <w:rsid w:val="00B45B9E"/>
    <w:rsid w:val="00B45E2A"/>
    <w:rsid w:val="00B472C5"/>
    <w:rsid w:val="00B5039F"/>
    <w:rsid w:val="00B53425"/>
    <w:rsid w:val="00B53CAA"/>
    <w:rsid w:val="00B543EE"/>
    <w:rsid w:val="00B5586C"/>
    <w:rsid w:val="00B569AB"/>
    <w:rsid w:val="00B607F9"/>
    <w:rsid w:val="00B61A72"/>
    <w:rsid w:val="00B65F11"/>
    <w:rsid w:val="00B66226"/>
    <w:rsid w:val="00B67CD3"/>
    <w:rsid w:val="00B67CDF"/>
    <w:rsid w:val="00B72EC4"/>
    <w:rsid w:val="00B7662F"/>
    <w:rsid w:val="00B76A89"/>
    <w:rsid w:val="00B80311"/>
    <w:rsid w:val="00B80575"/>
    <w:rsid w:val="00B832D5"/>
    <w:rsid w:val="00B83FB7"/>
    <w:rsid w:val="00B84547"/>
    <w:rsid w:val="00B85A13"/>
    <w:rsid w:val="00B85E3C"/>
    <w:rsid w:val="00B91599"/>
    <w:rsid w:val="00B92CB4"/>
    <w:rsid w:val="00B93981"/>
    <w:rsid w:val="00B94192"/>
    <w:rsid w:val="00B955D8"/>
    <w:rsid w:val="00B95668"/>
    <w:rsid w:val="00B958BD"/>
    <w:rsid w:val="00B96B5D"/>
    <w:rsid w:val="00B974E0"/>
    <w:rsid w:val="00B978EA"/>
    <w:rsid w:val="00BA439E"/>
    <w:rsid w:val="00BA5005"/>
    <w:rsid w:val="00BA6C1C"/>
    <w:rsid w:val="00BA7B0D"/>
    <w:rsid w:val="00BB081F"/>
    <w:rsid w:val="00BB1FA0"/>
    <w:rsid w:val="00BB600D"/>
    <w:rsid w:val="00BB75A2"/>
    <w:rsid w:val="00BC14D0"/>
    <w:rsid w:val="00BC4A44"/>
    <w:rsid w:val="00BC76D2"/>
    <w:rsid w:val="00BD0E89"/>
    <w:rsid w:val="00BD1FC9"/>
    <w:rsid w:val="00BD200D"/>
    <w:rsid w:val="00BD3316"/>
    <w:rsid w:val="00BD3EE5"/>
    <w:rsid w:val="00BD40D2"/>
    <w:rsid w:val="00BD7BF3"/>
    <w:rsid w:val="00BE44A1"/>
    <w:rsid w:val="00BE5ECC"/>
    <w:rsid w:val="00BE78E3"/>
    <w:rsid w:val="00BF261D"/>
    <w:rsid w:val="00BF45BB"/>
    <w:rsid w:val="00BF7BEA"/>
    <w:rsid w:val="00C00DE7"/>
    <w:rsid w:val="00C035A0"/>
    <w:rsid w:val="00C05A36"/>
    <w:rsid w:val="00C10F5A"/>
    <w:rsid w:val="00C11E33"/>
    <w:rsid w:val="00C15762"/>
    <w:rsid w:val="00C22068"/>
    <w:rsid w:val="00C26938"/>
    <w:rsid w:val="00C3003E"/>
    <w:rsid w:val="00C3032E"/>
    <w:rsid w:val="00C31B0C"/>
    <w:rsid w:val="00C3255F"/>
    <w:rsid w:val="00C32BBE"/>
    <w:rsid w:val="00C3372D"/>
    <w:rsid w:val="00C33B81"/>
    <w:rsid w:val="00C3555D"/>
    <w:rsid w:val="00C3790B"/>
    <w:rsid w:val="00C435EE"/>
    <w:rsid w:val="00C437A6"/>
    <w:rsid w:val="00C440DD"/>
    <w:rsid w:val="00C4521D"/>
    <w:rsid w:val="00C46F5D"/>
    <w:rsid w:val="00C510A6"/>
    <w:rsid w:val="00C515AC"/>
    <w:rsid w:val="00C51D51"/>
    <w:rsid w:val="00C52255"/>
    <w:rsid w:val="00C572BA"/>
    <w:rsid w:val="00C57C75"/>
    <w:rsid w:val="00C616DA"/>
    <w:rsid w:val="00C66C8A"/>
    <w:rsid w:val="00C84AF3"/>
    <w:rsid w:val="00C902B4"/>
    <w:rsid w:val="00C92876"/>
    <w:rsid w:val="00C934AC"/>
    <w:rsid w:val="00C94B5B"/>
    <w:rsid w:val="00C95F6D"/>
    <w:rsid w:val="00C96607"/>
    <w:rsid w:val="00C97688"/>
    <w:rsid w:val="00CA0103"/>
    <w:rsid w:val="00CA41FC"/>
    <w:rsid w:val="00CA4B8B"/>
    <w:rsid w:val="00CA5B4B"/>
    <w:rsid w:val="00CA699B"/>
    <w:rsid w:val="00CB0283"/>
    <w:rsid w:val="00CB1D5D"/>
    <w:rsid w:val="00CB2DCC"/>
    <w:rsid w:val="00CB4FB0"/>
    <w:rsid w:val="00CC1468"/>
    <w:rsid w:val="00CC21C4"/>
    <w:rsid w:val="00CC2388"/>
    <w:rsid w:val="00CC355E"/>
    <w:rsid w:val="00CD0D03"/>
    <w:rsid w:val="00CD35C4"/>
    <w:rsid w:val="00CD47F3"/>
    <w:rsid w:val="00CD58F5"/>
    <w:rsid w:val="00CE055D"/>
    <w:rsid w:val="00CE22AE"/>
    <w:rsid w:val="00CE3351"/>
    <w:rsid w:val="00CE3D4D"/>
    <w:rsid w:val="00CE4FA1"/>
    <w:rsid w:val="00CE5F39"/>
    <w:rsid w:val="00CF493E"/>
    <w:rsid w:val="00CF6F3B"/>
    <w:rsid w:val="00D01799"/>
    <w:rsid w:val="00D0710F"/>
    <w:rsid w:val="00D101C4"/>
    <w:rsid w:val="00D103AD"/>
    <w:rsid w:val="00D1042E"/>
    <w:rsid w:val="00D108D9"/>
    <w:rsid w:val="00D10D51"/>
    <w:rsid w:val="00D11EF9"/>
    <w:rsid w:val="00D12E23"/>
    <w:rsid w:val="00D13A6E"/>
    <w:rsid w:val="00D14069"/>
    <w:rsid w:val="00D2194B"/>
    <w:rsid w:val="00D22446"/>
    <w:rsid w:val="00D2464C"/>
    <w:rsid w:val="00D269FB"/>
    <w:rsid w:val="00D30D9E"/>
    <w:rsid w:val="00D3140A"/>
    <w:rsid w:val="00D36F57"/>
    <w:rsid w:val="00D37C00"/>
    <w:rsid w:val="00D400F2"/>
    <w:rsid w:val="00D4061A"/>
    <w:rsid w:val="00D40D04"/>
    <w:rsid w:val="00D463B8"/>
    <w:rsid w:val="00D4777E"/>
    <w:rsid w:val="00D53B47"/>
    <w:rsid w:val="00D54B9A"/>
    <w:rsid w:val="00D55973"/>
    <w:rsid w:val="00D62331"/>
    <w:rsid w:val="00D62EC9"/>
    <w:rsid w:val="00D6348C"/>
    <w:rsid w:val="00D651FE"/>
    <w:rsid w:val="00D66E44"/>
    <w:rsid w:val="00D70106"/>
    <w:rsid w:val="00D713B5"/>
    <w:rsid w:val="00D7225D"/>
    <w:rsid w:val="00D72D4E"/>
    <w:rsid w:val="00D74ECF"/>
    <w:rsid w:val="00D808E7"/>
    <w:rsid w:val="00D840F8"/>
    <w:rsid w:val="00D842B8"/>
    <w:rsid w:val="00D84609"/>
    <w:rsid w:val="00D84A13"/>
    <w:rsid w:val="00D86914"/>
    <w:rsid w:val="00D872E5"/>
    <w:rsid w:val="00D87FC0"/>
    <w:rsid w:val="00D911D4"/>
    <w:rsid w:val="00D9262F"/>
    <w:rsid w:val="00D9644F"/>
    <w:rsid w:val="00D96AD5"/>
    <w:rsid w:val="00D96BF0"/>
    <w:rsid w:val="00DA1622"/>
    <w:rsid w:val="00DA4275"/>
    <w:rsid w:val="00DA502C"/>
    <w:rsid w:val="00DA7675"/>
    <w:rsid w:val="00DB1325"/>
    <w:rsid w:val="00DB4BE6"/>
    <w:rsid w:val="00DB5AD3"/>
    <w:rsid w:val="00DB74A4"/>
    <w:rsid w:val="00DC0992"/>
    <w:rsid w:val="00DC37D4"/>
    <w:rsid w:val="00DC4387"/>
    <w:rsid w:val="00DC6BDA"/>
    <w:rsid w:val="00DD044F"/>
    <w:rsid w:val="00DD5FB6"/>
    <w:rsid w:val="00DD605F"/>
    <w:rsid w:val="00DD71CF"/>
    <w:rsid w:val="00DD7AD4"/>
    <w:rsid w:val="00DE14D7"/>
    <w:rsid w:val="00DE1FBB"/>
    <w:rsid w:val="00DE344B"/>
    <w:rsid w:val="00DE440E"/>
    <w:rsid w:val="00DE5DDC"/>
    <w:rsid w:val="00DE5F04"/>
    <w:rsid w:val="00DF0739"/>
    <w:rsid w:val="00DF11F5"/>
    <w:rsid w:val="00DF21B0"/>
    <w:rsid w:val="00DF240B"/>
    <w:rsid w:val="00DF341C"/>
    <w:rsid w:val="00DF4A87"/>
    <w:rsid w:val="00E02421"/>
    <w:rsid w:val="00E03E2A"/>
    <w:rsid w:val="00E063FE"/>
    <w:rsid w:val="00E104EB"/>
    <w:rsid w:val="00E116C7"/>
    <w:rsid w:val="00E1274F"/>
    <w:rsid w:val="00E12A8E"/>
    <w:rsid w:val="00E144C4"/>
    <w:rsid w:val="00E15F05"/>
    <w:rsid w:val="00E17CB8"/>
    <w:rsid w:val="00E21C85"/>
    <w:rsid w:val="00E25FBC"/>
    <w:rsid w:val="00E26CA0"/>
    <w:rsid w:val="00E303A0"/>
    <w:rsid w:val="00E3134E"/>
    <w:rsid w:val="00E351E7"/>
    <w:rsid w:val="00E36CC2"/>
    <w:rsid w:val="00E4046E"/>
    <w:rsid w:val="00E40C66"/>
    <w:rsid w:val="00E44452"/>
    <w:rsid w:val="00E46A7E"/>
    <w:rsid w:val="00E479FD"/>
    <w:rsid w:val="00E5181A"/>
    <w:rsid w:val="00E53E6E"/>
    <w:rsid w:val="00E53EB5"/>
    <w:rsid w:val="00E544B3"/>
    <w:rsid w:val="00E5489E"/>
    <w:rsid w:val="00E54B2D"/>
    <w:rsid w:val="00E55CC8"/>
    <w:rsid w:val="00E57D23"/>
    <w:rsid w:val="00E612B8"/>
    <w:rsid w:val="00E61682"/>
    <w:rsid w:val="00E6200A"/>
    <w:rsid w:val="00E6567A"/>
    <w:rsid w:val="00E679B6"/>
    <w:rsid w:val="00E67D65"/>
    <w:rsid w:val="00E71883"/>
    <w:rsid w:val="00E71EF3"/>
    <w:rsid w:val="00E721ED"/>
    <w:rsid w:val="00E7344B"/>
    <w:rsid w:val="00E74357"/>
    <w:rsid w:val="00E807C7"/>
    <w:rsid w:val="00E80C48"/>
    <w:rsid w:val="00E81B63"/>
    <w:rsid w:val="00E824A5"/>
    <w:rsid w:val="00E82EBD"/>
    <w:rsid w:val="00E87852"/>
    <w:rsid w:val="00E900F6"/>
    <w:rsid w:val="00E92CF3"/>
    <w:rsid w:val="00E959D2"/>
    <w:rsid w:val="00EA00C9"/>
    <w:rsid w:val="00EA1D45"/>
    <w:rsid w:val="00EA64D1"/>
    <w:rsid w:val="00EA71E5"/>
    <w:rsid w:val="00EA7E91"/>
    <w:rsid w:val="00EB0BBF"/>
    <w:rsid w:val="00EB22F9"/>
    <w:rsid w:val="00EB7A1E"/>
    <w:rsid w:val="00EB7C00"/>
    <w:rsid w:val="00EC0827"/>
    <w:rsid w:val="00EC093B"/>
    <w:rsid w:val="00EC0FF0"/>
    <w:rsid w:val="00EC1FFE"/>
    <w:rsid w:val="00EC34C3"/>
    <w:rsid w:val="00EC3CEC"/>
    <w:rsid w:val="00EC787A"/>
    <w:rsid w:val="00ED00BF"/>
    <w:rsid w:val="00ED03FE"/>
    <w:rsid w:val="00ED2672"/>
    <w:rsid w:val="00ED345D"/>
    <w:rsid w:val="00ED47B6"/>
    <w:rsid w:val="00ED6E81"/>
    <w:rsid w:val="00ED72C1"/>
    <w:rsid w:val="00ED7ACB"/>
    <w:rsid w:val="00ED7FBA"/>
    <w:rsid w:val="00EE2B88"/>
    <w:rsid w:val="00EE2F4E"/>
    <w:rsid w:val="00EE3075"/>
    <w:rsid w:val="00EE401F"/>
    <w:rsid w:val="00EF2132"/>
    <w:rsid w:val="00EF33FC"/>
    <w:rsid w:val="00F01067"/>
    <w:rsid w:val="00F02284"/>
    <w:rsid w:val="00F06DA9"/>
    <w:rsid w:val="00F10154"/>
    <w:rsid w:val="00F10237"/>
    <w:rsid w:val="00F126BD"/>
    <w:rsid w:val="00F12FE6"/>
    <w:rsid w:val="00F21937"/>
    <w:rsid w:val="00F23651"/>
    <w:rsid w:val="00F2509A"/>
    <w:rsid w:val="00F253DD"/>
    <w:rsid w:val="00F26B17"/>
    <w:rsid w:val="00F3042F"/>
    <w:rsid w:val="00F330E1"/>
    <w:rsid w:val="00F36CD5"/>
    <w:rsid w:val="00F37ED8"/>
    <w:rsid w:val="00F423B6"/>
    <w:rsid w:val="00F44182"/>
    <w:rsid w:val="00F4752C"/>
    <w:rsid w:val="00F551F5"/>
    <w:rsid w:val="00F5763E"/>
    <w:rsid w:val="00F7151A"/>
    <w:rsid w:val="00F72059"/>
    <w:rsid w:val="00F723FD"/>
    <w:rsid w:val="00F72D90"/>
    <w:rsid w:val="00F73690"/>
    <w:rsid w:val="00F73C42"/>
    <w:rsid w:val="00F75590"/>
    <w:rsid w:val="00F77307"/>
    <w:rsid w:val="00F77F64"/>
    <w:rsid w:val="00F813DB"/>
    <w:rsid w:val="00F814E3"/>
    <w:rsid w:val="00F867C2"/>
    <w:rsid w:val="00F9031D"/>
    <w:rsid w:val="00F90B15"/>
    <w:rsid w:val="00F91E93"/>
    <w:rsid w:val="00F92DEA"/>
    <w:rsid w:val="00F95A21"/>
    <w:rsid w:val="00F979FC"/>
    <w:rsid w:val="00F97F0A"/>
    <w:rsid w:val="00FA1719"/>
    <w:rsid w:val="00FA1A20"/>
    <w:rsid w:val="00FA3D43"/>
    <w:rsid w:val="00FA5EB2"/>
    <w:rsid w:val="00FA7984"/>
    <w:rsid w:val="00FB1314"/>
    <w:rsid w:val="00FB180C"/>
    <w:rsid w:val="00FB73A9"/>
    <w:rsid w:val="00FC04EC"/>
    <w:rsid w:val="00FC0B04"/>
    <w:rsid w:val="00FC10E6"/>
    <w:rsid w:val="00FC1247"/>
    <w:rsid w:val="00FC4A1B"/>
    <w:rsid w:val="00FC601B"/>
    <w:rsid w:val="00FC6BB3"/>
    <w:rsid w:val="00FD0761"/>
    <w:rsid w:val="00FD2B21"/>
    <w:rsid w:val="00FD2F2C"/>
    <w:rsid w:val="00FD3E05"/>
    <w:rsid w:val="00FD4092"/>
    <w:rsid w:val="00FD5616"/>
    <w:rsid w:val="00FD588A"/>
    <w:rsid w:val="00FE1EEF"/>
    <w:rsid w:val="00FE2745"/>
    <w:rsid w:val="00FE3D0E"/>
    <w:rsid w:val="00FE51FF"/>
    <w:rsid w:val="00FE5CA3"/>
    <w:rsid w:val="00FE67D3"/>
    <w:rsid w:val="00FE7C33"/>
    <w:rsid w:val="00FE7E05"/>
    <w:rsid w:val="00FF0FAB"/>
    <w:rsid w:val="00FF161F"/>
    <w:rsid w:val="00FF208F"/>
    <w:rsid w:val="00FF2C1D"/>
    <w:rsid w:val="00FF5A27"/>
    <w:rsid w:val="00FF697D"/>
    <w:rsid w:val="00FF7084"/>
    <w:rsid w:val="00FF77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1B391D9"/>
  <w15:docId w15:val="{A3662F04-5956-439A-AA87-1E5D5384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388F"/>
    <w:pPr>
      <w:spacing w:after="120"/>
    </w:pPr>
    <w:rPr>
      <w:sz w:val="20"/>
    </w:rPr>
  </w:style>
  <w:style w:type="paragraph" w:styleId="Heading1">
    <w:name w:val="heading 1"/>
    <w:basedOn w:val="Normal"/>
    <w:next w:val="Normal"/>
    <w:link w:val="Heading1Char"/>
    <w:uiPriority w:val="9"/>
    <w:qFormat/>
    <w:rsid w:val="0064127B"/>
    <w:pPr>
      <w:keepNext/>
      <w:keepLines/>
      <w:numPr>
        <w:numId w:val="34"/>
      </w:numPr>
      <w:spacing w:before="480" w:after="240"/>
      <w:outlineLvl w:val="0"/>
    </w:pPr>
    <w:rPr>
      <w:rFonts w:asciiTheme="majorHAnsi" w:eastAsiaTheme="majorEastAsia" w:hAnsiTheme="majorHAnsi" w:cstheme="majorBidi"/>
      <w:b/>
      <w:bCs/>
      <w:color w:val="2BB673"/>
      <w:sz w:val="28"/>
      <w:szCs w:val="28"/>
    </w:rPr>
  </w:style>
  <w:style w:type="paragraph" w:styleId="Heading2">
    <w:name w:val="heading 2"/>
    <w:basedOn w:val="Normal"/>
    <w:next w:val="Normal"/>
    <w:link w:val="Heading2Char"/>
    <w:unhideWhenUsed/>
    <w:qFormat/>
    <w:rsid w:val="0064127B"/>
    <w:pPr>
      <w:keepNext/>
      <w:keepLines/>
      <w:numPr>
        <w:ilvl w:val="1"/>
        <w:numId w:val="34"/>
      </w:numPr>
      <w:spacing w:before="240" w:after="200"/>
      <w:outlineLvl w:val="1"/>
    </w:pPr>
    <w:rPr>
      <w:rFonts w:asciiTheme="majorHAnsi" w:eastAsiaTheme="majorEastAsia" w:hAnsiTheme="majorHAnsi" w:cstheme="majorBidi"/>
      <w:b/>
      <w:bCs/>
      <w:color w:val="2BB673"/>
      <w:szCs w:val="26"/>
    </w:rPr>
  </w:style>
  <w:style w:type="paragraph" w:styleId="Heading3">
    <w:name w:val="heading 3"/>
    <w:basedOn w:val="Normal"/>
    <w:next w:val="Normal"/>
    <w:link w:val="Heading3Char"/>
    <w:unhideWhenUsed/>
    <w:qFormat/>
    <w:rsid w:val="0064127B"/>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0F5BE2"/>
    <w:pPr>
      <w:keepNext/>
      <w:keepLines/>
      <w:numPr>
        <w:ilvl w:val="3"/>
        <w:numId w:val="34"/>
      </w:numPr>
      <w:spacing w:before="200"/>
      <w:outlineLvl w:val="3"/>
    </w:pPr>
    <w:rPr>
      <w:rFonts w:asciiTheme="majorHAnsi" w:eastAsiaTheme="majorEastAsia" w:hAnsiTheme="majorHAnsi" w:cstheme="majorBidi"/>
      <w:b/>
      <w:bCs/>
      <w:i/>
      <w:iCs/>
      <w:color w:val="2BB673" w:themeColor="accent1"/>
    </w:rPr>
  </w:style>
  <w:style w:type="paragraph" w:styleId="Heading5">
    <w:name w:val="heading 5"/>
    <w:basedOn w:val="Normal"/>
    <w:next w:val="Normal"/>
    <w:link w:val="Heading5Char"/>
    <w:unhideWhenUsed/>
    <w:qFormat/>
    <w:rsid w:val="000F5BE2"/>
    <w:pPr>
      <w:keepNext/>
      <w:keepLines/>
      <w:numPr>
        <w:ilvl w:val="4"/>
        <w:numId w:val="34"/>
      </w:numPr>
      <w:spacing w:before="200"/>
      <w:outlineLvl w:val="4"/>
    </w:pPr>
    <w:rPr>
      <w:rFonts w:asciiTheme="majorHAnsi" w:eastAsiaTheme="majorEastAsia" w:hAnsiTheme="majorHAnsi" w:cstheme="majorBidi"/>
      <w:color w:val="155A39" w:themeColor="accent1" w:themeShade="7F"/>
    </w:rPr>
  </w:style>
  <w:style w:type="paragraph" w:styleId="Heading6">
    <w:name w:val="heading 6"/>
    <w:basedOn w:val="Normal"/>
    <w:next w:val="Normal"/>
    <w:link w:val="Heading6Char"/>
    <w:unhideWhenUsed/>
    <w:qFormat/>
    <w:rsid w:val="000F5BE2"/>
    <w:pPr>
      <w:keepNext/>
      <w:keepLines/>
      <w:numPr>
        <w:ilvl w:val="5"/>
        <w:numId w:val="34"/>
      </w:numPr>
      <w:spacing w:before="20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nhideWhenUsed/>
    <w:qFormat/>
    <w:rsid w:val="000F5BE2"/>
    <w:pPr>
      <w:keepNext/>
      <w:keepLines/>
      <w:numPr>
        <w:ilvl w:val="6"/>
        <w:numId w:val="3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0F5BE2"/>
    <w:pPr>
      <w:keepNext/>
      <w:keepLines/>
      <w:numPr>
        <w:ilvl w:val="7"/>
        <w:numId w:val="3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0F5BE2"/>
    <w:pPr>
      <w:keepNext/>
      <w:keepLines/>
      <w:numPr>
        <w:ilvl w:val="8"/>
        <w:numId w:val="3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27B"/>
    <w:rPr>
      <w:rFonts w:asciiTheme="majorHAnsi" w:eastAsiaTheme="majorEastAsia" w:hAnsiTheme="majorHAnsi" w:cstheme="majorBidi"/>
      <w:b/>
      <w:bCs/>
      <w:color w:val="2BB673"/>
      <w:sz w:val="28"/>
      <w:szCs w:val="28"/>
    </w:rPr>
  </w:style>
  <w:style w:type="character" w:customStyle="1" w:styleId="Heading2Char">
    <w:name w:val="Heading 2 Char"/>
    <w:basedOn w:val="DefaultParagraphFont"/>
    <w:link w:val="Heading2"/>
    <w:rsid w:val="0064127B"/>
    <w:rPr>
      <w:rFonts w:asciiTheme="majorHAnsi" w:eastAsiaTheme="majorEastAsia" w:hAnsiTheme="majorHAnsi" w:cstheme="majorBidi"/>
      <w:b/>
      <w:bCs/>
      <w:color w:val="2BB673"/>
      <w:sz w:val="20"/>
      <w:szCs w:val="26"/>
    </w:rPr>
  </w:style>
  <w:style w:type="character" w:customStyle="1" w:styleId="Heading3Char">
    <w:name w:val="Heading 3 Char"/>
    <w:basedOn w:val="DefaultParagraphFont"/>
    <w:link w:val="Heading3"/>
    <w:rsid w:val="0064127B"/>
    <w:rPr>
      <w:rFonts w:asciiTheme="majorHAnsi" w:eastAsiaTheme="majorEastAsia" w:hAnsiTheme="majorHAnsi" w:cstheme="majorBidi"/>
      <w:b/>
      <w:bCs/>
      <w:sz w:val="20"/>
      <w:lang w:val="en-US"/>
    </w:rPr>
  </w:style>
  <w:style w:type="character" w:customStyle="1" w:styleId="Heading4Char">
    <w:name w:val="Heading 4 Char"/>
    <w:basedOn w:val="DefaultParagraphFont"/>
    <w:link w:val="Heading4"/>
    <w:rsid w:val="00C66C8A"/>
    <w:rPr>
      <w:rFonts w:asciiTheme="majorHAnsi" w:eastAsiaTheme="majorEastAsia" w:hAnsiTheme="majorHAnsi" w:cstheme="majorBidi"/>
      <w:b/>
      <w:bCs/>
      <w:i/>
      <w:iCs/>
      <w:color w:val="2BB673" w:themeColor="accent1"/>
      <w:sz w:val="20"/>
    </w:rPr>
  </w:style>
  <w:style w:type="character" w:customStyle="1" w:styleId="Heading5Char">
    <w:name w:val="Heading 5 Char"/>
    <w:basedOn w:val="DefaultParagraphFont"/>
    <w:link w:val="Heading5"/>
    <w:rsid w:val="000F5BE2"/>
    <w:rPr>
      <w:rFonts w:asciiTheme="majorHAnsi" w:eastAsiaTheme="majorEastAsia" w:hAnsiTheme="majorHAnsi" w:cstheme="majorBidi"/>
      <w:color w:val="155A39" w:themeColor="accent1" w:themeShade="7F"/>
      <w:sz w:val="20"/>
    </w:rPr>
  </w:style>
  <w:style w:type="character" w:customStyle="1" w:styleId="Heading6Char">
    <w:name w:val="Heading 6 Char"/>
    <w:basedOn w:val="DefaultParagraphFont"/>
    <w:link w:val="Heading6"/>
    <w:rsid w:val="000F5BE2"/>
    <w:rPr>
      <w:rFonts w:asciiTheme="majorHAnsi" w:eastAsiaTheme="majorEastAsia" w:hAnsiTheme="majorHAnsi" w:cstheme="majorBidi"/>
      <w:i/>
      <w:iCs/>
      <w:color w:val="155A39" w:themeColor="accent1" w:themeShade="7F"/>
      <w:sz w:val="20"/>
    </w:rPr>
  </w:style>
  <w:style w:type="character" w:customStyle="1" w:styleId="Heading7Char">
    <w:name w:val="Heading 7 Char"/>
    <w:basedOn w:val="DefaultParagraphFont"/>
    <w:link w:val="Heading7"/>
    <w:rsid w:val="000F5BE2"/>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0F5B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0F5BE2"/>
    <w:rPr>
      <w:rFonts w:asciiTheme="majorHAnsi" w:eastAsiaTheme="majorEastAsia" w:hAnsiTheme="majorHAnsi" w:cstheme="majorBidi"/>
      <w:i/>
      <w:iCs/>
      <w:color w:val="404040" w:themeColor="text1" w:themeTint="BF"/>
      <w:sz w:val="20"/>
      <w:szCs w:val="20"/>
    </w:rPr>
  </w:style>
  <w:style w:type="paragraph" w:styleId="EnvelopeAddress">
    <w:name w:val="envelope address"/>
    <w:basedOn w:val="Normal"/>
    <w:uiPriority w:val="99"/>
    <w:semiHidden/>
    <w:rsid w:val="0059621B"/>
  </w:style>
  <w:style w:type="paragraph" w:styleId="Closing">
    <w:name w:val="Closing"/>
    <w:basedOn w:val="EnvelopeAddress"/>
    <w:link w:val="ClosingChar"/>
    <w:uiPriority w:val="99"/>
    <w:semiHidden/>
    <w:rsid w:val="0059621B"/>
    <w:pPr>
      <w:keepNext/>
      <w:keepLines/>
    </w:pPr>
  </w:style>
  <w:style w:type="character" w:customStyle="1" w:styleId="ClosingChar">
    <w:name w:val="Closing Char"/>
    <w:basedOn w:val="DefaultParagraphFont"/>
    <w:link w:val="Closing"/>
    <w:uiPriority w:val="99"/>
    <w:semiHidden/>
    <w:rsid w:val="00C66C8A"/>
    <w:rPr>
      <w:sz w:val="20"/>
      <w:lang w:val="en-US"/>
    </w:rPr>
  </w:style>
  <w:style w:type="paragraph" w:styleId="BodyText">
    <w:name w:val="Body Text"/>
    <w:basedOn w:val="Normal"/>
    <w:link w:val="BodyTextChar"/>
    <w:uiPriority w:val="99"/>
    <w:semiHidden/>
    <w:rsid w:val="00960901"/>
    <w:rPr>
      <w:sz w:val="18"/>
    </w:rPr>
  </w:style>
  <w:style w:type="character" w:customStyle="1" w:styleId="BodyTextChar">
    <w:name w:val="Body Text Char"/>
    <w:basedOn w:val="DefaultParagraphFont"/>
    <w:link w:val="BodyText"/>
    <w:uiPriority w:val="99"/>
    <w:semiHidden/>
    <w:rsid w:val="00C66C8A"/>
    <w:rPr>
      <w:sz w:val="18"/>
      <w:lang w:val="en-US"/>
    </w:rPr>
  </w:style>
  <w:style w:type="paragraph" w:styleId="Title">
    <w:name w:val="Title"/>
    <w:basedOn w:val="Normal"/>
    <w:next w:val="Normal"/>
    <w:link w:val="TitleChar"/>
    <w:uiPriority w:val="10"/>
    <w:qFormat/>
    <w:rsid w:val="00AE5643"/>
    <w:pPr>
      <w:spacing w:line="240" w:lineRule="auto"/>
      <w:contextualSpacing/>
    </w:pPr>
    <w:rPr>
      <w:rFonts w:asciiTheme="majorHAnsi" w:eastAsiaTheme="majorEastAsia" w:hAnsiTheme="majorHAnsi" w:cstheme="majorBidi"/>
      <w:b/>
      <w:color w:val="FFFFFF" w:themeColor="background1"/>
      <w:spacing w:val="5"/>
      <w:kern w:val="28"/>
      <w:sz w:val="50"/>
      <w:szCs w:val="52"/>
    </w:rPr>
  </w:style>
  <w:style w:type="character" w:customStyle="1" w:styleId="TitleChar">
    <w:name w:val="Title Char"/>
    <w:basedOn w:val="DefaultParagraphFont"/>
    <w:link w:val="Title"/>
    <w:uiPriority w:val="10"/>
    <w:rsid w:val="00C66C8A"/>
    <w:rPr>
      <w:rFonts w:asciiTheme="majorHAnsi" w:eastAsiaTheme="majorEastAsia" w:hAnsiTheme="majorHAnsi" w:cstheme="majorBidi"/>
      <w:b/>
      <w:color w:val="FFFFFF" w:themeColor="background1"/>
      <w:spacing w:val="5"/>
      <w:kern w:val="28"/>
      <w:sz w:val="50"/>
      <w:szCs w:val="52"/>
      <w:lang w:val="en-US"/>
    </w:rPr>
  </w:style>
  <w:style w:type="paragraph" w:styleId="Subtitle">
    <w:name w:val="Subtitle"/>
    <w:basedOn w:val="Normal"/>
    <w:next w:val="Normal"/>
    <w:link w:val="SubtitleChar"/>
    <w:uiPriority w:val="11"/>
    <w:qFormat/>
    <w:rsid w:val="00AE5643"/>
    <w:pPr>
      <w:numPr>
        <w:ilvl w:val="1"/>
      </w:numPr>
      <w:spacing w:before="320"/>
    </w:pPr>
    <w:rPr>
      <w:rFonts w:asciiTheme="majorHAnsi" w:eastAsiaTheme="majorEastAsia" w:hAnsiTheme="majorHAnsi" w:cstheme="majorBidi"/>
      <w:iCs/>
      <w:color w:val="FFFFFF" w:themeColor="background1"/>
      <w:spacing w:val="15"/>
      <w:sz w:val="32"/>
      <w:szCs w:val="24"/>
    </w:rPr>
  </w:style>
  <w:style w:type="character" w:customStyle="1" w:styleId="SubtitleChar">
    <w:name w:val="Subtitle Char"/>
    <w:basedOn w:val="DefaultParagraphFont"/>
    <w:link w:val="Subtitle"/>
    <w:uiPriority w:val="11"/>
    <w:rsid w:val="00AE5643"/>
    <w:rPr>
      <w:rFonts w:asciiTheme="majorHAnsi" w:eastAsiaTheme="majorEastAsia" w:hAnsiTheme="majorHAnsi" w:cstheme="majorBidi"/>
      <w:iCs/>
      <w:color w:val="FFFFFF" w:themeColor="background1"/>
      <w:spacing w:val="15"/>
      <w:sz w:val="32"/>
      <w:szCs w:val="24"/>
    </w:rPr>
  </w:style>
  <w:style w:type="paragraph" w:styleId="Header">
    <w:name w:val="header"/>
    <w:basedOn w:val="Normal"/>
    <w:link w:val="HeaderChar"/>
    <w:uiPriority w:val="99"/>
    <w:semiHidden/>
    <w:rsid w:val="00612A3A"/>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C66C8A"/>
    <w:rPr>
      <w:sz w:val="20"/>
      <w:lang w:val="en-US"/>
    </w:rPr>
  </w:style>
  <w:style w:type="paragraph" w:styleId="Footer">
    <w:name w:val="footer"/>
    <w:basedOn w:val="Normal"/>
    <w:link w:val="FooterChar"/>
    <w:uiPriority w:val="99"/>
    <w:unhideWhenUsed/>
    <w:rsid w:val="00A04EC6"/>
    <w:pPr>
      <w:tabs>
        <w:tab w:val="right" w:pos="9724"/>
      </w:tabs>
      <w:spacing w:line="240" w:lineRule="auto"/>
      <w:ind w:left="-737"/>
    </w:pPr>
    <w:rPr>
      <w:sz w:val="14"/>
    </w:rPr>
  </w:style>
  <w:style w:type="character" w:customStyle="1" w:styleId="FooterChar">
    <w:name w:val="Footer Char"/>
    <w:basedOn w:val="DefaultParagraphFont"/>
    <w:link w:val="Footer"/>
    <w:uiPriority w:val="99"/>
    <w:rsid w:val="00A04EC6"/>
    <w:rPr>
      <w:sz w:val="14"/>
      <w:lang w:val="en-US"/>
    </w:rPr>
  </w:style>
  <w:style w:type="paragraph" w:styleId="BalloonText">
    <w:name w:val="Balloon Text"/>
    <w:basedOn w:val="Normal"/>
    <w:link w:val="BalloonTextChar"/>
    <w:uiPriority w:val="99"/>
    <w:semiHidden/>
    <w:unhideWhenUsed/>
    <w:rsid w:val="00612A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A3A"/>
    <w:rPr>
      <w:rFonts w:ascii="Tahoma" w:hAnsi="Tahoma" w:cs="Tahoma"/>
      <w:sz w:val="16"/>
      <w:szCs w:val="16"/>
    </w:rPr>
  </w:style>
  <w:style w:type="table" w:styleId="TableGrid">
    <w:name w:val="Table Grid"/>
    <w:basedOn w:val="TableNormal"/>
    <w:uiPriority w:val="59"/>
    <w:rsid w:val="00AE5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E5643"/>
    <w:rPr>
      <w:color w:val="808080"/>
    </w:rPr>
  </w:style>
  <w:style w:type="paragraph" w:styleId="ListNumber">
    <w:name w:val="List Number"/>
    <w:basedOn w:val="Normal"/>
    <w:uiPriority w:val="99"/>
    <w:qFormat/>
    <w:rsid w:val="00B07CBF"/>
    <w:pPr>
      <w:numPr>
        <w:numId w:val="1"/>
      </w:numPr>
      <w:contextualSpacing/>
    </w:pPr>
  </w:style>
  <w:style w:type="paragraph" w:styleId="ListBullet">
    <w:name w:val="List Bullet"/>
    <w:basedOn w:val="Normal"/>
    <w:uiPriority w:val="99"/>
    <w:qFormat/>
    <w:rsid w:val="000F5BE2"/>
    <w:pPr>
      <w:numPr>
        <w:numId w:val="2"/>
      </w:numPr>
      <w:ind w:left="284" w:hanging="284"/>
      <w:contextualSpacing/>
    </w:pPr>
  </w:style>
  <w:style w:type="paragraph" w:styleId="Caption">
    <w:name w:val="caption"/>
    <w:basedOn w:val="Normal"/>
    <w:next w:val="Normal"/>
    <w:link w:val="CaptionChar"/>
    <w:uiPriority w:val="35"/>
    <w:qFormat/>
    <w:rsid w:val="003B753E"/>
    <w:pPr>
      <w:keepNext/>
      <w:spacing w:before="60" w:after="200" w:line="240" w:lineRule="auto"/>
    </w:pPr>
    <w:rPr>
      <w:bCs/>
      <w:color w:val="2BB673"/>
      <w:sz w:val="18"/>
      <w:szCs w:val="18"/>
    </w:rPr>
  </w:style>
  <w:style w:type="character" w:customStyle="1" w:styleId="CaptionChar">
    <w:name w:val="Caption Char"/>
    <w:basedOn w:val="DefaultParagraphFont"/>
    <w:link w:val="Caption"/>
    <w:uiPriority w:val="35"/>
    <w:rsid w:val="003B753E"/>
    <w:rPr>
      <w:bCs/>
      <w:color w:val="2BB673"/>
      <w:sz w:val="18"/>
      <w:szCs w:val="18"/>
    </w:rPr>
  </w:style>
  <w:style w:type="table" w:customStyle="1" w:styleId="CarbonLimitsTable">
    <w:name w:val="Carbon Limits Table"/>
    <w:basedOn w:val="TableNormal"/>
    <w:uiPriority w:val="99"/>
    <w:rsid w:val="0064127B"/>
    <w:pPr>
      <w:spacing w:after="0" w:line="240" w:lineRule="auto"/>
    </w:pPr>
    <w:tblPr>
      <w:tblBorders>
        <w:bottom w:val="single" w:sz="4" w:space="0" w:color="939598"/>
        <w:insideH w:val="single" w:sz="4" w:space="0" w:color="939598"/>
      </w:tblBorders>
      <w:tblCellMar>
        <w:top w:w="57" w:type="dxa"/>
        <w:left w:w="0" w:type="dxa"/>
        <w:bottom w:w="57" w:type="dxa"/>
        <w:right w:w="0" w:type="dxa"/>
      </w:tblCellMar>
    </w:tblPr>
    <w:tblStylePr w:type="firstRow">
      <w:rPr>
        <w:b/>
      </w:rPr>
      <w:tblPr/>
      <w:tcPr>
        <w:tcBorders>
          <w:bottom w:val="single" w:sz="8" w:space="0" w:color="2BB673"/>
        </w:tcBorders>
      </w:tcPr>
    </w:tblStylePr>
  </w:style>
  <w:style w:type="paragraph" w:styleId="FootnoteText">
    <w:name w:val="footnote text"/>
    <w:basedOn w:val="Normal"/>
    <w:link w:val="FootnoteTextChar"/>
    <w:uiPriority w:val="99"/>
    <w:unhideWhenUsed/>
    <w:rsid w:val="0064127B"/>
    <w:pPr>
      <w:spacing w:line="240" w:lineRule="auto"/>
    </w:pPr>
    <w:rPr>
      <w:sz w:val="18"/>
      <w:szCs w:val="20"/>
    </w:rPr>
  </w:style>
  <w:style w:type="character" w:customStyle="1" w:styleId="FootnoteTextChar">
    <w:name w:val="Footnote Text Char"/>
    <w:basedOn w:val="DefaultParagraphFont"/>
    <w:link w:val="FootnoteText"/>
    <w:uiPriority w:val="99"/>
    <w:rsid w:val="0064127B"/>
    <w:rPr>
      <w:sz w:val="18"/>
      <w:szCs w:val="20"/>
      <w:lang w:val="en-US"/>
    </w:rPr>
  </w:style>
  <w:style w:type="character" w:styleId="FootnoteReference">
    <w:name w:val="footnote reference"/>
    <w:basedOn w:val="DefaultParagraphFont"/>
    <w:uiPriority w:val="99"/>
    <w:unhideWhenUsed/>
    <w:rsid w:val="0064127B"/>
    <w:rPr>
      <w:vertAlign w:val="superscript"/>
    </w:rPr>
  </w:style>
  <w:style w:type="paragraph" w:styleId="ListParagraph">
    <w:name w:val="List Paragraph"/>
    <w:aliases w:val="Resume Title,Bullet Styles para,List Paragraph1,List Paragraph (numbered (a)),Indent Paragraph,Bullets,Colorful List - Accent 11,References,Source"/>
    <w:basedOn w:val="Normal"/>
    <w:link w:val="ListParagraphChar"/>
    <w:uiPriority w:val="34"/>
    <w:qFormat/>
    <w:rsid w:val="00A54A7D"/>
    <w:pPr>
      <w:spacing w:after="160" w:line="259" w:lineRule="auto"/>
      <w:contextualSpacing/>
    </w:pPr>
    <w:rPr>
      <w:lang w:val="en-US"/>
    </w:rPr>
  </w:style>
  <w:style w:type="character" w:customStyle="1" w:styleId="ListParagraphChar">
    <w:name w:val="List Paragraph Char"/>
    <w:aliases w:val="Resume Title Char,Bullet Styles para Char,List Paragraph1 Char,List Paragraph (numbered (a)) Char,Indent Paragraph Char,Bullets Char,Colorful List - Accent 11 Char,References Char,Source Char"/>
    <w:basedOn w:val="DefaultParagraphFont"/>
    <w:link w:val="ListParagraph"/>
    <w:uiPriority w:val="34"/>
    <w:rsid w:val="00E26CA0"/>
    <w:rPr>
      <w:sz w:val="20"/>
      <w:lang w:val="en-US"/>
    </w:rPr>
  </w:style>
  <w:style w:type="character" w:customStyle="1" w:styleId="apple-converted-space">
    <w:name w:val="apple-converted-space"/>
    <w:basedOn w:val="DefaultParagraphFont"/>
    <w:rsid w:val="00A54A7D"/>
  </w:style>
  <w:style w:type="character" w:styleId="Emphasis">
    <w:name w:val="Emphasis"/>
    <w:basedOn w:val="DefaultParagraphFont"/>
    <w:uiPriority w:val="20"/>
    <w:qFormat/>
    <w:rsid w:val="00A54A7D"/>
    <w:rPr>
      <w:i/>
      <w:iCs/>
    </w:rPr>
  </w:style>
  <w:style w:type="character" w:styleId="Strong">
    <w:name w:val="Strong"/>
    <w:basedOn w:val="DefaultParagraphFont"/>
    <w:uiPriority w:val="22"/>
    <w:qFormat/>
    <w:rsid w:val="00A54A7D"/>
    <w:rPr>
      <w:b/>
      <w:bCs/>
    </w:rPr>
  </w:style>
  <w:style w:type="paragraph" w:customStyle="1" w:styleId="footnote">
    <w:name w:val="footnote"/>
    <w:basedOn w:val="Normal"/>
    <w:link w:val="footnoteChar"/>
    <w:qFormat/>
    <w:rsid w:val="007A404A"/>
    <w:pPr>
      <w:spacing w:after="0" w:line="240" w:lineRule="auto"/>
    </w:pPr>
    <w:rPr>
      <w:noProof/>
      <w:color w:val="7F7F7F" w:themeColor="text1" w:themeTint="80"/>
      <w:sz w:val="18"/>
      <w:lang w:eastAsia="nb-NO"/>
    </w:rPr>
  </w:style>
  <w:style w:type="character" w:customStyle="1" w:styleId="footnoteChar">
    <w:name w:val="footnote Char"/>
    <w:basedOn w:val="DefaultParagraphFont"/>
    <w:link w:val="footnote"/>
    <w:rsid w:val="007A404A"/>
    <w:rPr>
      <w:noProof/>
      <w:color w:val="7F7F7F" w:themeColor="text1" w:themeTint="80"/>
      <w:sz w:val="18"/>
      <w:lang w:eastAsia="nb-NO"/>
    </w:rPr>
  </w:style>
  <w:style w:type="paragraph" w:styleId="TOCHeading">
    <w:name w:val="TOC Heading"/>
    <w:basedOn w:val="Heading1"/>
    <w:next w:val="Normal"/>
    <w:uiPriority w:val="39"/>
    <w:unhideWhenUsed/>
    <w:qFormat/>
    <w:rsid w:val="00A54A7D"/>
    <w:pPr>
      <w:numPr>
        <w:numId w:val="0"/>
      </w:numPr>
      <w:spacing w:before="240" w:after="0" w:line="259" w:lineRule="auto"/>
      <w:outlineLvl w:val="9"/>
    </w:pPr>
    <w:rPr>
      <w:b w:val="0"/>
      <w:bCs w:val="0"/>
      <w:color w:val="208855" w:themeColor="accent1" w:themeShade="BF"/>
      <w:sz w:val="32"/>
      <w:szCs w:val="32"/>
      <w:lang w:val="en-US"/>
    </w:rPr>
  </w:style>
  <w:style w:type="paragraph" w:styleId="TOC1">
    <w:name w:val="toc 1"/>
    <w:basedOn w:val="Normal"/>
    <w:next w:val="Normal"/>
    <w:autoRedefine/>
    <w:uiPriority w:val="39"/>
    <w:unhideWhenUsed/>
    <w:rsid w:val="00073089"/>
    <w:pPr>
      <w:tabs>
        <w:tab w:val="right" w:leader="dot" w:pos="9089"/>
      </w:tabs>
      <w:spacing w:after="100"/>
    </w:pPr>
  </w:style>
  <w:style w:type="paragraph" w:styleId="TOC2">
    <w:name w:val="toc 2"/>
    <w:basedOn w:val="Normal"/>
    <w:next w:val="Normal"/>
    <w:autoRedefine/>
    <w:uiPriority w:val="39"/>
    <w:unhideWhenUsed/>
    <w:rsid w:val="00A54A7D"/>
    <w:pPr>
      <w:spacing w:after="100"/>
      <w:ind w:left="200"/>
    </w:pPr>
  </w:style>
  <w:style w:type="paragraph" w:styleId="TOC3">
    <w:name w:val="toc 3"/>
    <w:basedOn w:val="Normal"/>
    <w:next w:val="Normal"/>
    <w:autoRedefine/>
    <w:uiPriority w:val="39"/>
    <w:unhideWhenUsed/>
    <w:rsid w:val="00A54A7D"/>
    <w:pPr>
      <w:spacing w:after="100"/>
      <w:ind w:left="400"/>
    </w:pPr>
  </w:style>
  <w:style w:type="character" w:styleId="Hyperlink">
    <w:name w:val="Hyperlink"/>
    <w:basedOn w:val="DefaultParagraphFont"/>
    <w:uiPriority w:val="99"/>
    <w:unhideWhenUsed/>
    <w:rsid w:val="00A54A7D"/>
    <w:rPr>
      <w:color w:val="0000FF" w:themeColor="hyperlink"/>
      <w:u w:val="single"/>
    </w:rPr>
  </w:style>
  <w:style w:type="paragraph" w:styleId="TableofFigures">
    <w:name w:val="table of figures"/>
    <w:basedOn w:val="Normal"/>
    <w:next w:val="Normal"/>
    <w:uiPriority w:val="99"/>
    <w:unhideWhenUsed/>
    <w:rsid w:val="00A54A7D"/>
  </w:style>
  <w:style w:type="character" w:styleId="FollowedHyperlink">
    <w:name w:val="FollowedHyperlink"/>
    <w:basedOn w:val="DefaultParagraphFont"/>
    <w:uiPriority w:val="99"/>
    <w:semiHidden/>
    <w:unhideWhenUsed/>
    <w:rsid w:val="00A54A7D"/>
    <w:rPr>
      <w:color w:val="800080" w:themeColor="followedHyperlink"/>
      <w:u w:val="single"/>
    </w:rPr>
  </w:style>
  <w:style w:type="character" w:styleId="CommentReference">
    <w:name w:val="annotation reference"/>
    <w:basedOn w:val="DefaultParagraphFont"/>
    <w:uiPriority w:val="99"/>
    <w:semiHidden/>
    <w:unhideWhenUsed/>
    <w:rsid w:val="00A54A7D"/>
    <w:rPr>
      <w:sz w:val="16"/>
      <w:szCs w:val="16"/>
    </w:rPr>
  </w:style>
  <w:style w:type="paragraph" w:styleId="CommentText">
    <w:name w:val="annotation text"/>
    <w:basedOn w:val="Normal"/>
    <w:link w:val="CommentTextChar"/>
    <w:uiPriority w:val="99"/>
    <w:unhideWhenUsed/>
    <w:rsid w:val="00A54A7D"/>
    <w:pPr>
      <w:spacing w:line="240" w:lineRule="auto"/>
    </w:pPr>
    <w:rPr>
      <w:szCs w:val="20"/>
    </w:rPr>
  </w:style>
  <w:style w:type="character" w:customStyle="1" w:styleId="CommentTextChar">
    <w:name w:val="Comment Text Char"/>
    <w:basedOn w:val="DefaultParagraphFont"/>
    <w:link w:val="CommentText"/>
    <w:uiPriority w:val="99"/>
    <w:rsid w:val="00A54A7D"/>
    <w:rPr>
      <w:sz w:val="20"/>
      <w:szCs w:val="20"/>
    </w:rPr>
  </w:style>
  <w:style w:type="paragraph" w:styleId="CommentSubject">
    <w:name w:val="annotation subject"/>
    <w:basedOn w:val="CommentText"/>
    <w:next w:val="CommentText"/>
    <w:link w:val="CommentSubjectChar"/>
    <w:uiPriority w:val="99"/>
    <w:semiHidden/>
    <w:unhideWhenUsed/>
    <w:rsid w:val="00A54A7D"/>
    <w:rPr>
      <w:b/>
      <w:bCs/>
    </w:rPr>
  </w:style>
  <w:style w:type="character" w:customStyle="1" w:styleId="CommentSubjectChar">
    <w:name w:val="Comment Subject Char"/>
    <w:basedOn w:val="CommentTextChar"/>
    <w:link w:val="CommentSubject"/>
    <w:uiPriority w:val="99"/>
    <w:semiHidden/>
    <w:rsid w:val="00A54A7D"/>
    <w:rPr>
      <w:b/>
      <w:bCs/>
      <w:sz w:val="20"/>
      <w:szCs w:val="20"/>
    </w:rPr>
  </w:style>
  <w:style w:type="paragraph" w:customStyle="1" w:styleId="CharCharCharCharChar">
    <w:name w:val="Char Char Char Char Char"/>
    <w:basedOn w:val="Normal"/>
    <w:rsid w:val="00A54A7D"/>
    <w:pPr>
      <w:autoSpaceDE w:val="0"/>
      <w:autoSpaceDN w:val="0"/>
      <w:spacing w:after="160" w:line="240" w:lineRule="exact"/>
    </w:pPr>
    <w:rPr>
      <w:rFonts w:ascii="Arial" w:eastAsia="Times New Roman" w:hAnsi="Arial" w:cs="Arial"/>
      <w:b/>
      <w:szCs w:val="20"/>
      <w:lang w:val="en-US" w:eastAsia="de-DE"/>
    </w:rPr>
  </w:style>
  <w:style w:type="paragraph" w:customStyle="1" w:styleId="Default">
    <w:name w:val="Default"/>
    <w:rsid w:val="003E7E4E"/>
    <w:pPr>
      <w:autoSpaceDE w:val="0"/>
      <w:autoSpaceDN w:val="0"/>
      <w:adjustRightInd w:val="0"/>
      <w:spacing w:after="0" w:line="240" w:lineRule="auto"/>
    </w:pPr>
    <w:rPr>
      <w:rFonts w:ascii="Arial" w:hAnsi="Arial" w:cs="Arial"/>
      <w:color w:val="000000"/>
      <w:sz w:val="24"/>
      <w:szCs w:val="24"/>
      <w:lang w:val="en-US"/>
    </w:rPr>
  </w:style>
  <w:style w:type="paragraph" w:customStyle="1" w:styleId="CharCharCharCharChar0">
    <w:name w:val="Char Char Char Char Char0"/>
    <w:basedOn w:val="Normal"/>
    <w:rsid w:val="00C97688"/>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1">
    <w:name w:val="Char Char Char Char Char1"/>
    <w:basedOn w:val="Normal"/>
    <w:rsid w:val="00F77307"/>
    <w:pPr>
      <w:autoSpaceDE w:val="0"/>
      <w:autoSpaceDN w:val="0"/>
      <w:spacing w:after="160" w:line="240" w:lineRule="exact"/>
    </w:pPr>
    <w:rPr>
      <w:rFonts w:ascii="Arial" w:eastAsia="Times New Roman" w:hAnsi="Arial" w:cs="Arial"/>
      <w:b/>
      <w:szCs w:val="20"/>
      <w:lang w:val="en-US" w:eastAsia="de-DE"/>
    </w:rPr>
  </w:style>
  <w:style w:type="paragraph" w:styleId="NormalWeb">
    <w:name w:val="Normal (Web)"/>
    <w:basedOn w:val="Normal"/>
    <w:uiPriority w:val="99"/>
    <w:unhideWhenUsed/>
    <w:rsid w:val="006B7DD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IntenseEmphasis">
    <w:name w:val="Intense Emphasis"/>
    <w:basedOn w:val="DefaultParagraphFont"/>
    <w:uiPriority w:val="21"/>
    <w:qFormat/>
    <w:rsid w:val="00357330"/>
    <w:rPr>
      <w:b/>
      <w:bCs/>
      <w:i/>
      <w:iCs/>
      <w:color w:val="2BB673" w:themeColor="accent1"/>
    </w:rPr>
  </w:style>
  <w:style w:type="table" w:styleId="LightShading-Accent1">
    <w:name w:val="Light Shading Accent 1"/>
    <w:basedOn w:val="TableNormal"/>
    <w:uiPriority w:val="60"/>
    <w:rsid w:val="00E25FBC"/>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Grid-Accent6">
    <w:name w:val="Light Grid Accent 6"/>
    <w:basedOn w:val="TableNormal"/>
    <w:uiPriority w:val="62"/>
    <w:rsid w:val="00E25FBC"/>
    <w:pPr>
      <w:spacing w:after="0" w:line="240" w:lineRule="auto"/>
    </w:pPr>
    <w:tblPr>
      <w:tblStyleRowBandSize w:val="1"/>
      <w:tblStyleColBandSize w:val="1"/>
      <w:tblBorders>
        <w:top w:val="single" w:sz="8" w:space="0" w:color="155B39" w:themeColor="accent6"/>
        <w:left w:val="single" w:sz="8" w:space="0" w:color="155B39" w:themeColor="accent6"/>
        <w:bottom w:val="single" w:sz="8" w:space="0" w:color="155B39" w:themeColor="accent6"/>
        <w:right w:val="single" w:sz="8" w:space="0" w:color="155B39" w:themeColor="accent6"/>
        <w:insideH w:val="single" w:sz="8" w:space="0" w:color="155B39" w:themeColor="accent6"/>
        <w:insideV w:val="single" w:sz="8" w:space="0" w:color="155B3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B39" w:themeColor="accent6"/>
          <w:left w:val="single" w:sz="8" w:space="0" w:color="155B39" w:themeColor="accent6"/>
          <w:bottom w:val="single" w:sz="18" w:space="0" w:color="155B39" w:themeColor="accent6"/>
          <w:right w:val="single" w:sz="8" w:space="0" w:color="155B39" w:themeColor="accent6"/>
          <w:insideH w:val="nil"/>
          <w:insideV w:val="single" w:sz="8" w:space="0" w:color="155B3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B39" w:themeColor="accent6"/>
          <w:left w:val="single" w:sz="8" w:space="0" w:color="155B39" w:themeColor="accent6"/>
          <w:bottom w:val="single" w:sz="8" w:space="0" w:color="155B39" w:themeColor="accent6"/>
          <w:right w:val="single" w:sz="8" w:space="0" w:color="155B39" w:themeColor="accent6"/>
          <w:insideH w:val="nil"/>
          <w:insideV w:val="single" w:sz="8" w:space="0" w:color="155B3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B39" w:themeColor="accent6"/>
          <w:left w:val="single" w:sz="8" w:space="0" w:color="155B39" w:themeColor="accent6"/>
          <w:bottom w:val="single" w:sz="8" w:space="0" w:color="155B39" w:themeColor="accent6"/>
          <w:right w:val="single" w:sz="8" w:space="0" w:color="155B39" w:themeColor="accent6"/>
        </w:tcBorders>
      </w:tcPr>
    </w:tblStylePr>
    <w:tblStylePr w:type="band1Vert">
      <w:tblPr/>
      <w:tcPr>
        <w:tcBorders>
          <w:top w:val="single" w:sz="8" w:space="0" w:color="155B39" w:themeColor="accent6"/>
          <w:left w:val="single" w:sz="8" w:space="0" w:color="155B39" w:themeColor="accent6"/>
          <w:bottom w:val="single" w:sz="8" w:space="0" w:color="155B39" w:themeColor="accent6"/>
          <w:right w:val="single" w:sz="8" w:space="0" w:color="155B39" w:themeColor="accent6"/>
        </w:tcBorders>
        <w:shd w:val="clear" w:color="auto" w:fill="AFECCE" w:themeFill="accent6" w:themeFillTint="3F"/>
      </w:tcPr>
    </w:tblStylePr>
    <w:tblStylePr w:type="band1Horz">
      <w:tblPr/>
      <w:tcPr>
        <w:tcBorders>
          <w:top w:val="single" w:sz="8" w:space="0" w:color="155B39" w:themeColor="accent6"/>
          <w:left w:val="single" w:sz="8" w:space="0" w:color="155B39" w:themeColor="accent6"/>
          <w:bottom w:val="single" w:sz="8" w:space="0" w:color="155B39" w:themeColor="accent6"/>
          <w:right w:val="single" w:sz="8" w:space="0" w:color="155B39" w:themeColor="accent6"/>
          <w:insideV w:val="single" w:sz="8" w:space="0" w:color="155B39" w:themeColor="accent6"/>
        </w:tcBorders>
        <w:shd w:val="clear" w:color="auto" w:fill="AFECCE" w:themeFill="accent6" w:themeFillTint="3F"/>
      </w:tcPr>
    </w:tblStylePr>
    <w:tblStylePr w:type="band2Horz">
      <w:tblPr/>
      <w:tcPr>
        <w:tcBorders>
          <w:top w:val="single" w:sz="8" w:space="0" w:color="155B39" w:themeColor="accent6"/>
          <w:left w:val="single" w:sz="8" w:space="0" w:color="155B39" w:themeColor="accent6"/>
          <w:bottom w:val="single" w:sz="8" w:space="0" w:color="155B39" w:themeColor="accent6"/>
          <w:right w:val="single" w:sz="8" w:space="0" w:color="155B39" w:themeColor="accent6"/>
          <w:insideV w:val="single" w:sz="8" w:space="0" w:color="155B39" w:themeColor="accent6"/>
        </w:tcBorders>
      </w:tcPr>
    </w:tblStylePr>
  </w:style>
  <w:style w:type="table" w:styleId="MediumShading1-Accent1">
    <w:name w:val="Medium Shading 1 Accent 1"/>
    <w:basedOn w:val="TableNormal"/>
    <w:uiPriority w:val="63"/>
    <w:rsid w:val="00E25FBC"/>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AB5409"/>
    <w:pPr>
      <w:spacing w:after="0" w:line="240" w:lineRule="auto"/>
    </w:pPr>
    <w:rPr>
      <w:sz w:val="20"/>
    </w:rPr>
  </w:style>
  <w:style w:type="character" w:styleId="SubtleEmphasis">
    <w:name w:val="Subtle Emphasis"/>
    <w:basedOn w:val="DefaultParagraphFont"/>
    <w:uiPriority w:val="19"/>
    <w:qFormat/>
    <w:rsid w:val="00AB5409"/>
    <w:rPr>
      <w:b/>
      <w:i/>
      <w:iCs/>
      <w:color w:val="808080" w:themeColor="text1" w:themeTint="7F"/>
    </w:rPr>
  </w:style>
  <w:style w:type="paragraph" w:customStyle="1" w:styleId="Bulletinparagraph">
    <w:name w:val="Bullet in paragraph"/>
    <w:basedOn w:val="Normal"/>
    <w:link w:val="BulletinparagraphChar"/>
    <w:qFormat/>
    <w:rsid w:val="00AB5409"/>
    <w:pPr>
      <w:spacing w:after="0" w:line="264" w:lineRule="auto"/>
      <w:jc w:val="both"/>
    </w:pPr>
    <w:rPr>
      <w:rFonts w:eastAsia="Times New Roman" w:cs="Times New Roman"/>
      <w:b/>
      <w:i/>
      <w:color w:val="7F7F7F" w:themeColor="text1" w:themeTint="80"/>
      <w:sz w:val="24"/>
      <w:szCs w:val="24"/>
      <w:lang w:val="en-GB"/>
    </w:rPr>
  </w:style>
  <w:style w:type="character" w:customStyle="1" w:styleId="BulletinparagraphChar">
    <w:name w:val="Bullet in paragraph Char"/>
    <w:basedOn w:val="DefaultParagraphFont"/>
    <w:link w:val="Bulletinparagraph"/>
    <w:rsid w:val="00AB5409"/>
    <w:rPr>
      <w:rFonts w:eastAsia="Times New Roman" w:cs="Times New Roman"/>
      <w:b/>
      <w:i/>
      <w:color w:val="7F7F7F" w:themeColor="text1" w:themeTint="80"/>
      <w:sz w:val="24"/>
      <w:szCs w:val="24"/>
      <w:lang w:val="en-GB"/>
    </w:rPr>
  </w:style>
  <w:style w:type="paragraph" w:customStyle="1" w:styleId="Underbullet">
    <w:name w:val="Under bullet"/>
    <w:basedOn w:val="Normal"/>
    <w:link w:val="UnderbulletChar"/>
    <w:qFormat/>
    <w:rsid w:val="00AB5409"/>
    <w:pPr>
      <w:spacing w:after="0" w:line="264" w:lineRule="auto"/>
      <w:ind w:left="720" w:right="720"/>
      <w:jc w:val="both"/>
    </w:pPr>
    <w:rPr>
      <w:rFonts w:eastAsia="Times New Roman" w:cs="Times New Roman"/>
      <w:sz w:val="22"/>
      <w:szCs w:val="24"/>
      <w:lang w:val="en-GB"/>
    </w:rPr>
  </w:style>
  <w:style w:type="character" w:customStyle="1" w:styleId="UnderbulletChar">
    <w:name w:val="Under bullet Char"/>
    <w:basedOn w:val="DefaultParagraphFont"/>
    <w:link w:val="Underbullet"/>
    <w:rsid w:val="00AB5409"/>
    <w:rPr>
      <w:rFonts w:eastAsia="Times New Roman" w:cs="Times New Roman"/>
      <w:szCs w:val="24"/>
      <w:lang w:val="en-GB"/>
    </w:rPr>
  </w:style>
  <w:style w:type="character" w:customStyle="1" w:styleId="fontstyle01">
    <w:name w:val="fontstyle01"/>
    <w:basedOn w:val="DefaultParagraphFont"/>
    <w:rsid w:val="00C84AF3"/>
    <w:rPr>
      <w:rFonts w:ascii="Arial" w:hAnsi="Arial" w:cs="Arial" w:hint="default"/>
      <w:b/>
      <w:bCs/>
      <w:i w:val="0"/>
      <w:iCs w:val="0"/>
      <w:color w:val="000000"/>
      <w:sz w:val="20"/>
      <w:szCs w:val="20"/>
    </w:rPr>
  </w:style>
  <w:style w:type="character" w:customStyle="1" w:styleId="fontstyle11">
    <w:name w:val="fontstyle11"/>
    <w:basedOn w:val="DefaultParagraphFont"/>
    <w:rsid w:val="00C84AF3"/>
    <w:rPr>
      <w:rFonts w:ascii="Arial" w:hAnsi="Arial" w:cs="Arial"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1C72A7"/>
    <w:rPr>
      <w:color w:val="808080"/>
      <w:shd w:val="clear" w:color="auto" w:fill="E6E6E6"/>
    </w:rPr>
  </w:style>
  <w:style w:type="paragraph" w:customStyle="1" w:styleId="CharCharCharCharChar00">
    <w:name w:val="Char Char Char Char Char00"/>
    <w:basedOn w:val="Normal"/>
    <w:rsid w:val="00044EE7"/>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10">
    <w:name w:val="Char Char Char Char Char10"/>
    <w:basedOn w:val="Normal"/>
    <w:rsid w:val="00044EE7"/>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000">
    <w:name w:val="Char Char Char Char Char000"/>
    <w:basedOn w:val="Normal"/>
    <w:rsid w:val="00A0524C"/>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100">
    <w:name w:val="Char Char Char Char Char100"/>
    <w:basedOn w:val="Normal"/>
    <w:rsid w:val="00A0524C"/>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0000">
    <w:name w:val="Char Char Char Char Char0000"/>
    <w:basedOn w:val="Normal"/>
    <w:rsid w:val="00A0524C"/>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1000">
    <w:name w:val="Char Char Char Char Char1000"/>
    <w:basedOn w:val="Normal"/>
    <w:rsid w:val="00A0524C"/>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00000">
    <w:name w:val="Char Char Char Char Char00000"/>
    <w:basedOn w:val="Normal"/>
    <w:rsid w:val="00A0524C"/>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10000">
    <w:name w:val="Char Char Char Char Char10000"/>
    <w:basedOn w:val="Normal"/>
    <w:rsid w:val="00A0524C"/>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000000">
    <w:name w:val="Char Char Char Char Char000000"/>
    <w:basedOn w:val="Normal"/>
    <w:rsid w:val="00A0524C"/>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100000">
    <w:name w:val="Char Char Char Char Char100000"/>
    <w:basedOn w:val="Normal"/>
    <w:rsid w:val="00A0524C"/>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0000000">
    <w:name w:val="Char Char Char Char Char0000000"/>
    <w:basedOn w:val="Normal"/>
    <w:rsid w:val="00A0524C"/>
    <w:pPr>
      <w:autoSpaceDE w:val="0"/>
      <w:autoSpaceDN w:val="0"/>
      <w:spacing w:after="160" w:line="240" w:lineRule="exact"/>
    </w:pPr>
    <w:rPr>
      <w:rFonts w:ascii="Arial" w:eastAsia="Times New Roman" w:hAnsi="Arial" w:cs="Arial"/>
      <w:b/>
      <w:szCs w:val="20"/>
      <w:lang w:val="en-US" w:eastAsia="de-DE"/>
    </w:rPr>
  </w:style>
  <w:style w:type="paragraph" w:customStyle="1" w:styleId="CharCharCharCharChar1000000">
    <w:name w:val="Char Char Char Char Char1000000"/>
    <w:basedOn w:val="Normal"/>
    <w:rsid w:val="00A0524C"/>
    <w:pPr>
      <w:autoSpaceDE w:val="0"/>
      <w:autoSpaceDN w:val="0"/>
      <w:spacing w:after="160" w:line="240" w:lineRule="exact"/>
    </w:pPr>
    <w:rPr>
      <w:rFonts w:ascii="Arial" w:eastAsia="Times New Roman" w:hAnsi="Arial" w:cs="Arial"/>
      <w:b/>
      <w:szCs w:val="20"/>
      <w:lang w:val="en-US" w:eastAsia="de-DE"/>
    </w:rPr>
  </w:style>
  <w:style w:type="character" w:customStyle="1" w:styleId="UnresolvedMention2">
    <w:name w:val="Unresolved Mention2"/>
    <w:basedOn w:val="DefaultParagraphFont"/>
    <w:uiPriority w:val="99"/>
    <w:semiHidden/>
    <w:unhideWhenUsed/>
    <w:rsid w:val="00336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1220">
      <w:bodyDiv w:val="1"/>
      <w:marLeft w:val="0"/>
      <w:marRight w:val="0"/>
      <w:marTop w:val="0"/>
      <w:marBottom w:val="0"/>
      <w:divBdr>
        <w:top w:val="none" w:sz="0" w:space="0" w:color="auto"/>
        <w:left w:val="none" w:sz="0" w:space="0" w:color="auto"/>
        <w:bottom w:val="none" w:sz="0" w:space="0" w:color="auto"/>
        <w:right w:val="none" w:sz="0" w:space="0" w:color="auto"/>
      </w:divBdr>
    </w:div>
    <w:div w:id="52237900">
      <w:bodyDiv w:val="1"/>
      <w:marLeft w:val="0"/>
      <w:marRight w:val="0"/>
      <w:marTop w:val="0"/>
      <w:marBottom w:val="0"/>
      <w:divBdr>
        <w:top w:val="none" w:sz="0" w:space="0" w:color="auto"/>
        <w:left w:val="none" w:sz="0" w:space="0" w:color="auto"/>
        <w:bottom w:val="none" w:sz="0" w:space="0" w:color="auto"/>
        <w:right w:val="none" w:sz="0" w:space="0" w:color="auto"/>
      </w:divBdr>
    </w:div>
    <w:div w:id="55473830">
      <w:bodyDiv w:val="1"/>
      <w:marLeft w:val="0"/>
      <w:marRight w:val="0"/>
      <w:marTop w:val="0"/>
      <w:marBottom w:val="0"/>
      <w:divBdr>
        <w:top w:val="none" w:sz="0" w:space="0" w:color="auto"/>
        <w:left w:val="none" w:sz="0" w:space="0" w:color="auto"/>
        <w:bottom w:val="none" w:sz="0" w:space="0" w:color="auto"/>
        <w:right w:val="none" w:sz="0" w:space="0" w:color="auto"/>
      </w:divBdr>
    </w:div>
    <w:div w:id="133915244">
      <w:bodyDiv w:val="1"/>
      <w:marLeft w:val="0"/>
      <w:marRight w:val="0"/>
      <w:marTop w:val="0"/>
      <w:marBottom w:val="0"/>
      <w:divBdr>
        <w:top w:val="none" w:sz="0" w:space="0" w:color="auto"/>
        <w:left w:val="none" w:sz="0" w:space="0" w:color="auto"/>
        <w:bottom w:val="none" w:sz="0" w:space="0" w:color="auto"/>
        <w:right w:val="none" w:sz="0" w:space="0" w:color="auto"/>
      </w:divBdr>
    </w:div>
    <w:div w:id="158737280">
      <w:bodyDiv w:val="1"/>
      <w:marLeft w:val="0"/>
      <w:marRight w:val="0"/>
      <w:marTop w:val="0"/>
      <w:marBottom w:val="0"/>
      <w:divBdr>
        <w:top w:val="none" w:sz="0" w:space="0" w:color="auto"/>
        <w:left w:val="none" w:sz="0" w:space="0" w:color="auto"/>
        <w:bottom w:val="none" w:sz="0" w:space="0" w:color="auto"/>
        <w:right w:val="none" w:sz="0" w:space="0" w:color="auto"/>
      </w:divBdr>
    </w:div>
    <w:div w:id="315384020">
      <w:bodyDiv w:val="1"/>
      <w:marLeft w:val="0"/>
      <w:marRight w:val="0"/>
      <w:marTop w:val="0"/>
      <w:marBottom w:val="0"/>
      <w:divBdr>
        <w:top w:val="none" w:sz="0" w:space="0" w:color="auto"/>
        <w:left w:val="none" w:sz="0" w:space="0" w:color="auto"/>
        <w:bottom w:val="none" w:sz="0" w:space="0" w:color="auto"/>
        <w:right w:val="none" w:sz="0" w:space="0" w:color="auto"/>
      </w:divBdr>
    </w:div>
    <w:div w:id="357780669">
      <w:bodyDiv w:val="1"/>
      <w:marLeft w:val="0"/>
      <w:marRight w:val="0"/>
      <w:marTop w:val="0"/>
      <w:marBottom w:val="0"/>
      <w:divBdr>
        <w:top w:val="none" w:sz="0" w:space="0" w:color="auto"/>
        <w:left w:val="none" w:sz="0" w:space="0" w:color="auto"/>
        <w:bottom w:val="none" w:sz="0" w:space="0" w:color="auto"/>
        <w:right w:val="none" w:sz="0" w:space="0" w:color="auto"/>
      </w:divBdr>
    </w:div>
    <w:div w:id="452483373">
      <w:bodyDiv w:val="1"/>
      <w:marLeft w:val="0"/>
      <w:marRight w:val="0"/>
      <w:marTop w:val="0"/>
      <w:marBottom w:val="0"/>
      <w:divBdr>
        <w:top w:val="none" w:sz="0" w:space="0" w:color="auto"/>
        <w:left w:val="none" w:sz="0" w:space="0" w:color="auto"/>
        <w:bottom w:val="none" w:sz="0" w:space="0" w:color="auto"/>
        <w:right w:val="none" w:sz="0" w:space="0" w:color="auto"/>
      </w:divBdr>
    </w:div>
    <w:div w:id="472328778">
      <w:bodyDiv w:val="1"/>
      <w:marLeft w:val="0"/>
      <w:marRight w:val="0"/>
      <w:marTop w:val="0"/>
      <w:marBottom w:val="0"/>
      <w:divBdr>
        <w:top w:val="none" w:sz="0" w:space="0" w:color="auto"/>
        <w:left w:val="none" w:sz="0" w:space="0" w:color="auto"/>
        <w:bottom w:val="none" w:sz="0" w:space="0" w:color="auto"/>
        <w:right w:val="none" w:sz="0" w:space="0" w:color="auto"/>
      </w:divBdr>
    </w:div>
    <w:div w:id="494028847">
      <w:bodyDiv w:val="1"/>
      <w:marLeft w:val="0"/>
      <w:marRight w:val="0"/>
      <w:marTop w:val="0"/>
      <w:marBottom w:val="0"/>
      <w:divBdr>
        <w:top w:val="none" w:sz="0" w:space="0" w:color="auto"/>
        <w:left w:val="none" w:sz="0" w:space="0" w:color="auto"/>
        <w:bottom w:val="none" w:sz="0" w:space="0" w:color="auto"/>
        <w:right w:val="none" w:sz="0" w:space="0" w:color="auto"/>
      </w:divBdr>
    </w:div>
    <w:div w:id="512569099">
      <w:bodyDiv w:val="1"/>
      <w:marLeft w:val="0"/>
      <w:marRight w:val="0"/>
      <w:marTop w:val="0"/>
      <w:marBottom w:val="0"/>
      <w:divBdr>
        <w:top w:val="none" w:sz="0" w:space="0" w:color="auto"/>
        <w:left w:val="none" w:sz="0" w:space="0" w:color="auto"/>
        <w:bottom w:val="none" w:sz="0" w:space="0" w:color="auto"/>
        <w:right w:val="none" w:sz="0" w:space="0" w:color="auto"/>
      </w:divBdr>
    </w:div>
    <w:div w:id="516887035">
      <w:bodyDiv w:val="1"/>
      <w:marLeft w:val="0"/>
      <w:marRight w:val="0"/>
      <w:marTop w:val="0"/>
      <w:marBottom w:val="0"/>
      <w:divBdr>
        <w:top w:val="none" w:sz="0" w:space="0" w:color="auto"/>
        <w:left w:val="none" w:sz="0" w:space="0" w:color="auto"/>
        <w:bottom w:val="none" w:sz="0" w:space="0" w:color="auto"/>
        <w:right w:val="none" w:sz="0" w:space="0" w:color="auto"/>
      </w:divBdr>
    </w:div>
    <w:div w:id="536628879">
      <w:bodyDiv w:val="1"/>
      <w:marLeft w:val="0"/>
      <w:marRight w:val="0"/>
      <w:marTop w:val="0"/>
      <w:marBottom w:val="0"/>
      <w:divBdr>
        <w:top w:val="none" w:sz="0" w:space="0" w:color="auto"/>
        <w:left w:val="none" w:sz="0" w:space="0" w:color="auto"/>
        <w:bottom w:val="none" w:sz="0" w:space="0" w:color="auto"/>
        <w:right w:val="none" w:sz="0" w:space="0" w:color="auto"/>
      </w:divBdr>
    </w:div>
    <w:div w:id="551966332">
      <w:bodyDiv w:val="1"/>
      <w:marLeft w:val="0"/>
      <w:marRight w:val="0"/>
      <w:marTop w:val="0"/>
      <w:marBottom w:val="0"/>
      <w:divBdr>
        <w:top w:val="none" w:sz="0" w:space="0" w:color="auto"/>
        <w:left w:val="none" w:sz="0" w:space="0" w:color="auto"/>
        <w:bottom w:val="none" w:sz="0" w:space="0" w:color="auto"/>
        <w:right w:val="none" w:sz="0" w:space="0" w:color="auto"/>
      </w:divBdr>
      <w:divsChild>
        <w:div w:id="379792535">
          <w:marLeft w:val="274"/>
          <w:marRight w:val="0"/>
          <w:marTop w:val="0"/>
          <w:marBottom w:val="0"/>
          <w:divBdr>
            <w:top w:val="none" w:sz="0" w:space="0" w:color="auto"/>
            <w:left w:val="none" w:sz="0" w:space="0" w:color="auto"/>
            <w:bottom w:val="none" w:sz="0" w:space="0" w:color="auto"/>
            <w:right w:val="none" w:sz="0" w:space="0" w:color="auto"/>
          </w:divBdr>
        </w:div>
        <w:div w:id="440955433">
          <w:marLeft w:val="274"/>
          <w:marRight w:val="0"/>
          <w:marTop w:val="0"/>
          <w:marBottom w:val="0"/>
          <w:divBdr>
            <w:top w:val="none" w:sz="0" w:space="0" w:color="auto"/>
            <w:left w:val="none" w:sz="0" w:space="0" w:color="auto"/>
            <w:bottom w:val="none" w:sz="0" w:space="0" w:color="auto"/>
            <w:right w:val="none" w:sz="0" w:space="0" w:color="auto"/>
          </w:divBdr>
        </w:div>
        <w:div w:id="888880567">
          <w:marLeft w:val="274"/>
          <w:marRight w:val="0"/>
          <w:marTop w:val="0"/>
          <w:marBottom w:val="0"/>
          <w:divBdr>
            <w:top w:val="none" w:sz="0" w:space="0" w:color="auto"/>
            <w:left w:val="none" w:sz="0" w:space="0" w:color="auto"/>
            <w:bottom w:val="none" w:sz="0" w:space="0" w:color="auto"/>
            <w:right w:val="none" w:sz="0" w:space="0" w:color="auto"/>
          </w:divBdr>
        </w:div>
      </w:divsChild>
    </w:div>
    <w:div w:id="575938352">
      <w:bodyDiv w:val="1"/>
      <w:marLeft w:val="0"/>
      <w:marRight w:val="0"/>
      <w:marTop w:val="0"/>
      <w:marBottom w:val="0"/>
      <w:divBdr>
        <w:top w:val="none" w:sz="0" w:space="0" w:color="auto"/>
        <w:left w:val="none" w:sz="0" w:space="0" w:color="auto"/>
        <w:bottom w:val="none" w:sz="0" w:space="0" w:color="auto"/>
        <w:right w:val="none" w:sz="0" w:space="0" w:color="auto"/>
      </w:divBdr>
    </w:div>
    <w:div w:id="768741332">
      <w:bodyDiv w:val="1"/>
      <w:marLeft w:val="0"/>
      <w:marRight w:val="0"/>
      <w:marTop w:val="0"/>
      <w:marBottom w:val="0"/>
      <w:divBdr>
        <w:top w:val="none" w:sz="0" w:space="0" w:color="auto"/>
        <w:left w:val="none" w:sz="0" w:space="0" w:color="auto"/>
        <w:bottom w:val="none" w:sz="0" w:space="0" w:color="auto"/>
        <w:right w:val="none" w:sz="0" w:space="0" w:color="auto"/>
      </w:divBdr>
    </w:div>
    <w:div w:id="808135224">
      <w:bodyDiv w:val="1"/>
      <w:marLeft w:val="0"/>
      <w:marRight w:val="0"/>
      <w:marTop w:val="0"/>
      <w:marBottom w:val="0"/>
      <w:divBdr>
        <w:top w:val="none" w:sz="0" w:space="0" w:color="auto"/>
        <w:left w:val="none" w:sz="0" w:space="0" w:color="auto"/>
        <w:bottom w:val="none" w:sz="0" w:space="0" w:color="auto"/>
        <w:right w:val="none" w:sz="0" w:space="0" w:color="auto"/>
      </w:divBdr>
    </w:div>
    <w:div w:id="817723921">
      <w:bodyDiv w:val="1"/>
      <w:marLeft w:val="0"/>
      <w:marRight w:val="0"/>
      <w:marTop w:val="0"/>
      <w:marBottom w:val="0"/>
      <w:divBdr>
        <w:top w:val="none" w:sz="0" w:space="0" w:color="auto"/>
        <w:left w:val="none" w:sz="0" w:space="0" w:color="auto"/>
        <w:bottom w:val="none" w:sz="0" w:space="0" w:color="auto"/>
        <w:right w:val="none" w:sz="0" w:space="0" w:color="auto"/>
      </w:divBdr>
    </w:div>
    <w:div w:id="888734647">
      <w:bodyDiv w:val="1"/>
      <w:marLeft w:val="0"/>
      <w:marRight w:val="0"/>
      <w:marTop w:val="0"/>
      <w:marBottom w:val="0"/>
      <w:divBdr>
        <w:top w:val="none" w:sz="0" w:space="0" w:color="auto"/>
        <w:left w:val="none" w:sz="0" w:space="0" w:color="auto"/>
        <w:bottom w:val="none" w:sz="0" w:space="0" w:color="auto"/>
        <w:right w:val="none" w:sz="0" w:space="0" w:color="auto"/>
      </w:divBdr>
    </w:div>
    <w:div w:id="899512792">
      <w:bodyDiv w:val="1"/>
      <w:marLeft w:val="0"/>
      <w:marRight w:val="0"/>
      <w:marTop w:val="0"/>
      <w:marBottom w:val="0"/>
      <w:divBdr>
        <w:top w:val="none" w:sz="0" w:space="0" w:color="auto"/>
        <w:left w:val="none" w:sz="0" w:space="0" w:color="auto"/>
        <w:bottom w:val="none" w:sz="0" w:space="0" w:color="auto"/>
        <w:right w:val="none" w:sz="0" w:space="0" w:color="auto"/>
      </w:divBdr>
    </w:div>
    <w:div w:id="906190943">
      <w:bodyDiv w:val="1"/>
      <w:marLeft w:val="0"/>
      <w:marRight w:val="0"/>
      <w:marTop w:val="0"/>
      <w:marBottom w:val="0"/>
      <w:divBdr>
        <w:top w:val="none" w:sz="0" w:space="0" w:color="auto"/>
        <w:left w:val="none" w:sz="0" w:space="0" w:color="auto"/>
        <w:bottom w:val="none" w:sz="0" w:space="0" w:color="auto"/>
        <w:right w:val="none" w:sz="0" w:space="0" w:color="auto"/>
      </w:divBdr>
    </w:div>
    <w:div w:id="1171217474">
      <w:bodyDiv w:val="1"/>
      <w:marLeft w:val="0"/>
      <w:marRight w:val="0"/>
      <w:marTop w:val="0"/>
      <w:marBottom w:val="0"/>
      <w:divBdr>
        <w:top w:val="none" w:sz="0" w:space="0" w:color="auto"/>
        <w:left w:val="none" w:sz="0" w:space="0" w:color="auto"/>
        <w:bottom w:val="none" w:sz="0" w:space="0" w:color="auto"/>
        <w:right w:val="none" w:sz="0" w:space="0" w:color="auto"/>
      </w:divBdr>
    </w:div>
    <w:div w:id="1188372498">
      <w:bodyDiv w:val="1"/>
      <w:marLeft w:val="0"/>
      <w:marRight w:val="0"/>
      <w:marTop w:val="0"/>
      <w:marBottom w:val="0"/>
      <w:divBdr>
        <w:top w:val="none" w:sz="0" w:space="0" w:color="auto"/>
        <w:left w:val="none" w:sz="0" w:space="0" w:color="auto"/>
        <w:bottom w:val="none" w:sz="0" w:space="0" w:color="auto"/>
        <w:right w:val="none" w:sz="0" w:space="0" w:color="auto"/>
      </w:divBdr>
    </w:div>
    <w:div w:id="1283994210">
      <w:bodyDiv w:val="1"/>
      <w:marLeft w:val="0"/>
      <w:marRight w:val="0"/>
      <w:marTop w:val="0"/>
      <w:marBottom w:val="0"/>
      <w:divBdr>
        <w:top w:val="none" w:sz="0" w:space="0" w:color="auto"/>
        <w:left w:val="none" w:sz="0" w:space="0" w:color="auto"/>
        <w:bottom w:val="none" w:sz="0" w:space="0" w:color="auto"/>
        <w:right w:val="none" w:sz="0" w:space="0" w:color="auto"/>
      </w:divBdr>
    </w:div>
    <w:div w:id="1285580114">
      <w:bodyDiv w:val="1"/>
      <w:marLeft w:val="0"/>
      <w:marRight w:val="0"/>
      <w:marTop w:val="0"/>
      <w:marBottom w:val="0"/>
      <w:divBdr>
        <w:top w:val="none" w:sz="0" w:space="0" w:color="auto"/>
        <w:left w:val="none" w:sz="0" w:space="0" w:color="auto"/>
        <w:bottom w:val="none" w:sz="0" w:space="0" w:color="auto"/>
        <w:right w:val="none" w:sz="0" w:space="0" w:color="auto"/>
      </w:divBdr>
    </w:div>
    <w:div w:id="1384871654">
      <w:bodyDiv w:val="1"/>
      <w:marLeft w:val="0"/>
      <w:marRight w:val="0"/>
      <w:marTop w:val="0"/>
      <w:marBottom w:val="0"/>
      <w:divBdr>
        <w:top w:val="none" w:sz="0" w:space="0" w:color="auto"/>
        <w:left w:val="none" w:sz="0" w:space="0" w:color="auto"/>
        <w:bottom w:val="none" w:sz="0" w:space="0" w:color="auto"/>
        <w:right w:val="none" w:sz="0" w:space="0" w:color="auto"/>
      </w:divBdr>
    </w:div>
    <w:div w:id="1415709423">
      <w:bodyDiv w:val="1"/>
      <w:marLeft w:val="0"/>
      <w:marRight w:val="0"/>
      <w:marTop w:val="0"/>
      <w:marBottom w:val="0"/>
      <w:divBdr>
        <w:top w:val="none" w:sz="0" w:space="0" w:color="auto"/>
        <w:left w:val="none" w:sz="0" w:space="0" w:color="auto"/>
        <w:bottom w:val="none" w:sz="0" w:space="0" w:color="auto"/>
        <w:right w:val="none" w:sz="0" w:space="0" w:color="auto"/>
      </w:divBdr>
    </w:div>
    <w:div w:id="1449592040">
      <w:bodyDiv w:val="1"/>
      <w:marLeft w:val="0"/>
      <w:marRight w:val="0"/>
      <w:marTop w:val="0"/>
      <w:marBottom w:val="0"/>
      <w:divBdr>
        <w:top w:val="none" w:sz="0" w:space="0" w:color="auto"/>
        <w:left w:val="none" w:sz="0" w:space="0" w:color="auto"/>
        <w:bottom w:val="none" w:sz="0" w:space="0" w:color="auto"/>
        <w:right w:val="none" w:sz="0" w:space="0" w:color="auto"/>
      </w:divBdr>
    </w:div>
    <w:div w:id="1485007747">
      <w:bodyDiv w:val="1"/>
      <w:marLeft w:val="0"/>
      <w:marRight w:val="0"/>
      <w:marTop w:val="0"/>
      <w:marBottom w:val="0"/>
      <w:divBdr>
        <w:top w:val="none" w:sz="0" w:space="0" w:color="auto"/>
        <w:left w:val="none" w:sz="0" w:space="0" w:color="auto"/>
        <w:bottom w:val="none" w:sz="0" w:space="0" w:color="auto"/>
        <w:right w:val="none" w:sz="0" w:space="0" w:color="auto"/>
      </w:divBdr>
    </w:div>
    <w:div w:id="1503088681">
      <w:bodyDiv w:val="1"/>
      <w:marLeft w:val="0"/>
      <w:marRight w:val="0"/>
      <w:marTop w:val="0"/>
      <w:marBottom w:val="0"/>
      <w:divBdr>
        <w:top w:val="none" w:sz="0" w:space="0" w:color="auto"/>
        <w:left w:val="none" w:sz="0" w:space="0" w:color="auto"/>
        <w:bottom w:val="none" w:sz="0" w:space="0" w:color="auto"/>
        <w:right w:val="none" w:sz="0" w:space="0" w:color="auto"/>
      </w:divBdr>
    </w:div>
    <w:div w:id="1573615266">
      <w:bodyDiv w:val="1"/>
      <w:marLeft w:val="0"/>
      <w:marRight w:val="0"/>
      <w:marTop w:val="0"/>
      <w:marBottom w:val="0"/>
      <w:divBdr>
        <w:top w:val="none" w:sz="0" w:space="0" w:color="auto"/>
        <w:left w:val="none" w:sz="0" w:space="0" w:color="auto"/>
        <w:bottom w:val="none" w:sz="0" w:space="0" w:color="auto"/>
        <w:right w:val="none" w:sz="0" w:space="0" w:color="auto"/>
      </w:divBdr>
    </w:div>
    <w:div w:id="1603686730">
      <w:bodyDiv w:val="1"/>
      <w:marLeft w:val="0"/>
      <w:marRight w:val="0"/>
      <w:marTop w:val="0"/>
      <w:marBottom w:val="0"/>
      <w:divBdr>
        <w:top w:val="none" w:sz="0" w:space="0" w:color="auto"/>
        <w:left w:val="none" w:sz="0" w:space="0" w:color="auto"/>
        <w:bottom w:val="none" w:sz="0" w:space="0" w:color="auto"/>
        <w:right w:val="none" w:sz="0" w:space="0" w:color="auto"/>
      </w:divBdr>
    </w:div>
    <w:div w:id="1663968253">
      <w:bodyDiv w:val="1"/>
      <w:marLeft w:val="0"/>
      <w:marRight w:val="0"/>
      <w:marTop w:val="0"/>
      <w:marBottom w:val="0"/>
      <w:divBdr>
        <w:top w:val="none" w:sz="0" w:space="0" w:color="auto"/>
        <w:left w:val="none" w:sz="0" w:space="0" w:color="auto"/>
        <w:bottom w:val="none" w:sz="0" w:space="0" w:color="auto"/>
        <w:right w:val="none" w:sz="0" w:space="0" w:color="auto"/>
      </w:divBdr>
    </w:div>
    <w:div w:id="1667590001">
      <w:bodyDiv w:val="1"/>
      <w:marLeft w:val="0"/>
      <w:marRight w:val="0"/>
      <w:marTop w:val="0"/>
      <w:marBottom w:val="0"/>
      <w:divBdr>
        <w:top w:val="none" w:sz="0" w:space="0" w:color="auto"/>
        <w:left w:val="none" w:sz="0" w:space="0" w:color="auto"/>
        <w:bottom w:val="none" w:sz="0" w:space="0" w:color="auto"/>
        <w:right w:val="none" w:sz="0" w:space="0" w:color="auto"/>
      </w:divBdr>
    </w:div>
    <w:div w:id="1674406628">
      <w:bodyDiv w:val="1"/>
      <w:marLeft w:val="0"/>
      <w:marRight w:val="0"/>
      <w:marTop w:val="0"/>
      <w:marBottom w:val="0"/>
      <w:divBdr>
        <w:top w:val="none" w:sz="0" w:space="0" w:color="auto"/>
        <w:left w:val="none" w:sz="0" w:space="0" w:color="auto"/>
        <w:bottom w:val="none" w:sz="0" w:space="0" w:color="auto"/>
        <w:right w:val="none" w:sz="0" w:space="0" w:color="auto"/>
      </w:divBdr>
    </w:div>
    <w:div w:id="1675641759">
      <w:bodyDiv w:val="1"/>
      <w:marLeft w:val="0"/>
      <w:marRight w:val="0"/>
      <w:marTop w:val="0"/>
      <w:marBottom w:val="0"/>
      <w:divBdr>
        <w:top w:val="none" w:sz="0" w:space="0" w:color="auto"/>
        <w:left w:val="none" w:sz="0" w:space="0" w:color="auto"/>
        <w:bottom w:val="none" w:sz="0" w:space="0" w:color="auto"/>
        <w:right w:val="none" w:sz="0" w:space="0" w:color="auto"/>
      </w:divBdr>
    </w:div>
    <w:div w:id="1791238976">
      <w:bodyDiv w:val="1"/>
      <w:marLeft w:val="0"/>
      <w:marRight w:val="0"/>
      <w:marTop w:val="0"/>
      <w:marBottom w:val="0"/>
      <w:divBdr>
        <w:top w:val="none" w:sz="0" w:space="0" w:color="auto"/>
        <w:left w:val="none" w:sz="0" w:space="0" w:color="auto"/>
        <w:bottom w:val="none" w:sz="0" w:space="0" w:color="auto"/>
        <w:right w:val="none" w:sz="0" w:space="0" w:color="auto"/>
      </w:divBdr>
    </w:div>
    <w:div w:id="1865896579">
      <w:bodyDiv w:val="1"/>
      <w:marLeft w:val="0"/>
      <w:marRight w:val="0"/>
      <w:marTop w:val="0"/>
      <w:marBottom w:val="0"/>
      <w:divBdr>
        <w:top w:val="none" w:sz="0" w:space="0" w:color="auto"/>
        <w:left w:val="none" w:sz="0" w:space="0" w:color="auto"/>
        <w:bottom w:val="none" w:sz="0" w:space="0" w:color="auto"/>
        <w:right w:val="none" w:sz="0" w:space="0" w:color="auto"/>
      </w:divBdr>
    </w:div>
    <w:div w:id="1931043669">
      <w:bodyDiv w:val="1"/>
      <w:marLeft w:val="0"/>
      <w:marRight w:val="0"/>
      <w:marTop w:val="0"/>
      <w:marBottom w:val="0"/>
      <w:divBdr>
        <w:top w:val="none" w:sz="0" w:space="0" w:color="auto"/>
        <w:left w:val="none" w:sz="0" w:space="0" w:color="auto"/>
        <w:bottom w:val="none" w:sz="0" w:space="0" w:color="auto"/>
        <w:right w:val="none" w:sz="0" w:space="0" w:color="auto"/>
      </w:divBdr>
    </w:div>
    <w:div w:id="1933467806">
      <w:bodyDiv w:val="1"/>
      <w:marLeft w:val="0"/>
      <w:marRight w:val="0"/>
      <w:marTop w:val="0"/>
      <w:marBottom w:val="0"/>
      <w:divBdr>
        <w:top w:val="none" w:sz="0" w:space="0" w:color="auto"/>
        <w:left w:val="none" w:sz="0" w:space="0" w:color="auto"/>
        <w:bottom w:val="none" w:sz="0" w:space="0" w:color="auto"/>
        <w:right w:val="none" w:sz="0" w:space="0" w:color="auto"/>
      </w:divBdr>
    </w:div>
    <w:div w:id="1947275322">
      <w:bodyDiv w:val="1"/>
      <w:marLeft w:val="0"/>
      <w:marRight w:val="0"/>
      <w:marTop w:val="0"/>
      <w:marBottom w:val="0"/>
      <w:divBdr>
        <w:top w:val="none" w:sz="0" w:space="0" w:color="auto"/>
        <w:left w:val="none" w:sz="0" w:space="0" w:color="auto"/>
        <w:bottom w:val="none" w:sz="0" w:space="0" w:color="auto"/>
        <w:right w:val="none" w:sz="0" w:space="0" w:color="auto"/>
      </w:divBdr>
    </w:div>
    <w:div w:id="2034066060">
      <w:bodyDiv w:val="1"/>
      <w:marLeft w:val="0"/>
      <w:marRight w:val="0"/>
      <w:marTop w:val="0"/>
      <w:marBottom w:val="0"/>
      <w:divBdr>
        <w:top w:val="none" w:sz="0" w:space="0" w:color="auto"/>
        <w:left w:val="none" w:sz="0" w:space="0" w:color="auto"/>
        <w:bottom w:val="none" w:sz="0" w:space="0" w:color="auto"/>
        <w:right w:val="none" w:sz="0" w:space="0" w:color="auto"/>
      </w:divBdr>
    </w:div>
    <w:div w:id="205149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gar.jrc.ec.europa.eu/overview.php?v=432"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www.ourenergypolicy.org/wp-content/uploads/2014/04/epa-compressors.pdf" TargetMode="Externa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hyperlink" Target="http://www.ourenergypolicy.org/wp-content/uploads/2014/04/epa-compressors.pdf" TargetMode="External"/><Relationship Id="rId47" Type="http://schemas.openxmlformats.org/officeDocument/2006/relationships/hyperlink" Target="https://www.globalmethane.org/m2mtool/files/inddesc/Loading%20and%20Unloading%20Evaporation%20Losses%20-%20Rev%200.doc" TargetMode="External"/><Relationship Id="rId50" Type="http://schemas.openxmlformats.org/officeDocument/2006/relationships/hyperlink" Target="http://blogs.edf.org/energyexchange/files/2016/07/PHMSA-Blowdown-Analysis-FINAL.pdf" TargetMode="External"/><Relationship Id="rId55" Type="http://schemas.openxmlformats.org/officeDocument/2006/relationships/hyperlink" Target="https://www.ipcc-nggip.iges.or.jp/public/2006gl/pdf/2_Volume2/V2_1_Ch1_Introduction.pdf" TargetMode="External"/><Relationship Id="rId63" Type="http://schemas.openxmlformats.org/officeDocument/2006/relationships/image" Target="media/image32.png"/><Relationship Id="rId68" Type="http://schemas.openxmlformats.org/officeDocument/2006/relationships/image" Target="media/image37.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http://www.ccacoalition.org/en/resources/technical-guidance-document-number-9-casinghead-gas-vent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0.jpeg"/><Relationship Id="rId45" Type="http://schemas.openxmlformats.org/officeDocument/2006/relationships/image" Target="media/image22.png"/><Relationship Id="rId53" Type="http://schemas.openxmlformats.org/officeDocument/2006/relationships/hyperlink" Target="http://www.pnas.org/content/pnas/113/48/13636.full.pdf" TargetMode="External"/><Relationship Id="rId58" Type="http://schemas.openxmlformats.org/officeDocument/2006/relationships/image" Target="media/image27.png"/><Relationship Id="rId66"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hyperlink" Target="https://www.iea.org/weo2017/"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www.ourenergypolicy.org/wp-content/uploads/2014/04/epa-devices.pdf" TargetMode="External"/><Relationship Id="rId49" Type="http://schemas.openxmlformats.org/officeDocument/2006/relationships/image" Target="media/image23.png"/><Relationship Id="rId57" Type="http://schemas.openxmlformats.org/officeDocument/2006/relationships/image" Target="media/image26.jpeg"/><Relationship Id="rId61" Type="http://schemas.openxmlformats.org/officeDocument/2006/relationships/image" Target="media/image30.png"/><Relationship Id="rId10" Type="http://schemas.openxmlformats.org/officeDocument/2006/relationships/image" Target="media/image1.jpeg"/><Relationship Id="rId19" Type="http://schemas.openxmlformats.org/officeDocument/2006/relationships/image" Target="media/image7.emf"/><Relationship Id="rId31" Type="http://schemas.openxmlformats.org/officeDocument/2006/relationships/hyperlink" Target="http://www.ccacoalition.org/en/resources/technical-guidance-document-number-7-well-venting-liquids-unloading" TargetMode="External"/><Relationship Id="rId44" Type="http://schemas.openxmlformats.org/officeDocument/2006/relationships/hyperlink" Target="http://article.sciencepublishinggroup.com/pdf/10.11648.j.ijema.20160406.13.pdf" TargetMode="External"/><Relationship Id="rId52" Type="http://schemas.openxmlformats.org/officeDocument/2006/relationships/hyperlink" Target="http://www.ccacoalition.org/en/resources/technical-guidance-document-number-2-fugitive-component-and-equipment-leaks" TargetMode="External"/><Relationship Id="rId60" Type="http://schemas.openxmlformats.org/officeDocument/2006/relationships/image" Target="media/image29.png"/><Relationship Id="rId65"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pa.gov/global-mitigation-non-co2-greenhouse-gases" TargetMode="External"/><Relationship Id="rId22" Type="http://schemas.openxmlformats.org/officeDocument/2006/relationships/image" Target="media/image10.emf"/><Relationship Id="rId27" Type="http://schemas.openxmlformats.org/officeDocument/2006/relationships/hyperlink" Target="http://www.ccacoalition.org/en/resources/technical-guidance-document-number-8-well-ventingflaring-during-well-completion" TargetMode="External"/><Relationship Id="rId30" Type="http://schemas.openxmlformats.org/officeDocument/2006/relationships/image" Target="media/image16.jpeg"/><Relationship Id="rId35" Type="http://schemas.openxmlformats.org/officeDocument/2006/relationships/hyperlink" Target="http://www.ccacoalition.org/en/resources/technical-guidance-document-number-1-natural-gas-driven-pneumatic-controllers-and-pumps" TargetMode="External"/><Relationship Id="rId43" Type="http://schemas.openxmlformats.org/officeDocument/2006/relationships/image" Target="media/image21.jpeg"/><Relationship Id="rId48" Type="http://schemas.openxmlformats.org/officeDocument/2006/relationships/hyperlink" Target="https://www.tceq.texas.gov/assets/public/permitting/air/NewSourceReview/oilgas/produced-water.pdf" TargetMode="External"/><Relationship Id="rId56" Type="http://schemas.openxmlformats.org/officeDocument/2006/relationships/hyperlink" Target="https://www3.epa.gov/airtoxics/flare/2012flaretechreport.pdf" TargetMode="External"/><Relationship Id="rId64" Type="http://schemas.openxmlformats.org/officeDocument/2006/relationships/image" Target="media/image33.png"/><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hyperlink" Target="http://www.ccacoalition.org/en/resources/technical-guidance-document-number-5-glycol-dehydrators" TargetMode="External"/><Relationship Id="rId38" Type="http://schemas.openxmlformats.org/officeDocument/2006/relationships/hyperlink" Target="http://www.ccacoalition.org/en/resources/technical-guidance-document-number-3-centrifugal-compressors-%E2%80%9Cwet%E2%80%9D-oil-seals" TargetMode="External"/><Relationship Id="rId46" Type="http://schemas.openxmlformats.org/officeDocument/2006/relationships/hyperlink" Target="http://www.ccacoalition.org/en/resources/technical-guidance-document-number-6-unstabilized-hydrocarbon-liquid-storage-tanks" TargetMode="Externa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8.emf"/><Relationship Id="rId41" Type="http://schemas.openxmlformats.org/officeDocument/2006/relationships/hyperlink" Target="http://www.ccacoalition.org/en/resources/technical-guidance-document-number-4-reciprocating-compressors-rod-sealpacking-vents" TargetMode="External"/><Relationship Id="rId54" Type="http://schemas.openxmlformats.org/officeDocument/2006/relationships/image" Target="media/image25.jpeg"/><Relationship Id="rId62" Type="http://schemas.openxmlformats.org/officeDocument/2006/relationships/image" Target="media/image31.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ccacoalition.org/en/content/oil-and-gas-methane-partnership-technical-guidance-documents" TargetMode="External"/><Relationship Id="rId18" Type="http://schemas.openxmlformats.org/officeDocument/2006/relationships/hyperlink" Target="https://ngi.stanford.edu/sites/default/files/Adam_Brandt.pdf" TargetMode="External"/><Relationship Id="rId26" Type="http://schemas.openxmlformats.org/officeDocument/2006/relationships/hyperlink" Target="https://www.iso.org/standard/66453.html" TargetMode="External"/><Relationship Id="rId39" Type="http://schemas.openxmlformats.org/officeDocument/2006/relationships/hyperlink" Target="https://unfccc.int/sites/default/files/resource/l23_0.pdf" TargetMode="External"/><Relationship Id="rId21" Type="http://schemas.openxmlformats.org/officeDocument/2006/relationships/hyperlink" Target="http://www.ccacoalition.org/en/resources/reducing-methane-emissions-across-natural-gas-value-chain-guiding-principles" TargetMode="External"/><Relationship Id="rId34" Type="http://schemas.openxmlformats.org/officeDocument/2006/relationships/hyperlink" Target="https://www.ipcc-nggip.iges.or.jp/home/2019refinement.html" TargetMode="External"/><Relationship Id="rId42" Type="http://schemas.openxmlformats.org/officeDocument/2006/relationships/hyperlink" Target="https://www.edf.org/sites/default/files/content/canada_methane_cost_curve_report.pdf" TargetMode="External"/><Relationship Id="rId47" Type="http://schemas.openxmlformats.org/officeDocument/2006/relationships/hyperlink" Target="https://www.carbonlimits.no/project/zero-emission-technologies-pneumatic-controllers-in-usa/" TargetMode="External"/><Relationship Id="rId50" Type="http://schemas.openxmlformats.org/officeDocument/2006/relationships/hyperlink" Target="http://www.ipieca.org/resources/awareness-briefing/methane-glossary/" TargetMode="External"/><Relationship Id="rId55" Type="http://schemas.openxmlformats.org/officeDocument/2006/relationships/hyperlink" Target="https://www.nature.com/articles/ncomms14012.pdf" TargetMode="External"/><Relationship Id="rId63" Type="http://schemas.openxmlformats.org/officeDocument/2006/relationships/hyperlink" Target="https://unfccc.int/process-and-meetings/the-paris-agreement/the-paris-agreement" TargetMode="External"/><Relationship Id="rId68" Type="http://schemas.openxmlformats.org/officeDocument/2006/relationships/hyperlink" Target="http://www.catf.us/resources/publications/files/Zero_Emitting_Pneumatic_Alternatives.pdf" TargetMode="External"/><Relationship Id="rId76" Type="http://schemas.openxmlformats.org/officeDocument/2006/relationships/hyperlink" Target="http://www.hetek.com/wp-content/uploads/RMLD-Brochure.pdf" TargetMode="External"/><Relationship Id="rId84" Type="http://schemas.openxmlformats.org/officeDocument/2006/relationships/hyperlink" Target="http://kairosaerospace.com/methane-detection/" TargetMode="External"/><Relationship Id="rId7" Type="http://schemas.openxmlformats.org/officeDocument/2006/relationships/hyperlink" Target="https://www.epa.gov/sites/production/files/2016-04/documents/mon7ccacemissurvey.pdf" TargetMode="External"/><Relationship Id="rId71" Type="http://schemas.openxmlformats.org/officeDocument/2006/relationships/hyperlink" Target="https://carbonlimits.no/project/assessment-of-flare-strategies-techniques-for-reduction-of-flaring-and-associated-emissions-emission-factors-and-methods-to-determine-emissions-to-air-from-flaring/" TargetMode="External"/><Relationship Id="rId2" Type="http://schemas.openxmlformats.org/officeDocument/2006/relationships/hyperlink" Target="https://www.ipcc.ch/report/ar5/wg1/mindex.shtml" TargetMode="External"/><Relationship Id="rId16" Type="http://schemas.openxmlformats.org/officeDocument/2006/relationships/hyperlink" Target="https://www.fractracker.org/2015/08/1-7-million-wells/" TargetMode="External"/><Relationship Id="rId29" Type="http://schemas.openxmlformats.org/officeDocument/2006/relationships/hyperlink" Target="https://www.capp.ca/-/media/capp/customer-portal/publications/252792.pdf?modified=20180526213237" TargetMode="External"/><Relationship Id="rId11" Type="http://schemas.openxmlformats.org/officeDocument/2006/relationships/hyperlink" Target="http://www.isedc-u.com/images/pdf/2017/evr_11_17_berdin.pdf" TargetMode="External"/><Relationship Id="rId24" Type="http://schemas.openxmlformats.org/officeDocument/2006/relationships/hyperlink" Target="https://oilandgasclimateinitiative.com/oil-and-gas-climate-initiative-sets-first-collective-methane-target-for-member-companies/" TargetMode="External"/><Relationship Id="rId32" Type="http://schemas.openxmlformats.org/officeDocument/2006/relationships/hyperlink" Target="https://www.ipcc-nggip.iges.or.jp/public/2006gl/" TargetMode="External"/><Relationship Id="rId37" Type="http://schemas.openxmlformats.org/officeDocument/2006/relationships/hyperlink" Target="https://www.epa.gov/ghgemissions/inventory-us-greenhouse-gas-emissions-and-sinks-1990-2016" TargetMode="External"/><Relationship Id="rId40" Type="http://schemas.openxmlformats.org/officeDocument/2006/relationships/hyperlink" Target="https://www.iea.org/weo2017/" TargetMode="External"/><Relationship Id="rId45" Type="http://schemas.openxmlformats.org/officeDocument/2006/relationships/hyperlink" Target="https://www.iea.org/newsroom/news/2015/november/world-energy-outlook-2015.html" TargetMode="External"/><Relationship Id="rId53" Type="http://schemas.openxmlformats.org/officeDocument/2006/relationships/hyperlink" Target="https://www.epa.gov/sites/production/files/2014-02/documents/ldarguide.pdf" TargetMode="External"/><Relationship Id="rId58" Type="http://schemas.openxmlformats.org/officeDocument/2006/relationships/hyperlink" Target="https://www.ec.gc.ca/ges-ghg/default.asp?lang=En&amp;n=FF677357-1&amp;offset=2&amp;toc=hide" TargetMode="External"/><Relationship Id="rId66" Type="http://schemas.openxmlformats.org/officeDocument/2006/relationships/hyperlink" Target="http://www.api.org/~/media/Files/News/2012/12-October/API-ANGA-Survey-Report.pdf" TargetMode="External"/><Relationship Id="rId74" Type="http://schemas.openxmlformats.org/officeDocument/2006/relationships/hyperlink" Target="https://ngi.stanford.edu/sites/default/files/acs.est_.6b03906.pdf" TargetMode="External"/><Relationship Id="rId79" Type="http://schemas.openxmlformats.org/officeDocument/2006/relationships/hyperlink" Target="https://www.epa.gov/sites/production/files/2016-06/documents/ll_dimcompstat.pdf" TargetMode="External"/><Relationship Id="rId87" Type="http://schemas.openxmlformats.org/officeDocument/2006/relationships/hyperlink" Target="https://www.epa.gov/sites/production/files/2016-04/documents/mon7ccacemissurvey.pdf" TargetMode="External"/><Relationship Id="rId5" Type="http://schemas.openxmlformats.org/officeDocument/2006/relationships/hyperlink" Target="https://www.earth-syst-sci-data.net/8/697/2016/essd-8-697-2016.pdf" TargetMode="External"/><Relationship Id="rId61" Type="http://schemas.openxmlformats.org/officeDocument/2006/relationships/hyperlink" Target="https://unfccc.int/topics/climate-finance/the-big-picture/introduction-to-climate-finance" TargetMode="External"/><Relationship Id="rId82" Type="http://schemas.openxmlformats.org/officeDocument/2006/relationships/hyperlink" Target="http://s7d9.scene7.com/is/content/minesafetyappliances/07-8313-MC_UltrasonicGasLeakDetectWP" TargetMode="External"/><Relationship Id="rId19" Type="http://schemas.openxmlformats.org/officeDocument/2006/relationships/hyperlink" Target="http://ccacoalition.org/en/content/oil-and-gas-methane-partnership-technical-guidance-documents" TargetMode="External"/><Relationship Id="rId4" Type="http://schemas.openxmlformats.org/officeDocument/2006/relationships/hyperlink" Target="https://www.globalmethane.org/documents/gmi-mitigation-factsheet.pdf" TargetMode="External"/><Relationship Id="rId9" Type="http://schemas.openxmlformats.org/officeDocument/2006/relationships/hyperlink" Target="https://www.ipcc-nggip.iges.or.jp/public/2006gl/pdf/2_Volume2/V2_4_Ch4_Fugitive_Emissions.pdf" TargetMode="External"/><Relationship Id="rId14" Type="http://schemas.openxmlformats.org/officeDocument/2006/relationships/hyperlink" Target="http://ccacoalition.org/en/resources/oil-and-gas-methane-partnership-ogmp-third-year-report" TargetMode="External"/><Relationship Id="rId22" Type="http://schemas.openxmlformats.org/officeDocument/2006/relationships/hyperlink" Target="https://oilandgasclimateinitiative.com/" TargetMode="External"/><Relationship Id="rId27" Type="http://schemas.openxmlformats.org/officeDocument/2006/relationships/hyperlink" Target="https://www.ipcc-nggip.iges.or.jp/public/tb/TFI_Technical_Bulletin_1.pdf" TargetMode="External"/><Relationship Id="rId30" Type="http://schemas.openxmlformats.org/officeDocument/2006/relationships/hyperlink" Target="https://www.canada.ca/en/environment-climate-change/services/national-pollutant-release-inventory/data-quality.html" TargetMode="External"/><Relationship Id="rId35" Type="http://schemas.openxmlformats.org/officeDocument/2006/relationships/hyperlink" Target="http://www.miljodirektoratet.no/no/Publikasjoner/2016/Juni-2016/Cold-venting-and-fugitive-emissions-from-Norwegian-offshore-oil-and-gas-activities--summary-report/" TargetMode="External"/><Relationship Id="rId43" Type="http://schemas.openxmlformats.org/officeDocument/2006/relationships/hyperlink" Target="https://www.edf.org/sites/default/files/content/mexico_methane_cost_curve_report.pdf" TargetMode="External"/><Relationship Id="rId48" Type="http://schemas.openxmlformats.org/officeDocument/2006/relationships/hyperlink" Target="https://carbonlimits.no/project/zero-emission-technologies-pneumatic-controllers-in-usa/" TargetMode="External"/><Relationship Id="rId56" Type="http://schemas.openxmlformats.org/officeDocument/2006/relationships/hyperlink" Target="http://pubs.acs.org/doi/pdf/10.1021/acs.est.5b00133" TargetMode="External"/><Relationship Id="rId64" Type="http://schemas.openxmlformats.org/officeDocument/2006/relationships/hyperlink" Target="http://www.miljodirektoratet.no/no/Publikasjoner/2016/Juni-2016/Cold-venting-and-fugitive-emissions-from-Norwegian-offshore-oil-and-gas-activities--summary-report/" TargetMode="External"/><Relationship Id="rId69" Type="http://schemas.openxmlformats.org/officeDocument/2006/relationships/hyperlink" Target="https://www.epa.gov/sites/production/files/2016-06/documents/ll_compressorsoffline.pdf" TargetMode="External"/><Relationship Id="rId77" Type="http://schemas.openxmlformats.org/officeDocument/2006/relationships/hyperlink" Target="https://thehazmatguys.com/thmg141-laser-methane-detectors/" TargetMode="External"/><Relationship Id="rId8" Type="http://schemas.openxmlformats.org/officeDocument/2006/relationships/hyperlink" Target="https://www.ipcc-nggip.iges.or.jp/public/2006gl/" TargetMode="External"/><Relationship Id="rId51" Type="http://schemas.openxmlformats.org/officeDocument/2006/relationships/hyperlink" Target="https://carbonlimits.no/project/quantifying-cost-effectiveness-of-systematic-leak-detection-ldar-using-infrared-cameras/" TargetMode="External"/><Relationship Id="rId72" Type="http://schemas.openxmlformats.org/officeDocument/2006/relationships/hyperlink" Target="http://www.ccacoalition.org/en/file/3385/download?token=vTrJd-N5" TargetMode="External"/><Relationship Id="rId80" Type="http://schemas.openxmlformats.org/officeDocument/2006/relationships/hyperlink" Target="https://www.enviroequipment.com/rentals/thermo-tva-1000-fidpid-rental" TargetMode="External"/><Relationship Id="rId85" Type="http://schemas.openxmlformats.org/officeDocument/2006/relationships/hyperlink" Target="https://sagemetering.com/knowledge-base/topics/greenhouse-gas-emissions-monitoring-using-thermal-mass-flow-meters/" TargetMode="External"/><Relationship Id="rId3" Type="http://schemas.openxmlformats.org/officeDocument/2006/relationships/hyperlink" Target="https://www.iea.org/weo2017" TargetMode="External"/><Relationship Id="rId12" Type="http://schemas.openxmlformats.org/officeDocument/2006/relationships/hyperlink" Target="http://science.sciencemag.org/content/early/2018/06/20/science.aar7204" TargetMode="External"/><Relationship Id="rId17" Type="http://schemas.openxmlformats.org/officeDocument/2006/relationships/hyperlink" Target="http://www.ccacoalition.org/en/resources/technical-guidance-document-number-7-well-venting-liquids-unloading" TargetMode="External"/><Relationship Id="rId25" Type="http://schemas.openxmlformats.org/officeDocument/2006/relationships/hyperlink" Target="https://oilandgasclimateinitiative.com/blog/methodological-note-for-ogci-methane-intensity-target-and-ambition" TargetMode="External"/><Relationship Id="rId33" Type="http://schemas.openxmlformats.org/officeDocument/2006/relationships/hyperlink" Target="https://www.ipcc-nggip.iges.or.jp/public/2006gl/pdf/2_Volume2/V2_4_Ch4_Fugitive_Emissions.pdf" TargetMode="External"/><Relationship Id="rId38" Type="http://schemas.openxmlformats.org/officeDocument/2006/relationships/hyperlink" Target="https://unfccc.int/sites/default/files/resource/l23_0.pdf" TargetMode="External"/><Relationship Id="rId46" Type="http://schemas.openxmlformats.org/officeDocument/2006/relationships/hyperlink" Target="https://www.epa.gov/natural-gas-star-program/recommended-technologies-reduce-methane-emissions" TargetMode="External"/><Relationship Id="rId59" Type="http://schemas.openxmlformats.org/officeDocument/2006/relationships/hyperlink" Target="https://www.epa.gov/natural-gas-star-program/natural-gas-star-program" TargetMode="External"/><Relationship Id="rId67" Type="http://schemas.openxmlformats.org/officeDocument/2006/relationships/hyperlink" Target="https://www.epa.gov/sites/production/files/2016-06/documents/ll_desde.pdf" TargetMode="External"/><Relationship Id="rId20" Type="http://schemas.openxmlformats.org/officeDocument/2006/relationships/hyperlink" Target="http://ccacoalition.org/en/resources/oil-gas-methane-partnership-ogmp-overview" TargetMode="External"/><Relationship Id="rId41" Type="http://schemas.openxmlformats.org/officeDocument/2006/relationships/hyperlink" Target="https://www.edf.org/sites/default/files/methane_cost_curve_report.pdf" TargetMode="External"/><Relationship Id="rId54" Type="http://schemas.openxmlformats.org/officeDocument/2006/relationships/hyperlink" Target="http://pubs.acs.org/doi/pdf/10.1021/acs.est.5b00133" TargetMode="External"/><Relationship Id="rId62" Type="http://schemas.openxmlformats.org/officeDocument/2006/relationships/hyperlink" Target="http://ec.europa.eu/clima/policies/transport/fuel_en" TargetMode="External"/><Relationship Id="rId70" Type="http://schemas.openxmlformats.org/officeDocument/2006/relationships/hyperlink" Target="https://www.epa.gov/sites/production/files/2016-06/documents/ll_compressorsoffline.pdf" TargetMode="External"/><Relationship Id="rId75" Type="http://schemas.openxmlformats.org/officeDocument/2006/relationships/hyperlink" Target="https://thehazmatguys.com/thmg141-laser-methane-detectors/" TargetMode="External"/><Relationship Id="rId83" Type="http://schemas.openxmlformats.org/officeDocument/2006/relationships/hyperlink" Target="http://kairosaerospace.com/methane-detection/" TargetMode="External"/><Relationship Id="rId88" Type="http://schemas.openxmlformats.org/officeDocument/2006/relationships/hyperlink" Target="https://www.epa.gov/sites/production/files/2016-04/documents/mon7ccacemissurvey.pdf" TargetMode="External"/><Relationship Id="rId1" Type="http://schemas.openxmlformats.org/officeDocument/2006/relationships/hyperlink" Target="https://www.iea.org/weo2017/" TargetMode="External"/><Relationship Id="rId6" Type="http://schemas.openxmlformats.org/officeDocument/2006/relationships/hyperlink" Target="http://ccacoalition.org/en/content/oil-and-gas-methane-partnership-technical-guidance-documents" TargetMode="External"/><Relationship Id="rId15" Type="http://schemas.openxmlformats.org/officeDocument/2006/relationships/hyperlink" Target="https://carbonlimits.no/project/statistical-analysis-leak-detection-and-repair-canada/" TargetMode="External"/><Relationship Id="rId23" Type="http://schemas.openxmlformats.org/officeDocument/2006/relationships/hyperlink" Target="http://ccacoalition.org/en/content/oil-and-gas-methane-partnership-reporting" TargetMode="External"/><Relationship Id="rId28" Type="http://schemas.openxmlformats.org/officeDocument/2006/relationships/hyperlink" Target="https://www.epa.gov/ghgreporting/ghgrp-methodology-and-verification" TargetMode="External"/><Relationship Id="rId36" Type="http://schemas.openxmlformats.org/officeDocument/2006/relationships/hyperlink" Target="http://www.miljodirektoratet.no/no/Nyheter/Nyheter/2016/Juni-2016/Vellykket-samarbeid-om-a-redusere-utslipp-til-luft-fra-norsk-sokkel/" TargetMode="External"/><Relationship Id="rId49" Type="http://schemas.openxmlformats.org/officeDocument/2006/relationships/hyperlink" Target="https://carbonlimits.no/project/quantifying-cost-effectiveness-of-systematic-leak-detection-ldar-using-infrared-cameras/" TargetMode="External"/><Relationship Id="rId57" Type="http://schemas.openxmlformats.org/officeDocument/2006/relationships/hyperlink" Target="https://carbonlimits.no/project/statistical-analysis-leak-detection-and-repair-canada/" TargetMode="External"/><Relationship Id="rId10" Type="http://schemas.openxmlformats.org/officeDocument/2006/relationships/hyperlink" Target="https://www.iea.org/weo2017/" TargetMode="External"/><Relationship Id="rId31" Type="http://schemas.openxmlformats.org/officeDocument/2006/relationships/hyperlink" Target="https://ohranatruda.ru/upload/iblock/bfa/4293788169.pdf" TargetMode="External"/><Relationship Id="rId44" Type="http://schemas.openxmlformats.org/officeDocument/2006/relationships/hyperlink" Target="https://www.carbonlimits.no/project/methane-emissions-from-oil-and-gas-systems-in-ebrd-region/" TargetMode="External"/><Relationship Id="rId52" Type="http://schemas.openxmlformats.org/officeDocument/2006/relationships/hyperlink" Target="https://carbonlimits.no/project/statistical-analysis-of-leak-detection-and-repair-in-europe/" TargetMode="External"/><Relationship Id="rId60" Type="http://schemas.openxmlformats.org/officeDocument/2006/relationships/hyperlink" Target="https://www.ebrd.com/documents/climate-finance/the-domestic-emissions-trading-scheme-in-kazakhstan.pdf" TargetMode="External"/><Relationship Id="rId65" Type="http://schemas.openxmlformats.org/officeDocument/2006/relationships/hyperlink" Target="http://www.ecfr.gov/cgi-bin/text-idx?SID=9db68a97576bb01eea9073c37d6f0e90&amp;node=40:21.0.1.1.3.23&amp;rgn=div6" TargetMode="External"/><Relationship Id="rId73" Type="http://schemas.openxmlformats.org/officeDocument/2006/relationships/hyperlink" Target="https://www.epa.gov/sites/production/files/2016-04/documents/mon7ccacemissurvey.pdf" TargetMode="External"/><Relationship Id="rId78" Type="http://schemas.openxmlformats.org/officeDocument/2006/relationships/hyperlink" Target="http://www.hetek.com/wp-content/uploads/RMLD-Brochure.pdf" TargetMode="External"/><Relationship Id="rId81" Type="http://schemas.openxmlformats.org/officeDocument/2006/relationships/hyperlink" Target="https://www.epa.gov/sites/production/files/2016-06/documents/ll_dimgasproc.pdf" TargetMode="External"/><Relationship Id="rId86" Type="http://schemas.openxmlformats.org/officeDocument/2006/relationships/hyperlink" Target="https://www.epa.gov/sites/production/files/2016-04/documents/mon7ccacemissurve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ers\AppData\Local\Microsoft\Windows\INetCache\Content.Outlook\2LSJ9XVV\CL_Report_v2.dotx" TargetMode="External"/></Relationships>
</file>

<file path=word/theme/theme1.xml><?xml version="1.0" encoding="utf-8"?>
<a:theme xmlns:a="http://schemas.openxmlformats.org/drawingml/2006/main" name="Office Theme">
  <a:themeElements>
    <a:clrScheme name="Carbon Limits">
      <a:dk1>
        <a:sysClr val="windowText" lastClr="000000"/>
      </a:dk1>
      <a:lt1>
        <a:sysClr val="window" lastClr="FFFFFF"/>
      </a:lt1>
      <a:dk2>
        <a:srgbClr val="2BB673"/>
      </a:dk2>
      <a:lt2>
        <a:srgbClr val="EEECE1"/>
      </a:lt2>
      <a:accent1>
        <a:srgbClr val="2BB673"/>
      </a:accent1>
      <a:accent2>
        <a:srgbClr val="414042"/>
      </a:accent2>
      <a:accent3>
        <a:srgbClr val="005D5D"/>
      </a:accent3>
      <a:accent4>
        <a:srgbClr val="E2A380"/>
      </a:accent4>
      <a:accent5>
        <a:srgbClr val="92D6E3"/>
      </a:accent5>
      <a:accent6>
        <a:srgbClr val="155B39"/>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12700">
          <a:solidFill>
            <a:srgbClr val="2BB673"/>
          </a:solidFill>
        </a:ln>
        <a:effectLst/>
      </a:spPr>
      <a:bodyPr wrap="square" lIns="162000" tIns="162000" rIns="162000" bIns="16200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1d45786f-a737-4735-8af6-df12fb6939a2"/>
</file>

<file path=customXml/item2.xml><?xml version="1.0" encoding="utf-8"?>
<root>
  <title>Best Practice Guidance for Methane Management in the Oil and Gas Sector </title>
  <subtitle>Draft 14th March 2019  </subtitle>
</root>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8DD3CFF-7E87-476D-8201-5B824F011B1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A794F77-6155-4743-A5D0-93F902BDDDB0}">
  <ds:schemaRefs/>
</ds:datastoreItem>
</file>

<file path=customXml/itemProps3.xml><?xml version="1.0" encoding="utf-8"?>
<ds:datastoreItem xmlns:ds="http://schemas.openxmlformats.org/officeDocument/2006/customXml" ds:itemID="{C2C2CDBF-541F-4602-92C7-51A63BE29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CL_Report_v2</Template>
  <TotalTime>18</TotalTime>
  <Pages>64</Pages>
  <Words>28400</Words>
  <Characters>161880</Characters>
  <Application>Microsoft Office Word</Application>
  <DocSecurity>0</DocSecurity>
  <PresentationFormat/>
  <Lines>1349</Lines>
  <Paragraphs>379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Carbon Limits</Company>
  <LinksUpToDate>false</LinksUpToDate>
  <CharactersWithSpaces>189901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keywords>[EBRD]</cp:keywords>
  <dc:description>Template by addpoint.no</dc:description>
  <cp:lastModifiedBy>Michal Jacek Drabik</cp:lastModifiedBy>
  <cp:revision>4</cp:revision>
  <cp:lastPrinted>2019-03-18T11:56:00Z</cp:lastPrinted>
  <dcterms:created xsi:type="dcterms:W3CDTF">2019-03-18T12:46:00Z</dcterms:created>
  <dcterms:modified xsi:type="dcterms:W3CDTF">2019-03-18T13:05:00Z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docIndexRef">
    <vt:lpwstr>0d3c2f09-9fc9-4f7c-90b3-748945520dd8</vt:lpwstr>
  </property>
  <property fmtid="{D5CDD505-2E9C-101B-9397-08002B2CF9AE}" pid="4" name="bjSaver">
    <vt:lpwstr>oE0WutxH1CdHajdH7FEnyoZdvr61KngI</vt:lpwstr>
  </property>
  <property fmtid="{D5CDD505-2E9C-101B-9397-08002B2CF9AE}" pid="5" name="bjDocumentSecurityLabel">
    <vt:lpwstr>This item has no classification</vt:lpwstr>
  </property>
  <property fmtid="{D5CDD505-2E9C-101B-9397-08002B2CF9AE}" pid="6" name="bjDocumentLabelFieldCode">
    <vt:lpwstr>This item has no classification</vt:lpwstr>
  </property>
</Properties>
</file>